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71F42E21" w:rsidR="00B60939" w:rsidRPr="004A6040" w:rsidRDefault="00D63628" w:rsidP="00B36945">
      <w:pPr>
        <w:pStyle w:val="1-MainHeading"/>
      </w:pPr>
      <w:bookmarkStart w:id="0" w:name="_Toc121477766"/>
      <w:r>
        <w:t>5</w:t>
      </w:r>
      <w:r w:rsidR="00433044" w:rsidRPr="00C12C14">
        <w:t>.</w:t>
      </w:r>
      <w:r>
        <w:t>04</w:t>
      </w:r>
      <w:r w:rsidR="00163F66">
        <w:tab/>
      </w:r>
      <w:r w:rsidR="00A30CC3">
        <w:t>TOFACITINIB</w:t>
      </w:r>
      <w:r w:rsidR="00163F66">
        <w:t>,</w:t>
      </w:r>
      <w:r w:rsidR="00163F66">
        <w:br/>
      </w:r>
      <w:r w:rsidR="00A30CC3">
        <w:t>Tablet 5 mg</w:t>
      </w:r>
      <w:r w:rsidR="00B36945">
        <w:t>,</w:t>
      </w:r>
      <w:r w:rsidR="00B36945">
        <w:br/>
      </w:r>
      <w:r w:rsidR="00A30CC3">
        <w:t xml:space="preserve">Oral </w:t>
      </w:r>
      <w:r w:rsidR="00B36945">
        <w:t>liquid</w:t>
      </w:r>
      <w:r w:rsidR="00A30CC3">
        <w:t xml:space="preserve"> 1 mg</w:t>
      </w:r>
      <w:r w:rsidR="00B36945">
        <w:t xml:space="preserve"> per</w:t>
      </w:r>
      <w:r w:rsidR="001C7680">
        <w:t> mL</w:t>
      </w:r>
      <w:r w:rsidR="000F7C74">
        <w:t>,</w:t>
      </w:r>
      <w:r w:rsidR="00B36945">
        <w:t xml:space="preserve"> 240</w:t>
      </w:r>
      <w:r w:rsidR="001C7680">
        <w:t> mL</w:t>
      </w:r>
      <w:r w:rsidR="00B36945">
        <w:t>,</w:t>
      </w:r>
      <w:r w:rsidR="00163F66">
        <w:br/>
      </w:r>
      <w:r w:rsidR="00A30CC3">
        <w:t>Xeljanz</w:t>
      </w:r>
      <w:r w:rsidR="00B60939" w:rsidRPr="004A6040">
        <w:rPr>
          <w:vertAlign w:val="superscript"/>
        </w:rPr>
        <w:t>®</w:t>
      </w:r>
      <w:r w:rsidR="004A6040" w:rsidRPr="004A6040">
        <w:t>,</w:t>
      </w:r>
      <w:r w:rsidR="004A6040" w:rsidRPr="004A6040">
        <w:br/>
      </w:r>
      <w:r w:rsidR="00A30CC3">
        <w:t>Pfizer Australia Pty Ltd</w:t>
      </w:r>
      <w:r w:rsidR="00B60939" w:rsidRPr="004A6040">
        <w:t>.</w:t>
      </w:r>
      <w:bookmarkEnd w:id="0"/>
    </w:p>
    <w:p w14:paraId="11C00795" w14:textId="3DFB6D23" w:rsidR="00B50DB8" w:rsidRPr="00407F2D" w:rsidRDefault="00B50DB8" w:rsidP="004A6040">
      <w:pPr>
        <w:pStyle w:val="2-SectionHeading"/>
      </w:pPr>
      <w:bookmarkStart w:id="1" w:name="_Toc121477768"/>
      <w:r w:rsidRPr="00407F2D">
        <w:t xml:space="preserve">Purpose of </w:t>
      </w:r>
      <w:r w:rsidR="00CD7193">
        <w:t>s</w:t>
      </w:r>
      <w:r w:rsidR="00BB3A45">
        <w:t>ubmission</w:t>
      </w:r>
      <w:bookmarkEnd w:id="1"/>
    </w:p>
    <w:p w14:paraId="4E9FBCB5" w14:textId="6B77F007" w:rsidR="00C2778B" w:rsidRDefault="007170DA" w:rsidP="00B640DE">
      <w:pPr>
        <w:pStyle w:val="3-BodyText"/>
      </w:pPr>
      <w:r>
        <w:t xml:space="preserve">The </w:t>
      </w:r>
      <w:r w:rsidR="00F73E08" w:rsidRPr="00E32312">
        <w:t xml:space="preserve">Category </w:t>
      </w:r>
      <w:r w:rsidR="00B36945" w:rsidRPr="00E32312">
        <w:t>2</w:t>
      </w:r>
      <w:r w:rsidR="00F73E08" w:rsidRPr="00E32312">
        <w:t xml:space="preserve"> </w:t>
      </w:r>
      <w:r w:rsidRPr="00E32312">
        <w:t>submi</w:t>
      </w:r>
      <w:r>
        <w:t xml:space="preserve">ssion </w:t>
      </w:r>
      <w:r w:rsidRPr="004E18E9">
        <w:t>requested</w:t>
      </w:r>
      <w:r w:rsidR="004465FE">
        <w:t xml:space="preserve"> a</w:t>
      </w:r>
      <w:r w:rsidRPr="004E18E9">
        <w:t xml:space="preserve"> </w:t>
      </w:r>
      <w:r w:rsidR="00BF4D5D">
        <w:t>General Schedule</w:t>
      </w:r>
      <w:r w:rsidR="004465FE">
        <w:t>,</w:t>
      </w:r>
      <w:r w:rsidR="00BF4D5D">
        <w:t xml:space="preserve"> </w:t>
      </w:r>
      <w:r w:rsidR="008B1757" w:rsidRPr="004E18E9">
        <w:t xml:space="preserve">Authority Required </w:t>
      </w:r>
      <w:r w:rsidR="00BF4D5D">
        <w:t xml:space="preserve">(written) </w:t>
      </w:r>
      <w:r w:rsidR="008B1757" w:rsidRPr="004E18E9">
        <w:t xml:space="preserve">listing for </w:t>
      </w:r>
      <w:r w:rsidR="00BF4D5D">
        <w:t>tofacitinib (TOF)</w:t>
      </w:r>
      <w:r w:rsidR="008B1757" w:rsidRPr="004E18E9">
        <w:t xml:space="preserve"> for </w:t>
      </w:r>
      <w:r w:rsidR="0050174E" w:rsidRPr="004E18E9">
        <w:t xml:space="preserve">the </w:t>
      </w:r>
      <w:r w:rsidR="008B1757" w:rsidRPr="004E18E9">
        <w:t xml:space="preserve">treatment of </w:t>
      </w:r>
      <w:r w:rsidR="00BF4D5D">
        <w:t>severe active juvenile idiopathic arthritis (JIA)</w:t>
      </w:r>
      <w:r w:rsidR="008B1757" w:rsidRPr="00C527C7">
        <w:t>.</w:t>
      </w:r>
      <w:r w:rsidR="00BF4D5D">
        <w:t xml:space="preserve"> </w:t>
      </w:r>
    </w:p>
    <w:p w14:paraId="3718DE61" w14:textId="7F0AFAF3" w:rsidR="008B1757" w:rsidRPr="004A6040" w:rsidRDefault="00696EF9" w:rsidP="004A6040">
      <w:pPr>
        <w:pStyle w:val="TableFigureHeading"/>
        <w:rPr>
          <w:rStyle w:val="CommentReference"/>
          <w:b/>
          <w:szCs w:val="24"/>
        </w:rPr>
      </w:pPr>
      <w:bookmarkStart w:id="2" w:name="_Ref121408093"/>
      <w:r>
        <w:t xml:space="preserve">Table </w:t>
      </w:r>
      <w:fldSimple w:instr=" SEQ Table \* ARABIC ">
        <w:r w:rsidR="006C1D0C">
          <w:rPr>
            <w:noProof/>
          </w:rPr>
          <w:t>1</w:t>
        </w:r>
      </w:fldSimple>
      <w:bookmarkEnd w:id="2"/>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14:paraId="569F5103" w14:textId="77777777" w:rsidTr="002A2ADE">
        <w:trPr>
          <w:cantSplit/>
          <w:tblHeader/>
        </w:trPr>
        <w:tc>
          <w:tcPr>
            <w:tcW w:w="924" w:type="pct"/>
            <w:shd w:val="clear" w:color="auto" w:fill="auto"/>
          </w:tcPr>
          <w:p w14:paraId="501803FB" w14:textId="77777777" w:rsidR="008B1757" w:rsidRPr="008B1757" w:rsidRDefault="008B1757" w:rsidP="004A6040">
            <w:pPr>
              <w:pStyle w:val="In-tableHeading"/>
              <w:rPr>
                <w:szCs w:val="20"/>
              </w:rPr>
            </w:pPr>
            <w:r w:rsidRPr="008B1757">
              <w:t>Component</w:t>
            </w:r>
          </w:p>
        </w:tc>
        <w:tc>
          <w:tcPr>
            <w:tcW w:w="4076" w:type="pct"/>
            <w:shd w:val="clear" w:color="auto" w:fill="auto"/>
          </w:tcPr>
          <w:p w14:paraId="445D9EBB" w14:textId="77777777" w:rsidR="008B1757" w:rsidRPr="008B1757" w:rsidRDefault="008B1757" w:rsidP="004A6040">
            <w:pPr>
              <w:pStyle w:val="In-tableHeading"/>
            </w:pPr>
            <w:r w:rsidRPr="008B1757">
              <w:t>Description</w:t>
            </w:r>
          </w:p>
        </w:tc>
      </w:tr>
      <w:tr w:rsidR="00A33CB5" w:rsidRPr="00691913" w14:paraId="2EB546E2" w14:textId="77777777" w:rsidTr="008140AF">
        <w:trPr>
          <w:cantSplit/>
        </w:trPr>
        <w:tc>
          <w:tcPr>
            <w:tcW w:w="924" w:type="pct"/>
            <w:shd w:val="clear" w:color="auto" w:fill="auto"/>
          </w:tcPr>
          <w:p w14:paraId="38F3BB34" w14:textId="77777777" w:rsidR="00A33CB5" w:rsidRPr="00691913" w:rsidRDefault="00A33CB5" w:rsidP="00A33CB5">
            <w:pPr>
              <w:pStyle w:val="TableText0"/>
            </w:pPr>
            <w:r w:rsidRPr="00691913">
              <w:t>Population</w:t>
            </w:r>
          </w:p>
        </w:tc>
        <w:tc>
          <w:tcPr>
            <w:tcW w:w="4076" w:type="pct"/>
            <w:shd w:val="clear" w:color="auto" w:fill="auto"/>
            <w:vAlign w:val="center"/>
          </w:tcPr>
          <w:p w14:paraId="79618EEE" w14:textId="483DBDFF" w:rsidR="00A33CB5" w:rsidRPr="00A33CB5" w:rsidRDefault="00A33CB5" w:rsidP="00A33CB5">
            <w:pPr>
              <w:pStyle w:val="TableText0"/>
              <w:rPr>
                <w:szCs w:val="20"/>
              </w:rPr>
            </w:pPr>
            <w:r w:rsidRPr="00A33CB5">
              <w:rPr>
                <w:bCs w:val="0"/>
              </w:rPr>
              <w:t xml:space="preserve">Patients aged 2-17 years with active </w:t>
            </w:r>
            <w:r>
              <w:rPr>
                <w:bCs w:val="0"/>
              </w:rPr>
              <w:t xml:space="preserve">polyarticular course </w:t>
            </w:r>
            <w:r w:rsidRPr="00A33CB5">
              <w:rPr>
                <w:bCs w:val="0"/>
              </w:rPr>
              <w:t>JIA in whom an adequate response has not been achieved with cDMARDs, alone or in com</w:t>
            </w:r>
            <w:r w:rsidR="00C810F6">
              <w:rPr>
                <w:bCs w:val="0"/>
              </w:rPr>
              <w:t>bination with corticosteroids.</w:t>
            </w:r>
          </w:p>
        </w:tc>
      </w:tr>
      <w:tr w:rsidR="00497EC8" w:rsidRPr="00691913" w14:paraId="0CA523AF" w14:textId="77777777" w:rsidTr="008140AF">
        <w:trPr>
          <w:cantSplit/>
        </w:trPr>
        <w:tc>
          <w:tcPr>
            <w:tcW w:w="924" w:type="pct"/>
            <w:shd w:val="clear" w:color="auto" w:fill="auto"/>
          </w:tcPr>
          <w:p w14:paraId="7B6D20D8" w14:textId="77777777" w:rsidR="00497EC8" w:rsidRPr="00691913" w:rsidRDefault="00497EC8" w:rsidP="00497EC8">
            <w:pPr>
              <w:pStyle w:val="TableText0"/>
            </w:pPr>
            <w:r w:rsidRPr="00691913">
              <w:t>Intervention</w:t>
            </w:r>
          </w:p>
        </w:tc>
        <w:tc>
          <w:tcPr>
            <w:tcW w:w="4076" w:type="pct"/>
            <w:shd w:val="clear" w:color="auto" w:fill="auto"/>
            <w:vAlign w:val="center"/>
          </w:tcPr>
          <w:p w14:paraId="3FA07278" w14:textId="77777777" w:rsidR="00497EC8" w:rsidRPr="00497EC8" w:rsidRDefault="00497EC8" w:rsidP="00497EC8">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Weight-based dosing regimen:</w:t>
            </w:r>
          </w:p>
          <w:p w14:paraId="095446DB" w14:textId="163A14DB" w:rsidR="00497EC8" w:rsidRDefault="00497EC8" w:rsidP="007C309F">
            <w:pPr>
              <w:pStyle w:val="ListParagraph"/>
              <w:widowControl w:val="0"/>
              <w:numPr>
                <w:ilvl w:val="0"/>
                <w:numId w:val="14"/>
              </w:numPr>
              <w:spacing w:after="0"/>
              <w:ind w:left="210" w:hanging="227"/>
              <w:jc w:val="left"/>
              <w:rPr>
                <w:rFonts w:ascii="Arial Narrow" w:eastAsiaTheme="majorEastAsia" w:hAnsi="Arial Narrow" w:cstheme="majorBidi"/>
                <w:bCs/>
                <w:sz w:val="20"/>
              </w:rPr>
            </w:pPr>
            <w:r w:rsidRPr="00497EC8">
              <w:rPr>
                <w:rFonts w:ascii="Arial Narrow" w:eastAsiaTheme="majorEastAsia" w:hAnsi="Arial Narrow" w:cstheme="majorBidi"/>
                <w:bCs/>
                <w:sz w:val="20"/>
              </w:rPr>
              <w:t>10 to &lt;20</w:t>
            </w:r>
            <w:r w:rsidR="00577B8D">
              <w:rPr>
                <w:rFonts w:ascii="Arial Narrow" w:eastAsiaTheme="majorEastAsia" w:hAnsi="Arial Narrow" w:cstheme="majorBidi"/>
                <w:bCs/>
                <w:sz w:val="20"/>
              </w:rPr>
              <w:t xml:space="preserve"> </w:t>
            </w:r>
            <w:r w:rsidRPr="00497EC8">
              <w:rPr>
                <w:rFonts w:ascii="Arial Narrow" w:eastAsiaTheme="majorEastAsia" w:hAnsi="Arial Narrow" w:cstheme="majorBidi"/>
                <w:bCs/>
                <w:sz w:val="20"/>
              </w:rPr>
              <w:t xml:space="preserve">kg: </w:t>
            </w:r>
            <w:r>
              <w:rPr>
                <w:rFonts w:ascii="Arial Narrow" w:eastAsiaTheme="majorEastAsia" w:hAnsi="Arial Narrow" w:cstheme="majorBidi"/>
                <w:bCs/>
                <w:sz w:val="20"/>
              </w:rPr>
              <w:t>t</w:t>
            </w:r>
            <w:r w:rsidRPr="00A33CB5">
              <w:rPr>
                <w:rFonts w:ascii="Arial Narrow" w:eastAsiaTheme="majorEastAsia" w:hAnsi="Arial Narrow" w:cstheme="majorBidi"/>
                <w:bCs/>
                <w:sz w:val="20"/>
              </w:rPr>
              <w:t>ofacitinib</w:t>
            </w:r>
            <w:r w:rsidRPr="00497EC8">
              <w:rPr>
                <w:rFonts w:ascii="Arial Narrow" w:eastAsiaTheme="majorEastAsia" w:hAnsi="Arial Narrow" w:cstheme="majorBidi"/>
                <w:bCs/>
                <w:sz w:val="20"/>
              </w:rPr>
              <w:t xml:space="preserve"> 3.2</w:t>
            </w:r>
            <w:r w:rsidR="005F3C97">
              <w:rPr>
                <w:rFonts w:ascii="Arial Narrow" w:eastAsiaTheme="majorEastAsia" w:hAnsi="Arial Narrow" w:cstheme="majorBidi"/>
                <w:bCs/>
                <w:sz w:val="20"/>
              </w:rPr>
              <w:t xml:space="preserve"> </w:t>
            </w:r>
            <w:r w:rsidRPr="00497EC8">
              <w:rPr>
                <w:rFonts w:ascii="Arial Narrow" w:eastAsiaTheme="majorEastAsia" w:hAnsi="Arial Narrow" w:cstheme="majorBidi"/>
                <w:bCs/>
                <w:sz w:val="20"/>
              </w:rPr>
              <w:t>mg twice daily</w:t>
            </w:r>
            <w:r>
              <w:rPr>
                <w:rFonts w:ascii="Arial Narrow" w:eastAsiaTheme="majorEastAsia" w:hAnsi="Arial Narrow" w:cstheme="majorBidi"/>
                <w:bCs/>
                <w:sz w:val="20"/>
              </w:rPr>
              <w:t xml:space="preserve"> (oral solution)</w:t>
            </w:r>
            <w:r w:rsidRPr="00497EC8">
              <w:rPr>
                <w:rFonts w:ascii="Arial Narrow" w:eastAsiaTheme="majorEastAsia" w:hAnsi="Arial Narrow" w:cstheme="majorBidi"/>
                <w:bCs/>
                <w:sz w:val="20"/>
              </w:rPr>
              <w:t xml:space="preserve">; </w:t>
            </w:r>
          </w:p>
          <w:p w14:paraId="012EEA32" w14:textId="4D3ECD88" w:rsidR="00497EC8" w:rsidRDefault="00497EC8" w:rsidP="007C309F">
            <w:pPr>
              <w:pStyle w:val="ListParagraph"/>
              <w:widowControl w:val="0"/>
              <w:numPr>
                <w:ilvl w:val="0"/>
                <w:numId w:val="14"/>
              </w:numPr>
              <w:spacing w:after="0"/>
              <w:ind w:left="210" w:hanging="227"/>
              <w:jc w:val="left"/>
              <w:rPr>
                <w:rFonts w:ascii="Arial Narrow" w:eastAsiaTheme="majorEastAsia" w:hAnsi="Arial Narrow" w:cstheme="majorBidi"/>
                <w:bCs/>
                <w:sz w:val="20"/>
              </w:rPr>
            </w:pPr>
            <w:r w:rsidRPr="00497EC8">
              <w:rPr>
                <w:rFonts w:ascii="Arial Narrow" w:eastAsiaTheme="majorEastAsia" w:hAnsi="Arial Narrow" w:cstheme="majorBidi"/>
                <w:bCs/>
                <w:sz w:val="20"/>
              </w:rPr>
              <w:t>20 to &lt;40</w:t>
            </w:r>
            <w:r w:rsidR="00577B8D">
              <w:rPr>
                <w:rFonts w:ascii="Arial Narrow" w:eastAsiaTheme="majorEastAsia" w:hAnsi="Arial Narrow" w:cstheme="majorBidi"/>
                <w:bCs/>
                <w:sz w:val="20"/>
              </w:rPr>
              <w:t xml:space="preserve"> </w:t>
            </w:r>
            <w:r w:rsidRPr="00497EC8">
              <w:rPr>
                <w:rFonts w:ascii="Arial Narrow" w:eastAsiaTheme="majorEastAsia" w:hAnsi="Arial Narrow" w:cstheme="majorBidi"/>
                <w:bCs/>
                <w:sz w:val="20"/>
              </w:rPr>
              <w:t xml:space="preserve">kg: </w:t>
            </w:r>
            <w:r>
              <w:rPr>
                <w:rFonts w:ascii="Arial Narrow" w:eastAsiaTheme="majorEastAsia" w:hAnsi="Arial Narrow" w:cstheme="majorBidi"/>
                <w:bCs/>
                <w:sz w:val="20"/>
              </w:rPr>
              <w:t>t</w:t>
            </w:r>
            <w:r w:rsidRPr="00A33CB5">
              <w:rPr>
                <w:rFonts w:ascii="Arial Narrow" w:eastAsiaTheme="majorEastAsia" w:hAnsi="Arial Narrow" w:cstheme="majorBidi"/>
                <w:bCs/>
                <w:sz w:val="20"/>
              </w:rPr>
              <w:t>ofacitinib</w:t>
            </w:r>
            <w:r w:rsidRPr="00497EC8">
              <w:rPr>
                <w:rFonts w:ascii="Arial Narrow" w:eastAsiaTheme="majorEastAsia" w:hAnsi="Arial Narrow" w:cstheme="majorBidi"/>
                <w:bCs/>
                <w:sz w:val="20"/>
              </w:rPr>
              <w:t xml:space="preserve"> 4</w:t>
            </w:r>
            <w:r w:rsidR="005F3C97">
              <w:rPr>
                <w:rFonts w:ascii="Arial Narrow" w:eastAsiaTheme="majorEastAsia" w:hAnsi="Arial Narrow" w:cstheme="majorBidi"/>
                <w:bCs/>
                <w:sz w:val="20"/>
              </w:rPr>
              <w:t xml:space="preserve"> </w:t>
            </w:r>
            <w:r w:rsidRPr="00497EC8">
              <w:rPr>
                <w:rFonts w:ascii="Arial Narrow" w:eastAsiaTheme="majorEastAsia" w:hAnsi="Arial Narrow" w:cstheme="majorBidi"/>
                <w:bCs/>
                <w:sz w:val="20"/>
              </w:rPr>
              <w:t>mg twice daily</w:t>
            </w:r>
            <w:r>
              <w:rPr>
                <w:rFonts w:ascii="Arial Narrow" w:eastAsiaTheme="majorEastAsia" w:hAnsi="Arial Narrow" w:cstheme="majorBidi"/>
                <w:bCs/>
                <w:sz w:val="20"/>
              </w:rPr>
              <w:t xml:space="preserve"> (oral solution)</w:t>
            </w:r>
            <w:r w:rsidRPr="00497EC8">
              <w:rPr>
                <w:rFonts w:ascii="Arial Narrow" w:eastAsiaTheme="majorEastAsia" w:hAnsi="Arial Narrow" w:cstheme="majorBidi"/>
                <w:bCs/>
                <w:sz w:val="20"/>
              </w:rPr>
              <w:t xml:space="preserve">; </w:t>
            </w:r>
          </w:p>
          <w:p w14:paraId="2491E905" w14:textId="7D5FA82E" w:rsidR="00497EC8" w:rsidRPr="00497EC8" w:rsidRDefault="00497EC8" w:rsidP="007C309F">
            <w:pPr>
              <w:pStyle w:val="ListParagraph"/>
              <w:widowControl w:val="0"/>
              <w:numPr>
                <w:ilvl w:val="0"/>
                <w:numId w:val="14"/>
              </w:numPr>
              <w:spacing w:after="0"/>
              <w:ind w:left="210" w:hanging="227"/>
              <w:jc w:val="left"/>
              <w:rPr>
                <w:rFonts w:ascii="Arial Narrow" w:eastAsiaTheme="majorEastAsia" w:hAnsi="Arial Narrow" w:cstheme="majorBidi"/>
                <w:bCs/>
                <w:sz w:val="20"/>
              </w:rPr>
            </w:pPr>
            <w:r w:rsidRPr="00497EC8">
              <w:rPr>
                <w:rFonts w:ascii="Arial Narrow" w:eastAsiaTheme="majorEastAsia" w:hAnsi="Arial Narrow" w:cstheme="majorBidi"/>
                <w:bCs/>
                <w:sz w:val="20"/>
              </w:rPr>
              <w:t>≥40</w:t>
            </w:r>
            <w:r w:rsidR="00577B8D">
              <w:rPr>
                <w:rFonts w:ascii="Arial Narrow" w:eastAsiaTheme="majorEastAsia" w:hAnsi="Arial Narrow" w:cstheme="majorBidi"/>
                <w:bCs/>
                <w:sz w:val="20"/>
              </w:rPr>
              <w:t xml:space="preserve"> </w:t>
            </w:r>
            <w:r w:rsidRPr="00497EC8">
              <w:rPr>
                <w:rFonts w:ascii="Arial Narrow" w:eastAsiaTheme="majorEastAsia" w:hAnsi="Arial Narrow" w:cstheme="majorBidi"/>
                <w:bCs/>
                <w:sz w:val="20"/>
              </w:rPr>
              <w:t xml:space="preserve">kg: </w:t>
            </w:r>
            <w:r>
              <w:rPr>
                <w:rFonts w:ascii="Arial Narrow" w:eastAsiaTheme="majorEastAsia" w:hAnsi="Arial Narrow" w:cstheme="majorBidi"/>
                <w:bCs/>
                <w:sz w:val="20"/>
              </w:rPr>
              <w:t>t</w:t>
            </w:r>
            <w:r w:rsidRPr="00A33CB5">
              <w:rPr>
                <w:rFonts w:ascii="Arial Narrow" w:eastAsiaTheme="majorEastAsia" w:hAnsi="Arial Narrow" w:cstheme="majorBidi"/>
                <w:bCs/>
                <w:sz w:val="20"/>
              </w:rPr>
              <w:t>ofacitinib</w:t>
            </w:r>
            <w:r w:rsidRPr="00497EC8">
              <w:rPr>
                <w:rFonts w:ascii="Arial Narrow" w:eastAsiaTheme="majorEastAsia" w:hAnsi="Arial Narrow" w:cstheme="majorBidi"/>
                <w:bCs/>
                <w:sz w:val="20"/>
              </w:rPr>
              <w:t xml:space="preserve"> </w:t>
            </w:r>
            <w:r>
              <w:rPr>
                <w:rFonts w:ascii="Arial Narrow" w:eastAsiaTheme="majorEastAsia" w:hAnsi="Arial Narrow" w:cstheme="majorBidi"/>
                <w:bCs/>
                <w:sz w:val="20"/>
              </w:rPr>
              <w:t>5</w:t>
            </w:r>
            <w:r w:rsidR="00A56762">
              <w:rPr>
                <w:rFonts w:ascii="Arial Narrow" w:eastAsiaTheme="majorEastAsia" w:hAnsi="Arial Narrow" w:cstheme="majorBidi"/>
                <w:bCs/>
                <w:sz w:val="20"/>
              </w:rPr>
              <w:t xml:space="preserve"> </w:t>
            </w:r>
            <w:r>
              <w:rPr>
                <w:rFonts w:ascii="Arial Narrow" w:eastAsiaTheme="majorEastAsia" w:hAnsi="Arial Narrow" w:cstheme="majorBidi"/>
                <w:bCs/>
                <w:sz w:val="20"/>
              </w:rPr>
              <w:t xml:space="preserve">mg </w:t>
            </w:r>
            <w:r w:rsidRPr="00497EC8">
              <w:rPr>
                <w:rFonts w:ascii="Arial Narrow" w:eastAsiaTheme="majorEastAsia" w:hAnsi="Arial Narrow" w:cstheme="majorBidi"/>
                <w:bCs/>
                <w:sz w:val="20"/>
              </w:rPr>
              <w:t>twice daily</w:t>
            </w:r>
            <w:r>
              <w:rPr>
                <w:rFonts w:ascii="Arial Narrow" w:eastAsiaTheme="majorEastAsia" w:hAnsi="Arial Narrow" w:cstheme="majorBidi"/>
                <w:bCs/>
                <w:sz w:val="20"/>
              </w:rPr>
              <w:t xml:space="preserve"> (oral solution or tablets)</w:t>
            </w:r>
          </w:p>
        </w:tc>
      </w:tr>
      <w:tr w:rsidR="00497EC8" w:rsidRPr="00691913" w14:paraId="0F81EBE4" w14:textId="77777777" w:rsidTr="008140AF">
        <w:trPr>
          <w:cantSplit/>
        </w:trPr>
        <w:tc>
          <w:tcPr>
            <w:tcW w:w="924" w:type="pct"/>
            <w:shd w:val="clear" w:color="auto" w:fill="auto"/>
          </w:tcPr>
          <w:p w14:paraId="3656B343" w14:textId="77777777" w:rsidR="00497EC8" w:rsidRPr="00691913" w:rsidRDefault="00497EC8" w:rsidP="00497EC8">
            <w:pPr>
              <w:pStyle w:val="TableText0"/>
            </w:pPr>
            <w:r w:rsidRPr="00691913">
              <w:t>Comparator</w:t>
            </w:r>
          </w:p>
        </w:tc>
        <w:tc>
          <w:tcPr>
            <w:tcW w:w="4076" w:type="pct"/>
            <w:shd w:val="clear" w:color="auto" w:fill="auto"/>
            <w:vAlign w:val="center"/>
          </w:tcPr>
          <w:p w14:paraId="3727DE24" w14:textId="143ECFBA" w:rsidR="00497EC8" w:rsidRPr="00A33CB5" w:rsidRDefault="00497EC8" w:rsidP="00497EC8">
            <w:pPr>
              <w:pStyle w:val="TableText0"/>
            </w:pPr>
            <w:r w:rsidRPr="00A33CB5">
              <w:rPr>
                <w:bCs w:val="0"/>
              </w:rPr>
              <w:t>Adalimumab subcutaneously every 2 weeks (fortnightly) based on body weight:10 to &lt;30 kg: 20</w:t>
            </w:r>
            <w:r w:rsidR="00A56762">
              <w:rPr>
                <w:bCs w:val="0"/>
              </w:rPr>
              <w:t xml:space="preserve"> </w:t>
            </w:r>
            <w:r w:rsidRPr="00A33CB5">
              <w:rPr>
                <w:bCs w:val="0"/>
              </w:rPr>
              <w:t>mg; ≥30</w:t>
            </w:r>
            <w:r w:rsidR="00A56762">
              <w:rPr>
                <w:bCs w:val="0"/>
              </w:rPr>
              <w:t xml:space="preserve"> </w:t>
            </w:r>
            <w:r w:rsidRPr="00A33CB5">
              <w:rPr>
                <w:bCs w:val="0"/>
              </w:rPr>
              <w:t>kg: 40</w:t>
            </w:r>
            <w:r w:rsidR="00A56762">
              <w:rPr>
                <w:bCs w:val="0"/>
              </w:rPr>
              <w:t xml:space="preserve"> </w:t>
            </w:r>
            <w:r w:rsidRPr="00A33CB5">
              <w:rPr>
                <w:bCs w:val="0"/>
              </w:rPr>
              <w:t>mg.</w:t>
            </w:r>
          </w:p>
        </w:tc>
      </w:tr>
      <w:tr w:rsidR="00497EC8" w:rsidRPr="00691913" w14:paraId="02F86F0D" w14:textId="77777777" w:rsidTr="008140AF">
        <w:trPr>
          <w:cantSplit/>
        </w:trPr>
        <w:tc>
          <w:tcPr>
            <w:tcW w:w="924" w:type="pct"/>
            <w:shd w:val="clear" w:color="auto" w:fill="auto"/>
          </w:tcPr>
          <w:p w14:paraId="06433105" w14:textId="77777777" w:rsidR="00497EC8" w:rsidRPr="00691913" w:rsidRDefault="00497EC8" w:rsidP="00497EC8">
            <w:pPr>
              <w:pStyle w:val="TableText0"/>
            </w:pPr>
            <w:r w:rsidRPr="00691913">
              <w:t>Outcomes</w:t>
            </w:r>
          </w:p>
        </w:tc>
        <w:tc>
          <w:tcPr>
            <w:tcW w:w="4076" w:type="pct"/>
            <w:shd w:val="clear" w:color="auto" w:fill="auto"/>
            <w:vAlign w:val="center"/>
          </w:tcPr>
          <w:p w14:paraId="7A83C28B" w14:textId="27D4D067" w:rsidR="00497EC8" w:rsidRPr="00A33CB5" w:rsidRDefault="00497EC8" w:rsidP="00497EC8">
            <w:pPr>
              <w:keepNext/>
              <w:widowControl w:val="0"/>
              <w:jc w:val="left"/>
              <w:rPr>
                <w:rFonts w:ascii="Arial Narrow" w:eastAsiaTheme="majorEastAsia" w:hAnsi="Arial Narrow" w:cstheme="majorBidi"/>
                <w:bCs/>
                <w:sz w:val="20"/>
              </w:rPr>
            </w:pPr>
            <w:r w:rsidRPr="00A33CB5">
              <w:rPr>
                <w:rFonts w:ascii="Arial Narrow" w:eastAsiaTheme="majorEastAsia" w:hAnsi="Arial Narrow" w:cstheme="majorBidi"/>
                <w:bCs/>
                <w:sz w:val="20"/>
              </w:rPr>
              <w:t>Disease Flare</w:t>
            </w:r>
            <w:r>
              <w:rPr>
                <w:rFonts w:ascii="Arial Narrow" w:eastAsiaTheme="majorEastAsia" w:hAnsi="Arial Narrow" w:cstheme="majorBidi"/>
                <w:bCs/>
                <w:sz w:val="20"/>
              </w:rPr>
              <w:t>,</w:t>
            </w:r>
          </w:p>
          <w:p w14:paraId="2BCB3ED1" w14:textId="61D7B811" w:rsidR="00497EC8" w:rsidRPr="00A33CB5" w:rsidRDefault="00497EC8" w:rsidP="00497EC8">
            <w:pPr>
              <w:keepNext/>
              <w:widowControl w:val="0"/>
              <w:jc w:val="left"/>
              <w:rPr>
                <w:rFonts w:ascii="Arial Narrow" w:eastAsiaTheme="majorEastAsia" w:hAnsi="Arial Narrow" w:cstheme="majorBidi"/>
                <w:bCs/>
                <w:sz w:val="20"/>
              </w:rPr>
            </w:pPr>
            <w:r w:rsidRPr="00A33CB5">
              <w:rPr>
                <w:rFonts w:ascii="Arial Narrow" w:eastAsiaTheme="majorEastAsia" w:hAnsi="Arial Narrow" w:cstheme="majorBidi"/>
                <w:bCs/>
                <w:sz w:val="20"/>
              </w:rPr>
              <w:t>PedACR30/50/70</w:t>
            </w:r>
            <w:r>
              <w:rPr>
                <w:rFonts w:ascii="Arial Narrow" w:eastAsiaTheme="majorEastAsia" w:hAnsi="Arial Narrow" w:cstheme="majorBidi"/>
                <w:bCs/>
                <w:sz w:val="20"/>
              </w:rPr>
              <w:t>,</w:t>
            </w:r>
          </w:p>
          <w:p w14:paraId="5ABC4037" w14:textId="2F359631" w:rsidR="00497EC8" w:rsidRPr="00A33CB5" w:rsidRDefault="00497EC8" w:rsidP="00497EC8">
            <w:pPr>
              <w:pStyle w:val="TableText0"/>
              <w:rPr>
                <w:rFonts w:eastAsia="Times New Roman" w:cs="Arial"/>
                <w:bCs w:val="0"/>
                <w:snapToGrid w:val="0"/>
                <w:szCs w:val="20"/>
              </w:rPr>
            </w:pPr>
            <w:r w:rsidRPr="00A33CB5">
              <w:rPr>
                <w:bCs w:val="0"/>
              </w:rPr>
              <w:t>Safety</w:t>
            </w:r>
          </w:p>
        </w:tc>
      </w:tr>
      <w:tr w:rsidR="00497EC8" w:rsidRPr="00691913" w14:paraId="22223890" w14:textId="77777777" w:rsidTr="008140AF">
        <w:trPr>
          <w:cantSplit/>
        </w:trPr>
        <w:tc>
          <w:tcPr>
            <w:tcW w:w="924" w:type="pct"/>
            <w:shd w:val="clear" w:color="auto" w:fill="auto"/>
          </w:tcPr>
          <w:p w14:paraId="0FC8FCE0" w14:textId="77777777" w:rsidR="00497EC8" w:rsidRPr="00691913" w:rsidRDefault="00497EC8" w:rsidP="00497EC8">
            <w:pPr>
              <w:pStyle w:val="TableText0"/>
            </w:pPr>
            <w:r w:rsidRPr="00691913">
              <w:t>Clinical claim</w:t>
            </w:r>
          </w:p>
        </w:tc>
        <w:tc>
          <w:tcPr>
            <w:tcW w:w="4076" w:type="pct"/>
            <w:shd w:val="clear" w:color="auto" w:fill="auto"/>
            <w:vAlign w:val="center"/>
          </w:tcPr>
          <w:p w14:paraId="2C99C4DE" w14:textId="7B3E9BFF" w:rsidR="00497EC8" w:rsidRPr="00A33CB5" w:rsidRDefault="00497EC8" w:rsidP="00497EC8">
            <w:pPr>
              <w:pStyle w:val="TableText0"/>
              <w:rPr>
                <w:rFonts w:eastAsia="Times New Roman" w:cs="Arial"/>
                <w:bCs w:val="0"/>
                <w:snapToGrid w:val="0"/>
                <w:szCs w:val="20"/>
              </w:rPr>
            </w:pPr>
            <w:r w:rsidRPr="00A33CB5">
              <w:rPr>
                <w:bCs w:val="0"/>
              </w:rPr>
              <w:t>Tofacitinib is noninferior to adalimumab in terms of efficacy and safety.</w:t>
            </w:r>
          </w:p>
        </w:tc>
      </w:tr>
    </w:tbl>
    <w:p w14:paraId="7C4190A3" w14:textId="77777777" w:rsidR="00A33CB5" w:rsidRPr="00A40CCE" w:rsidRDefault="00A33CB5" w:rsidP="00A33CB5">
      <w:pPr>
        <w:widowControl w:val="0"/>
        <w:contextualSpacing/>
        <w:rPr>
          <w:rFonts w:ascii="Arial Narrow" w:hAnsi="Arial Narrow"/>
          <w:snapToGrid w:val="0"/>
          <w:sz w:val="18"/>
          <w:szCs w:val="22"/>
        </w:rPr>
      </w:pPr>
      <w:r w:rsidRPr="00A40CCE">
        <w:rPr>
          <w:rFonts w:ascii="Arial Narrow" w:hAnsi="Arial Narrow"/>
          <w:snapToGrid w:val="0"/>
          <w:sz w:val="18"/>
          <w:szCs w:val="22"/>
        </w:rPr>
        <w:t>Source: Table 1-1, p2 of the submission.</w:t>
      </w:r>
    </w:p>
    <w:p w14:paraId="7A56B41F" w14:textId="1FE1B8D0" w:rsidR="00A33CB5" w:rsidRDefault="00A33CB5" w:rsidP="00A33CB5">
      <w:pPr>
        <w:widowControl w:val="0"/>
        <w:spacing w:after="120"/>
        <w:contextualSpacing/>
        <w:rPr>
          <w:rFonts w:ascii="Arial Narrow" w:hAnsi="Arial Narrow"/>
          <w:snapToGrid w:val="0"/>
          <w:sz w:val="18"/>
          <w:szCs w:val="22"/>
        </w:rPr>
      </w:pPr>
      <w:r w:rsidRPr="00A40CCE">
        <w:rPr>
          <w:rFonts w:ascii="Arial Narrow" w:hAnsi="Arial Narrow"/>
          <w:snapToGrid w:val="0"/>
          <w:sz w:val="18"/>
          <w:szCs w:val="22"/>
        </w:rPr>
        <w:t>JIA=</w:t>
      </w:r>
      <w:r w:rsidRPr="005962C1">
        <w:rPr>
          <w:rFonts w:ascii="Arial Narrow" w:hAnsi="Arial Narrow"/>
          <w:snapToGrid w:val="0"/>
          <w:sz w:val="18"/>
          <w:szCs w:val="22"/>
        </w:rPr>
        <w:t xml:space="preserve">juvenile idiopathic arthritis; cDMARD=conventional disease modifying anti-rheumatic drugs; JIA=Juvenile Idiopathic Arthritis; </w:t>
      </w:r>
      <w:r w:rsidRPr="00040F65">
        <w:rPr>
          <w:rFonts w:ascii="Arial Narrow" w:hAnsi="Arial Narrow"/>
          <w:snapToGrid w:val="0"/>
          <w:sz w:val="18"/>
          <w:szCs w:val="22"/>
        </w:rPr>
        <w:t>PedACR=Paediatric American College of Rheumatology</w:t>
      </w:r>
      <w:r>
        <w:rPr>
          <w:rFonts w:ascii="Arial Narrow" w:hAnsi="Arial Narrow"/>
          <w:snapToGrid w:val="0"/>
          <w:sz w:val="18"/>
          <w:szCs w:val="22"/>
        </w:rPr>
        <w:t>.</w:t>
      </w:r>
    </w:p>
    <w:p w14:paraId="6B4AB6C2" w14:textId="7F01D731" w:rsidR="005C25FF" w:rsidRPr="00407F2D" w:rsidRDefault="005C25FF" w:rsidP="004A6040">
      <w:pPr>
        <w:pStyle w:val="2-SectionHeading"/>
      </w:pPr>
      <w:bookmarkStart w:id="3" w:name="_Toc121477769"/>
      <w:r w:rsidRPr="00407F2D">
        <w:t>Background</w:t>
      </w:r>
      <w:bookmarkEnd w:id="3"/>
    </w:p>
    <w:p w14:paraId="2C521D6D" w14:textId="78CF03EE" w:rsidR="005C25FF" w:rsidRPr="00F00DB9" w:rsidRDefault="005C25FF" w:rsidP="004A6040">
      <w:pPr>
        <w:pStyle w:val="4-SubsectionHeading"/>
        <w:rPr>
          <w:i w:val="0"/>
        </w:rPr>
      </w:pPr>
      <w:bookmarkStart w:id="4" w:name="_Toc22897638"/>
      <w:bookmarkStart w:id="5" w:name="_Toc121477770"/>
      <w:r w:rsidRPr="00F00DB9">
        <w:rPr>
          <w:i w:val="0"/>
        </w:rPr>
        <w:t>Registration status</w:t>
      </w:r>
      <w:bookmarkEnd w:id="4"/>
      <w:bookmarkEnd w:id="5"/>
    </w:p>
    <w:p w14:paraId="7633F76E" w14:textId="1E177524" w:rsidR="00B47781" w:rsidRDefault="00B47781" w:rsidP="00B0409F">
      <w:pPr>
        <w:pStyle w:val="3-BodyText"/>
      </w:pPr>
      <w:r w:rsidRPr="00F00DB9">
        <w:rPr>
          <w:iCs/>
        </w:rPr>
        <w:t>TOF oral liquid solution</w:t>
      </w:r>
      <w:r w:rsidR="006971FF">
        <w:rPr>
          <w:iCs/>
        </w:rPr>
        <w:t xml:space="preserve"> and oral tablets</w:t>
      </w:r>
      <w:r w:rsidRPr="00F00DB9">
        <w:rPr>
          <w:iCs/>
        </w:rPr>
        <w:t xml:space="preserve"> </w:t>
      </w:r>
      <w:r w:rsidR="006971FF">
        <w:rPr>
          <w:iCs/>
        </w:rPr>
        <w:t>were</w:t>
      </w:r>
      <w:r w:rsidRPr="00F00DB9">
        <w:rPr>
          <w:iCs/>
        </w:rPr>
        <w:t xml:space="preserve"> registered in the Australian Register of Therapeutic Goods on 25 January 2023</w:t>
      </w:r>
      <w:r w:rsidR="006971FF">
        <w:rPr>
          <w:iCs/>
        </w:rPr>
        <w:t xml:space="preserve"> for the JIA indication</w:t>
      </w:r>
      <w:r w:rsidRPr="00F00DB9">
        <w:rPr>
          <w:iCs/>
        </w:rPr>
        <w:t>.</w:t>
      </w:r>
      <w:r>
        <w:t xml:space="preserve"> </w:t>
      </w:r>
    </w:p>
    <w:p w14:paraId="487C1C39" w14:textId="77777777" w:rsidR="00B47781" w:rsidRPr="00F00DB9" w:rsidRDefault="00C810F6" w:rsidP="00B0409F">
      <w:pPr>
        <w:pStyle w:val="3-BodyText"/>
        <w:rPr>
          <w:iCs/>
        </w:rPr>
      </w:pPr>
      <w:r w:rsidRPr="00F00DB9">
        <w:rPr>
          <w:iCs/>
        </w:rPr>
        <w:t xml:space="preserve">The TGA indication for JIA </w:t>
      </w:r>
      <w:r w:rsidR="00B47781" w:rsidRPr="00F00DB9">
        <w:rPr>
          <w:iCs/>
        </w:rPr>
        <w:t>is</w:t>
      </w:r>
      <w:r w:rsidRPr="00F00DB9">
        <w:rPr>
          <w:iCs/>
        </w:rPr>
        <w:t xml:space="preserve"> </w:t>
      </w:r>
      <w:r w:rsidR="002541F1" w:rsidRPr="00F00DB9">
        <w:rPr>
          <w:iCs/>
        </w:rPr>
        <w:t>‘</w:t>
      </w:r>
      <w:r w:rsidR="00B47781" w:rsidRPr="00F00DB9">
        <w:rPr>
          <w:iCs/>
        </w:rPr>
        <w:t>XELJANZ is indicated for the treatment of active polyarticular course juvenile idiopathic arthritis (rheumatoid factor positive [RF+] or negative [RF-] polyarthritis, extended oligoarthritis and systemic juvenile arthritis without systemic features for six months) and juvenile psoriatic arthritis in patients 2 years of age and older, who have responded inadequately to previous therapy with DMARDs</w:t>
      </w:r>
      <w:r w:rsidRPr="00F00DB9">
        <w:rPr>
          <w:iCs/>
        </w:rPr>
        <w:t>.</w:t>
      </w:r>
      <w:r w:rsidR="002541F1" w:rsidRPr="00F00DB9">
        <w:rPr>
          <w:iCs/>
        </w:rPr>
        <w:t>’</w:t>
      </w:r>
      <w:r w:rsidR="004465FE" w:rsidRPr="00F00DB9">
        <w:rPr>
          <w:iCs/>
        </w:rPr>
        <w:t xml:space="preserve"> </w:t>
      </w:r>
    </w:p>
    <w:p w14:paraId="7ECC86B8" w14:textId="3F63C0F5" w:rsidR="005F3C97" w:rsidRPr="00810FE1" w:rsidRDefault="005F3C97" w:rsidP="003D55B1">
      <w:pPr>
        <w:pStyle w:val="3-BodyText"/>
        <w:rPr>
          <w:rFonts w:ascii="Calibri" w:hAnsi="Calibri"/>
        </w:rPr>
      </w:pPr>
      <w:r>
        <w:t>If listed, TOF would become the first Janus kinase (JAK) inhibitor and first oral treatment option available on the PBS for patients with severe active JIA. Current PBS-</w:t>
      </w:r>
      <w:r>
        <w:lastRenderedPageBreak/>
        <w:t>listed treatment options include three biological or targeted synthetic disease modifying anti-rheumatic drugs (bDMARDs/tsDMARDs): etanercept (ETN), adalimumab (ADA) and tocilizumab (TOC). The sponsor requested l</w:t>
      </w:r>
      <w:r w:rsidRPr="005750C5">
        <w:t xml:space="preserve">isting </w:t>
      </w:r>
      <w:r>
        <w:t xml:space="preserve">of TOF </w:t>
      </w:r>
      <w:r w:rsidRPr="005750C5">
        <w:t>on a cost-minimisation</w:t>
      </w:r>
      <w:r>
        <w:t xml:space="preserve"> basis </w:t>
      </w:r>
      <w:r w:rsidRPr="005750C5">
        <w:t>versus</w:t>
      </w:r>
      <w:r>
        <w:t xml:space="preserve"> ADA.</w:t>
      </w:r>
    </w:p>
    <w:p w14:paraId="6C9F4263" w14:textId="7F0B1A00" w:rsidR="00810FE1" w:rsidRPr="007C309F" w:rsidRDefault="00810FE1" w:rsidP="007C309F">
      <w:pPr>
        <w:ind w:firstLine="709"/>
        <w:rPr>
          <w:rFonts w:asciiTheme="minorHAnsi" w:hAnsiTheme="minorHAnsi"/>
          <w:i/>
        </w:rPr>
      </w:pPr>
      <w:bookmarkStart w:id="6" w:name="_Hlk76375324"/>
      <w:r w:rsidRPr="00C33D30">
        <w:rPr>
          <w:rFonts w:asciiTheme="minorHAnsi" w:hAnsiTheme="minorHAnsi"/>
          <w:i/>
        </w:rPr>
        <w:t>For more detail on PBAC’s view, see section 7 PBAC outcome.</w:t>
      </w:r>
      <w:bookmarkEnd w:id="6"/>
    </w:p>
    <w:p w14:paraId="76E4EF3C" w14:textId="2709F9C6" w:rsidR="00B60939" w:rsidRDefault="00B50DB8" w:rsidP="004E18E9">
      <w:pPr>
        <w:pStyle w:val="2-SectionHeading"/>
      </w:pPr>
      <w:bookmarkStart w:id="7" w:name="_Toc107902078"/>
      <w:bookmarkStart w:id="8" w:name="_Toc121477771"/>
      <w:bookmarkEnd w:id="7"/>
      <w:r w:rsidRPr="00407F2D">
        <w:t>Requested listing</w:t>
      </w:r>
      <w:bookmarkEnd w:id="8"/>
    </w:p>
    <w:p w14:paraId="0AACA399" w14:textId="1900995F" w:rsidR="00BF4113" w:rsidRPr="00BF4113" w:rsidRDefault="00BF4113" w:rsidP="00B20A33">
      <w:pPr>
        <w:pStyle w:val="3-BodyText"/>
      </w:pPr>
      <w:r>
        <w:t>Suggestions and additions proposed by the Secretariat are added in italics and suggested deletions are crossed out with strikethrough.</w:t>
      </w:r>
    </w:p>
    <w:p w14:paraId="4BFC5698" w14:textId="410A8A52" w:rsidR="00FE707D" w:rsidRPr="00FE707D" w:rsidRDefault="009F1CEB" w:rsidP="00C27CD2">
      <w:pPr>
        <w:pStyle w:val="3-BodyText"/>
      </w:pPr>
      <w:r>
        <w:rPr>
          <w:iCs/>
        </w:rPr>
        <w:t>A</w:t>
      </w:r>
      <w:r w:rsidR="00FE707D" w:rsidRPr="009F1CEB">
        <w:rPr>
          <w:iCs/>
        </w:rPr>
        <w:t xml:space="preserve">n </w:t>
      </w:r>
      <w:r w:rsidR="00FE707D" w:rsidRPr="009F1CEB">
        <w:rPr>
          <w:rFonts w:eastAsiaTheme="minorEastAsia"/>
          <w:iCs/>
          <w:szCs w:val="22"/>
          <w:lang w:eastAsia="en-US"/>
        </w:rPr>
        <w:t xml:space="preserve">abbreviated version of the requested </w:t>
      </w:r>
      <w:r w:rsidR="00C27CD2">
        <w:rPr>
          <w:rFonts w:eastAsiaTheme="minorEastAsia"/>
          <w:iCs/>
          <w:szCs w:val="22"/>
          <w:lang w:eastAsia="en-US"/>
        </w:rPr>
        <w:t>restrictions</w:t>
      </w:r>
      <w:r w:rsidR="00FE707D" w:rsidRPr="009F1CEB">
        <w:rPr>
          <w:rFonts w:eastAsiaTheme="minorEastAsia"/>
          <w:iCs/>
          <w:szCs w:val="22"/>
          <w:lang w:eastAsia="en-US"/>
        </w:rPr>
        <w:t xml:space="preserve"> </w:t>
      </w:r>
      <w:r w:rsidR="00C27CD2">
        <w:rPr>
          <w:rFonts w:eastAsiaTheme="minorEastAsia"/>
          <w:iCs/>
          <w:szCs w:val="22"/>
          <w:lang w:eastAsia="en-US"/>
        </w:rPr>
        <w:t xml:space="preserve">for initial and continuing treatment </w:t>
      </w:r>
      <w:r>
        <w:rPr>
          <w:rFonts w:eastAsiaTheme="minorEastAsia"/>
          <w:iCs/>
          <w:szCs w:val="22"/>
          <w:lang w:eastAsia="en-US"/>
        </w:rPr>
        <w:t>is</w:t>
      </w:r>
      <w:r w:rsidR="00FE707D" w:rsidRPr="009F1CEB">
        <w:rPr>
          <w:rFonts w:eastAsiaTheme="minorEastAsia"/>
          <w:iCs/>
          <w:szCs w:val="22"/>
          <w:lang w:eastAsia="en-US"/>
        </w:rPr>
        <w:t xml:space="preserve"> presented </w:t>
      </w:r>
      <w:r>
        <w:rPr>
          <w:rFonts w:eastAsiaTheme="minorEastAsia"/>
          <w:iCs/>
          <w:szCs w:val="22"/>
          <w:lang w:eastAsia="en-US"/>
        </w:rPr>
        <w:t>below</w:t>
      </w:r>
      <w:r w:rsidR="00376267">
        <w:rPr>
          <w:rFonts w:eastAsiaTheme="minorEastAsia"/>
          <w:iCs/>
          <w:szCs w:val="22"/>
          <w:lang w:eastAsia="en-US"/>
        </w:rPr>
        <w:t>.</w:t>
      </w:r>
    </w:p>
    <w:tbl>
      <w:tblPr>
        <w:tblW w:w="5000"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681"/>
        <w:gridCol w:w="872"/>
        <w:gridCol w:w="991"/>
        <w:gridCol w:w="991"/>
        <w:gridCol w:w="850"/>
        <w:gridCol w:w="1867"/>
        <w:gridCol w:w="1775"/>
      </w:tblGrid>
      <w:tr w:rsidR="00ED06EC" w:rsidRPr="00A40CCE" w14:paraId="67C796E1" w14:textId="77777777" w:rsidTr="00FE707D">
        <w:trPr>
          <w:trHeight w:val="206"/>
        </w:trPr>
        <w:tc>
          <w:tcPr>
            <w:tcW w:w="1414" w:type="pct"/>
            <w:gridSpan w:val="2"/>
            <w:tcBorders>
              <w:bottom w:val="single" w:sz="4" w:space="0" w:color="auto"/>
            </w:tcBorders>
            <w:vAlign w:val="center"/>
          </w:tcPr>
          <w:p w14:paraId="17DA77DA" w14:textId="77777777" w:rsidR="0004696F" w:rsidRPr="00A40CCE" w:rsidRDefault="0004696F" w:rsidP="003624C8">
            <w:pPr>
              <w:keepNext/>
              <w:keepLines/>
              <w:widowControl w:val="0"/>
              <w:jc w:val="left"/>
              <w:rPr>
                <w:rFonts w:ascii="Arial Narrow" w:hAnsi="Arial Narrow" w:cs="Times New Roman"/>
                <w:b/>
                <w:bCs/>
                <w:snapToGrid w:val="0"/>
                <w:sz w:val="20"/>
              </w:rPr>
            </w:pPr>
            <w:bookmarkStart w:id="9" w:name="_Hlk104809082"/>
            <w:r w:rsidRPr="00A40CCE">
              <w:rPr>
                <w:rFonts w:ascii="Arial Narrow" w:hAnsi="Arial Narrow" w:cs="Times New Roman"/>
                <w:b/>
                <w:snapToGrid w:val="0"/>
                <w:sz w:val="20"/>
              </w:rPr>
              <w:t>Name, restriction, manner of administration, form</w:t>
            </w:r>
          </w:p>
        </w:tc>
        <w:tc>
          <w:tcPr>
            <w:tcW w:w="549" w:type="pct"/>
            <w:tcBorders>
              <w:bottom w:val="single" w:sz="4" w:space="0" w:color="auto"/>
            </w:tcBorders>
            <w:vAlign w:val="center"/>
          </w:tcPr>
          <w:p w14:paraId="3334AB81" w14:textId="3026D197" w:rsidR="0004696F" w:rsidRPr="00A40CCE" w:rsidRDefault="0004696F" w:rsidP="003624C8">
            <w:pPr>
              <w:keepNext/>
              <w:keepLines/>
              <w:widowControl w:val="0"/>
              <w:jc w:val="center"/>
              <w:rPr>
                <w:rFonts w:ascii="Arial Narrow" w:hAnsi="Arial Narrow" w:cs="Times New Roman"/>
                <w:b/>
                <w:snapToGrid w:val="0"/>
                <w:sz w:val="20"/>
              </w:rPr>
            </w:pPr>
            <w:r w:rsidRPr="00A40CCE">
              <w:rPr>
                <w:rFonts w:ascii="Arial Narrow" w:hAnsi="Arial Narrow" w:cs="Times New Roman"/>
                <w:b/>
                <w:snapToGrid w:val="0"/>
                <w:sz w:val="20"/>
              </w:rPr>
              <w:t>Maximum quantity</w:t>
            </w:r>
          </w:p>
          <w:p w14:paraId="06A44E61" w14:textId="77777777" w:rsidR="0004696F" w:rsidRPr="00A40CCE" w:rsidRDefault="0004696F" w:rsidP="003624C8">
            <w:pPr>
              <w:keepNext/>
              <w:keepLines/>
              <w:widowControl w:val="0"/>
              <w:jc w:val="center"/>
              <w:rPr>
                <w:rFonts w:ascii="Arial Narrow" w:hAnsi="Arial Narrow" w:cs="Times New Roman"/>
                <w:b/>
                <w:bCs/>
                <w:snapToGrid w:val="0"/>
                <w:sz w:val="20"/>
              </w:rPr>
            </w:pPr>
            <w:r w:rsidRPr="00A40CCE">
              <w:rPr>
                <w:rFonts w:ascii="Arial Narrow" w:hAnsi="Arial Narrow" w:cs="Times New Roman"/>
                <w:b/>
                <w:snapToGrid w:val="0"/>
                <w:sz w:val="20"/>
              </w:rPr>
              <w:t>(packs)</w:t>
            </w:r>
          </w:p>
        </w:tc>
        <w:tc>
          <w:tcPr>
            <w:tcW w:w="549" w:type="pct"/>
            <w:tcBorders>
              <w:bottom w:val="single" w:sz="4" w:space="0" w:color="auto"/>
            </w:tcBorders>
            <w:vAlign w:val="center"/>
          </w:tcPr>
          <w:p w14:paraId="685FA2E5" w14:textId="77777777" w:rsidR="0004696F" w:rsidRPr="00A40CCE" w:rsidRDefault="0004696F" w:rsidP="003624C8">
            <w:pPr>
              <w:keepNext/>
              <w:keepLines/>
              <w:widowControl w:val="0"/>
              <w:jc w:val="center"/>
              <w:rPr>
                <w:rFonts w:ascii="Arial Narrow" w:hAnsi="Arial Narrow" w:cs="Times New Roman"/>
                <w:b/>
                <w:bCs/>
                <w:snapToGrid w:val="0"/>
                <w:sz w:val="20"/>
              </w:rPr>
            </w:pPr>
            <w:r w:rsidRPr="00A40CCE">
              <w:rPr>
                <w:rFonts w:ascii="Arial Narrow" w:hAnsi="Arial Narrow" w:cs="Times New Roman"/>
                <w:b/>
                <w:snapToGrid w:val="0"/>
                <w:sz w:val="20"/>
              </w:rPr>
              <w:t>Maximum quantity (units)</w:t>
            </w:r>
          </w:p>
        </w:tc>
        <w:tc>
          <w:tcPr>
            <w:tcW w:w="471" w:type="pct"/>
            <w:tcBorders>
              <w:bottom w:val="single" w:sz="4" w:space="0" w:color="auto"/>
            </w:tcBorders>
            <w:vAlign w:val="center"/>
          </w:tcPr>
          <w:p w14:paraId="37F92C38" w14:textId="77777777" w:rsidR="0004696F" w:rsidRPr="00A40CCE" w:rsidRDefault="0004696F" w:rsidP="003624C8">
            <w:pPr>
              <w:keepNext/>
              <w:keepLines/>
              <w:widowControl w:val="0"/>
              <w:jc w:val="center"/>
              <w:rPr>
                <w:rFonts w:ascii="Arial Narrow" w:hAnsi="Arial Narrow" w:cs="Times New Roman"/>
                <w:b/>
                <w:bCs/>
                <w:snapToGrid w:val="0"/>
                <w:sz w:val="20"/>
              </w:rPr>
            </w:pPr>
            <w:r w:rsidRPr="00A40CCE">
              <w:rPr>
                <w:rFonts w:ascii="Arial Narrow" w:hAnsi="Arial Narrow" w:cs="Times New Roman"/>
                <w:b/>
                <w:snapToGrid w:val="0"/>
                <w:sz w:val="20"/>
              </w:rPr>
              <w:t>No. of repeats</w:t>
            </w:r>
          </w:p>
        </w:tc>
        <w:tc>
          <w:tcPr>
            <w:tcW w:w="1034" w:type="pct"/>
            <w:tcBorders>
              <w:bottom w:val="single" w:sz="4" w:space="0" w:color="auto"/>
            </w:tcBorders>
            <w:vAlign w:val="center"/>
          </w:tcPr>
          <w:p w14:paraId="733FA036" w14:textId="254FCB65" w:rsidR="0004696F" w:rsidRPr="00A40CCE" w:rsidRDefault="00ED06EC" w:rsidP="003624C8">
            <w:pPr>
              <w:keepNext/>
              <w:keepLines/>
              <w:widowControl w:val="0"/>
              <w:jc w:val="center"/>
              <w:rPr>
                <w:rFonts w:ascii="Arial Narrow" w:hAnsi="Arial Narrow" w:cs="Times New Roman"/>
                <w:b/>
                <w:snapToGrid w:val="0"/>
                <w:sz w:val="20"/>
              </w:rPr>
            </w:pPr>
            <w:r>
              <w:rPr>
                <w:rFonts w:ascii="Arial Narrow" w:hAnsi="Arial Narrow" w:cs="Times New Roman"/>
                <w:b/>
                <w:snapToGrid w:val="0"/>
                <w:sz w:val="20"/>
              </w:rPr>
              <w:t>Dispensed p</w:t>
            </w:r>
            <w:r w:rsidR="0004696F" w:rsidRPr="0004696F">
              <w:rPr>
                <w:rFonts w:ascii="Arial Narrow" w:hAnsi="Arial Narrow" w:cs="Times New Roman"/>
                <w:b/>
                <w:snapToGrid w:val="0"/>
                <w:sz w:val="20"/>
              </w:rPr>
              <w:t>rice for Max. Qty</w:t>
            </w:r>
          </w:p>
        </w:tc>
        <w:tc>
          <w:tcPr>
            <w:tcW w:w="983" w:type="pct"/>
            <w:tcBorders>
              <w:bottom w:val="single" w:sz="4" w:space="0" w:color="auto"/>
            </w:tcBorders>
            <w:vAlign w:val="center"/>
          </w:tcPr>
          <w:p w14:paraId="6AF22D7A" w14:textId="77777777" w:rsidR="0004696F" w:rsidRPr="00A40CCE" w:rsidRDefault="0004696F" w:rsidP="003624C8">
            <w:pPr>
              <w:keepNext/>
              <w:keepLines/>
              <w:widowControl w:val="0"/>
              <w:jc w:val="center"/>
              <w:rPr>
                <w:rFonts w:ascii="Arial Narrow" w:hAnsi="Arial Narrow" w:cs="Times New Roman"/>
                <w:b/>
                <w:bCs/>
                <w:snapToGrid w:val="0"/>
                <w:sz w:val="20"/>
              </w:rPr>
            </w:pPr>
            <w:r w:rsidRPr="00A40CCE">
              <w:rPr>
                <w:rFonts w:ascii="Arial Narrow" w:hAnsi="Arial Narrow" w:cs="Times New Roman"/>
                <w:b/>
                <w:snapToGrid w:val="0"/>
                <w:sz w:val="20"/>
              </w:rPr>
              <w:t>Proprietary name and manufacturer</w:t>
            </w:r>
          </w:p>
        </w:tc>
      </w:tr>
      <w:tr w:rsidR="00ED06EC" w:rsidRPr="00A40CCE" w14:paraId="114DDB1C" w14:textId="77777777" w:rsidTr="00FE707D">
        <w:trPr>
          <w:trHeight w:val="206"/>
        </w:trPr>
        <w:tc>
          <w:tcPr>
            <w:tcW w:w="1414" w:type="pct"/>
            <w:gridSpan w:val="2"/>
            <w:tcBorders>
              <w:bottom w:val="nil"/>
            </w:tcBorders>
          </w:tcPr>
          <w:p w14:paraId="35600380" w14:textId="696F79DB" w:rsidR="0004696F" w:rsidRPr="0004696F" w:rsidRDefault="0004696F" w:rsidP="003624C8">
            <w:pPr>
              <w:keepNext/>
              <w:keepLines/>
              <w:widowControl w:val="0"/>
              <w:jc w:val="left"/>
              <w:rPr>
                <w:rFonts w:ascii="Arial Narrow" w:eastAsiaTheme="majorEastAsia" w:hAnsi="Arial Narrow" w:cstheme="majorBidi"/>
                <w:smallCaps/>
                <w:sz w:val="20"/>
                <w:szCs w:val="22"/>
                <w:lang w:eastAsia="en-US" w:bidi="en-US"/>
              </w:rPr>
            </w:pPr>
            <w:r w:rsidRPr="0004696F">
              <w:rPr>
                <w:rFonts w:ascii="Arial Narrow" w:eastAsiaTheme="majorEastAsia" w:hAnsi="Arial Narrow" w:cstheme="majorBidi"/>
                <w:smallCaps/>
                <w:sz w:val="20"/>
                <w:szCs w:val="22"/>
                <w:lang w:eastAsia="en-US" w:bidi="en-US"/>
              </w:rPr>
              <w:t>Tofacitinib</w:t>
            </w:r>
          </w:p>
        </w:tc>
        <w:tc>
          <w:tcPr>
            <w:tcW w:w="549" w:type="pct"/>
            <w:tcBorders>
              <w:bottom w:val="nil"/>
            </w:tcBorders>
            <w:vAlign w:val="center"/>
          </w:tcPr>
          <w:p w14:paraId="3F7309AF" w14:textId="77777777" w:rsidR="0004696F" w:rsidRPr="00A40CCE" w:rsidRDefault="0004696F" w:rsidP="003624C8">
            <w:pPr>
              <w:keepNext/>
              <w:keepLines/>
              <w:widowControl w:val="0"/>
              <w:jc w:val="center"/>
              <w:rPr>
                <w:rFonts w:ascii="Arial Narrow" w:hAnsi="Arial Narrow" w:cs="Times New Roman"/>
                <w:snapToGrid w:val="0"/>
                <w:sz w:val="20"/>
              </w:rPr>
            </w:pPr>
          </w:p>
        </w:tc>
        <w:tc>
          <w:tcPr>
            <w:tcW w:w="549" w:type="pct"/>
            <w:tcBorders>
              <w:bottom w:val="nil"/>
            </w:tcBorders>
            <w:vAlign w:val="center"/>
          </w:tcPr>
          <w:p w14:paraId="3B4763A7" w14:textId="77777777" w:rsidR="0004696F" w:rsidRPr="00A40CCE" w:rsidRDefault="0004696F" w:rsidP="003624C8">
            <w:pPr>
              <w:keepNext/>
              <w:keepLines/>
              <w:widowControl w:val="0"/>
              <w:jc w:val="center"/>
              <w:rPr>
                <w:rFonts w:ascii="Arial Narrow" w:hAnsi="Arial Narrow" w:cs="Times New Roman"/>
                <w:snapToGrid w:val="0"/>
                <w:sz w:val="20"/>
              </w:rPr>
            </w:pPr>
          </w:p>
        </w:tc>
        <w:tc>
          <w:tcPr>
            <w:tcW w:w="471" w:type="pct"/>
            <w:tcBorders>
              <w:bottom w:val="nil"/>
            </w:tcBorders>
            <w:vAlign w:val="center"/>
          </w:tcPr>
          <w:p w14:paraId="3CC6D8C8" w14:textId="77777777" w:rsidR="0004696F" w:rsidRPr="00A40CCE" w:rsidRDefault="0004696F" w:rsidP="003624C8">
            <w:pPr>
              <w:keepNext/>
              <w:keepLines/>
              <w:widowControl w:val="0"/>
              <w:jc w:val="center"/>
              <w:rPr>
                <w:rFonts w:ascii="Arial Narrow" w:hAnsi="Arial Narrow" w:cs="Times New Roman"/>
                <w:snapToGrid w:val="0"/>
                <w:sz w:val="20"/>
              </w:rPr>
            </w:pPr>
          </w:p>
        </w:tc>
        <w:tc>
          <w:tcPr>
            <w:tcW w:w="1034" w:type="pct"/>
            <w:tcBorders>
              <w:bottom w:val="nil"/>
            </w:tcBorders>
            <w:vAlign w:val="center"/>
          </w:tcPr>
          <w:p w14:paraId="01B9C417" w14:textId="77777777" w:rsidR="0004696F" w:rsidRPr="00A40CCE" w:rsidRDefault="0004696F" w:rsidP="003624C8">
            <w:pPr>
              <w:keepNext/>
              <w:keepLines/>
              <w:widowControl w:val="0"/>
              <w:jc w:val="center"/>
              <w:rPr>
                <w:rFonts w:ascii="Arial Narrow" w:hAnsi="Arial Narrow" w:cs="Times New Roman"/>
                <w:snapToGrid w:val="0"/>
                <w:sz w:val="20"/>
              </w:rPr>
            </w:pPr>
          </w:p>
        </w:tc>
        <w:tc>
          <w:tcPr>
            <w:tcW w:w="983" w:type="pct"/>
            <w:tcBorders>
              <w:bottom w:val="nil"/>
            </w:tcBorders>
            <w:vAlign w:val="center"/>
          </w:tcPr>
          <w:p w14:paraId="4EA45496" w14:textId="77777777" w:rsidR="0004696F" w:rsidRPr="00A40CCE" w:rsidRDefault="0004696F" w:rsidP="003624C8">
            <w:pPr>
              <w:keepNext/>
              <w:keepLines/>
              <w:widowControl w:val="0"/>
              <w:jc w:val="center"/>
              <w:rPr>
                <w:rFonts w:ascii="Arial Narrow" w:hAnsi="Arial Narrow" w:cs="Times New Roman"/>
                <w:snapToGrid w:val="0"/>
                <w:sz w:val="20"/>
              </w:rPr>
            </w:pPr>
          </w:p>
        </w:tc>
      </w:tr>
      <w:tr w:rsidR="00ED06EC" w:rsidRPr="00A40CCE" w14:paraId="02333D66" w14:textId="77777777" w:rsidTr="00FE707D">
        <w:trPr>
          <w:trHeight w:val="206"/>
        </w:trPr>
        <w:tc>
          <w:tcPr>
            <w:tcW w:w="1414" w:type="pct"/>
            <w:gridSpan w:val="2"/>
            <w:tcBorders>
              <w:bottom w:val="nil"/>
            </w:tcBorders>
          </w:tcPr>
          <w:p w14:paraId="29C0707C" w14:textId="08261CFF" w:rsidR="0004696F" w:rsidRPr="0004696F" w:rsidRDefault="0004696F" w:rsidP="003624C8">
            <w:pPr>
              <w:keepNext/>
              <w:keepLines/>
              <w:widowControl w:val="0"/>
              <w:jc w:val="left"/>
              <w:rPr>
                <w:rFonts w:ascii="Arial Narrow" w:eastAsiaTheme="majorEastAsia" w:hAnsi="Arial Narrow" w:cstheme="majorBidi"/>
                <w:b/>
                <w:bCs/>
                <w:sz w:val="20"/>
                <w:szCs w:val="22"/>
                <w:lang w:eastAsia="en-US" w:bidi="en-US"/>
              </w:rPr>
            </w:pPr>
            <w:r w:rsidRPr="0004696F">
              <w:rPr>
                <w:rFonts w:ascii="Arial Narrow" w:eastAsiaTheme="majorEastAsia" w:hAnsi="Arial Narrow" w:cstheme="majorBidi"/>
                <w:b/>
                <w:bCs/>
                <w:sz w:val="20"/>
                <w:szCs w:val="22"/>
                <w:lang w:eastAsia="en-US" w:bidi="en-US"/>
              </w:rPr>
              <w:t>Initial 1, Initial 2 or Initial 3</w:t>
            </w:r>
          </w:p>
        </w:tc>
        <w:tc>
          <w:tcPr>
            <w:tcW w:w="549" w:type="pct"/>
            <w:tcBorders>
              <w:bottom w:val="nil"/>
            </w:tcBorders>
            <w:vAlign w:val="center"/>
          </w:tcPr>
          <w:p w14:paraId="56A80050" w14:textId="77777777" w:rsidR="0004696F" w:rsidRPr="00A40CCE" w:rsidRDefault="0004696F" w:rsidP="003624C8">
            <w:pPr>
              <w:keepNext/>
              <w:keepLines/>
              <w:widowControl w:val="0"/>
              <w:jc w:val="center"/>
              <w:rPr>
                <w:rFonts w:ascii="Arial Narrow" w:hAnsi="Arial Narrow" w:cs="Times New Roman"/>
                <w:snapToGrid w:val="0"/>
                <w:sz w:val="20"/>
              </w:rPr>
            </w:pPr>
          </w:p>
        </w:tc>
        <w:tc>
          <w:tcPr>
            <w:tcW w:w="549" w:type="pct"/>
            <w:tcBorders>
              <w:bottom w:val="nil"/>
            </w:tcBorders>
            <w:vAlign w:val="center"/>
          </w:tcPr>
          <w:p w14:paraId="0620F0E8" w14:textId="77777777" w:rsidR="0004696F" w:rsidRPr="00A40CCE" w:rsidRDefault="0004696F" w:rsidP="003624C8">
            <w:pPr>
              <w:keepNext/>
              <w:keepLines/>
              <w:widowControl w:val="0"/>
              <w:jc w:val="center"/>
              <w:rPr>
                <w:rFonts w:ascii="Arial Narrow" w:hAnsi="Arial Narrow" w:cs="Times New Roman"/>
                <w:snapToGrid w:val="0"/>
                <w:sz w:val="20"/>
              </w:rPr>
            </w:pPr>
          </w:p>
        </w:tc>
        <w:tc>
          <w:tcPr>
            <w:tcW w:w="471" w:type="pct"/>
            <w:tcBorders>
              <w:bottom w:val="nil"/>
            </w:tcBorders>
            <w:vAlign w:val="center"/>
          </w:tcPr>
          <w:p w14:paraId="38C6A0B7" w14:textId="77777777" w:rsidR="0004696F" w:rsidRPr="00A40CCE" w:rsidRDefault="0004696F" w:rsidP="003624C8">
            <w:pPr>
              <w:keepNext/>
              <w:keepLines/>
              <w:widowControl w:val="0"/>
              <w:jc w:val="center"/>
              <w:rPr>
                <w:rFonts w:ascii="Arial Narrow" w:hAnsi="Arial Narrow" w:cs="Times New Roman"/>
                <w:snapToGrid w:val="0"/>
                <w:sz w:val="20"/>
              </w:rPr>
            </w:pPr>
          </w:p>
        </w:tc>
        <w:tc>
          <w:tcPr>
            <w:tcW w:w="1034" w:type="pct"/>
            <w:tcBorders>
              <w:bottom w:val="nil"/>
            </w:tcBorders>
            <w:vAlign w:val="center"/>
          </w:tcPr>
          <w:p w14:paraId="098B9C7A" w14:textId="77777777" w:rsidR="0004696F" w:rsidRPr="00A40CCE" w:rsidRDefault="0004696F" w:rsidP="003624C8">
            <w:pPr>
              <w:keepNext/>
              <w:keepLines/>
              <w:widowControl w:val="0"/>
              <w:jc w:val="center"/>
              <w:rPr>
                <w:rFonts w:ascii="Arial Narrow" w:hAnsi="Arial Narrow" w:cs="Times New Roman"/>
                <w:snapToGrid w:val="0"/>
                <w:sz w:val="20"/>
              </w:rPr>
            </w:pPr>
          </w:p>
        </w:tc>
        <w:tc>
          <w:tcPr>
            <w:tcW w:w="983" w:type="pct"/>
            <w:tcBorders>
              <w:bottom w:val="nil"/>
            </w:tcBorders>
            <w:vAlign w:val="center"/>
          </w:tcPr>
          <w:p w14:paraId="4BFE9F54" w14:textId="77777777" w:rsidR="0004696F" w:rsidRPr="00A40CCE" w:rsidRDefault="0004696F" w:rsidP="003624C8">
            <w:pPr>
              <w:keepNext/>
              <w:keepLines/>
              <w:widowControl w:val="0"/>
              <w:jc w:val="center"/>
              <w:rPr>
                <w:rFonts w:ascii="Arial Narrow" w:hAnsi="Arial Narrow" w:cs="Times New Roman"/>
                <w:snapToGrid w:val="0"/>
                <w:sz w:val="20"/>
              </w:rPr>
            </w:pPr>
          </w:p>
        </w:tc>
      </w:tr>
      <w:tr w:rsidR="0004696F" w:rsidRPr="00A40CCE" w14:paraId="5D706EAD" w14:textId="77777777" w:rsidTr="00FE707D">
        <w:trPr>
          <w:trHeight w:val="57"/>
        </w:trPr>
        <w:tc>
          <w:tcPr>
            <w:tcW w:w="1414" w:type="pct"/>
            <w:gridSpan w:val="2"/>
            <w:tcBorders>
              <w:top w:val="nil"/>
              <w:bottom w:val="nil"/>
            </w:tcBorders>
            <w:vAlign w:val="center"/>
          </w:tcPr>
          <w:p w14:paraId="02C72A68" w14:textId="77777777" w:rsidR="0004696F" w:rsidRPr="00A40CCE" w:rsidRDefault="0004696F" w:rsidP="003624C8">
            <w:pPr>
              <w:keepNext/>
              <w:keepLines/>
              <w:widowControl w:val="0"/>
              <w:jc w:val="left"/>
              <w:rPr>
                <w:rFonts w:ascii="Arial Narrow" w:eastAsiaTheme="majorEastAsia" w:hAnsi="Arial Narrow" w:cstheme="majorBidi"/>
                <w:sz w:val="20"/>
                <w:szCs w:val="22"/>
                <w:lang w:eastAsia="en-US" w:bidi="en-US"/>
              </w:rPr>
            </w:pPr>
            <w:r w:rsidRPr="00A40CCE">
              <w:rPr>
                <w:rFonts w:ascii="Arial Narrow" w:eastAsiaTheme="majorEastAsia" w:hAnsi="Arial Narrow" w:cstheme="majorBidi"/>
                <w:sz w:val="20"/>
                <w:szCs w:val="22"/>
                <w:lang w:eastAsia="en-US" w:bidi="en-US"/>
              </w:rPr>
              <w:t>5mg tablet</w:t>
            </w:r>
          </w:p>
        </w:tc>
        <w:tc>
          <w:tcPr>
            <w:tcW w:w="549" w:type="pct"/>
            <w:tcBorders>
              <w:top w:val="nil"/>
              <w:bottom w:val="nil"/>
            </w:tcBorders>
            <w:vAlign w:val="center"/>
          </w:tcPr>
          <w:p w14:paraId="2DB27BAD" w14:textId="77777777" w:rsidR="0004696F" w:rsidRPr="00A40CCE" w:rsidRDefault="0004696F" w:rsidP="003624C8">
            <w:pPr>
              <w:keepNext/>
              <w:keepLines/>
              <w:widowControl w:val="0"/>
              <w:jc w:val="center"/>
              <w:rPr>
                <w:rFonts w:ascii="Arial Narrow" w:hAnsi="Arial Narrow" w:cs="Times New Roman"/>
                <w:snapToGrid w:val="0"/>
                <w:sz w:val="20"/>
              </w:rPr>
            </w:pPr>
            <w:r w:rsidRPr="00A40CCE">
              <w:rPr>
                <w:rFonts w:ascii="Arial Narrow" w:hAnsi="Arial Narrow" w:cs="Times New Roman"/>
                <w:snapToGrid w:val="0"/>
                <w:sz w:val="20"/>
              </w:rPr>
              <w:t>1</w:t>
            </w:r>
          </w:p>
        </w:tc>
        <w:tc>
          <w:tcPr>
            <w:tcW w:w="549" w:type="pct"/>
            <w:tcBorders>
              <w:top w:val="nil"/>
              <w:bottom w:val="nil"/>
            </w:tcBorders>
            <w:vAlign w:val="center"/>
          </w:tcPr>
          <w:p w14:paraId="333F668C" w14:textId="77777777" w:rsidR="0004696F" w:rsidRPr="00A40CCE" w:rsidRDefault="0004696F" w:rsidP="003624C8">
            <w:pPr>
              <w:keepNext/>
              <w:keepLines/>
              <w:widowControl w:val="0"/>
              <w:jc w:val="center"/>
              <w:rPr>
                <w:rFonts w:ascii="Arial Narrow" w:hAnsi="Arial Narrow" w:cs="Times New Roman"/>
                <w:snapToGrid w:val="0"/>
                <w:sz w:val="20"/>
              </w:rPr>
            </w:pPr>
            <w:r w:rsidRPr="00A40CCE">
              <w:rPr>
                <w:rFonts w:ascii="Arial Narrow" w:hAnsi="Arial Narrow" w:cs="Times New Roman"/>
                <w:snapToGrid w:val="0"/>
                <w:sz w:val="20"/>
              </w:rPr>
              <w:t>56</w:t>
            </w:r>
          </w:p>
        </w:tc>
        <w:tc>
          <w:tcPr>
            <w:tcW w:w="471" w:type="pct"/>
            <w:tcBorders>
              <w:top w:val="nil"/>
              <w:bottom w:val="nil"/>
            </w:tcBorders>
            <w:vAlign w:val="center"/>
          </w:tcPr>
          <w:p w14:paraId="224DDEBB" w14:textId="77777777" w:rsidR="0004696F" w:rsidRPr="00A40CCE" w:rsidRDefault="0004696F" w:rsidP="003624C8">
            <w:pPr>
              <w:keepNext/>
              <w:keepLines/>
              <w:widowControl w:val="0"/>
              <w:jc w:val="center"/>
              <w:rPr>
                <w:rFonts w:ascii="Arial Narrow" w:hAnsi="Arial Narrow" w:cs="Times New Roman"/>
                <w:snapToGrid w:val="0"/>
                <w:sz w:val="20"/>
              </w:rPr>
            </w:pPr>
            <w:r w:rsidRPr="00A40CCE">
              <w:rPr>
                <w:rFonts w:ascii="Arial Narrow" w:hAnsi="Arial Narrow" w:cs="Times New Roman"/>
                <w:snapToGrid w:val="0"/>
                <w:sz w:val="20"/>
              </w:rPr>
              <w:t>3</w:t>
            </w:r>
          </w:p>
        </w:tc>
        <w:tc>
          <w:tcPr>
            <w:tcW w:w="1034" w:type="pct"/>
            <w:vMerge w:val="restart"/>
            <w:tcBorders>
              <w:top w:val="nil"/>
            </w:tcBorders>
            <w:vAlign w:val="center"/>
          </w:tcPr>
          <w:p w14:paraId="63C4B119" w14:textId="77777777" w:rsidR="0004696F" w:rsidRDefault="0004696F" w:rsidP="003624C8">
            <w:pPr>
              <w:keepNext/>
              <w:keepLines/>
              <w:widowControl w:val="0"/>
              <w:jc w:val="center"/>
              <w:rPr>
                <w:rFonts w:ascii="Arial Narrow" w:eastAsiaTheme="majorEastAsia" w:hAnsi="Arial Narrow" w:cstheme="majorBidi"/>
                <w:sz w:val="20"/>
                <w:szCs w:val="22"/>
                <w:lang w:eastAsia="en-US" w:bidi="en-US"/>
              </w:rPr>
            </w:pPr>
            <w:r w:rsidRPr="00A40CCE">
              <w:rPr>
                <w:rFonts w:ascii="Arial Narrow" w:eastAsiaTheme="majorEastAsia" w:hAnsi="Arial Narrow" w:cstheme="majorBidi"/>
                <w:sz w:val="20"/>
                <w:szCs w:val="22"/>
                <w:lang w:eastAsia="en-US" w:bidi="en-US"/>
              </w:rPr>
              <w:t xml:space="preserve">$1211.08 </w:t>
            </w:r>
            <w:r>
              <w:rPr>
                <w:rFonts w:ascii="Arial Narrow" w:eastAsiaTheme="majorEastAsia" w:hAnsi="Arial Narrow" w:cstheme="majorBidi"/>
                <w:sz w:val="20"/>
                <w:szCs w:val="22"/>
                <w:lang w:eastAsia="en-US" w:bidi="en-US"/>
              </w:rPr>
              <w:t>published</w:t>
            </w:r>
          </w:p>
          <w:p w14:paraId="1352C637" w14:textId="67E86FBB" w:rsidR="0004696F" w:rsidRPr="0004696F" w:rsidRDefault="0004696F" w:rsidP="003624C8">
            <w:pPr>
              <w:keepNext/>
              <w:keepLines/>
              <w:widowControl w:val="0"/>
              <w:jc w:val="center"/>
              <w:rPr>
                <w:rFonts w:ascii="Arial Narrow" w:hAnsi="Arial Narrow" w:cs="Times New Roman"/>
                <w:snapToGrid w:val="0"/>
                <w:sz w:val="20"/>
              </w:rPr>
            </w:pPr>
            <w:r w:rsidRPr="00A40CCE">
              <w:rPr>
                <w:rFonts w:ascii="Arial Narrow" w:hAnsi="Arial Narrow"/>
                <w:sz w:val="20"/>
              </w:rPr>
              <w:t>$</w:t>
            </w:r>
            <w:r w:rsidR="00F46153" w:rsidRPr="00F46153">
              <w:rPr>
                <w:rFonts w:ascii="Arial Narrow" w:hAnsi="Arial Narrow"/>
                <w:color w:val="000000"/>
                <w:spacing w:val="57"/>
                <w:sz w:val="20"/>
                <w:shd w:val="solid" w:color="000000" w:fill="000000"/>
                <w:fitText w:val="342" w:id="-1236608000"/>
                <w14:textFill>
                  <w14:solidFill>
                    <w14:srgbClr w14:val="000000">
                      <w14:alpha w14:val="100000"/>
                    </w14:srgbClr>
                  </w14:solidFill>
                </w14:textFill>
              </w:rPr>
              <w:t>|||</w:t>
            </w:r>
            <w:r w:rsidR="00F46153" w:rsidRPr="00F46153">
              <w:rPr>
                <w:rFonts w:ascii="Arial Narrow" w:hAnsi="Arial Narrow"/>
                <w:color w:val="000000"/>
                <w:spacing w:val="1"/>
                <w:sz w:val="20"/>
                <w:shd w:val="solid" w:color="000000" w:fill="000000"/>
                <w:fitText w:val="342" w:id="-1236608000"/>
                <w14:textFill>
                  <w14:solidFill>
                    <w14:srgbClr w14:val="000000">
                      <w14:alpha w14:val="100000"/>
                    </w14:srgbClr>
                  </w14:solidFill>
                </w14:textFill>
              </w:rPr>
              <w:t>|</w:t>
            </w:r>
            <w:r w:rsidRPr="00A40CCE">
              <w:rPr>
                <w:rFonts w:ascii="Arial Narrow" w:hAnsi="Arial Narrow"/>
                <w:sz w:val="20"/>
              </w:rPr>
              <w:t xml:space="preserve"> </w:t>
            </w:r>
            <w:r>
              <w:rPr>
                <w:rFonts w:ascii="Arial Narrow" w:hAnsi="Arial Narrow"/>
                <w:sz w:val="20"/>
              </w:rPr>
              <w:t>effective</w:t>
            </w:r>
          </w:p>
        </w:tc>
        <w:tc>
          <w:tcPr>
            <w:tcW w:w="983" w:type="pct"/>
            <w:vMerge w:val="restart"/>
            <w:tcBorders>
              <w:top w:val="nil"/>
            </w:tcBorders>
          </w:tcPr>
          <w:p w14:paraId="698AE659" w14:textId="77777777" w:rsidR="0004696F" w:rsidRPr="0004696F" w:rsidRDefault="0004696F" w:rsidP="003624C8">
            <w:pPr>
              <w:keepNext/>
              <w:keepLines/>
              <w:widowControl w:val="0"/>
              <w:jc w:val="center"/>
              <w:rPr>
                <w:rFonts w:ascii="Arial Narrow" w:hAnsi="Arial Narrow" w:cs="Times New Roman"/>
                <w:snapToGrid w:val="0"/>
                <w:sz w:val="20"/>
              </w:rPr>
            </w:pPr>
            <w:r w:rsidRPr="0004696F">
              <w:rPr>
                <w:rFonts w:ascii="Arial Narrow" w:hAnsi="Arial Narrow" w:cs="Times New Roman"/>
                <w:snapToGrid w:val="0"/>
                <w:sz w:val="20"/>
              </w:rPr>
              <w:t>Xeljanz®</w:t>
            </w:r>
          </w:p>
          <w:p w14:paraId="10B3D148" w14:textId="77777777" w:rsidR="0004696F" w:rsidRPr="00A40CCE" w:rsidRDefault="0004696F" w:rsidP="003624C8">
            <w:pPr>
              <w:keepNext/>
              <w:keepLines/>
              <w:widowControl w:val="0"/>
              <w:jc w:val="center"/>
              <w:rPr>
                <w:rFonts w:ascii="Arial Narrow" w:hAnsi="Arial Narrow" w:cs="Times New Roman"/>
                <w:snapToGrid w:val="0"/>
                <w:sz w:val="20"/>
              </w:rPr>
            </w:pPr>
            <w:r w:rsidRPr="0004696F">
              <w:rPr>
                <w:rFonts w:ascii="Arial Narrow" w:hAnsi="Arial Narrow" w:cs="Times New Roman"/>
                <w:snapToGrid w:val="0"/>
                <w:sz w:val="20"/>
              </w:rPr>
              <w:t>Pfizer Australia Pty Ltd</w:t>
            </w:r>
          </w:p>
        </w:tc>
      </w:tr>
      <w:tr w:rsidR="0004696F" w:rsidRPr="00A40CCE" w14:paraId="5FA0FD63" w14:textId="77777777" w:rsidTr="00FE707D">
        <w:trPr>
          <w:trHeight w:val="47"/>
        </w:trPr>
        <w:tc>
          <w:tcPr>
            <w:tcW w:w="1414" w:type="pct"/>
            <w:gridSpan w:val="2"/>
            <w:tcBorders>
              <w:top w:val="nil"/>
              <w:bottom w:val="nil"/>
            </w:tcBorders>
            <w:vAlign w:val="center"/>
          </w:tcPr>
          <w:p w14:paraId="3D52D38A" w14:textId="385D15CA" w:rsidR="0004696F" w:rsidRPr="00A40CCE" w:rsidRDefault="0004696F" w:rsidP="003624C8">
            <w:pPr>
              <w:keepNext/>
              <w:keepLines/>
              <w:widowControl w:val="0"/>
              <w:jc w:val="left"/>
              <w:rPr>
                <w:rFonts w:ascii="Arial Narrow" w:eastAsiaTheme="majorEastAsia" w:hAnsi="Arial Narrow" w:cstheme="majorBidi"/>
                <w:sz w:val="20"/>
                <w:szCs w:val="22"/>
                <w:lang w:eastAsia="en-US" w:bidi="en-US"/>
              </w:rPr>
            </w:pPr>
            <w:r w:rsidRPr="00A40CCE">
              <w:rPr>
                <w:rFonts w:ascii="Arial Narrow" w:eastAsiaTheme="majorEastAsia" w:hAnsi="Arial Narrow" w:cstheme="majorBidi"/>
                <w:sz w:val="20"/>
                <w:szCs w:val="22"/>
                <w:lang w:eastAsia="en-US" w:bidi="en-US"/>
              </w:rPr>
              <w:t>1mg/</w:t>
            </w:r>
            <w:r w:rsidR="001C7680">
              <w:rPr>
                <w:rFonts w:ascii="Arial Narrow" w:eastAsiaTheme="majorEastAsia" w:hAnsi="Arial Narrow" w:cstheme="majorBidi"/>
                <w:sz w:val="20"/>
                <w:szCs w:val="22"/>
                <w:lang w:eastAsia="en-US" w:bidi="en-US"/>
              </w:rPr>
              <w:t>mL</w:t>
            </w:r>
            <w:r w:rsidRPr="00A40CCE">
              <w:rPr>
                <w:rFonts w:ascii="Arial Narrow" w:eastAsiaTheme="majorEastAsia" w:hAnsi="Arial Narrow" w:cstheme="majorBidi"/>
                <w:sz w:val="20"/>
                <w:szCs w:val="22"/>
                <w:lang w:eastAsia="en-US" w:bidi="en-US"/>
              </w:rPr>
              <w:t xml:space="preserve"> oral solution</w:t>
            </w:r>
          </w:p>
        </w:tc>
        <w:tc>
          <w:tcPr>
            <w:tcW w:w="549" w:type="pct"/>
            <w:tcBorders>
              <w:top w:val="nil"/>
              <w:bottom w:val="nil"/>
            </w:tcBorders>
            <w:vAlign w:val="center"/>
          </w:tcPr>
          <w:p w14:paraId="2D8A362B" w14:textId="77777777" w:rsidR="0004696F" w:rsidRPr="00A40CCE" w:rsidRDefault="0004696F" w:rsidP="003624C8">
            <w:pPr>
              <w:keepNext/>
              <w:keepLines/>
              <w:widowControl w:val="0"/>
              <w:jc w:val="center"/>
              <w:rPr>
                <w:rFonts w:ascii="Arial Narrow" w:hAnsi="Arial Narrow" w:cs="Times New Roman"/>
                <w:snapToGrid w:val="0"/>
                <w:sz w:val="20"/>
              </w:rPr>
            </w:pPr>
            <w:r w:rsidRPr="00A40CCE">
              <w:rPr>
                <w:rFonts w:ascii="Arial Narrow" w:hAnsi="Arial Narrow" w:cs="Times New Roman"/>
                <w:snapToGrid w:val="0"/>
                <w:sz w:val="20"/>
              </w:rPr>
              <w:t>1</w:t>
            </w:r>
          </w:p>
        </w:tc>
        <w:tc>
          <w:tcPr>
            <w:tcW w:w="549" w:type="pct"/>
            <w:tcBorders>
              <w:top w:val="nil"/>
              <w:bottom w:val="nil"/>
            </w:tcBorders>
            <w:vAlign w:val="center"/>
          </w:tcPr>
          <w:p w14:paraId="2A4CCBB7" w14:textId="795DE694" w:rsidR="0004696F" w:rsidRPr="00A40CCE" w:rsidRDefault="0004696F" w:rsidP="003624C8">
            <w:pPr>
              <w:keepNext/>
              <w:keepLines/>
              <w:widowControl w:val="0"/>
              <w:jc w:val="center"/>
              <w:rPr>
                <w:rFonts w:ascii="Arial Narrow" w:hAnsi="Arial Narrow" w:cs="Times New Roman"/>
                <w:snapToGrid w:val="0"/>
                <w:sz w:val="20"/>
              </w:rPr>
            </w:pPr>
            <w:r w:rsidRPr="00A40CCE">
              <w:rPr>
                <w:rFonts w:ascii="Arial Narrow" w:hAnsi="Arial Narrow" w:cs="Times New Roman"/>
                <w:snapToGrid w:val="0"/>
                <w:sz w:val="20"/>
              </w:rPr>
              <w:t>240</w:t>
            </w:r>
            <w:r w:rsidR="001C7680">
              <w:rPr>
                <w:rFonts w:ascii="Arial Narrow" w:hAnsi="Arial Narrow" w:cs="Times New Roman"/>
                <w:snapToGrid w:val="0"/>
                <w:sz w:val="20"/>
              </w:rPr>
              <w:t> mL</w:t>
            </w:r>
          </w:p>
        </w:tc>
        <w:tc>
          <w:tcPr>
            <w:tcW w:w="471" w:type="pct"/>
            <w:tcBorders>
              <w:top w:val="nil"/>
              <w:bottom w:val="nil"/>
            </w:tcBorders>
            <w:vAlign w:val="center"/>
          </w:tcPr>
          <w:p w14:paraId="5F2FF8E1" w14:textId="77777777" w:rsidR="0004696F" w:rsidRPr="00A40CCE" w:rsidRDefault="0004696F" w:rsidP="003624C8">
            <w:pPr>
              <w:keepNext/>
              <w:keepLines/>
              <w:widowControl w:val="0"/>
              <w:jc w:val="center"/>
              <w:rPr>
                <w:rFonts w:ascii="Arial Narrow" w:hAnsi="Arial Narrow" w:cs="Times New Roman"/>
                <w:snapToGrid w:val="0"/>
                <w:sz w:val="20"/>
              </w:rPr>
            </w:pPr>
            <w:r w:rsidRPr="00A40CCE">
              <w:rPr>
                <w:rFonts w:ascii="Arial Narrow" w:hAnsi="Arial Narrow" w:cs="Times New Roman"/>
                <w:snapToGrid w:val="0"/>
                <w:sz w:val="20"/>
              </w:rPr>
              <w:t>3</w:t>
            </w:r>
          </w:p>
        </w:tc>
        <w:tc>
          <w:tcPr>
            <w:tcW w:w="1034" w:type="pct"/>
            <w:vMerge/>
            <w:tcBorders>
              <w:bottom w:val="nil"/>
            </w:tcBorders>
            <w:vAlign w:val="center"/>
          </w:tcPr>
          <w:p w14:paraId="16FB9A69" w14:textId="77777777" w:rsidR="0004696F" w:rsidRPr="0004696F" w:rsidRDefault="0004696F" w:rsidP="003624C8">
            <w:pPr>
              <w:keepNext/>
              <w:keepLines/>
              <w:widowControl w:val="0"/>
              <w:jc w:val="center"/>
              <w:rPr>
                <w:rFonts w:ascii="Arial Narrow" w:hAnsi="Arial Narrow" w:cs="Times New Roman"/>
                <w:snapToGrid w:val="0"/>
                <w:sz w:val="20"/>
              </w:rPr>
            </w:pPr>
          </w:p>
        </w:tc>
        <w:tc>
          <w:tcPr>
            <w:tcW w:w="983" w:type="pct"/>
            <w:vMerge/>
            <w:tcBorders>
              <w:bottom w:val="nil"/>
            </w:tcBorders>
          </w:tcPr>
          <w:p w14:paraId="4D5F648B" w14:textId="77777777" w:rsidR="0004696F" w:rsidRPr="0004696F" w:rsidRDefault="0004696F" w:rsidP="003624C8">
            <w:pPr>
              <w:keepNext/>
              <w:keepLines/>
              <w:widowControl w:val="0"/>
              <w:jc w:val="center"/>
              <w:rPr>
                <w:rFonts w:ascii="Arial Narrow" w:hAnsi="Arial Narrow" w:cs="Times New Roman"/>
                <w:snapToGrid w:val="0"/>
                <w:sz w:val="20"/>
              </w:rPr>
            </w:pPr>
          </w:p>
        </w:tc>
      </w:tr>
      <w:tr w:rsidR="00FE707D" w:rsidRPr="00A40CCE" w14:paraId="3AA6D15E" w14:textId="77777777" w:rsidTr="00FE707D">
        <w:trPr>
          <w:trHeight w:val="206"/>
        </w:trPr>
        <w:tc>
          <w:tcPr>
            <w:tcW w:w="1414" w:type="pct"/>
            <w:gridSpan w:val="2"/>
            <w:tcBorders>
              <w:top w:val="nil"/>
              <w:bottom w:val="nil"/>
            </w:tcBorders>
          </w:tcPr>
          <w:p w14:paraId="47FB939D" w14:textId="6399C85B" w:rsidR="0004696F" w:rsidRPr="00ED06EC" w:rsidRDefault="00ED06EC" w:rsidP="00FE707D">
            <w:pPr>
              <w:widowControl w:val="0"/>
              <w:jc w:val="left"/>
              <w:rPr>
                <w:rFonts w:ascii="Arial Narrow" w:eastAsiaTheme="majorEastAsia" w:hAnsi="Arial Narrow" w:cstheme="majorBidi"/>
                <w:b/>
                <w:bCs/>
                <w:sz w:val="20"/>
                <w:szCs w:val="22"/>
                <w:lang w:eastAsia="en-US" w:bidi="en-US"/>
              </w:rPr>
            </w:pPr>
            <w:r>
              <w:rPr>
                <w:rFonts w:ascii="Arial Narrow" w:eastAsiaTheme="majorEastAsia" w:hAnsi="Arial Narrow" w:cstheme="majorBidi"/>
                <w:b/>
                <w:bCs/>
                <w:sz w:val="20"/>
                <w:szCs w:val="22"/>
                <w:lang w:eastAsia="en-US" w:bidi="en-US"/>
              </w:rPr>
              <w:t>Continuing treatment</w:t>
            </w:r>
          </w:p>
        </w:tc>
        <w:tc>
          <w:tcPr>
            <w:tcW w:w="549" w:type="pct"/>
            <w:tcBorders>
              <w:top w:val="nil"/>
              <w:bottom w:val="nil"/>
            </w:tcBorders>
            <w:vAlign w:val="center"/>
          </w:tcPr>
          <w:p w14:paraId="195AC9E6" w14:textId="77777777" w:rsidR="0004696F" w:rsidRPr="00A40CCE" w:rsidRDefault="0004696F" w:rsidP="00FE707D">
            <w:pPr>
              <w:widowControl w:val="0"/>
              <w:jc w:val="center"/>
              <w:rPr>
                <w:rFonts w:ascii="Arial Narrow" w:hAnsi="Arial Narrow" w:cs="Times New Roman"/>
                <w:snapToGrid w:val="0"/>
                <w:sz w:val="20"/>
              </w:rPr>
            </w:pPr>
          </w:p>
        </w:tc>
        <w:tc>
          <w:tcPr>
            <w:tcW w:w="549" w:type="pct"/>
            <w:tcBorders>
              <w:top w:val="nil"/>
              <w:bottom w:val="nil"/>
            </w:tcBorders>
            <w:vAlign w:val="center"/>
          </w:tcPr>
          <w:p w14:paraId="4B004A8E" w14:textId="77777777" w:rsidR="0004696F" w:rsidRPr="00A40CCE" w:rsidRDefault="0004696F" w:rsidP="00FE707D">
            <w:pPr>
              <w:widowControl w:val="0"/>
              <w:jc w:val="center"/>
              <w:rPr>
                <w:rFonts w:ascii="Arial Narrow" w:hAnsi="Arial Narrow" w:cs="Times New Roman"/>
                <w:snapToGrid w:val="0"/>
                <w:sz w:val="20"/>
              </w:rPr>
            </w:pPr>
          </w:p>
        </w:tc>
        <w:tc>
          <w:tcPr>
            <w:tcW w:w="471" w:type="pct"/>
            <w:tcBorders>
              <w:top w:val="nil"/>
              <w:bottom w:val="nil"/>
            </w:tcBorders>
            <w:vAlign w:val="center"/>
          </w:tcPr>
          <w:p w14:paraId="653906CB" w14:textId="77777777" w:rsidR="0004696F" w:rsidRPr="00A40CCE" w:rsidRDefault="0004696F" w:rsidP="00FE707D">
            <w:pPr>
              <w:widowControl w:val="0"/>
              <w:jc w:val="center"/>
              <w:rPr>
                <w:rFonts w:ascii="Arial Narrow" w:hAnsi="Arial Narrow" w:cs="Times New Roman"/>
                <w:snapToGrid w:val="0"/>
                <w:sz w:val="20"/>
              </w:rPr>
            </w:pPr>
          </w:p>
        </w:tc>
        <w:tc>
          <w:tcPr>
            <w:tcW w:w="1034" w:type="pct"/>
            <w:tcBorders>
              <w:top w:val="nil"/>
              <w:bottom w:val="nil"/>
            </w:tcBorders>
            <w:vAlign w:val="center"/>
          </w:tcPr>
          <w:p w14:paraId="78D35388" w14:textId="77777777" w:rsidR="0004696F" w:rsidRPr="00A40CCE" w:rsidRDefault="0004696F" w:rsidP="00FE707D">
            <w:pPr>
              <w:widowControl w:val="0"/>
              <w:jc w:val="center"/>
              <w:rPr>
                <w:rFonts w:ascii="Arial Narrow" w:hAnsi="Arial Narrow" w:cs="Times New Roman"/>
                <w:snapToGrid w:val="0"/>
                <w:sz w:val="20"/>
              </w:rPr>
            </w:pPr>
          </w:p>
        </w:tc>
        <w:tc>
          <w:tcPr>
            <w:tcW w:w="983" w:type="pct"/>
            <w:tcBorders>
              <w:top w:val="nil"/>
              <w:bottom w:val="nil"/>
            </w:tcBorders>
            <w:vAlign w:val="center"/>
          </w:tcPr>
          <w:p w14:paraId="5E388DDA" w14:textId="77777777" w:rsidR="0004696F" w:rsidRPr="00A40CCE" w:rsidRDefault="0004696F" w:rsidP="00FE707D">
            <w:pPr>
              <w:widowControl w:val="0"/>
              <w:jc w:val="center"/>
              <w:rPr>
                <w:rFonts w:ascii="Arial Narrow" w:hAnsi="Arial Narrow" w:cs="Times New Roman"/>
                <w:snapToGrid w:val="0"/>
                <w:sz w:val="20"/>
              </w:rPr>
            </w:pPr>
          </w:p>
        </w:tc>
      </w:tr>
      <w:tr w:rsidR="00FE707D" w:rsidRPr="00A40CCE" w14:paraId="280589BA" w14:textId="77777777" w:rsidTr="00FE707D">
        <w:trPr>
          <w:trHeight w:val="206"/>
        </w:trPr>
        <w:tc>
          <w:tcPr>
            <w:tcW w:w="1414" w:type="pct"/>
            <w:gridSpan w:val="2"/>
            <w:tcBorders>
              <w:top w:val="nil"/>
              <w:bottom w:val="nil"/>
            </w:tcBorders>
            <w:vAlign w:val="center"/>
          </w:tcPr>
          <w:p w14:paraId="2CBACF94" w14:textId="77777777" w:rsidR="00ED06EC" w:rsidRPr="00A40CCE" w:rsidRDefault="00ED06EC" w:rsidP="00FE707D">
            <w:pPr>
              <w:widowControl w:val="0"/>
              <w:jc w:val="left"/>
              <w:rPr>
                <w:rFonts w:ascii="Arial Narrow" w:eastAsiaTheme="majorEastAsia" w:hAnsi="Arial Narrow" w:cstheme="majorBidi"/>
                <w:sz w:val="20"/>
                <w:szCs w:val="22"/>
                <w:lang w:eastAsia="en-US" w:bidi="en-US"/>
              </w:rPr>
            </w:pPr>
            <w:r w:rsidRPr="00A40CCE">
              <w:rPr>
                <w:rFonts w:ascii="Arial Narrow" w:eastAsiaTheme="majorEastAsia" w:hAnsi="Arial Narrow" w:cstheme="majorBidi"/>
                <w:sz w:val="20"/>
                <w:szCs w:val="22"/>
                <w:lang w:eastAsia="en-US" w:bidi="en-US"/>
              </w:rPr>
              <w:t>5mg tablet</w:t>
            </w:r>
          </w:p>
        </w:tc>
        <w:tc>
          <w:tcPr>
            <w:tcW w:w="549" w:type="pct"/>
            <w:tcBorders>
              <w:top w:val="nil"/>
              <w:bottom w:val="nil"/>
            </w:tcBorders>
            <w:vAlign w:val="center"/>
          </w:tcPr>
          <w:p w14:paraId="15BA1EBC" w14:textId="77777777" w:rsidR="00ED06EC" w:rsidRPr="00A40CCE" w:rsidRDefault="00ED06EC" w:rsidP="00FE707D">
            <w:pPr>
              <w:widowControl w:val="0"/>
              <w:jc w:val="center"/>
              <w:rPr>
                <w:rFonts w:ascii="Arial Narrow" w:hAnsi="Arial Narrow" w:cs="Times New Roman"/>
                <w:snapToGrid w:val="0"/>
                <w:sz w:val="20"/>
              </w:rPr>
            </w:pPr>
            <w:r w:rsidRPr="00A40CCE">
              <w:rPr>
                <w:rFonts w:ascii="Arial Narrow" w:hAnsi="Arial Narrow" w:cs="Times New Roman"/>
                <w:snapToGrid w:val="0"/>
                <w:sz w:val="20"/>
              </w:rPr>
              <w:t>1</w:t>
            </w:r>
          </w:p>
        </w:tc>
        <w:tc>
          <w:tcPr>
            <w:tcW w:w="549" w:type="pct"/>
            <w:tcBorders>
              <w:top w:val="nil"/>
              <w:bottom w:val="nil"/>
            </w:tcBorders>
            <w:vAlign w:val="center"/>
          </w:tcPr>
          <w:p w14:paraId="2039CE18" w14:textId="77777777" w:rsidR="00ED06EC" w:rsidRPr="00A40CCE" w:rsidRDefault="00ED06EC" w:rsidP="00FE707D">
            <w:pPr>
              <w:widowControl w:val="0"/>
              <w:jc w:val="center"/>
              <w:rPr>
                <w:rFonts w:ascii="Arial Narrow" w:hAnsi="Arial Narrow" w:cs="Times New Roman"/>
                <w:snapToGrid w:val="0"/>
                <w:sz w:val="20"/>
              </w:rPr>
            </w:pPr>
            <w:r w:rsidRPr="00A40CCE">
              <w:rPr>
                <w:rFonts w:ascii="Arial Narrow" w:hAnsi="Arial Narrow" w:cs="Times New Roman"/>
                <w:snapToGrid w:val="0"/>
                <w:sz w:val="20"/>
              </w:rPr>
              <w:t>56</w:t>
            </w:r>
          </w:p>
        </w:tc>
        <w:tc>
          <w:tcPr>
            <w:tcW w:w="471" w:type="pct"/>
            <w:tcBorders>
              <w:top w:val="nil"/>
              <w:bottom w:val="nil"/>
            </w:tcBorders>
            <w:vAlign w:val="center"/>
          </w:tcPr>
          <w:p w14:paraId="64A4203F" w14:textId="77777777" w:rsidR="00ED06EC" w:rsidRPr="00A40CCE" w:rsidRDefault="00ED06EC" w:rsidP="00FE707D">
            <w:pPr>
              <w:widowControl w:val="0"/>
              <w:jc w:val="center"/>
              <w:rPr>
                <w:rFonts w:ascii="Arial Narrow" w:hAnsi="Arial Narrow" w:cs="Times New Roman"/>
                <w:snapToGrid w:val="0"/>
                <w:sz w:val="20"/>
              </w:rPr>
            </w:pPr>
            <w:r w:rsidRPr="00A40CCE">
              <w:rPr>
                <w:rFonts w:ascii="Arial Narrow" w:hAnsi="Arial Narrow" w:cs="Times New Roman"/>
                <w:snapToGrid w:val="0"/>
                <w:sz w:val="20"/>
              </w:rPr>
              <w:t>5</w:t>
            </w:r>
          </w:p>
        </w:tc>
        <w:tc>
          <w:tcPr>
            <w:tcW w:w="1034" w:type="pct"/>
            <w:vMerge w:val="restart"/>
            <w:tcBorders>
              <w:top w:val="nil"/>
              <w:bottom w:val="nil"/>
            </w:tcBorders>
            <w:vAlign w:val="center"/>
          </w:tcPr>
          <w:p w14:paraId="12BEF051" w14:textId="77777777" w:rsidR="00ED06EC" w:rsidRDefault="00ED06EC" w:rsidP="00FE707D">
            <w:pPr>
              <w:widowControl w:val="0"/>
              <w:jc w:val="center"/>
              <w:rPr>
                <w:rFonts w:ascii="Arial Narrow" w:eastAsiaTheme="majorEastAsia" w:hAnsi="Arial Narrow" w:cstheme="majorBidi"/>
                <w:sz w:val="20"/>
                <w:szCs w:val="22"/>
                <w:lang w:eastAsia="en-US" w:bidi="en-US"/>
              </w:rPr>
            </w:pPr>
            <w:r w:rsidRPr="00A40CCE">
              <w:rPr>
                <w:rFonts w:ascii="Arial Narrow" w:eastAsiaTheme="majorEastAsia" w:hAnsi="Arial Narrow" w:cstheme="majorBidi"/>
                <w:sz w:val="20"/>
                <w:szCs w:val="22"/>
                <w:lang w:eastAsia="en-US" w:bidi="en-US"/>
              </w:rPr>
              <w:t xml:space="preserve">$1211.08 </w:t>
            </w:r>
            <w:r>
              <w:rPr>
                <w:rFonts w:ascii="Arial Narrow" w:eastAsiaTheme="majorEastAsia" w:hAnsi="Arial Narrow" w:cstheme="majorBidi"/>
                <w:sz w:val="20"/>
                <w:szCs w:val="22"/>
                <w:lang w:eastAsia="en-US" w:bidi="en-US"/>
              </w:rPr>
              <w:t>published</w:t>
            </w:r>
          </w:p>
          <w:p w14:paraId="52198EF9" w14:textId="1EB3B7BF" w:rsidR="00ED06EC" w:rsidRPr="00A40CCE" w:rsidRDefault="00ED06EC" w:rsidP="00FE707D">
            <w:pPr>
              <w:widowControl w:val="0"/>
              <w:jc w:val="center"/>
              <w:rPr>
                <w:rFonts w:ascii="Arial Narrow" w:eastAsia="Arial" w:hAnsi="Arial Narrow"/>
                <w:sz w:val="20"/>
                <w:szCs w:val="20"/>
                <w:lang w:eastAsia="en-US"/>
              </w:rPr>
            </w:pPr>
            <w:r w:rsidRPr="00A40CCE">
              <w:rPr>
                <w:rFonts w:ascii="Arial Narrow" w:hAnsi="Arial Narrow"/>
                <w:sz w:val="20"/>
              </w:rPr>
              <w:t>$</w:t>
            </w:r>
            <w:r w:rsidR="00F46153" w:rsidRPr="00F46153">
              <w:rPr>
                <w:rFonts w:ascii="Arial Narrow" w:hAnsi="Arial Narrow"/>
                <w:color w:val="000000"/>
                <w:spacing w:val="57"/>
                <w:sz w:val="20"/>
                <w:shd w:val="solid" w:color="000000" w:fill="000000"/>
                <w:fitText w:val="342" w:id="-1236607999"/>
                <w14:textFill>
                  <w14:solidFill>
                    <w14:srgbClr w14:val="000000">
                      <w14:alpha w14:val="100000"/>
                    </w14:srgbClr>
                  </w14:solidFill>
                </w14:textFill>
              </w:rPr>
              <w:t>|||</w:t>
            </w:r>
            <w:r w:rsidR="00F46153" w:rsidRPr="00F46153">
              <w:rPr>
                <w:rFonts w:ascii="Arial Narrow" w:hAnsi="Arial Narrow"/>
                <w:color w:val="000000"/>
                <w:spacing w:val="1"/>
                <w:sz w:val="20"/>
                <w:shd w:val="solid" w:color="000000" w:fill="000000"/>
                <w:fitText w:val="342" w:id="-1236607999"/>
                <w14:textFill>
                  <w14:solidFill>
                    <w14:srgbClr w14:val="000000">
                      <w14:alpha w14:val="100000"/>
                    </w14:srgbClr>
                  </w14:solidFill>
                </w14:textFill>
              </w:rPr>
              <w:t>|</w:t>
            </w:r>
            <w:r w:rsidRPr="00A40CCE">
              <w:rPr>
                <w:rFonts w:ascii="Arial Narrow" w:hAnsi="Arial Narrow"/>
                <w:sz w:val="20"/>
              </w:rPr>
              <w:t xml:space="preserve"> </w:t>
            </w:r>
            <w:r>
              <w:rPr>
                <w:rFonts w:ascii="Arial Narrow" w:hAnsi="Arial Narrow"/>
                <w:sz w:val="20"/>
              </w:rPr>
              <w:t>effective</w:t>
            </w:r>
          </w:p>
        </w:tc>
        <w:tc>
          <w:tcPr>
            <w:tcW w:w="983" w:type="pct"/>
            <w:vMerge w:val="restart"/>
            <w:tcBorders>
              <w:top w:val="nil"/>
              <w:bottom w:val="nil"/>
            </w:tcBorders>
          </w:tcPr>
          <w:p w14:paraId="64D99DA5" w14:textId="77777777" w:rsidR="00ED06EC" w:rsidRPr="0004696F" w:rsidRDefault="00ED06EC" w:rsidP="00FE707D">
            <w:pPr>
              <w:widowControl w:val="0"/>
              <w:jc w:val="center"/>
              <w:rPr>
                <w:rFonts w:ascii="Arial Narrow" w:hAnsi="Arial Narrow" w:cs="Times New Roman"/>
                <w:snapToGrid w:val="0"/>
                <w:sz w:val="20"/>
              </w:rPr>
            </w:pPr>
            <w:r w:rsidRPr="0004696F">
              <w:rPr>
                <w:rFonts w:ascii="Arial Narrow" w:hAnsi="Arial Narrow" w:cs="Times New Roman"/>
                <w:snapToGrid w:val="0"/>
                <w:sz w:val="20"/>
              </w:rPr>
              <w:t>Xeljanz®</w:t>
            </w:r>
          </w:p>
          <w:p w14:paraId="370077ED" w14:textId="0B81AE3E" w:rsidR="00ED06EC" w:rsidRPr="00A40CCE" w:rsidDel="0082378E" w:rsidRDefault="00ED06EC" w:rsidP="00FE707D">
            <w:pPr>
              <w:widowControl w:val="0"/>
              <w:jc w:val="center"/>
              <w:rPr>
                <w:rFonts w:ascii="Arial Narrow" w:hAnsi="Arial Narrow" w:cs="Times New Roman"/>
                <w:snapToGrid w:val="0"/>
                <w:sz w:val="20"/>
              </w:rPr>
            </w:pPr>
            <w:r w:rsidRPr="0004696F">
              <w:rPr>
                <w:rFonts w:ascii="Arial Narrow" w:hAnsi="Arial Narrow" w:cs="Times New Roman"/>
                <w:snapToGrid w:val="0"/>
                <w:sz w:val="20"/>
              </w:rPr>
              <w:t>Pfizer Australia Pty Ltd</w:t>
            </w:r>
          </w:p>
        </w:tc>
      </w:tr>
      <w:tr w:rsidR="00FE707D" w:rsidRPr="00A40CCE" w14:paraId="4D2CC037" w14:textId="77777777" w:rsidTr="00FE707D">
        <w:trPr>
          <w:trHeight w:val="206"/>
        </w:trPr>
        <w:tc>
          <w:tcPr>
            <w:tcW w:w="1414" w:type="pct"/>
            <w:gridSpan w:val="2"/>
            <w:tcBorders>
              <w:top w:val="nil"/>
            </w:tcBorders>
            <w:vAlign w:val="center"/>
          </w:tcPr>
          <w:p w14:paraId="77817B1C" w14:textId="6619C624" w:rsidR="0004696F" w:rsidRPr="00A40CCE" w:rsidRDefault="0004696F" w:rsidP="00FE707D">
            <w:pPr>
              <w:widowControl w:val="0"/>
              <w:jc w:val="left"/>
              <w:rPr>
                <w:rFonts w:ascii="Arial Narrow" w:eastAsiaTheme="majorEastAsia" w:hAnsi="Arial Narrow" w:cstheme="majorBidi"/>
                <w:sz w:val="20"/>
                <w:szCs w:val="22"/>
                <w:lang w:eastAsia="en-US" w:bidi="en-US"/>
              </w:rPr>
            </w:pPr>
            <w:r w:rsidRPr="00A40CCE">
              <w:rPr>
                <w:rFonts w:ascii="Arial Narrow" w:eastAsiaTheme="majorEastAsia" w:hAnsi="Arial Narrow" w:cstheme="majorBidi"/>
                <w:sz w:val="20"/>
                <w:szCs w:val="22"/>
                <w:lang w:eastAsia="en-US" w:bidi="en-US"/>
              </w:rPr>
              <w:t>1mg/</w:t>
            </w:r>
            <w:r w:rsidR="001C7680">
              <w:rPr>
                <w:rFonts w:ascii="Arial Narrow" w:eastAsiaTheme="majorEastAsia" w:hAnsi="Arial Narrow" w:cstheme="majorBidi"/>
                <w:sz w:val="20"/>
                <w:szCs w:val="22"/>
                <w:lang w:eastAsia="en-US" w:bidi="en-US"/>
              </w:rPr>
              <w:t>mL</w:t>
            </w:r>
            <w:r w:rsidRPr="00A40CCE">
              <w:rPr>
                <w:rFonts w:ascii="Arial Narrow" w:eastAsiaTheme="majorEastAsia" w:hAnsi="Arial Narrow" w:cstheme="majorBidi"/>
                <w:sz w:val="20"/>
                <w:szCs w:val="22"/>
                <w:lang w:eastAsia="en-US" w:bidi="en-US"/>
              </w:rPr>
              <w:t xml:space="preserve"> oral solution</w:t>
            </w:r>
          </w:p>
        </w:tc>
        <w:tc>
          <w:tcPr>
            <w:tcW w:w="549" w:type="pct"/>
            <w:tcBorders>
              <w:top w:val="nil"/>
            </w:tcBorders>
            <w:vAlign w:val="center"/>
          </w:tcPr>
          <w:p w14:paraId="3D5CD982" w14:textId="77777777" w:rsidR="0004696F" w:rsidRPr="00A40CCE" w:rsidRDefault="0004696F" w:rsidP="00FE707D">
            <w:pPr>
              <w:widowControl w:val="0"/>
              <w:jc w:val="center"/>
              <w:rPr>
                <w:rFonts w:ascii="Arial Narrow" w:hAnsi="Arial Narrow" w:cs="Times New Roman"/>
                <w:snapToGrid w:val="0"/>
                <w:sz w:val="20"/>
              </w:rPr>
            </w:pPr>
            <w:r w:rsidRPr="00A40CCE">
              <w:rPr>
                <w:rFonts w:ascii="Arial Narrow" w:hAnsi="Arial Narrow" w:cs="Times New Roman"/>
                <w:snapToGrid w:val="0"/>
                <w:sz w:val="20"/>
              </w:rPr>
              <w:t>1</w:t>
            </w:r>
          </w:p>
        </w:tc>
        <w:tc>
          <w:tcPr>
            <w:tcW w:w="549" w:type="pct"/>
            <w:tcBorders>
              <w:top w:val="nil"/>
            </w:tcBorders>
            <w:vAlign w:val="center"/>
          </w:tcPr>
          <w:p w14:paraId="2E111F47" w14:textId="01F9C687" w:rsidR="0004696F" w:rsidRPr="00A40CCE" w:rsidRDefault="0004696F" w:rsidP="00FE707D">
            <w:pPr>
              <w:widowControl w:val="0"/>
              <w:jc w:val="center"/>
              <w:rPr>
                <w:rFonts w:ascii="Arial Narrow" w:hAnsi="Arial Narrow" w:cs="Times New Roman"/>
                <w:snapToGrid w:val="0"/>
                <w:sz w:val="20"/>
              </w:rPr>
            </w:pPr>
            <w:r w:rsidRPr="00A40CCE">
              <w:rPr>
                <w:rFonts w:ascii="Arial Narrow" w:hAnsi="Arial Narrow" w:cs="Times New Roman"/>
                <w:snapToGrid w:val="0"/>
                <w:sz w:val="20"/>
              </w:rPr>
              <w:t>240</w:t>
            </w:r>
            <w:r w:rsidR="001C7680">
              <w:rPr>
                <w:rFonts w:ascii="Arial Narrow" w:hAnsi="Arial Narrow" w:cs="Times New Roman"/>
                <w:snapToGrid w:val="0"/>
                <w:sz w:val="20"/>
              </w:rPr>
              <w:t> mL</w:t>
            </w:r>
          </w:p>
        </w:tc>
        <w:tc>
          <w:tcPr>
            <w:tcW w:w="471" w:type="pct"/>
            <w:tcBorders>
              <w:top w:val="nil"/>
            </w:tcBorders>
            <w:vAlign w:val="center"/>
          </w:tcPr>
          <w:p w14:paraId="61E9B278" w14:textId="77777777" w:rsidR="0004696F" w:rsidRPr="00A40CCE" w:rsidRDefault="0004696F" w:rsidP="00FE707D">
            <w:pPr>
              <w:widowControl w:val="0"/>
              <w:jc w:val="center"/>
              <w:rPr>
                <w:rFonts w:ascii="Arial Narrow" w:hAnsi="Arial Narrow" w:cs="Times New Roman"/>
                <w:snapToGrid w:val="0"/>
                <w:sz w:val="20"/>
              </w:rPr>
            </w:pPr>
            <w:r w:rsidRPr="00A40CCE">
              <w:rPr>
                <w:rFonts w:ascii="Arial Narrow" w:hAnsi="Arial Narrow" w:cs="Times New Roman"/>
                <w:snapToGrid w:val="0"/>
                <w:sz w:val="20"/>
              </w:rPr>
              <w:t>5</w:t>
            </w:r>
          </w:p>
        </w:tc>
        <w:tc>
          <w:tcPr>
            <w:tcW w:w="1034" w:type="pct"/>
            <w:vMerge/>
            <w:tcBorders>
              <w:top w:val="nil"/>
              <w:bottom w:val="nil"/>
            </w:tcBorders>
            <w:vAlign w:val="center"/>
          </w:tcPr>
          <w:p w14:paraId="427638BC" w14:textId="77777777" w:rsidR="0004696F" w:rsidRPr="00A40CCE" w:rsidDel="0082378E" w:rsidRDefault="0004696F" w:rsidP="00FE707D">
            <w:pPr>
              <w:widowControl w:val="0"/>
              <w:jc w:val="center"/>
              <w:rPr>
                <w:rFonts w:ascii="Arial Narrow" w:hAnsi="Arial Narrow" w:cs="Times New Roman"/>
                <w:snapToGrid w:val="0"/>
                <w:sz w:val="20"/>
              </w:rPr>
            </w:pPr>
          </w:p>
        </w:tc>
        <w:tc>
          <w:tcPr>
            <w:tcW w:w="983" w:type="pct"/>
            <w:vMerge/>
            <w:tcBorders>
              <w:top w:val="nil"/>
              <w:bottom w:val="nil"/>
            </w:tcBorders>
            <w:vAlign w:val="center"/>
          </w:tcPr>
          <w:p w14:paraId="4C6B5871" w14:textId="77777777" w:rsidR="0004696F" w:rsidRPr="00A40CCE" w:rsidDel="0082378E" w:rsidRDefault="0004696F" w:rsidP="00FE707D">
            <w:pPr>
              <w:widowControl w:val="0"/>
              <w:jc w:val="center"/>
              <w:rPr>
                <w:rFonts w:ascii="Arial Narrow" w:hAnsi="Arial Narrow" w:cs="Times New Roman"/>
                <w:snapToGrid w:val="0"/>
                <w:sz w:val="20"/>
              </w:rPr>
            </w:pPr>
          </w:p>
        </w:tc>
      </w:tr>
      <w:tr w:rsidR="00ED06EC" w:rsidRPr="00A40CCE" w14:paraId="3074EC59"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0EE14BF0"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Category / Program:</w:t>
            </w:r>
          </w:p>
        </w:tc>
        <w:tc>
          <w:tcPr>
            <w:tcW w:w="4069" w:type="pct"/>
            <w:gridSpan w:val="6"/>
            <w:tcBorders>
              <w:top w:val="single" w:sz="4" w:space="0" w:color="auto"/>
              <w:left w:val="single" w:sz="4" w:space="0" w:color="auto"/>
              <w:bottom w:val="single" w:sz="4" w:space="0" w:color="auto"/>
              <w:right w:val="single" w:sz="4" w:space="0" w:color="auto"/>
            </w:tcBorders>
            <w:hideMark/>
          </w:tcPr>
          <w:p w14:paraId="742AFE91"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GENERAL – General Schedule (Code GE)</w:t>
            </w:r>
          </w:p>
        </w:tc>
      </w:tr>
      <w:tr w:rsidR="00ED06EC" w:rsidRPr="00A40CCE" w14:paraId="5D319A53"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109BECEC"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Prescriber type:</w:t>
            </w:r>
          </w:p>
        </w:tc>
        <w:tc>
          <w:tcPr>
            <w:tcW w:w="4069" w:type="pct"/>
            <w:gridSpan w:val="6"/>
            <w:tcBorders>
              <w:top w:val="single" w:sz="4" w:space="0" w:color="auto"/>
              <w:left w:val="single" w:sz="4" w:space="0" w:color="auto"/>
              <w:bottom w:val="single" w:sz="4" w:space="0" w:color="auto"/>
              <w:right w:val="single" w:sz="4" w:space="0" w:color="auto"/>
            </w:tcBorders>
            <w:hideMark/>
          </w:tcPr>
          <w:p w14:paraId="48DCE45D"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fldChar w:fldCharType="begin">
                <w:ffData>
                  <w:name w:val="Check1"/>
                  <w:enabled/>
                  <w:calcOnExit w:val="0"/>
                  <w:checkBox>
                    <w:sizeAuto/>
                    <w:default w:val="1"/>
                  </w:checkBox>
                </w:ffData>
              </w:fldChar>
            </w:r>
            <w:r w:rsidRPr="00A40CCE">
              <w:rPr>
                <w:rFonts w:ascii="Arial Narrow" w:eastAsiaTheme="majorEastAsia" w:hAnsi="Arial Narrow" w:cstheme="majorBidi"/>
                <w:bCs/>
                <w:sz w:val="20"/>
              </w:rPr>
              <w:instrText xml:space="preserve"> FORMCHECKBOX </w:instrText>
            </w:r>
            <w:r w:rsidR="006C1D0C">
              <w:rPr>
                <w:rFonts w:ascii="Arial Narrow" w:eastAsiaTheme="majorEastAsia" w:hAnsi="Arial Narrow" w:cstheme="majorBidi"/>
                <w:bCs/>
                <w:sz w:val="20"/>
              </w:rPr>
            </w:r>
            <w:r w:rsidR="006C1D0C">
              <w:rPr>
                <w:rFonts w:ascii="Arial Narrow" w:eastAsiaTheme="majorEastAsia" w:hAnsi="Arial Narrow" w:cstheme="majorBidi"/>
                <w:bCs/>
                <w:sz w:val="20"/>
              </w:rPr>
              <w:fldChar w:fldCharType="separate"/>
            </w:r>
            <w:r w:rsidRPr="00A40CCE">
              <w:rPr>
                <w:rFonts w:ascii="Arial Narrow" w:eastAsiaTheme="majorEastAsia" w:hAnsi="Arial Narrow" w:cstheme="majorBidi"/>
                <w:bCs/>
                <w:sz w:val="20"/>
              </w:rPr>
              <w:fldChar w:fldCharType="end"/>
            </w:r>
            <w:r w:rsidRPr="00A40CCE">
              <w:rPr>
                <w:rFonts w:ascii="Arial Narrow" w:eastAsiaTheme="majorEastAsia" w:hAnsi="Arial Narrow" w:cstheme="majorBidi"/>
                <w:bCs/>
                <w:sz w:val="20"/>
              </w:rPr>
              <w:t>Medical Practitioners</w:t>
            </w:r>
          </w:p>
        </w:tc>
      </w:tr>
      <w:tr w:rsidR="00ED06EC" w:rsidRPr="00A40CCE" w14:paraId="450C86CE"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52FA5A7D"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Severity:</w:t>
            </w:r>
          </w:p>
        </w:tc>
        <w:tc>
          <w:tcPr>
            <w:tcW w:w="4069" w:type="pct"/>
            <w:gridSpan w:val="6"/>
            <w:tcBorders>
              <w:top w:val="single" w:sz="4" w:space="0" w:color="auto"/>
              <w:left w:val="single" w:sz="4" w:space="0" w:color="auto"/>
              <w:bottom w:val="single" w:sz="4" w:space="0" w:color="auto"/>
              <w:right w:val="single" w:sz="4" w:space="0" w:color="auto"/>
            </w:tcBorders>
            <w:hideMark/>
          </w:tcPr>
          <w:p w14:paraId="696E3C4F"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Severe</w:t>
            </w:r>
          </w:p>
        </w:tc>
      </w:tr>
      <w:tr w:rsidR="00ED06EC" w:rsidRPr="00A40CCE" w14:paraId="524C6613"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0C9C5A17"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Condition:</w:t>
            </w:r>
          </w:p>
        </w:tc>
        <w:tc>
          <w:tcPr>
            <w:tcW w:w="4069" w:type="pct"/>
            <w:gridSpan w:val="6"/>
            <w:tcBorders>
              <w:top w:val="single" w:sz="4" w:space="0" w:color="auto"/>
              <w:left w:val="single" w:sz="4" w:space="0" w:color="auto"/>
              <w:bottom w:val="single" w:sz="4" w:space="0" w:color="auto"/>
              <w:right w:val="single" w:sz="4" w:space="0" w:color="auto"/>
            </w:tcBorders>
            <w:hideMark/>
          </w:tcPr>
          <w:p w14:paraId="6538E23F"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 xml:space="preserve">Active Juvenile Idiopathic Arthritis </w:t>
            </w:r>
          </w:p>
        </w:tc>
      </w:tr>
      <w:tr w:rsidR="00ED06EC" w:rsidRPr="00A40CCE" w14:paraId="190826E3"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57F4C2EA"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PBS Indication:</w:t>
            </w:r>
          </w:p>
        </w:tc>
        <w:tc>
          <w:tcPr>
            <w:tcW w:w="4069" w:type="pct"/>
            <w:gridSpan w:val="6"/>
            <w:tcBorders>
              <w:top w:val="single" w:sz="4" w:space="0" w:color="auto"/>
              <w:left w:val="single" w:sz="4" w:space="0" w:color="auto"/>
              <w:bottom w:val="single" w:sz="4" w:space="0" w:color="auto"/>
              <w:right w:val="single" w:sz="4" w:space="0" w:color="auto"/>
            </w:tcBorders>
            <w:hideMark/>
          </w:tcPr>
          <w:p w14:paraId="63E666F1"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Severe Active Juvenile Idiopathic Arthritis</w:t>
            </w:r>
          </w:p>
        </w:tc>
      </w:tr>
      <w:tr w:rsidR="00ED06EC" w:rsidRPr="00A40CCE" w14:paraId="7B378130"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68C88530"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Treatment phase:</w:t>
            </w:r>
          </w:p>
        </w:tc>
        <w:tc>
          <w:tcPr>
            <w:tcW w:w="4069" w:type="pct"/>
            <w:gridSpan w:val="6"/>
            <w:tcBorders>
              <w:top w:val="single" w:sz="4" w:space="0" w:color="auto"/>
              <w:left w:val="single" w:sz="4" w:space="0" w:color="auto"/>
              <w:bottom w:val="single" w:sz="4" w:space="0" w:color="auto"/>
              <w:right w:val="single" w:sz="4" w:space="0" w:color="auto"/>
            </w:tcBorders>
            <w:hideMark/>
          </w:tcPr>
          <w:p w14:paraId="6FAA8183"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Initial treatment 1 (new patient)</w:t>
            </w:r>
          </w:p>
        </w:tc>
      </w:tr>
      <w:tr w:rsidR="00ED06EC" w:rsidRPr="00A40CCE" w14:paraId="76759DD0"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1B63FF5B" w14:textId="77777777" w:rsidR="00ED06EC" w:rsidRPr="00A40CCE" w:rsidRDefault="00ED06EC" w:rsidP="00FE707D">
            <w:pPr>
              <w:jc w:val="left"/>
              <w:rPr>
                <w:rFonts w:ascii="Arial Narrow" w:eastAsiaTheme="majorEastAsia" w:hAnsi="Arial Narrow" w:cstheme="majorBidi"/>
                <w:bCs/>
                <w:i/>
                <w:sz w:val="20"/>
              </w:rPr>
            </w:pPr>
            <w:r w:rsidRPr="00A40CCE">
              <w:rPr>
                <w:rFonts w:ascii="Arial Narrow" w:eastAsiaTheme="majorEastAsia" w:hAnsi="Arial Narrow" w:cstheme="majorBidi"/>
                <w:b/>
                <w:bCs/>
                <w:sz w:val="20"/>
              </w:rPr>
              <w:t>Restriction:</w:t>
            </w:r>
          </w:p>
        </w:tc>
        <w:tc>
          <w:tcPr>
            <w:tcW w:w="4069" w:type="pct"/>
            <w:gridSpan w:val="6"/>
            <w:tcBorders>
              <w:top w:val="single" w:sz="4" w:space="0" w:color="auto"/>
              <w:left w:val="single" w:sz="4" w:space="0" w:color="auto"/>
              <w:bottom w:val="single" w:sz="4" w:space="0" w:color="auto"/>
              <w:right w:val="single" w:sz="4" w:space="0" w:color="auto"/>
            </w:tcBorders>
            <w:hideMark/>
          </w:tcPr>
          <w:p w14:paraId="664815B5"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fldChar w:fldCharType="begin">
                <w:ffData>
                  <w:name w:val=""/>
                  <w:enabled/>
                  <w:calcOnExit w:val="0"/>
                  <w:checkBox>
                    <w:sizeAuto/>
                    <w:default w:val="1"/>
                  </w:checkBox>
                </w:ffData>
              </w:fldChar>
            </w:r>
            <w:r w:rsidRPr="00A40CCE">
              <w:rPr>
                <w:rFonts w:ascii="Arial Narrow" w:eastAsiaTheme="majorEastAsia" w:hAnsi="Arial Narrow" w:cstheme="majorBidi"/>
                <w:bCs/>
                <w:sz w:val="20"/>
              </w:rPr>
              <w:instrText xml:space="preserve"> FORMCHECKBOX </w:instrText>
            </w:r>
            <w:r w:rsidR="006C1D0C">
              <w:rPr>
                <w:rFonts w:ascii="Arial Narrow" w:eastAsiaTheme="majorEastAsia" w:hAnsi="Arial Narrow" w:cstheme="majorBidi"/>
                <w:bCs/>
                <w:sz w:val="20"/>
              </w:rPr>
            </w:r>
            <w:r w:rsidR="006C1D0C">
              <w:rPr>
                <w:rFonts w:ascii="Arial Narrow" w:eastAsiaTheme="majorEastAsia" w:hAnsi="Arial Narrow" w:cstheme="majorBidi"/>
                <w:bCs/>
                <w:sz w:val="20"/>
              </w:rPr>
              <w:fldChar w:fldCharType="separate"/>
            </w:r>
            <w:r w:rsidRPr="00A40CCE">
              <w:rPr>
                <w:rFonts w:ascii="Arial Narrow" w:eastAsiaTheme="majorEastAsia" w:hAnsi="Arial Narrow" w:cstheme="majorBidi"/>
                <w:bCs/>
                <w:sz w:val="20"/>
              </w:rPr>
              <w:fldChar w:fldCharType="end"/>
            </w:r>
            <w:r w:rsidRPr="00A40CCE">
              <w:rPr>
                <w:rFonts w:ascii="Arial Narrow" w:eastAsiaTheme="majorEastAsia" w:hAnsi="Arial Narrow" w:cstheme="majorBidi"/>
                <w:bCs/>
                <w:sz w:val="20"/>
              </w:rPr>
              <w:t>Authority Required – In Writing</w:t>
            </w:r>
          </w:p>
        </w:tc>
      </w:tr>
      <w:tr w:rsidR="00ED06EC" w:rsidRPr="00A40CCE" w14:paraId="205C5929"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19342555"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Treatment criteria:</w:t>
            </w:r>
          </w:p>
        </w:tc>
        <w:tc>
          <w:tcPr>
            <w:tcW w:w="4069" w:type="pct"/>
            <w:gridSpan w:val="6"/>
            <w:tcBorders>
              <w:top w:val="single" w:sz="4" w:space="0" w:color="auto"/>
              <w:left w:val="single" w:sz="4" w:space="0" w:color="auto"/>
              <w:bottom w:val="single" w:sz="4" w:space="0" w:color="auto"/>
              <w:right w:val="single" w:sz="4" w:space="0" w:color="auto"/>
            </w:tcBorders>
            <w:hideMark/>
          </w:tcPr>
          <w:p w14:paraId="0088EF98" w14:textId="77777777" w:rsidR="00ED06EC" w:rsidRPr="00A40CCE" w:rsidRDefault="00ED06EC" w:rsidP="00FE707D">
            <w:pPr>
              <w:jc w:val="left"/>
              <w:rPr>
                <w:rFonts w:ascii="Arial Narrow" w:eastAsiaTheme="majorEastAsia" w:hAnsi="Arial Narrow"/>
                <w:bCs/>
                <w:sz w:val="20"/>
              </w:rPr>
            </w:pPr>
            <w:r w:rsidRPr="00A40CCE">
              <w:rPr>
                <w:rFonts w:ascii="Arial Narrow" w:eastAsiaTheme="majorEastAsia" w:hAnsi="Arial Narrow"/>
                <w:bCs/>
                <w:sz w:val="20"/>
              </w:rPr>
              <w:t xml:space="preserve">Must be treated by a rheumatologist OR undergoing treatment under the supervision of a paediatric rheumatology treatment centre. </w:t>
            </w:r>
          </w:p>
        </w:tc>
      </w:tr>
      <w:tr w:rsidR="00ED06EC" w:rsidRPr="00A40CCE" w14:paraId="1C3C1EB1" w14:textId="77777777" w:rsidTr="00D04AA0">
        <w:tblPrEx>
          <w:tblBorders>
            <w:top w:val="none" w:sz="0" w:space="0" w:color="auto"/>
            <w:bottom w:val="none" w:sz="0" w:space="0" w:color="auto"/>
            <w:insideH w:val="none" w:sz="0" w:space="0" w:color="auto"/>
          </w:tblBorders>
        </w:tblPrEx>
        <w:trPr>
          <w:trHeight w:val="267"/>
        </w:trPr>
        <w:tc>
          <w:tcPr>
            <w:tcW w:w="931" w:type="pct"/>
            <w:tcBorders>
              <w:top w:val="single" w:sz="4" w:space="0" w:color="auto"/>
              <w:left w:val="single" w:sz="4" w:space="0" w:color="auto"/>
              <w:bottom w:val="single" w:sz="4" w:space="0" w:color="auto"/>
              <w:right w:val="single" w:sz="4" w:space="0" w:color="auto"/>
            </w:tcBorders>
            <w:hideMark/>
          </w:tcPr>
          <w:p w14:paraId="11D5438E"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Clinical criteria:</w:t>
            </w:r>
          </w:p>
        </w:tc>
        <w:tc>
          <w:tcPr>
            <w:tcW w:w="4069" w:type="pct"/>
            <w:gridSpan w:val="6"/>
            <w:tcBorders>
              <w:top w:val="single" w:sz="4" w:space="0" w:color="auto"/>
              <w:left w:val="single" w:sz="4" w:space="0" w:color="auto"/>
              <w:bottom w:val="single" w:sz="4" w:space="0" w:color="auto"/>
              <w:right w:val="single" w:sz="4" w:space="0" w:color="auto"/>
            </w:tcBorders>
            <w:hideMark/>
          </w:tcPr>
          <w:p w14:paraId="3D8D4C68" w14:textId="77777777" w:rsidR="00ED06EC" w:rsidRPr="00A40CCE" w:rsidRDefault="00ED06EC" w:rsidP="00FE707D">
            <w:pPr>
              <w:jc w:val="left"/>
              <w:rPr>
                <w:rFonts w:ascii="Arial Narrow" w:eastAsiaTheme="majorEastAsia" w:hAnsi="Arial Narrow"/>
                <w:bCs/>
                <w:sz w:val="20"/>
              </w:rPr>
            </w:pPr>
            <w:r w:rsidRPr="00A40CCE">
              <w:rPr>
                <w:rFonts w:ascii="Arial Narrow" w:eastAsiaTheme="majorEastAsia" w:hAnsi="Arial Narrow"/>
                <w:bCs/>
                <w:sz w:val="20"/>
              </w:rPr>
              <w:t xml:space="preserve">Patient must have demonstrated severe intolerance of, or toxicity due to, methotrexate; </w:t>
            </w:r>
          </w:p>
          <w:p w14:paraId="70B8FB3F" w14:textId="77777777" w:rsidR="00ED06EC" w:rsidRPr="00A40CCE" w:rsidRDefault="00ED06EC" w:rsidP="00FE707D">
            <w:pPr>
              <w:jc w:val="left"/>
              <w:rPr>
                <w:rFonts w:ascii="Arial Narrow" w:eastAsiaTheme="majorEastAsia" w:hAnsi="Arial Narrow"/>
                <w:bCs/>
                <w:sz w:val="20"/>
              </w:rPr>
            </w:pPr>
            <w:r w:rsidRPr="00A40CCE">
              <w:rPr>
                <w:rFonts w:ascii="Arial Narrow" w:eastAsiaTheme="majorEastAsia" w:hAnsi="Arial Narrow"/>
                <w:bCs/>
                <w:sz w:val="20"/>
              </w:rPr>
              <w:t>OR</w:t>
            </w:r>
          </w:p>
          <w:p w14:paraId="038B90BC" w14:textId="77777777" w:rsidR="00ED06EC" w:rsidRPr="00A40CCE" w:rsidRDefault="00ED06EC" w:rsidP="00FE707D">
            <w:pPr>
              <w:jc w:val="left"/>
              <w:rPr>
                <w:rFonts w:ascii="Arial Narrow" w:eastAsiaTheme="majorEastAsia" w:hAnsi="Arial Narrow"/>
                <w:bCs/>
                <w:sz w:val="20"/>
                <w:highlight w:val="yellow"/>
              </w:rPr>
            </w:pPr>
            <w:r w:rsidRPr="00A40CCE">
              <w:rPr>
                <w:rFonts w:ascii="Arial Narrow" w:eastAsiaTheme="majorEastAsia" w:hAnsi="Arial Narrow"/>
                <w:bCs/>
                <w:sz w:val="20"/>
              </w:rPr>
              <w:t>Patient must have demonstrated failure to achieve an adequate response to 1 or more of the following treatment regimens: (i) oral or parenteral methotrexate at a dose of at least 20 mg per square metre weekly, alone or in combination with oral or intra-articular corticosteroids, for a minimum of 3 months; or (ii) oral methotrexate at a dose of at least 10 mg per square metre weekly together with at least 1 other disease modifying anti-rheumatic drug (DMARD), alone or in combination with corticosteroids, for a minimum of 3 months.</w:t>
            </w:r>
          </w:p>
        </w:tc>
      </w:tr>
      <w:tr w:rsidR="00ED06EC" w:rsidRPr="00A40CCE" w14:paraId="20E76C3D"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49722E16"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Population criteria:</w:t>
            </w:r>
          </w:p>
        </w:tc>
        <w:tc>
          <w:tcPr>
            <w:tcW w:w="4069" w:type="pct"/>
            <w:gridSpan w:val="6"/>
            <w:tcBorders>
              <w:top w:val="single" w:sz="4" w:space="0" w:color="auto"/>
              <w:left w:val="single" w:sz="4" w:space="0" w:color="auto"/>
              <w:bottom w:val="single" w:sz="4" w:space="0" w:color="auto"/>
              <w:right w:val="single" w:sz="4" w:space="0" w:color="auto"/>
            </w:tcBorders>
            <w:hideMark/>
          </w:tcPr>
          <w:p w14:paraId="3C5EEE44"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Patient must be under 18 years of age.</w:t>
            </w:r>
          </w:p>
        </w:tc>
      </w:tr>
      <w:tr w:rsidR="00ED06EC" w:rsidRPr="00A40CCE" w14:paraId="6306935B"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69302937"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Prescriber Instructions:</w:t>
            </w:r>
          </w:p>
        </w:tc>
        <w:tc>
          <w:tcPr>
            <w:tcW w:w="4069" w:type="pct"/>
            <w:gridSpan w:val="6"/>
            <w:tcBorders>
              <w:top w:val="single" w:sz="4" w:space="0" w:color="auto"/>
              <w:left w:val="single" w:sz="4" w:space="0" w:color="auto"/>
              <w:bottom w:val="single" w:sz="4" w:space="0" w:color="auto"/>
              <w:right w:val="single" w:sz="4" w:space="0" w:color="auto"/>
            </w:tcBorders>
            <w:hideMark/>
          </w:tcPr>
          <w:p w14:paraId="77AA00A3" w14:textId="77777777" w:rsidR="00ED06EC" w:rsidRPr="00E71A9B" w:rsidRDefault="00ED06EC" w:rsidP="00FE707D">
            <w:pPr>
              <w:jc w:val="left"/>
              <w:rPr>
                <w:rFonts w:ascii="Arial Narrow" w:eastAsiaTheme="majorEastAsia" w:hAnsi="Arial Narrow" w:cstheme="majorBidi"/>
                <w:bCs/>
                <w:sz w:val="20"/>
              </w:rPr>
            </w:pPr>
            <w:r w:rsidRPr="00E71A9B">
              <w:rPr>
                <w:rFonts w:ascii="Arial Narrow" w:eastAsiaTheme="majorEastAsia" w:hAnsi="Arial Narrow" w:cstheme="majorBidi"/>
                <w:bCs/>
                <w:sz w:val="20"/>
              </w:rPr>
              <w:t>The following criteria indicate failure to achieve an adequate response</w:t>
            </w:r>
            <w:r>
              <w:rPr>
                <w:rFonts w:ascii="Arial Narrow" w:eastAsiaTheme="majorEastAsia" w:hAnsi="Arial Narrow" w:cstheme="majorBidi"/>
                <w:bCs/>
                <w:sz w:val="20"/>
              </w:rPr>
              <w:t>:</w:t>
            </w:r>
          </w:p>
          <w:p w14:paraId="4FE76F5D" w14:textId="77777777" w:rsidR="00ED06EC" w:rsidRDefault="00ED06EC" w:rsidP="00FE707D">
            <w:pPr>
              <w:jc w:val="left"/>
              <w:rPr>
                <w:rFonts w:ascii="Arial Narrow" w:eastAsiaTheme="majorEastAsia" w:hAnsi="Arial Narrow" w:cstheme="majorBidi"/>
                <w:bCs/>
                <w:sz w:val="20"/>
              </w:rPr>
            </w:pPr>
            <w:r w:rsidRPr="00E71A9B">
              <w:rPr>
                <w:rFonts w:ascii="Arial Narrow" w:eastAsiaTheme="majorEastAsia" w:hAnsi="Arial Narrow" w:cstheme="majorBidi"/>
                <w:bCs/>
                <w:sz w:val="20"/>
              </w:rPr>
              <w:t xml:space="preserve">(a) an active joint count of at least 20 active (swollen and tender) joints; </w:t>
            </w:r>
          </w:p>
          <w:p w14:paraId="7CA83041" w14:textId="77777777" w:rsidR="00ED06EC" w:rsidRPr="00E71A9B" w:rsidRDefault="00ED06EC" w:rsidP="00FE707D">
            <w:pPr>
              <w:jc w:val="left"/>
              <w:rPr>
                <w:rFonts w:ascii="Arial Narrow" w:eastAsiaTheme="majorEastAsia" w:hAnsi="Arial Narrow" w:cstheme="majorBidi"/>
                <w:bCs/>
                <w:sz w:val="20"/>
              </w:rPr>
            </w:pPr>
            <w:r w:rsidRPr="00E71A9B">
              <w:rPr>
                <w:rFonts w:ascii="Arial Narrow" w:eastAsiaTheme="majorEastAsia" w:hAnsi="Arial Narrow" w:cstheme="majorBidi"/>
                <w:bCs/>
                <w:sz w:val="20"/>
              </w:rPr>
              <w:t>OR</w:t>
            </w:r>
          </w:p>
          <w:p w14:paraId="5B5015EA" w14:textId="77777777" w:rsidR="00ED06EC" w:rsidRPr="00E71A9B" w:rsidRDefault="00ED06EC" w:rsidP="00FE707D">
            <w:pPr>
              <w:jc w:val="left"/>
              <w:rPr>
                <w:rFonts w:ascii="Arial Narrow" w:eastAsiaTheme="majorEastAsia" w:hAnsi="Arial Narrow" w:cstheme="majorBidi"/>
                <w:bCs/>
                <w:sz w:val="20"/>
              </w:rPr>
            </w:pPr>
            <w:r w:rsidRPr="00E71A9B">
              <w:rPr>
                <w:rFonts w:ascii="Arial Narrow" w:eastAsiaTheme="majorEastAsia" w:hAnsi="Arial Narrow" w:cstheme="majorBidi"/>
                <w:bCs/>
                <w:sz w:val="20"/>
              </w:rPr>
              <w:t>(b) at least 4 active joints from the following list:</w:t>
            </w:r>
          </w:p>
          <w:p w14:paraId="2A6585DB" w14:textId="77777777" w:rsidR="00ED06EC" w:rsidRDefault="00ED06EC" w:rsidP="00FE707D">
            <w:pPr>
              <w:jc w:val="left"/>
              <w:rPr>
                <w:rFonts w:ascii="Arial Narrow" w:eastAsiaTheme="majorEastAsia" w:hAnsi="Arial Narrow" w:cstheme="majorBidi"/>
                <w:bCs/>
                <w:sz w:val="20"/>
              </w:rPr>
            </w:pPr>
            <w:r w:rsidRPr="00E71A9B">
              <w:rPr>
                <w:rFonts w:ascii="Arial Narrow" w:eastAsiaTheme="majorEastAsia" w:hAnsi="Arial Narrow" w:cstheme="majorBidi"/>
                <w:bCs/>
                <w:sz w:val="20"/>
              </w:rPr>
              <w:t xml:space="preserve">(i) elbow, wrist, knee and/or ankle (assessed as swollen and tender); </w:t>
            </w:r>
          </w:p>
          <w:p w14:paraId="13CCDFDA" w14:textId="77777777" w:rsidR="00ED06EC" w:rsidRPr="00E71A9B" w:rsidRDefault="00ED06EC" w:rsidP="00FE707D">
            <w:pPr>
              <w:jc w:val="left"/>
              <w:rPr>
                <w:rFonts w:ascii="Arial Narrow" w:eastAsiaTheme="majorEastAsia" w:hAnsi="Arial Narrow" w:cstheme="majorBidi"/>
                <w:bCs/>
                <w:sz w:val="20"/>
              </w:rPr>
            </w:pPr>
            <w:r w:rsidRPr="00E71A9B">
              <w:rPr>
                <w:rFonts w:ascii="Arial Narrow" w:eastAsiaTheme="majorEastAsia" w:hAnsi="Arial Narrow" w:cstheme="majorBidi"/>
                <w:bCs/>
                <w:sz w:val="20"/>
              </w:rPr>
              <w:t>and/or</w:t>
            </w:r>
          </w:p>
          <w:p w14:paraId="35B47800" w14:textId="77777777" w:rsidR="00ED06EC" w:rsidRDefault="00ED06EC" w:rsidP="00FE707D">
            <w:pPr>
              <w:jc w:val="left"/>
              <w:rPr>
                <w:rFonts w:ascii="Arial Narrow" w:eastAsiaTheme="majorEastAsia" w:hAnsi="Arial Narrow" w:cstheme="majorBidi"/>
                <w:bCs/>
                <w:sz w:val="20"/>
              </w:rPr>
            </w:pPr>
            <w:r w:rsidRPr="00E71A9B">
              <w:rPr>
                <w:rFonts w:ascii="Arial Narrow" w:eastAsiaTheme="majorEastAsia" w:hAnsi="Arial Narrow" w:cstheme="majorBidi"/>
                <w:bCs/>
                <w:sz w:val="20"/>
              </w:rPr>
              <w:t>(ii) shoulder, cervical spine and/or hip (assessed as pain in passive movement and restriction of passive movement, where pain and limitation of movement are due to active disease and not irreversible damage such as joint destruction or bony overgrowth).</w:t>
            </w:r>
          </w:p>
          <w:p w14:paraId="676C6E9D" w14:textId="77777777" w:rsidR="00ED06EC" w:rsidRPr="00E71A9B" w:rsidRDefault="00ED06EC" w:rsidP="00FE707D">
            <w:pPr>
              <w:jc w:val="left"/>
              <w:rPr>
                <w:rFonts w:ascii="Arial Narrow" w:eastAsiaTheme="majorEastAsia" w:hAnsi="Arial Narrow" w:cstheme="majorBidi"/>
                <w:bCs/>
                <w:sz w:val="20"/>
              </w:rPr>
            </w:pPr>
          </w:p>
          <w:p w14:paraId="45DC7C57" w14:textId="77777777" w:rsidR="00ED06EC" w:rsidRDefault="00ED06EC" w:rsidP="00FE707D">
            <w:pPr>
              <w:jc w:val="left"/>
              <w:rPr>
                <w:rFonts w:ascii="Arial Narrow" w:eastAsiaTheme="majorEastAsia" w:hAnsi="Arial Narrow" w:cstheme="majorBidi"/>
                <w:bCs/>
                <w:sz w:val="20"/>
              </w:rPr>
            </w:pPr>
            <w:r w:rsidRPr="00E71A9B">
              <w:rPr>
                <w:rFonts w:ascii="Arial Narrow" w:eastAsiaTheme="majorEastAsia" w:hAnsi="Arial Narrow" w:cstheme="majorBidi"/>
                <w:bCs/>
                <w:sz w:val="20"/>
              </w:rPr>
              <w:t>The joint count assessment must be performed preferably whilst still on DMARD treatment, but no longer than 4 weeks following cessation of the most recent prior treatment.</w:t>
            </w:r>
          </w:p>
          <w:p w14:paraId="369AE063" w14:textId="77777777" w:rsidR="00ED06EC" w:rsidRDefault="00ED06EC" w:rsidP="00FE707D">
            <w:pPr>
              <w:jc w:val="left"/>
              <w:rPr>
                <w:rFonts w:ascii="Arial Narrow" w:eastAsiaTheme="majorEastAsia" w:hAnsi="Arial Narrow" w:cstheme="majorBidi"/>
                <w:bCs/>
                <w:sz w:val="20"/>
              </w:rPr>
            </w:pPr>
          </w:p>
          <w:p w14:paraId="6E9EF414"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t xml:space="preserve">An assessment of a patient's response to an initial course of treatment must be conducted following a minimum of 12 weeks of therapy and no later than 4 weeks from the date of completion of the most recent course of treatment. </w:t>
            </w:r>
          </w:p>
        </w:tc>
      </w:tr>
      <w:tr w:rsidR="00ED06EC" w:rsidRPr="00A40CCE" w14:paraId="0BD4D15A"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0E500013"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Treatment phase:</w:t>
            </w:r>
          </w:p>
        </w:tc>
        <w:tc>
          <w:tcPr>
            <w:tcW w:w="4069" w:type="pct"/>
            <w:gridSpan w:val="6"/>
            <w:tcBorders>
              <w:top w:val="single" w:sz="4" w:space="0" w:color="auto"/>
              <w:left w:val="single" w:sz="4" w:space="0" w:color="auto"/>
              <w:bottom w:val="single" w:sz="4" w:space="0" w:color="auto"/>
              <w:right w:val="single" w:sz="4" w:space="0" w:color="auto"/>
            </w:tcBorders>
            <w:hideMark/>
          </w:tcPr>
          <w:p w14:paraId="2E1F8F9A"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Continuing treatment</w:t>
            </w:r>
          </w:p>
        </w:tc>
      </w:tr>
      <w:tr w:rsidR="00ED06EC" w:rsidRPr="00A40CCE" w14:paraId="6B351DD4"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7E702B54" w14:textId="77777777" w:rsidR="00ED06EC" w:rsidRPr="00A40CCE" w:rsidRDefault="00ED06EC" w:rsidP="00FE707D">
            <w:pPr>
              <w:jc w:val="left"/>
              <w:rPr>
                <w:rFonts w:ascii="Arial Narrow" w:eastAsiaTheme="majorEastAsia" w:hAnsi="Arial Narrow" w:cstheme="majorBidi"/>
                <w:bCs/>
                <w:i/>
                <w:sz w:val="20"/>
              </w:rPr>
            </w:pPr>
            <w:r w:rsidRPr="00A40CCE">
              <w:rPr>
                <w:rFonts w:ascii="Arial Narrow" w:eastAsiaTheme="majorEastAsia" w:hAnsi="Arial Narrow" w:cstheme="majorBidi"/>
                <w:b/>
                <w:bCs/>
                <w:sz w:val="20"/>
              </w:rPr>
              <w:t>Restriction:</w:t>
            </w:r>
          </w:p>
        </w:tc>
        <w:tc>
          <w:tcPr>
            <w:tcW w:w="4069" w:type="pct"/>
            <w:gridSpan w:val="6"/>
            <w:tcBorders>
              <w:top w:val="single" w:sz="4" w:space="0" w:color="auto"/>
              <w:left w:val="single" w:sz="4" w:space="0" w:color="auto"/>
              <w:bottom w:val="single" w:sz="4" w:space="0" w:color="auto"/>
              <w:right w:val="single" w:sz="4" w:space="0" w:color="auto"/>
            </w:tcBorders>
            <w:hideMark/>
          </w:tcPr>
          <w:p w14:paraId="303B3A37"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cstheme="majorBidi"/>
                <w:bCs/>
                <w:sz w:val="20"/>
              </w:rPr>
              <w:fldChar w:fldCharType="begin">
                <w:ffData>
                  <w:name w:val=""/>
                  <w:enabled/>
                  <w:calcOnExit w:val="0"/>
                  <w:checkBox>
                    <w:sizeAuto/>
                    <w:default w:val="1"/>
                  </w:checkBox>
                </w:ffData>
              </w:fldChar>
            </w:r>
            <w:r w:rsidRPr="00A40CCE">
              <w:rPr>
                <w:rFonts w:ascii="Arial Narrow" w:eastAsiaTheme="majorEastAsia" w:hAnsi="Arial Narrow" w:cstheme="majorBidi"/>
                <w:bCs/>
                <w:sz w:val="20"/>
              </w:rPr>
              <w:instrText xml:space="preserve"> FORMCHECKBOX </w:instrText>
            </w:r>
            <w:r w:rsidR="006C1D0C">
              <w:rPr>
                <w:rFonts w:ascii="Arial Narrow" w:eastAsiaTheme="majorEastAsia" w:hAnsi="Arial Narrow" w:cstheme="majorBidi"/>
                <w:bCs/>
                <w:sz w:val="20"/>
              </w:rPr>
            </w:r>
            <w:r w:rsidR="006C1D0C">
              <w:rPr>
                <w:rFonts w:ascii="Arial Narrow" w:eastAsiaTheme="majorEastAsia" w:hAnsi="Arial Narrow" w:cstheme="majorBidi"/>
                <w:bCs/>
                <w:sz w:val="20"/>
              </w:rPr>
              <w:fldChar w:fldCharType="separate"/>
            </w:r>
            <w:r w:rsidRPr="00A40CCE">
              <w:rPr>
                <w:rFonts w:ascii="Arial Narrow" w:eastAsiaTheme="majorEastAsia" w:hAnsi="Arial Narrow" w:cstheme="majorBidi"/>
                <w:bCs/>
                <w:sz w:val="20"/>
              </w:rPr>
              <w:fldChar w:fldCharType="end"/>
            </w:r>
            <w:r w:rsidRPr="00A40CCE">
              <w:rPr>
                <w:rFonts w:ascii="Arial Narrow" w:eastAsiaTheme="majorEastAsia" w:hAnsi="Arial Narrow" w:cstheme="majorBidi"/>
                <w:bCs/>
                <w:sz w:val="20"/>
              </w:rPr>
              <w:t>Authority Required - In Writing</w:t>
            </w:r>
          </w:p>
        </w:tc>
      </w:tr>
      <w:tr w:rsidR="00ED06EC" w:rsidRPr="00A40CCE" w14:paraId="374CBC14"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tcPr>
          <w:p w14:paraId="6FC643A7"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Treatment criteria:</w:t>
            </w:r>
          </w:p>
        </w:tc>
        <w:tc>
          <w:tcPr>
            <w:tcW w:w="4069" w:type="pct"/>
            <w:gridSpan w:val="6"/>
            <w:tcBorders>
              <w:top w:val="single" w:sz="4" w:space="0" w:color="auto"/>
              <w:left w:val="single" w:sz="4" w:space="0" w:color="auto"/>
              <w:bottom w:val="single" w:sz="4" w:space="0" w:color="auto"/>
              <w:right w:val="single" w:sz="4" w:space="0" w:color="auto"/>
            </w:tcBorders>
          </w:tcPr>
          <w:p w14:paraId="241E3E67" w14:textId="77777777" w:rsidR="00ED06EC" w:rsidRPr="00A40CCE" w:rsidRDefault="00ED06EC" w:rsidP="00FE707D">
            <w:pPr>
              <w:jc w:val="left"/>
              <w:rPr>
                <w:rFonts w:ascii="Arial Narrow" w:eastAsiaTheme="majorEastAsia" w:hAnsi="Arial Narrow" w:cstheme="majorBidi"/>
                <w:bCs/>
                <w:sz w:val="20"/>
              </w:rPr>
            </w:pPr>
            <w:r w:rsidRPr="00A40CCE">
              <w:rPr>
                <w:rFonts w:ascii="Arial Narrow" w:eastAsiaTheme="majorEastAsia" w:hAnsi="Arial Narrow"/>
                <w:bCs/>
                <w:sz w:val="20"/>
              </w:rPr>
              <w:t>Must be treated by a rheumatologist OR undergoing treatment under the supervision of a paediatric rheumatology treatment centre.</w:t>
            </w:r>
          </w:p>
        </w:tc>
      </w:tr>
      <w:tr w:rsidR="00ED06EC" w:rsidRPr="00A40CCE" w14:paraId="3A859F82" w14:textId="77777777" w:rsidTr="00D04AA0">
        <w:tblPrEx>
          <w:tblBorders>
            <w:top w:val="none" w:sz="0" w:space="0" w:color="auto"/>
            <w:bottom w:val="none" w:sz="0" w:space="0" w:color="auto"/>
            <w:insideH w:val="none" w:sz="0" w:space="0" w:color="auto"/>
          </w:tblBorders>
        </w:tblPrEx>
        <w:trPr>
          <w:trHeight w:val="267"/>
        </w:trPr>
        <w:tc>
          <w:tcPr>
            <w:tcW w:w="931" w:type="pct"/>
            <w:tcBorders>
              <w:top w:val="single" w:sz="4" w:space="0" w:color="auto"/>
              <w:left w:val="single" w:sz="4" w:space="0" w:color="auto"/>
              <w:bottom w:val="single" w:sz="4" w:space="0" w:color="auto"/>
              <w:right w:val="single" w:sz="4" w:space="0" w:color="auto"/>
            </w:tcBorders>
            <w:hideMark/>
          </w:tcPr>
          <w:p w14:paraId="15D809C2"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Clinical criteria:</w:t>
            </w:r>
          </w:p>
        </w:tc>
        <w:tc>
          <w:tcPr>
            <w:tcW w:w="4069" w:type="pct"/>
            <w:gridSpan w:val="6"/>
            <w:tcBorders>
              <w:top w:val="single" w:sz="4" w:space="0" w:color="auto"/>
              <w:left w:val="single" w:sz="4" w:space="0" w:color="auto"/>
              <w:bottom w:val="single" w:sz="4" w:space="0" w:color="auto"/>
              <w:right w:val="single" w:sz="4" w:space="0" w:color="auto"/>
            </w:tcBorders>
            <w:hideMark/>
          </w:tcPr>
          <w:p w14:paraId="1BFB1DB0" w14:textId="77777777" w:rsidR="00ED06EC" w:rsidRPr="00A40CCE" w:rsidRDefault="00ED06EC" w:rsidP="00FE707D">
            <w:pPr>
              <w:jc w:val="left"/>
              <w:rPr>
                <w:rFonts w:ascii="Arial Narrow" w:eastAsiaTheme="majorEastAsia" w:hAnsi="Arial Narrow"/>
                <w:bCs/>
                <w:sz w:val="20"/>
                <w:szCs w:val="20"/>
              </w:rPr>
            </w:pPr>
            <w:r w:rsidRPr="00A40CCE">
              <w:rPr>
                <w:rFonts w:ascii="Arial Narrow" w:eastAsiaTheme="majorEastAsia" w:hAnsi="Arial Narrow"/>
                <w:bCs/>
                <w:sz w:val="20"/>
                <w:szCs w:val="20"/>
              </w:rPr>
              <w:t>Patient must have received this drug as their most recent course of PBS-subsidised biological medicine treatment for this condition,</w:t>
            </w:r>
          </w:p>
          <w:p w14:paraId="0BAEA3FC" w14:textId="77777777" w:rsidR="00ED06EC" w:rsidRPr="00A40CCE" w:rsidRDefault="00ED06EC" w:rsidP="00FE707D">
            <w:pPr>
              <w:jc w:val="left"/>
              <w:rPr>
                <w:rFonts w:ascii="Arial Narrow" w:eastAsiaTheme="majorEastAsia" w:hAnsi="Arial Narrow"/>
                <w:bCs/>
                <w:sz w:val="20"/>
                <w:szCs w:val="20"/>
              </w:rPr>
            </w:pPr>
            <w:r w:rsidRPr="00A40CCE">
              <w:rPr>
                <w:rFonts w:ascii="Arial Narrow" w:eastAsiaTheme="majorEastAsia" w:hAnsi="Arial Narrow"/>
                <w:bCs/>
                <w:sz w:val="20"/>
                <w:szCs w:val="20"/>
              </w:rPr>
              <w:t>AND</w:t>
            </w:r>
          </w:p>
          <w:p w14:paraId="45D5B31E" w14:textId="77777777" w:rsidR="00ED06EC" w:rsidRPr="00A40CCE" w:rsidRDefault="00ED06EC" w:rsidP="00FE707D">
            <w:pPr>
              <w:jc w:val="left"/>
              <w:rPr>
                <w:rFonts w:ascii="Arial Narrow" w:eastAsiaTheme="majorEastAsia" w:hAnsi="Arial Narrow"/>
                <w:bCs/>
                <w:sz w:val="20"/>
                <w:szCs w:val="20"/>
              </w:rPr>
            </w:pPr>
            <w:r w:rsidRPr="00A40CCE">
              <w:rPr>
                <w:rFonts w:ascii="Arial Narrow" w:eastAsiaTheme="majorEastAsia" w:hAnsi="Arial Narrow"/>
                <w:bCs/>
                <w:sz w:val="20"/>
                <w:szCs w:val="20"/>
              </w:rPr>
              <w:t>Patient must have demonstrated an adequate response to treatment with this drug,</w:t>
            </w:r>
          </w:p>
          <w:p w14:paraId="3245650F" w14:textId="77777777" w:rsidR="00ED06EC" w:rsidRPr="00A40CCE" w:rsidRDefault="00ED06EC" w:rsidP="00FE707D">
            <w:pPr>
              <w:jc w:val="left"/>
              <w:rPr>
                <w:rFonts w:ascii="Arial Narrow" w:eastAsiaTheme="majorEastAsia" w:hAnsi="Arial Narrow"/>
                <w:bCs/>
                <w:sz w:val="20"/>
                <w:szCs w:val="20"/>
              </w:rPr>
            </w:pPr>
            <w:r w:rsidRPr="00A40CCE">
              <w:rPr>
                <w:rFonts w:ascii="Arial Narrow" w:eastAsiaTheme="majorEastAsia" w:hAnsi="Arial Narrow"/>
                <w:bCs/>
                <w:sz w:val="20"/>
                <w:szCs w:val="20"/>
              </w:rPr>
              <w:t>AND</w:t>
            </w:r>
          </w:p>
          <w:p w14:paraId="2B42BE27" w14:textId="77777777" w:rsidR="00ED06EC" w:rsidRPr="00A40CCE" w:rsidRDefault="00ED06EC" w:rsidP="00FE707D">
            <w:pPr>
              <w:rPr>
                <w:rFonts w:ascii="Arial Narrow" w:hAnsi="Arial Narrow"/>
                <w:sz w:val="18"/>
                <w:szCs w:val="18"/>
              </w:rPr>
            </w:pPr>
            <w:r w:rsidRPr="00A40CCE">
              <w:rPr>
                <w:rFonts w:ascii="Arial Narrow" w:hAnsi="Arial Narrow"/>
                <w:sz w:val="20"/>
                <w:szCs w:val="20"/>
              </w:rPr>
              <w:t>Patient must not receive more than 24 weeks of treatment per continuing treatment course authorised under this restriction.</w:t>
            </w:r>
          </w:p>
        </w:tc>
      </w:tr>
      <w:tr w:rsidR="00ED06EC" w:rsidRPr="00A40CCE" w14:paraId="1FA13742" w14:textId="77777777" w:rsidTr="00D04AA0">
        <w:tblPrEx>
          <w:tblBorders>
            <w:top w:val="none" w:sz="0" w:space="0" w:color="auto"/>
            <w:bottom w:val="none" w:sz="0" w:space="0" w:color="auto"/>
            <w:insideH w:val="none" w:sz="0" w:space="0" w:color="auto"/>
          </w:tblBorders>
        </w:tblPrEx>
        <w:tc>
          <w:tcPr>
            <w:tcW w:w="931" w:type="pct"/>
            <w:tcBorders>
              <w:top w:val="single" w:sz="4" w:space="0" w:color="auto"/>
              <w:left w:val="single" w:sz="4" w:space="0" w:color="auto"/>
              <w:bottom w:val="single" w:sz="4" w:space="0" w:color="auto"/>
              <w:right w:val="single" w:sz="4" w:space="0" w:color="auto"/>
            </w:tcBorders>
            <w:hideMark/>
          </w:tcPr>
          <w:p w14:paraId="334500B0" w14:textId="77777777" w:rsidR="00ED06EC" w:rsidRPr="00A40CCE" w:rsidRDefault="00ED06EC" w:rsidP="00FE707D">
            <w:pPr>
              <w:jc w:val="left"/>
              <w:rPr>
                <w:rFonts w:ascii="Arial Narrow" w:eastAsiaTheme="majorEastAsia" w:hAnsi="Arial Narrow" w:cstheme="majorBidi"/>
                <w:b/>
                <w:bCs/>
                <w:sz w:val="20"/>
              </w:rPr>
            </w:pPr>
            <w:r w:rsidRPr="00A40CCE">
              <w:rPr>
                <w:rFonts w:ascii="Arial Narrow" w:eastAsiaTheme="majorEastAsia" w:hAnsi="Arial Narrow" w:cstheme="majorBidi"/>
                <w:b/>
                <w:bCs/>
                <w:sz w:val="20"/>
              </w:rPr>
              <w:t>Prescriber Instructions:</w:t>
            </w:r>
          </w:p>
        </w:tc>
        <w:tc>
          <w:tcPr>
            <w:tcW w:w="4069" w:type="pct"/>
            <w:gridSpan w:val="6"/>
            <w:tcBorders>
              <w:top w:val="single" w:sz="4" w:space="0" w:color="auto"/>
              <w:left w:val="single" w:sz="4" w:space="0" w:color="auto"/>
              <w:bottom w:val="single" w:sz="4" w:space="0" w:color="auto"/>
              <w:right w:val="single" w:sz="4" w:space="0" w:color="auto"/>
            </w:tcBorders>
            <w:hideMark/>
          </w:tcPr>
          <w:p w14:paraId="79383E32" w14:textId="77777777" w:rsidR="00ED06EC" w:rsidRPr="001F0A90" w:rsidRDefault="00ED06EC" w:rsidP="00FE707D">
            <w:pPr>
              <w:jc w:val="left"/>
              <w:rPr>
                <w:rFonts w:ascii="Arial Narrow" w:eastAsiaTheme="majorEastAsia" w:hAnsi="Arial Narrow" w:cstheme="majorBidi"/>
                <w:bCs/>
                <w:sz w:val="20"/>
              </w:rPr>
            </w:pPr>
            <w:r w:rsidRPr="001F0A90">
              <w:rPr>
                <w:rFonts w:ascii="Arial Narrow" w:eastAsiaTheme="majorEastAsia" w:hAnsi="Arial Narrow" w:cstheme="majorBidi"/>
                <w:bCs/>
                <w:sz w:val="20"/>
              </w:rPr>
              <w:t>An adequate response to treatment is defined as:</w:t>
            </w:r>
          </w:p>
          <w:p w14:paraId="7DB6F155" w14:textId="77777777" w:rsidR="00ED06EC" w:rsidRDefault="00ED06EC" w:rsidP="00FE707D">
            <w:pPr>
              <w:jc w:val="left"/>
              <w:rPr>
                <w:rFonts w:ascii="Arial Narrow" w:eastAsiaTheme="majorEastAsia" w:hAnsi="Arial Narrow" w:cstheme="majorBidi"/>
                <w:bCs/>
                <w:sz w:val="20"/>
              </w:rPr>
            </w:pPr>
            <w:r w:rsidRPr="001F0A90">
              <w:rPr>
                <w:rFonts w:ascii="Arial Narrow" w:eastAsiaTheme="majorEastAsia" w:hAnsi="Arial Narrow" w:cstheme="majorBidi"/>
                <w:bCs/>
                <w:sz w:val="20"/>
              </w:rPr>
              <w:t xml:space="preserve">(a) a reduction in the total active (swollen and tender) joint count by at least 50% from baseline, where baseline is at least 20 active joints; </w:t>
            </w:r>
          </w:p>
          <w:p w14:paraId="6E553CBE" w14:textId="77777777" w:rsidR="00ED06EC" w:rsidRPr="001F0A90" w:rsidRDefault="00ED06EC" w:rsidP="00FE707D">
            <w:pPr>
              <w:jc w:val="left"/>
              <w:rPr>
                <w:rFonts w:ascii="Arial Narrow" w:eastAsiaTheme="majorEastAsia" w:hAnsi="Arial Narrow" w:cstheme="majorBidi"/>
                <w:bCs/>
                <w:sz w:val="20"/>
              </w:rPr>
            </w:pPr>
            <w:r>
              <w:rPr>
                <w:rFonts w:ascii="Arial Narrow" w:eastAsiaTheme="majorEastAsia" w:hAnsi="Arial Narrow" w:cstheme="majorBidi"/>
                <w:bCs/>
                <w:sz w:val="20"/>
              </w:rPr>
              <w:t>OR</w:t>
            </w:r>
          </w:p>
          <w:p w14:paraId="57083065" w14:textId="77777777" w:rsidR="00ED06EC" w:rsidRPr="001F0A90" w:rsidRDefault="00ED06EC" w:rsidP="00FE707D">
            <w:pPr>
              <w:jc w:val="left"/>
              <w:rPr>
                <w:rFonts w:ascii="Arial Narrow" w:eastAsiaTheme="majorEastAsia" w:hAnsi="Arial Narrow" w:cstheme="majorBidi"/>
                <w:bCs/>
                <w:sz w:val="20"/>
              </w:rPr>
            </w:pPr>
            <w:r w:rsidRPr="001F0A90">
              <w:rPr>
                <w:rFonts w:ascii="Arial Narrow" w:eastAsiaTheme="majorEastAsia" w:hAnsi="Arial Narrow" w:cstheme="majorBidi"/>
                <w:bCs/>
                <w:sz w:val="20"/>
              </w:rPr>
              <w:t>(b) a reduction in the number of the following active joints, from at least 4, by at least 50%:</w:t>
            </w:r>
          </w:p>
          <w:p w14:paraId="703577C4" w14:textId="77777777" w:rsidR="00ED06EC" w:rsidRPr="001F0A90" w:rsidRDefault="00ED06EC" w:rsidP="00FE707D">
            <w:pPr>
              <w:jc w:val="left"/>
              <w:rPr>
                <w:rFonts w:ascii="Arial Narrow" w:eastAsiaTheme="majorEastAsia" w:hAnsi="Arial Narrow" w:cstheme="majorBidi"/>
                <w:bCs/>
                <w:sz w:val="20"/>
              </w:rPr>
            </w:pPr>
            <w:r w:rsidRPr="001F0A90">
              <w:rPr>
                <w:rFonts w:ascii="Arial Narrow" w:eastAsiaTheme="majorEastAsia" w:hAnsi="Arial Narrow" w:cstheme="majorBidi"/>
                <w:bCs/>
                <w:sz w:val="20"/>
              </w:rPr>
              <w:t>(i) elbow, wrist, knee and/or ankle (assessed as swollen and tender); and/or</w:t>
            </w:r>
          </w:p>
          <w:p w14:paraId="4E409BAE" w14:textId="77777777" w:rsidR="00ED06EC" w:rsidRPr="00A40CCE" w:rsidRDefault="00ED06EC" w:rsidP="00FE707D">
            <w:pPr>
              <w:jc w:val="left"/>
              <w:rPr>
                <w:rFonts w:ascii="Arial Narrow" w:eastAsiaTheme="majorEastAsia" w:hAnsi="Arial Narrow" w:cstheme="majorBidi"/>
                <w:bCs/>
                <w:sz w:val="20"/>
              </w:rPr>
            </w:pPr>
            <w:r w:rsidRPr="001F0A90">
              <w:rPr>
                <w:rFonts w:ascii="Arial Narrow" w:eastAsiaTheme="majorEastAsia" w:hAnsi="Arial Narrow" w:cstheme="majorBidi"/>
                <w:bCs/>
                <w:sz w:val="20"/>
              </w:rPr>
              <w:t>(ii) shoulder, cervical spine and/or hip (assessed as pain in passive movement and restriction of passive movement, where pain and limitation of movement are due to active disease and not irreversible damage such as joint destruction or bony overgrowth).</w:t>
            </w:r>
          </w:p>
        </w:tc>
      </w:tr>
    </w:tbl>
    <w:p w14:paraId="18E96141" w14:textId="77777777" w:rsidR="00ED06EC" w:rsidRPr="00A40CCE" w:rsidRDefault="00ED06EC" w:rsidP="00ED06EC">
      <w:pPr>
        <w:spacing w:after="120"/>
        <w:contextualSpacing/>
        <w:rPr>
          <w:rFonts w:ascii="Arial Narrow" w:hAnsi="Arial Narrow"/>
          <w:snapToGrid w:val="0"/>
          <w:sz w:val="18"/>
          <w:szCs w:val="22"/>
        </w:rPr>
      </w:pPr>
      <w:r w:rsidRPr="00A40CCE">
        <w:rPr>
          <w:rFonts w:ascii="Arial Narrow" w:hAnsi="Arial Narrow"/>
          <w:snapToGrid w:val="0"/>
          <w:sz w:val="18"/>
          <w:szCs w:val="22"/>
        </w:rPr>
        <w:t xml:space="preserve">Source: Tables 1-9 and 1-10, pp15-20 of the submission. </w:t>
      </w:r>
    </w:p>
    <w:p w14:paraId="4C44AD44" w14:textId="0F57180E" w:rsidR="00ED06EC" w:rsidRPr="00A40CCE" w:rsidRDefault="00ED06EC" w:rsidP="00ED06EC">
      <w:pPr>
        <w:spacing w:after="120"/>
        <w:contextualSpacing/>
        <w:rPr>
          <w:rFonts w:ascii="Arial Narrow" w:hAnsi="Arial Narrow"/>
          <w:snapToGrid w:val="0"/>
          <w:sz w:val="18"/>
          <w:szCs w:val="22"/>
        </w:rPr>
      </w:pPr>
      <w:r w:rsidRPr="00A40CCE">
        <w:rPr>
          <w:rFonts w:ascii="Arial Narrow" w:hAnsi="Arial Narrow"/>
          <w:snapToGrid w:val="0"/>
          <w:sz w:val="18"/>
          <w:szCs w:val="22"/>
        </w:rPr>
        <w:t>bDMARDs=biological disease modifying anti-rheumatic drugs.</w:t>
      </w:r>
    </w:p>
    <w:bookmarkEnd w:id="9"/>
    <w:p w14:paraId="030EB613" w14:textId="093F7A47" w:rsidR="00FE707D" w:rsidRDefault="00FE707D" w:rsidP="00C27CD2">
      <w:pPr>
        <w:pStyle w:val="3-BodyText"/>
      </w:pPr>
      <w:r w:rsidRPr="00C27CD2">
        <w:t xml:space="preserve">For patients weighing </w:t>
      </w:r>
      <w:r w:rsidRPr="00C27CD2">
        <w:rPr>
          <w:rFonts w:cs="Calibri"/>
        </w:rPr>
        <w:t>≥</w:t>
      </w:r>
      <w:r w:rsidRPr="00C27CD2">
        <w:t>40</w:t>
      </w:r>
      <w:r w:rsidR="0029670A">
        <w:t xml:space="preserve"> </w:t>
      </w:r>
      <w:r w:rsidRPr="00C27CD2">
        <w:t>kg and able to swallow tablets, the requested quantit</w:t>
      </w:r>
      <w:r w:rsidR="00C27CD2" w:rsidRPr="00C27CD2">
        <w:t>y</w:t>
      </w:r>
      <w:r w:rsidRPr="00C27CD2">
        <w:t>/repeats for the tablets permit 16 weeks of initial treatment and 24 weeks of continuing treatment. For other patients requiring the oral solution formulation (e.g. &lt;40</w:t>
      </w:r>
      <w:r w:rsidR="0029670A">
        <w:t xml:space="preserve"> </w:t>
      </w:r>
      <w:r w:rsidRPr="00C27CD2">
        <w:t xml:space="preserve">kg or </w:t>
      </w:r>
      <w:r w:rsidRPr="00C27CD2">
        <w:rPr>
          <w:rFonts w:cs="Calibri"/>
        </w:rPr>
        <w:t>≥</w:t>
      </w:r>
      <w:r w:rsidRPr="00C27CD2">
        <w:t>40</w:t>
      </w:r>
      <w:r w:rsidR="0029670A">
        <w:t xml:space="preserve"> </w:t>
      </w:r>
      <w:r w:rsidRPr="00C27CD2">
        <w:t>kg and unable to swallow tablets), the requested quantit</w:t>
      </w:r>
      <w:r w:rsidR="00C27CD2" w:rsidRPr="00C27CD2">
        <w:t>y</w:t>
      </w:r>
      <w:r w:rsidRPr="00C27CD2">
        <w:t>/repeats for the oral solution permit between 13.7 to 21.4 weeks of initial treatment and 20.6 to 32.1 weeks of continuing treatment depending on patient weight</w:t>
      </w:r>
      <w:r w:rsidRPr="00C27CD2">
        <w:rPr>
          <w:rStyle w:val="FootnoteReference"/>
        </w:rPr>
        <w:footnoteReference w:id="1"/>
      </w:r>
      <w:r w:rsidRPr="00C27CD2">
        <w:t>.</w:t>
      </w:r>
      <w:r w:rsidR="00C27CD2" w:rsidRPr="00C27CD2">
        <w:t xml:space="preserve"> A dose reduction is required in patients with renal impairment (eGFR &lt;50</w:t>
      </w:r>
      <w:r w:rsidR="001C7680">
        <w:t> mL</w:t>
      </w:r>
      <w:r w:rsidR="00C27CD2" w:rsidRPr="00C27CD2">
        <w:t xml:space="preserve">/min) and moderate hepatic impairment, </w:t>
      </w:r>
      <w:r w:rsidR="000A21FC">
        <w:t xml:space="preserve">with </w:t>
      </w:r>
      <w:r w:rsidR="00C27CD2" w:rsidRPr="00C27CD2">
        <w:t>half the total daily dose recommended.</w:t>
      </w:r>
    </w:p>
    <w:p w14:paraId="666CD7DB" w14:textId="0FFC4C85" w:rsidR="002E22CD" w:rsidRDefault="00105962" w:rsidP="00F90908">
      <w:pPr>
        <w:pStyle w:val="3-BodyText"/>
      </w:pPr>
      <w:r>
        <w:t>The submission requested a General Schedule listing.</w:t>
      </w:r>
      <w:r w:rsidR="002A4C23">
        <w:t xml:space="preserve"> </w:t>
      </w:r>
      <w:r w:rsidR="00F6538C">
        <w:t>In March 2019, t</w:t>
      </w:r>
      <w:r w:rsidR="00624EA0">
        <w:t xml:space="preserve">he PBAC recommended TOC SC injection for severe active JIA with a </w:t>
      </w:r>
      <w:r>
        <w:t>General Schedule</w:t>
      </w:r>
      <w:r w:rsidR="00624EA0">
        <w:t xml:space="preserve"> listing, but other treatments administered via SC injection (i.e. ADA and ETN) are still</w:t>
      </w:r>
      <w:r>
        <w:t xml:space="preserve"> in</w:t>
      </w:r>
      <w:r w:rsidR="00624EA0">
        <w:t xml:space="preserve"> Section 100</w:t>
      </w:r>
      <w:r w:rsidR="00EB3B5C">
        <w:t>, due to the PBS Reform arrangements</w:t>
      </w:r>
      <w:r w:rsidR="00D252A3">
        <w:t>.</w:t>
      </w:r>
      <w:r w:rsidR="00EB3B5C">
        <w:t xml:space="preserve"> The PBS Reform arrangements allow public hospitals to prescribe and dispense PBS medicines from the General Schedule and Section 100 (Efficient Funding of Chemotherapy) to eligible patients, up to one month supply (this does not apply in </w:t>
      </w:r>
      <w:r w:rsidR="00EB3B5C" w:rsidRPr="006E2656">
        <w:rPr>
          <w:iCs/>
        </w:rPr>
        <w:t>non-PBS reform states i.e., NSW and ACT</w:t>
      </w:r>
      <w:r w:rsidR="00EB3B5C">
        <w:rPr>
          <w:iCs/>
        </w:rPr>
        <w:t>).</w:t>
      </w:r>
      <w:r w:rsidR="004A5EDA">
        <w:t xml:space="preserve"> </w:t>
      </w:r>
      <w:r w:rsidR="004A5EDA" w:rsidRPr="00F00DB9">
        <w:rPr>
          <w:iCs/>
        </w:rPr>
        <w:t xml:space="preserve">The </w:t>
      </w:r>
      <w:r w:rsidR="00475E25" w:rsidRPr="00475E25">
        <w:rPr>
          <w:iCs/>
        </w:rPr>
        <w:t xml:space="preserve">Pre-Sub-Committee Response </w:t>
      </w:r>
      <w:r w:rsidR="00475E25">
        <w:rPr>
          <w:iCs/>
        </w:rPr>
        <w:t>(</w:t>
      </w:r>
      <w:r w:rsidR="004A5EDA" w:rsidRPr="00F00DB9">
        <w:rPr>
          <w:iCs/>
        </w:rPr>
        <w:t>PSCR</w:t>
      </w:r>
      <w:r w:rsidR="00475E25">
        <w:rPr>
          <w:iCs/>
        </w:rPr>
        <w:t>)</w:t>
      </w:r>
      <w:r w:rsidR="009055D0" w:rsidRPr="00F00DB9">
        <w:rPr>
          <w:iCs/>
        </w:rPr>
        <w:t xml:space="preserve"> </w:t>
      </w:r>
      <w:r w:rsidR="004A5EDA" w:rsidRPr="00F00DB9">
        <w:rPr>
          <w:iCs/>
        </w:rPr>
        <w:t>state</w:t>
      </w:r>
      <w:r w:rsidR="002855AE" w:rsidRPr="00F00DB9">
        <w:rPr>
          <w:iCs/>
        </w:rPr>
        <w:t>d</w:t>
      </w:r>
      <w:r w:rsidR="004A5EDA" w:rsidRPr="00F00DB9">
        <w:rPr>
          <w:iCs/>
        </w:rPr>
        <w:t xml:space="preserve"> that </w:t>
      </w:r>
      <w:r w:rsidR="00376267" w:rsidRPr="00F00DB9">
        <w:rPr>
          <w:iCs/>
        </w:rPr>
        <w:t>a General Schedule</w:t>
      </w:r>
      <w:r w:rsidR="004A5EDA" w:rsidRPr="00F00DB9">
        <w:rPr>
          <w:iCs/>
        </w:rPr>
        <w:t xml:space="preserve"> listing would enable improved access in rural and remote locations.</w:t>
      </w:r>
      <w:r w:rsidR="002C0E48" w:rsidRPr="00F00DB9">
        <w:rPr>
          <w:iCs/>
        </w:rPr>
        <w:t xml:space="preserve"> The ESC</w:t>
      </w:r>
      <w:r w:rsidR="00376267" w:rsidRPr="00F00DB9">
        <w:rPr>
          <w:iCs/>
        </w:rPr>
        <w:t xml:space="preserve"> </w:t>
      </w:r>
      <w:r w:rsidR="00020989" w:rsidRPr="00F00DB9">
        <w:rPr>
          <w:iCs/>
        </w:rPr>
        <w:t>considered</w:t>
      </w:r>
      <w:r w:rsidR="002C0E48" w:rsidRPr="00F00DB9">
        <w:rPr>
          <w:iCs/>
        </w:rPr>
        <w:t xml:space="preserve"> </w:t>
      </w:r>
      <w:r w:rsidR="00020989" w:rsidRPr="00F00DB9">
        <w:rPr>
          <w:iCs/>
        </w:rPr>
        <w:t>the most reasonable listing schedule for TOF appeared to be the General Schedule.</w:t>
      </w:r>
    </w:p>
    <w:p w14:paraId="080506CE" w14:textId="15509114" w:rsidR="00E4060E" w:rsidRPr="006E2656" w:rsidRDefault="00E4060E" w:rsidP="00E7533B">
      <w:pPr>
        <w:pStyle w:val="3-BodyText"/>
        <w:rPr>
          <w:iCs/>
        </w:rPr>
      </w:pPr>
      <w:r w:rsidRPr="006E2656">
        <w:rPr>
          <w:iCs/>
        </w:rPr>
        <w:t xml:space="preserve">The variable weight-based dosing regimen leads to a wide variation in treatment durations with the oral solution by patient weight. </w:t>
      </w:r>
      <w:r w:rsidR="00CF33BC" w:rsidRPr="006E2656">
        <w:rPr>
          <w:iCs/>
        </w:rPr>
        <w:t xml:space="preserve">The requested maximum number of repeats provides less than 16/24 weeks of initial/continuing treatment for patients </w:t>
      </w:r>
      <w:r w:rsidR="00CF33BC" w:rsidRPr="006E2656">
        <w:rPr>
          <w:rFonts w:cstheme="minorHAnsi"/>
          <w:iCs/>
        </w:rPr>
        <w:t>≥</w:t>
      </w:r>
      <w:r w:rsidR="00CF33BC" w:rsidRPr="006E2656">
        <w:rPr>
          <w:iCs/>
        </w:rPr>
        <w:t xml:space="preserve"> 40 kg, and more than 16/24 weeks of initial/continuing treatment for patients &lt; 40 kg</w:t>
      </w:r>
      <w:r w:rsidRPr="006E2656">
        <w:rPr>
          <w:iCs/>
        </w:rPr>
        <w:t xml:space="preserve">. </w:t>
      </w:r>
      <w:r w:rsidR="00E7533B" w:rsidRPr="006E2656">
        <w:rPr>
          <w:iCs/>
        </w:rPr>
        <w:t>Hence</w:t>
      </w:r>
      <w:r w:rsidR="00CF33BC" w:rsidRPr="006E2656">
        <w:rPr>
          <w:iCs/>
        </w:rPr>
        <w:t xml:space="preserve">, </w:t>
      </w:r>
      <w:r w:rsidRPr="006E2656">
        <w:rPr>
          <w:iCs/>
        </w:rPr>
        <w:t xml:space="preserve">it may be appropriate to </w:t>
      </w:r>
      <w:r w:rsidR="00243BE9" w:rsidRPr="006E2656">
        <w:rPr>
          <w:iCs/>
        </w:rPr>
        <w:t xml:space="preserve">include an administrative note stating the appropriate number of repeats for the oral liquid </w:t>
      </w:r>
      <w:r w:rsidR="00E7533B" w:rsidRPr="006E2656">
        <w:rPr>
          <w:iCs/>
        </w:rPr>
        <w:t xml:space="preserve">should be based on </w:t>
      </w:r>
      <w:r w:rsidR="00243BE9" w:rsidRPr="006E2656">
        <w:rPr>
          <w:iCs/>
        </w:rPr>
        <w:t>the weight-based table</w:t>
      </w:r>
      <w:r w:rsidR="00CF33BC" w:rsidRPr="006E2656">
        <w:rPr>
          <w:iCs/>
        </w:rPr>
        <w:t xml:space="preserve"> in the approve Product Information</w:t>
      </w:r>
      <w:r w:rsidR="00243BE9" w:rsidRPr="006E2656">
        <w:rPr>
          <w:iCs/>
        </w:rPr>
        <w:t xml:space="preserve">, </w:t>
      </w:r>
      <w:r w:rsidRPr="006E2656">
        <w:rPr>
          <w:iCs/>
        </w:rPr>
        <w:t>for example:</w:t>
      </w:r>
    </w:p>
    <w:p w14:paraId="43E2C542" w14:textId="4C32C947" w:rsidR="00E4060E" w:rsidRPr="006E2656" w:rsidRDefault="00E4060E" w:rsidP="007C309F">
      <w:pPr>
        <w:pStyle w:val="3-BodyText"/>
        <w:numPr>
          <w:ilvl w:val="0"/>
          <w:numId w:val="13"/>
        </w:numPr>
        <w:rPr>
          <w:iCs/>
        </w:rPr>
      </w:pPr>
      <w:r w:rsidRPr="006E2656">
        <w:rPr>
          <w:iCs/>
        </w:rPr>
        <w:t>10 to &lt;20</w:t>
      </w:r>
      <w:r w:rsidR="00560FB7" w:rsidRPr="006E2656">
        <w:rPr>
          <w:iCs/>
        </w:rPr>
        <w:t xml:space="preserve"> </w:t>
      </w:r>
      <w:r w:rsidRPr="006E2656">
        <w:rPr>
          <w:iCs/>
        </w:rPr>
        <w:t>kg (3.2 mg twice daily): 2</w:t>
      </w:r>
      <w:r w:rsidR="00EE0720" w:rsidRPr="006E2656">
        <w:rPr>
          <w:iCs/>
        </w:rPr>
        <w:t>/4</w:t>
      </w:r>
      <w:r w:rsidRPr="006E2656">
        <w:rPr>
          <w:iCs/>
        </w:rPr>
        <w:t xml:space="preserve"> repeats for initial</w:t>
      </w:r>
      <w:r w:rsidR="00EE0720" w:rsidRPr="006E2656">
        <w:rPr>
          <w:iCs/>
        </w:rPr>
        <w:t>/continuing</w:t>
      </w:r>
      <w:r w:rsidRPr="006E2656">
        <w:rPr>
          <w:iCs/>
        </w:rPr>
        <w:t xml:space="preserve"> treatment would permit 16.1</w:t>
      </w:r>
      <w:r w:rsidR="00EE0720" w:rsidRPr="006E2656">
        <w:rPr>
          <w:iCs/>
        </w:rPr>
        <w:t>/26.8</w:t>
      </w:r>
      <w:r w:rsidRPr="006E2656">
        <w:rPr>
          <w:iCs/>
        </w:rPr>
        <w:t xml:space="preserve"> weeks of initial</w:t>
      </w:r>
      <w:r w:rsidR="00EE0720" w:rsidRPr="006E2656">
        <w:rPr>
          <w:iCs/>
        </w:rPr>
        <w:t>/</w:t>
      </w:r>
      <w:r w:rsidRPr="006E2656">
        <w:rPr>
          <w:iCs/>
        </w:rPr>
        <w:t>continuing treatment.</w:t>
      </w:r>
    </w:p>
    <w:p w14:paraId="6DB64632" w14:textId="0786F784" w:rsidR="00E4060E" w:rsidRPr="006E2656" w:rsidRDefault="00E4060E" w:rsidP="007C309F">
      <w:pPr>
        <w:pStyle w:val="3-BodyText"/>
        <w:numPr>
          <w:ilvl w:val="0"/>
          <w:numId w:val="13"/>
        </w:numPr>
        <w:rPr>
          <w:iCs/>
        </w:rPr>
      </w:pPr>
      <w:r w:rsidRPr="006E2656">
        <w:rPr>
          <w:iCs/>
        </w:rPr>
        <w:t>20 to &lt;40 kg (4 mg twice daily): 3</w:t>
      </w:r>
      <w:r w:rsidR="00EE0720" w:rsidRPr="006E2656">
        <w:rPr>
          <w:iCs/>
        </w:rPr>
        <w:t>/</w:t>
      </w:r>
      <w:r w:rsidRPr="006E2656">
        <w:rPr>
          <w:iCs/>
        </w:rPr>
        <w:t xml:space="preserve">5 repeats for </w:t>
      </w:r>
      <w:r w:rsidR="00EE0720" w:rsidRPr="006E2656">
        <w:rPr>
          <w:iCs/>
        </w:rPr>
        <w:t>initial/</w:t>
      </w:r>
      <w:r w:rsidRPr="006E2656">
        <w:rPr>
          <w:iCs/>
        </w:rPr>
        <w:t>continuing treatment would permit 17.1</w:t>
      </w:r>
      <w:r w:rsidR="00EE0720" w:rsidRPr="006E2656">
        <w:rPr>
          <w:iCs/>
        </w:rPr>
        <w:t>/</w:t>
      </w:r>
      <w:r w:rsidRPr="006E2656">
        <w:rPr>
          <w:iCs/>
        </w:rPr>
        <w:t xml:space="preserve">25.7 weeks of </w:t>
      </w:r>
      <w:r w:rsidR="00EE0720" w:rsidRPr="006E2656">
        <w:rPr>
          <w:iCs/>
        </w:rPr>
        <w:t>initial/</w:t>
      </w:r>
      <w:r w:rsidRPr="006E2656">
        <w:rPr>
          <w:iCs/>
        </w:rPr>
        <w:t>continuing treatment.</w:t>
      </w:r>
    </w:p>
    <w:p w14:paraId="04AFE879" w14:textId="297106D9" w:rsidR="00E4060E" w:rsidRPr="006E2656" w:rsidRDefault="00E4060E" w:rsidP="007C309F">
      <w:pPr>
        <w:pStyle w:val="3-BodyText"/>
        <w:numPr>
          <w:ilvl w:val="0"/>
          <w:numId w:val="13"/>
        </w:numPr>
        <w:rPr>
          <w:iCs/>
        </w:rPr>
      </w:pPr>
      <w:r w:rsidRPr="006E2656">
        <w:rPr>
          <w:rFonts w:cstheme="minorHAnsi"/>
          <w:iCs/>
        </w:rPr>
        <w:t>≥</w:t>
      </w:r>
      <w:r w:rsidRPr="006E2656">
        <w:rPr>
          <w:iCs/>
        </w:rPr>
        <w:t>40 kg (5 mg twice daily): 4</w:t>
      </w:r>
      <w:r w:rsidR="00426A6B" w:rsidRPr="006E2656">
        <w:rPr>
          <w:iCs/>
        </w:rPr>
        <w:t>/</w:t>
      </w:r>
      <w:r w:rsidRPr="006E2656">
        <w:rPr>
          <w:iCs/>
        </w:rPr>
        <w:t xml:space="preserve">6 repeats for </w:t>
      </w:r>
      <w:r w:rsidR="00426A6B" w:rsidRPr="006E2656">
        <w:rPr>
          <w:iCs/>
        </w:rPr>
        <w:t>initial/</w:t>
      </w:r>
      <w:r w:rsidRPr="006E2656">
        <w:rPr>
          <w:iCs/>
        </w:rPr>
        <w:t>continuing treatment would permit 17.1</w:t>
      </w:r>
      <w:r w:rsidR="00426A6B" w:rsidRPr="006E2656">
        <w:rPr>
          <w:iCs/>
        </w:rPr>
        <w:t>/</w:t>
      </w:r>
      <w:r w:rsidRPr="006E2656">
        <w:rPr>
          <w:iCs/>
        </w:rPr>
        <w:t xml:space="preserve">24 weeks of </w:t>
      </w:r>
      <w:r w:rsidR="00426A6B" w:rsidRPr="006E2656">
        <w:rPr>
          <w:iCs/>
        </w:rPr>
        <w:t>initial/</w:t>
      </w:r>
      <w:r w:rsidRPr="006E2656">
        <w:rPr>
          <w:iCs/>
        </w:rPr>
        <w:t>continuing treatment.</w:t>
      </w:r>
    </w:p>
    <w:p w14:paraId="211763ED" w14:textId="5BC9897D" w:rsidR="00FE707D" w:rsidRDefault="00FE707D" w:rsidP="00560FB7">
      <w:pPr>
        <w:pStyle w:val="3-BodyText"/>
      </w:pPr>
      <w:r w:rsidRPr="00C27CD2">
        <w:rPr>
          <w:iCs/>
        </w:rPr>
        <w:t xml:space="preserve">The </w:t>
      </w:r>
      <w:r w:rsidR="00E4060E">
        <w:rPr>
          <w:iCs/>
        </w:rPr>
        <w:t>s</w:t>
      </w:r>
      <w:r w:rsidRPr="00C27CD2">
        <w:rPr>
          <w:iCs/>
        </w:rPr>
        <w:t xml:space="preserve">ponsor requested </w:t>
      </w:r>
      <w:r w:rsidR="00E4060E">
        <w:rPr>
          <w:iCs/>
        </w:rPr>
        <w:t xml:space="preserve">similar or </w:t>
      </w:r>
      <w:r w:rsidRPr="00C27CD2">
        <w:rPr>
          <w:iCs/>
        </w:rPr>
        <w:t xml:space="preserve">equivalent restriction criteria for initial and continuing treatment with TOF as </w:t>
      </w:r>
      <w:r w:rsidR="00560FB7">
        <w:rPr>
          <w:iCs/>
        </w:rPr>
        <w:t>the</w:t>
      </w:r>
      <w:r w:rsidRPr="00C27CD2">
        <w:rPr>
          <w:iCs/>
        </w:rPr>
        <w:t xml:space="preserve"> b</w:t>
      </w:r>
      <w:r w:rsidR="005E58B7">
        <w:rPr>
          <w:iCs/>
        </w:rPr>
        <w:t>DMARDs</w:t>
      </w:r>
      <w:r w:rsidR="00E437A1">
        <w:rPr>
          <w:iCs/>
        </w:rPr>
        <w:t>/tsDMARDs</w:t>
      </w:r>
      <w:r w:rsidR="005E58B7">
        <w:rPr>
          <w:iCs/>
        </w:rPr>
        <w:t xml:space="preserve"> </w:t>
      </w:r>
      <w:r w:rsidR="00560FB7">
        <w:rPr>
          <w:iCs/>
        </w:rPr>
        <w:t xml:space="preserve">currently </w:t>
      </w:r>
      <w:r w:rsidR="005E58B7">
        <w:rPr>
          <w:iCs/>
        </w:rPr>
        <w:t xml:space="preserve">listed </w:t>
      </w:r>
      <w:r w:rsidRPr="00C27CD2">
        <w:rPr>
          <w:iCs/>
        </w:rPr>
        <w:t>for severe active JIA</w:t>
      </w:r>
      <w:r w:rsidR="005E58B7">
        <w:rPr>
          <w:iCs/>
        </w:rPr>
        <w:t xml:space="preserve"> (e.g. ADA, ETN and TOC)</w:t>
      </w:r>
      <w:r w:rsidRPr="00C27CD2">
        <w:rPr>
          <w:iCs/>
        </w:rPr>
        <w:t>.</w:t>
      </w:r>
      <w:r w:rsidR="00DA1CA4">
        <w:rPr>
          <w:iCs/>
        </w:rPr>
        <w:t xml:space="preserve"> </w:t>
      </w:r>
      <w:r w:rsidR="00DA1CA4" w:rsidRPr="00A40CCE">
        <w:t xml:space="preserve">The submission stated that a grandfathering clause will be needed to allow an estimated </w:t>
      </w:r>
      <w:r w:rsidR="00B419D7">
        <w:t>&lt;500</w:t>
      </w:r>
      <w:r w:rsidR="00DA1CA4" w:rsidRPr="00A40CCE">
        <w:t xml:space="preserve"> patients from a planned </w:t>
      </w:r>
      <w:r w:rsidR="00DA1CA4">
        <w:t xml:space="preserve">patient familiarisation </w:t>
      </w:r>
      <w:r w:rsidR="00DA1CA4" w:rsidRPr="00A40CCE">
        <w:t>program to transition to PBS subsidised TOF under arrangements for continued therapy.</w:t>
      </w:r>
    </w:p>
    <w:p w14:paraId="7DA13BE7" w14:textId="2B7B0E3E" w:rsidR="00DA1CA4" w:rsidRPr="006E2656" w:rsidRDefault="0098651F" w:rsidP="004357F3">
      <w:pPr>
        <w:pStyle w:val="3-BodyText"/>
      </w:pPr>
      <w:r>
        <w:t>T</w:t>
      </w:r>
      <w:r w:rsidR="00DA1CA4" w:rsidRPr="006E2656">
        <w:t xml:space="preserve">he requested restriction criteria were similar to current treatments. </w:t>
      </w:r>
      <w:r>
        <w:t>However, t</w:t>
      </w:r>
      <w:r w:rsidR="00DA1CA4" w:rsidRPr="006E2656">
        <w:t>he clinical criteria for initial treatment is silent with respect to the maximum duration of treatment, but the balance of supply restriction states that treatment must provide no more than 16 weeks of initial treatment. The submission also</w:t>
      </w:r>
      <w:r w:rsidR="00B95E2A">
        <w:t xml:space="preserve"> included the population criterion </w:t>
      </w:r>
      <w:r w:rsidR="00B95E2A" w:rsidRPr="00A40992">
        <w:rPr>
          <w:bCs/>
          <w:iCs/>
        </w:rPr>
        <w:t>‘Patient must be under 18 years of age.’</w:t>
      </w:r>
      <w:r w:rsidR="00B95E2A">
        <w:rPr>
          <w:bCs/>
          <w:iCs/>
        </w:rPr>
        <w:t>,</w:t>
      </w:r>
      <w:r w:rsidR="004E2E07">
        <w:t xml:space="preserve"> </w:t>
      </w:r>
      <w:r w:rsidR="00B95E2A">
        <w:rPr>
          <w:bCs/>
          <w:iCs/>
        </w:rPr>
        <w:t>f</w:t>
      </w:r>
      <w:r w:rsidR="00B95E2A" w:rsidRPr="00A40992">
        <w:rPr>
          <w:bCs/>
          <w:iCs/>
        </w:rPr>
        <w:t>or consistency these have been removed from the tofacitinib restriction (with the exception of initial 1).</w:t>
      </w:r>
    </w:p>
    <w:p w14:paraId="6656A74F" w14:textId="2BD6BCC7" w:rsidR="00B91D24" w:rsidRPr="006E2656" w:rsidRDefault="00B91D24" w:rsidP="006F0FC9">
      <w:pPr>
        <w:pStyle w:val="3-BodyText"/>
      </w:pPr>
      <w:r w:rsidRPr="006E2656">
        <w:t xml:space="preserve">The sponsor requested a Special Pricing Arrangement (SPA) to maintain the current published price of TOF 5 mg tablet in other indications (i.e. DPMQ = $1211.08 for rheumatoid arthritis, psoriatic arthritis, ulcerative colitis) and an effective price based on a cost-minimisation </w:t>
      </w:r>
      <w:r w:rsidR="006F0FC9" w:rsidRPr="006E2656">
        <w:t>approach</w:t>
      </w:r>
      <w:r w:rsidRPr="006E2656">
        <w:t xml:space="preserve"> to ADA (</w:t>
      </w:r>
      <w:r w:rsidRPr="007773B7">
        <w:t>AEMP = $</w:t>
      </w:r>
      <w:r w:rsidR="00C81936" w:rsidRPr="006C1D0C">
        <w:rPr>
          <w:color w:val="000000"/>
          <w:w w:val="15"/>
          <w:shd w:val="solid" w:color="000000" w:fill="000000"/>
          <w:fitText w:val="-20" w:id="-1229278208"/>
          <w14:textFill>
            <w14:solidFill>
              <w14:srgbClr w14:val="000000">
                <w14:alpha w14:val="100000"/>
              </w14:srgbClr>
            </w14:solidFill>
          </w14:textFill>
        </w:rPr>
        <w:t xml:space="preserve">|  </w:t>
      </w:r>
      <w:r w:rsidR="00C81936" w:rsidRPr="006C1D0C">
        <w:rPr>
          <w:color w:val="000000"/>
          <w:spacing w:val="-69"/>
          <w:w w:val="15"/>
          <w:shd w:val="solid" w:color="000000" w:fill="000000"/>
          <w:fitText w:val="-20" w:id="-1229278208"/>
          <w14:textFill>
            <w14:solidFill>
              <w14:srgbClr w14:val="000000">
                <w14:alpha w14:val="100000"/>
              </w14:srgbClr>
            </w14:solidFill>
          </w14:textFill>
        </w:rPr>
        <w:t>|</w:t>
      </w:r>
      <w:r w:rsidRPr="007773B7">
        <w:t>, DMPQ = $923.45).</w:t>
      </w:r>
      <w:r w:rsidRPr="006E2656">
        <w:t xml:space="preserve"> The sponsor also requested a flat pricing structure between the oral solution and tablet formulations. At the requested effective price, TOF oral solution is less costly than ADA for patients &lt;40kg but more costly for patients </w:t>
      </w:r>
      <w:r w:rsidRPr="006E2656">
        <w:rPr>
          <w:rFonts w:cs="Calibri"/>
        </w:rPr>
        <w:t>≥</w:t>
      </w:r>
      <w:r w:rsidRPr="006E2656">
        <w:t>40kg. Across the population however (patients aged 2 to 17), the</w:t>
      </w:r>
      <w:r w:rsidR="00105962">
        <w:t xml:space="preserve"> evaluation considered the</w:t>
      </w:r>
      <w:r w:rsidRPr="006E2656">
        <w:t xml:space="preserve"> average cost of treatment with TOF oral solution may be slightly higher </w:t>
      </w:r>
      <w:r w:rsidR="002855AE">
        <w:t xml:space="preserve">than </w:t>
      </w:r>
      <w:r w:rsidRPr="006E2656">
        <w:t xml:space="preserve">the average cost of treatment with ADA (see </w:t>
      </w:r>
      <w:r w:rsidR="000D20D7" w:rsidRPr="006E2656">
        <w:t>Economic analysis</w:t>
      </w:r>
      <w:r w:rsidRPr="006E2656">
        <w:t>).</w:t>
      </w:r>
    </w:p>
    <w:p w14:paraId="3EAEC8B2" w14:textId="05D3322A" w:rsidR="000D20D7" w:rsidRDefault="000D20D7" w:rsidP="000D20D7">
      <w:pPr>
        <w:pStyle w:val="3-BodyText"/>
      </w:pPr>
      <w:r>
        <w:t xml:space="preserve">The sponsor also requested that the PBAC provide advice to the Minister, under Section 101(4AB) of the </w:t>
      </w:r>
      <w:r w:rsidRPr="00F00DB9">
        <w:rPr>
          <w:iCs/>
        </w:rPr>
        <w:t xml:space="preserve">National Health Act </w:t>
      </w:r>
      <w:r>
        <w:t xml:space="preserve">1953, that the TOF 1 mg per </w:t>
      </w:r>
      <w:r w:rsidR="001C7680">
        <w:t>mL</w:t>
      </w:r>
      <w:r>
        <w:t xml:space="preserve"> oral solution meets the criteria for an exempt item under Section 84AH, namely:</w:t>
      </w:r>
    </w:p>
    <w:p w14:paraId="52563AF1" w14:textId="77777777" w:rsidR="000D20D7" w:rsidRDefault="000D20D7" w:rsidP="007C309F">
      <w:pPr>
        <w:pStyle w:val="3-BodyText"/>
        <w:numPr>
          <w:ilvl w:val="0"/>
          <w:numId w:val="13"/>
        </w:numPr>
      </w:pPr>
      <w:r>
        <w:t>It represents suitable therapy for patients with JIA.</w:t>
      </w:r>
    </w:p>
    <w:p w14:paraId="51200711" w14:textId="77777777" w:rsidR="000D20D7" w:rsidRDefault="000D20D7" w:rsidP="007C309F">
      <w:pPr>
        <w:pStyle w:val="3-BodyText"/>
        <w:numPr>
          <w:ilvl w:val="0"/>
          <w:numId w:val="13"/>
        </w:numPr>
      </w:pPr>
      <w:r w:rsidRPr="000D20D7">
        <w:t>It is</w:t>
      </w:r>
      <w:r>
        <w:t xml:space="preserve"> suitable for use by a particular subgroup of paediatric patients unable to swallow the solid dose formulation.</w:t>
      </w:r>
    </w:p>
    <w:p w14:paraId="54BBF702" w14:textId="67823647" w:rsidR="000D20D7" w:rsidRDefault="000D20D7" w:rsidP="007C309F">
      <w:pPr>
        <w:pStyle w:val="3-BodyText"/>
        <w:numPr>
          <w:ilvl w:val="0"/>
          <w:numId w:val="13"/>
        </w:numPr>
      </w:pPr>
      <w:r>
        <w:t>No other form of TOF is suitable for this subgroup because other forms of TOF are solid dose formulations, and the oral solution is more suitable for paediatric patients because it allows accurate administration of the correct dose compared to the solid dose formulation.</w:t>
      </w:r>
    </w:p>
    <w:p w14:paraId="09691EEF" w14:textId="48EB3C45" w:rsidR="008B7013" w:rsidRDefault="008B7013" w:rsidP="008B7013">
      <w:pPr>
        <w:pStyle w:val="3-BodyText"/>
        <w:numPr>
          <w:ilvl w:val="0"/>
          <w:numId w:val="0"/>
        </w:numPr>
        <w:ind w:left="720" w:hanging="11"/>
      </w:pPr>
      <w:r w:rsidRPr="006E2656">
        <w:t>If granted, this will exempt TOF from first new brand and price disclosure statutory price reductions. Exempt items</w:t>
      </w:r>
      <w:r w:rsidR="00181F6A" w:rsidRPr="006E2656">
        <w:t>,</w:t>
      </w:r>
      <w:r w:rsidRPr="006E2656">
        <w:t xml:space="preserve"> however</w:t>
      </w:r>
      <w:r w:rsidR="00181F6A" w:rsidRPr="006E2656">
        <w:t>,</w:t>
      </w:r>
      <w:r w:rsidRPr="006E2656">
        <w:t xml:space="preserve"> are not exempt from Anniversary Price reductions.</w:t>
      </w:r>
    </w:p>
    <w:p w14:paraId="03740899" w14:textId="77CA5DAA" w:rsidR="007C309F" w:rsidRPr="007C309F" w:rsidRDefault="007C309F" w:rsidP="007C309F">
      <w:pPr>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407F2D" w:rsidDel="00195452" w:rsidRDefault="00203181" w:rsidP="004E18E9">
      <w:pPr>
        <w:pStyle w:val="2-SectionHeading"/>
      </w:pPr>
      <w:bookmarkStart w:id="10" w:name="_Toc121477772"/>
      <w:r w:rsidDel="00195452">
        <w:t xml:space="preserve">Population and </w:t>
      </w:r>
      <w:r w:rsidR="008E0D3C" w:rsidDel="00195452">
        <w:t>d</w:t>
      </w:r>
      <w:r w:rsidDel="00195452">
        <w:t>isease</w:t>
      </w:r>
      <w:bookmarkEnd w:id="10"/>
    </w:p>
    <w:p w14:paraId="015A6C54" w14:textId="7BF92B4E" w:rsidR="00497EC8" w:rsidRPr="00560FB7" w:rsidRDefault="00497EC8" w:rsidP="004E18E9">
      <w:pPr>
        <w:pStyle w:val="3-BodyText"/>
      </w:pPr>
      <w:r w:rsidRPr="00560FB7">
        <w:t xml:space="preserve">JIA is an umbrella term for </w:t>
      </w:r>
      <w:r w:rsidR="0029670A">
        <w:t xml:space="preserve">a </w:t>
      </w:r>
      <w:r w:rsidR="005F3C97">
        <w:t>range</w:t>
      </w:r>
      <w:r w:rsidRPr="00560FB7">
        <w:t xml:space="preserve"> of arthritic conditions beginning before 16 years of age, which persist for at least 6 weeks and have no other identifiable cause.</w:t>
      </w:r>
      <w:r w:rsidRPr="00560FB7">
        <w:rPr>
          <w:vertAlign w:val="superscript"/>
        </w:rPr>
        <w:footnoteReference w:id="2"/>
      </w:r>
      <w:r w:rsidRPr="00560FB7">
        <w:t xml:space="preserve"> JIA is characterised by inflammation of the synovial membrane of an affected joint, causing pain, swelling, joint stiffness and limited movement. Potential complications of JIA may include skeletal abnormalities, foot problems, amyloidosis, osteoporosis and uveitis leading to cataract, glaucoma and blindness.</w:t>
      </w:r>
    </w:p>
    <w:p w14:paraId="29D49EB8" w14:textId="57A3D344" w:rsidR="00D76312" w:rsidRPr="006E2656" w:rsidRDefault="00497EC8" w:rsidP="00B544CA">
      <w:pPr>
        <w:pStyle w:val="3-BodyText"/>
      </w:pPr>
      <w:r w:rsidRPr="006E2656">
        <w:t>The International League of Associations for Rheumatology (ILAR) classifies JIA into seven subtypes: oligoarthritis; polyarthritis rheumatoid factor negative (RF-); polyarthritis rheumatoid factor positive (RF+); systemic JIA; enthesitis-related arthritis; psoriatic arthritis; undifferentiated</w:t>
      </w:r>
      <w:r w:rsidR="00B544CA" w:rsidRPr="006E2656">
        <w:t xml:space="preserve">. </w:t>
      </w:r>
      <w:r w:rsidR="00D76312" w:rsidRPr="006E2656">
        <w:t xml:space="preserve">The submission stated that the main focus of the submission was patients with ‘polyarticular course JIA’ defined </w:t>
      </w:r>
      <w:r w:rsidR="00B544CA" w:rsidRPr="006E2656">
        <w:t xml:space="preserve">according to the ILAR </w:t>
      </w:r>
      <w:r w:rsidR="00D76312" w:rsidRPr="006E2656">
        <w:t>as any subtype of JIA with 5 or more joints at 6 months or more after diagnosis</w:t>
      </w:r>
      <w:r w:rsidR="00B544CA" w:rsidRPr="006E2656">
        <w:t xml:space="preserve">. Based on this definition, the target population included </w:t>
      </w:r>
      <w:r w:rsidR="00D76312" w:rsidRPr="006E2656">
        <w:t>patients with extended oligoarthritis, polyarthritis RF</w:t>
      </w:r>
      <w:r w:rsidR="001030E1">
        <w:t>-</w:t>
      </w:r>
      <w:r w:rsidR="00D76312" w:rsidRPr="006E2656">
        <w:t>, polyarthritis RF</w:t>
      </w:r>
      <w:r w:rsidR="001030E1">
        <w:t xml:space="preserve">+ </w:t>
      </w:r>
      <w:r w:rsidR="00D76312" w:rsidRPr="006E2656">
        <w:t xml:space="preserve">, and systemic JIA with active arthritis but without </w:t>
      </w:r>
      <w:r w:rsidR="00A40992" w:rsidRPr="00F00DB9">
        <w:rPr>
          <w:iCs/>
        </w:rPr>
        <w:t>systemic</w:t>
      </w:r>
      <w:r w:rsidR="00D76312" w:rsidRPr="006E2656">
        <w:t xml:space="preserve"> symptoms.</w:t>
      </w:r>
    </w:p>
    <w:p w14:paraId="04D05327" w14:textId="198AD49A" w:rsidR="007C309F" w:rsidRPr="007C309F" w:rsidRDefault="007C309F" w:rsidP="007C309F">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407F2D" w:rsidRDefault="00B50DB8" w:rsidP="004E18E9">
      <w:pPr>
        <w:pStyle w:val="2-SectionHeading"/>
      </w:pPr>
      <w:bookmarkStart w:id="11" w:name="_Toc121477773"/>
      <w:r w:rsidRPr="00407F2D">
        <w:t>Comparator</w:t>
      </w:r>
      <w:bookmarkEnd w:id="11"/>
    </w:p>
    <w:p w14:paraId="58D77CAB" w14:textId="49B41DF2" w:rsidR="00361661" w:rsidRPr="00CE6E08" w:rsidRDefault="00361661" w:rsidP="006F0FC9">
      <w:pPr>
        <w:pStyle w:val="3-BodyText"/>
      </w:pPr>
      <w:r w:rsidRPr="00741705">
        <w:rPr>
          <w:snapToGrid/>
          <w:lang w:val="en-US"/>
        </w:rPr>
        <w:t>The</w:t>
      </w:r>
      <w:r w:rsidRPr="00A40CCE">
        <w:t xml:space="preserve"> submission nominated ADA as the main comparator</w:t>
      </w:r>
      <w:r w:rsidR="00741705">
        <w:t>, given it is the treatment most likely to be replaced in practice (current market share is approx. 60%)</w:t>
      </w:r>
      <w:r w:rsidRPr="00A40CCE">
        <w:t xml:space="preserve">. </w:t>
      </w:r>
    </w:p>
    <w:p w14:paraId="65733C94" w14:textId="42ECCCF7" w:rsidR="00CE6E08" w:rsidRPr="007C309F" w:rsidRDefault="00CE6E08" w:rsidP="00805E2D">
      <w:pPr>
        <w:pStyle w:val="3-BodyText"/>
        <w:rPr>
          <w:iCs/>
          <w:snapToGrid/>
          <w:lang w:val="en-US"/>
        </w:rPr>
      </w:pPr>
      <w:bookmarkStart w:id="12" w:name="_Ref107305379"/>
      <w:r w:rsidRPr="006E2656">
        <w:rPr>
          <w:iCs/>
          <w:lang w:val="en-US"/>
        </w:rPr>
        <w:t>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2"/>
      <w:r w:rsidR="00FA37D1" w:rsidRPr="006E2656">
        <w:rPr>
          <w:iCs/>
          <w:lang w:val="en-US"/>
        </w:rPr>
        <w:t xml:space="preserve"> The alternative therapies include ADA, ETN and TOC; the PBAC previously considered these to be of non-inferior comparative effectiveness and safety to one another (Clinical Claim section, TOC</w:t>
      </w:r>
      <w:r w:rsidR="00805E2D" w:rsidRPr="006E2656">
        <w:rPr>
          <w:iCs/>
          <w:lang w:val="en-US"/>
        </w:rPr>
        <w:t xml:space="preserve"> Public Summary Document,</w:t>
      </w:r>
      <w:r w:rsidR="00FA37D1" w:rsidRPr="006E2656">
        <w:rPr>
          <w:iCs/>
          <w:lang w:val="en-US"/>
        </w:rPr>
        <w:t xml:space="preserve"> November 2013).</w:t>
      </w:r>
    </w:p>
    <w:p w14:paraId="03804DFE" w14:textId="45228BF3" w:rsidR="007C309F" w:rsidRPr="007C309F" w:rsidRDefault="007C309F" w:rsidP="007C309F">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407F2D" w:rsidRDefault="00223D5A" w:rsidP="00223D5A">
      <w:pPr>
        <w:pStyle w:val="2-SectionHeading"/>
        <w:numPr>
          <w:ilvl w:val="0"/>
          <w:numId w:val="1"/>
        </w:numPr>
      </w:pPr>
      <w:bookmarkStart w:id="13" w:name="_Toc121477774"/>
      <w:bookmarkStart w:id="14" w:name="_Toc22897640"/>
      <w:r>
        <w:t>C</w:t>
      </w:r>
      <w:r w:rsidRPr="00407F2D">
        <w:t>onsideration of the evidence</w:t>
      </w:r>
      <w:bookmarkEnd w:id="13"/>
    </w:p>
    <w:p w14:paraId="12D97956" w14:textId="77777777" w:rsidR="007C309F" w:rsidRPr="006E1229" w:rsidRDefault="007C309F" w:rsidP="00C46ADD">
      <w:pPr>
        <w:pStyle w:val="4-SubsectionHeading"/>
      </w:pPr>
      <w:bookmarkStart w:id="15" w:name="_Hlk76375935"/>
      <w:bookmarkStart w:id="16" w:name="_Toc121477775"/>
      <w:r w:rsidRPr="00C46ADD">
        <w:t>Sponsor</w:t>
      </w:r>
      <w:r w:rsidRPr="006E1229">
        <w:t xml:space="preserve"> hearing</w:t>
      </w:r>
    </w:p>
    <w:p w14:paraId="6A3C0D92" w14:textId="202CF588" w:rsidR="00A82BB2" w:rsidRPr="004037B9" w:rsidRDefault="007C309F" w:rsidP="004037B9">
      <w:pPr>
        <w:widowControl w:val="0"/>
        <w:numPr>
          <w:ilvl w:val="1"/>
          <w:numId w:val="1"/>
        </w:numPr>
        <w:spacing w:after="120"/>
        <w:rPr>
          <w:rFonts w:asciiTheme="minorHAnsi" w:hAnsiTheme="minorHAnsi"/>
          <w:bCs/>
          <w:snapToGrid w:val="0"/>
        </w:rPr>
      </w:pPr>
      <w:bookmarkStart w:id="17" w:name="_Hlk76382586"/>
      <w:r w:rsidRPr="00836F75">
        <w:rPr>
          <w:rFonts w:asciiTheme="minorHAnsi" w:hAnsiTheme="minorHAnsi"/>
          <w:bCs/>
          <w:snapToGrid w:val="0"/>
        </w:rPr>
        <w:t xml:space="preserve">The sponsor requested a hearing for this item. </w:t>
      </w:r>
      <w:r w:rsidR="00C80BFE">
        <w:rPr>
          <w:rFonts w:asciiTheme="minorHAnsi" w:hAnsiTheme="minorHAnsi"/>
          <w:bCs/>
          <w:snapToGrid w:val="0"/>
        </w:rPr>
        <w:t xml:space="preserve">The clinician presented </w:t>
      </w:r>
      <w:r w:rsidR="005E0FD3">
        <w:rPr>
          <w:rFonts w:asciiTheme="minorHAnsi" w:hAnsiTheme="minorHAnsi"/>
          <w:bCs/>
          <w:snapToGrid w:val="0"/>
        </w:rPr>
        <w:t xml:space="preserve">TOF as an </w:t>
      </w:r>
      <w:r w:rsidR="00A82BB2">
        <w:rPr>
          <w:rFonts w:asciiTheme="minorHAnsi" w:hAnsiTheme="minorHAnsi"/>
          <w:bCs/>
          <w:snapToGrid w:val="0"/>
        </w:rPr>
        <w:t xml:space="preserve">alternative </w:t>
      </w:r>
      <w:r w:rsidR="000272F4">
        <w:rPr>
          <w:rFonts w:asciiTheme="minorHAnsi" w:hAnsiTheme="minorHAnsi"/>
          <w:bCs/>
          <w:snapToGrid w:val="0"/>
        </w:rPr>
        <w:t xml:space="preserve">oral </w:t>
      </w:r>
      <w:r w:rsidR="00A82BB2">
        <w:rPr>
          <w:rFonts w:asciiTheme="minorHAnsi" w:hAnsiTheme="minorHAnsi"/>
          <w:bCs/>
          <w:snapToGrid w:val="0"/>
        </w:rPr>
        <w:t>therapy</w:t>
      </w:r>
      <w:r w:rsidR="005E0FD3">
        <w:rPr>
          <w:rFonts w:asciiTheme="minorHAnsi" w:hAnsiTheme="minorHAnsi"/>
          <w:bCs/>
          <w:snapToGrid w:val="0"/>
        </w:rPr>
        <w:t xml:space="preserve"> for treatment of JIA. The clinician </w:t>
      </w:r>
      <w:r w:rsidR="004D4C9A">
        <w:rPr>
          <w:rFonts w:asciiTheme="minorHAnsi" w:hAnsiTheme="minorHAnsi"/>
          <w:bCs/>
          <w:snapToGrid w:val="0"/>
        </w:rPr>
        <w:t>stated there is limited clinical experience using TOF for JIA</w:t>
      </w:r>
      <w:r w:rsidR="00E5627A">
        <w:rPr>
          <w:rFonts w:asciiTheme="minorHAnsi" w:hAnsiTheme="minorHAnsi"/>
          <w:bCs/>
          <w:snapToGrid w:val="0"/>
        </w:rPr>
        <w:t xml:space="preserve"> however</w:t>
      </w:r>
      <w:r w:rsidR="004D4C9A">
        <w:rPr>
          <w:rFonts w:asciiTheme="minorHAnsi" w:hAnsiTheme="minorHAnsi"/>
          <w:bCs/>
          <w:snapToGrid w:val="0"/>
        </w:rPr>
        <w:t xml:space="preserve"> noted</w:t>
      </w:r>
      <w:r w:rsidR="00E5627A">
        <w:rPr>
          <w:rFonts w:asciiTheme="minorHAnsi" w:hAnsiTheme="minorHAnsi"/>
          <w:bCs/>
          <w:snapToGrid w:val="0"/>
        </w:rPr>
        <w:t xml:space="preserve"> there are international guidelines</w:t>
      </w:r>
      <w:r w:rsidRPr="00836F75">
        <w:rPr>
          <w:rFonts w:asciiTheme="minorHAnsi" w:hAnsiTheme="minorHAnsi"/>
          <w:bCs/>
          <w:snapToGrid w:val="0"/>
        </w:rPr>
        <w:t xml:space="preserve"> </w:t>
      </w:r>
      <w:r w:rsidR="00A82BB2">
        <w:rPr>
          <w:rFonts w:asciiTheme="minorHAnsi" w:hAnsiTheme="minorHAnsi"/>
          <w:bCs/>
          <w:snapToGrid w:val="0"/>
        </w:rPr>
        <w:t xml:space="preserve">which provides a framework in treating this population. </w:t>
      </w:r>
      <w:r w:rsidRPr="00836F75">
        <w:rPr>
          <w:rFonts w:asciiTheme="minorHAnsi" w:hAnsiTheme="minorHAnsi"/>
          <w:bCs/>
          <w:snapToGrid w:val="0"/>
        </w:rPr>
        <w:t>The clinician</w:t>
      </w:r>
      <w:r w:rsidR="00E5428A">
        <w:rPr>
          <w:rFonts w:asciiTheme="minorHAnsi" w:hAnsiTheme="minorHAnsi"/>
          <w:bCs/>
          <w:snapToGrid w:val="0"/>
        </w:rPr>
        <w:t xml:space="preserve"> stated</w:t>
      </w:r>
      <w:r w:rsidR="005E349D">
        <w:rPr>
          <w:rFonts w:asciiTheme="minorHAnsi" w:hAnsiTheme="minorHAnsi"/>
          <w:bCs/>
          <w:snapToGrid w:val="0"/>
        </w:rPr>
        <w:t xml:space="preserve"> </w:t>
      </w:r>
      <w:r w:rsidR="004037B9">
        <w:rPr>
          <w:rFonts w:asciiTheme="minorHAnsi" w:hAnsiTheme="minorHAnsi"/>
          <w:bCs/>
          <w:snapToGrid w:val="0"/>
        </w:rPr>
        <w:t>the</w:t>
      </w:r>
      <w:r w:rsidR="004D4C9A">
        <w:rPr>
          <w:rFonts w:asciiTheme="minorHAnsi" w:hAnsiTheme="minorHAnsi"/>
          <w:bCs/>
          <w:snapToGrid w:val="0"/>
        </w:rPr>
        <w:t xml:space="preserve"> oral</w:t>
      </w:r>
      <w:r w:rsidR="005E349D">
        <w:rPr>
          <w:rFonts w:asciiTheme="minorHAnsi" w:hAnsiTheme="minorHAnsi"/>
          <w:bCs/>
          <w:snapToGrid w:val="0"/>
        </w:rPr>
        <w:t xml:space="preserve"> manner of administration for TOF will improve the experience of </w:t>
      </w:r>
      <w:r w:rsidR="00C80BFE">
        <w:rPr>
          <w:rFonts w:asciiTheme="minorHAnsi" w:hAnsiTheme="minorHAnsi"/>
          <w:bCs/>
          <w:snapToGrid w:val="0"/>
        </w:rPr>
        <w:t>administration and compliance of</w:t>
      </w:r>
      <w:r w:rsidR="000272F4">
        <w:rPr>
          <w:rFonts w:asciiTheme="minorHAnsi" w:hAnsiTheme="minorHAnsi"/>
          <w:bCs/>
          <w:snapToGrid w:val="0"/>
        </w:rPr>
        <w:t xml:space="preserve"> patients</w:t>
      </w:r>
      <w:r w:rsidR="00C80BFE">
        <w:rPr>
          <w:rFonts w:asciiTheme="minorHAnsi" w:hAnsiTheme="minorHAnsi"/>
          <w:bCs/>
          <w:snapToGrid w:val="0"/>
        </w:rPr>
        <w:t xml:space="preserve"> with a needle phobia</w:t>
      </w:r>
      <w:r w:rsidR="004D4C9A">
        <w:rPr>
          <w:rFonts w:asciiTheme="minorHAnsi" w:hAnsiTheme="minorHAnsi"/>
          <w:bCs/>
          <w:snapToGrid w:val="0"/>
        </w:rPr>
        <w:t xml:space="preserve"> and other specif</w:t>
      </w:r>
      <w:r w:rsidR="00E5428A">
        <w:rPr>
          <w:rFonts w:asciiTheme="minorHAnsi" w:hAnsiTheme="minorHAnsi"/>
          <w:bCs/>
          <w:snapToGrid w:val="0"/>
        </w:rPr>
        <w:t>i</w:t>
      </w:r>
      <w:r w:rsidR="004D4C9A">
        <w:rPr>
          <w:rFonts w:asciiTheme="minorHAnsi" w:hAnsiTheme="minorHAnsi"/>
          <w:bCs/>
          <w:snapToGrid w:val="0"/>
        </w:rPr>
        <w:t>c groups such as those</w:t>
      </w:r>
      <w:r w:rsidR="004037B9">
        <w:rPr>
          <w:rFonts w:asciiTheme="minorHAnsi" w:hAnsiTheme="minorHAnsi"/>
          <w:bCs/>
          <w:snapToGrid w:val="0"/>
        </w:rPr>
        <w:t xml:space="preserve"> with developmental delays and </w:t>
      </w:r>
      <w:r w:rsidR="000272F4">
        <w:rPr>
          <w:rFonts w:asciiTheme="minorHAnsi" w:hAnsiTheme="minorHAnsi"/>
          <w:bCs/>
          <w:snapToGrid w:val="0"/>
        </w:rPr>
        <w:t>where support for parenteral therapy is limited</w:t>
      </w:r>
      <w:r w:rsidR="004D4C9A">
        <w:rPr>
          <w:rFonts w:asciiTheme="minorHAnsi" w:hAnsiTheme="minorHAnsi"/>
          <w:bCs/>
          <w:snapToGrid w:val="0"/>
        </w:rPr>
        <w:t>,</w:t>
      </w:r>
      <w:r w:rsidR="000272F4">
        <w:rPr>
          <w:rFonts w:asciiTheme="minorHAnsi" w:hAnsiTheme="minorHAnsi"/>
          <w:bCs/>
          <w:snapToGrid w:val="0"/>
        </w:rPr>
        <w:t xml:space="preserve"> such as </w:t>
      </w:r>
      <w:r w:rsidR="004037B9">
        <w:rPr>
          <w:rFonts w:asciiTheme="minorHAnsi" w:hAnsiTheme="minorHAnsi"/>
          <w:bCs/>
          <w:snapToGrid w:val="0"/>
        </w:rPr>
        <w:t xml:space="preserve">in regional and remote </w:t>
      </w:r>
      <w:r w:rsidR="000272F4">
        <w:rPr>
          <w:rFonts w:asciiTheme="minorHAnsi" w:hAnsiTheme="minorHAnsi"/>
          <w:bCs/>
          <w:snapToGrid w:val="0"/>
        </w:rPr>
        <w:t xml:space="preserve">locations. </w:t>
      </w:r>
    </w:p>
    <w:bookmarkEnd w:id="17"/>
    <w:p w14:paraId="54BE1834" w14:textId="77777777" w:rsidR="007C309F" w:rsidRPr="006E1229" w:rsidRDefault="007C309F" w:rsidP="00C46ADD">
      <w:pPr>
        <w:pStyle w:val="4-SubsectionHeading"/>
      </w:pPr>
      <w:r w:rsidRPr="00C46ADD">
        <w:t>Consumer</w:t>
      </w:r>
      <w:r w:rsidRPr="006E1229">
        <w:t xml:space="preserve"> comments</w:t>
      </w:r>
    </w:p>
    <w:p w14:paraId="4AC865CE" w14:textId="0143EC53" w:rsidR="007C309F" w:rsidRPr="000272F4" w:rsidRDefault="007C309F" w:rsidP="000272F4">
      <w:pPr>
        <w:widowControl w:val="0"/>
        <w:numPr>
          <w:ilvl w:val="1"/>
          <w:numId w:val="1"/>
        </w:numPr>
        <w:spacing w:after="120"/>
        <w:rPr>
          <w:rFonts w:asciiTheme="minorHAnsi" w:hAnsiTheme="minorHAnsi"/>
          <w:bCs/>
          <w:snapToGrid w:val="0"/>
        </w:rPr>
      </w:pPr>
      <w:bookmarkStart w:id="18" w:name="_Hlk76382618"/>
      <w:r w:rsidRPr="00836F75">
        <w:rPr>
          <w:rFonts w:asciiTheme="minorHAnsi" w:hAnsiTheme="minorHAnsi"/>
          <w:bCs/>
          <w:snapToGrid w:val="0"/>
        </w:rPr>
        <w:t>The PBAC noted and welcomed the input from individuals (</w:t>
      </w:r>
      <w:r w:rsidR="00617564">
        <w:rPr>
          <w:rFonts w:asciiTheme="minorHAnsi" w:hAnsiTheme="minorHAnsi"/>
          <w:bCs/>
          <w:snapToGrid w:val="0"/>
        </w:rPr>
        <w:t>11</w:t>
      </w:r>
      <w:r w:rsidRPr="00836F75">
        <w:rPr>
          <w:rFonts w:asciiTheme="minorHAnsi" w:hAnsiTheme="minorHAnsi"/>
          <w:bCs/>
          <w:snapToGrid w:val="0"/>
        </w:rPr>
        <w:t>)</w:t>
      </w:r>
      <w:r w:rsidR="00617564">
        <w:rPr>
          <w:rFonts w:asciiTheme="minorHAnsi" w:hAnsiTheme="minorHAnsi"/>
          <w:bCs/>
          <w:snapToGrid w:val="0"/>
        </w:rPr>
        <w:t xml:space="preserve"> </w:t>
      </w:r>
      <w:r w:rsidRPr="00836F75">
        <w:rPr>
          <w:rFonts w:asciiTheme="minorHAnsi" w:hAnsiTheme="minorHAnsi"/>
          <w:bCs/>
          <w:snapToGrid w:val="0"/>
        </w:rPr>
        <w:t>and organisations (</w:t>
      </w:r>
      <w:r w:rsidR="00617564">
        <w:rPr>
          <w:rFonts w:asciiTheme="minorHAnsi" w:hAnsiTheme="minorHAnsi"/>
          <w:bCs/>
          <w:snapToGrid w:val="0"/>
        </w:rPr>
        <w:t>7</w:t>
      </w:r>
      <w:r w:rsidRPr="00836F75">
        <w:rPr>
          <w:rFonts w:asciiTheme="minorHAnsi" w:hAnsiTheme="minorHAnsi"/>
          <w:bCs/>
          <w:snapToGrid w:val="0"/>
        </w:rPr>
        <w:t xml:space="preserve">) via the Consumer Comments facility on the PBS website. The comments described a range of benefits of treatment with </w:t>
      </w:r>
      <w:r w:rsidR="00D43AA9">
        <w:rPr>
          <w:rFonts w:asciiTheme="minorHAnsi" w:hAnsiTheme="minorHAnsi"/>
          <w:bCs/>
          <w:snapToGrid w:val="0"/>
        </w:rPr>
        <w:t>tofacitinib</w:t>
      </w:r>
      <w:r w:rsidR="00E5428A">
        <w:rPr>
          <w:rFonts w:asciiTheme="minorHAnsi" w:hAnsiTheme="minorHAnsi"/>
          <w:bCs/>
          <w:snapToGrid w:val="0"/>
        </w:rPr>
        <w:t xml:space="preserve"> including</w:t>
      </w:r>
      <w:r w:rsidR="00D43AA9">
        <w:rPr>
          <w:rFonts w:asciiTheme="minorHAnsi" w:hAnsiTheme="minorHAnsi"/>
          <w:bCs/>
          <w:snapToGrid w:val="0"/>
        </w:rPr>
        <w:t xml:space="preserve"> </w:t>
      </w:r>
      <w:r w:rsidR="00487175">
        <w:rPr>
          <w:rFonts w:asciiTheme="minorHAnsi" w:hAnsiTheme="minorHAnsi"/>
          <w:bCs/>
          <w:snapToGrid w:val="0"/>
        </w:rPr>
        <w:t xml:space="preserve">major impacts of JIA on quality of life, noting reduction in pain and trauma associated with </w:t>
      </w:r>
      <w:r w:rsidR="006F273D">
        <w:rPr>
          <w:rFonts w:asciiTheme="minorHAnsi" w:hAnsiTheme="minorHAnsi"/>
          <w:bCs/>
          <w:snapToGrid w:val="0"/>
        </w:rPr>
        <w:t xml:space="preserve">injectable </w:t>
      </w:r>
      <w:r w:rsidR="00487175">
        <w:rPr>
          <w:rFonts w:asciiTheme="minorHAnsi" w:hAnsiTheme="minorHAnsi"/>
          <w:bCs/>
          <w:snapToGrid w:val="0"/>
        </w:rPr>
        <w:t xml:space="preserve">treatments and the </w:t>
      </w:r>
      <w:r w:rsidR="0063439B">
        <w:rPr>
          <w:rFonts w:asciiTheme="minorHAnsi" w:hAnsiTheme="minorHAnsi"/>
          <w:bCs/>
          <w:snapToGrid w:val="0"/>
        </w:rPr>
        <w:t xml:space="preserve">added </w:t>
      </w:r>
      <w:r w:rsidR="00487175">
        <w:rPr>
          <w:rFonts w:asciiTheme="minorHAnsi" w:hAnsiTheme="minorHAnsi"/>
          <w:bCs/>
          <w:snapToGrid w:val="0"/>
        </w:rPr>
        <w:t xml:space="preserve">benefits </w:t>
      </w:r>
      <w:r w:rsidR="006F273D">
        <w:rPr>
          <w:rFonts w:asciiTheme="minorHAnsi" w:hAnsiTheme="minorHAnsi"/>
          <w:bCs/>
          <w:snapToGrid w:val="0"/>
        </w:rPr>
        <w:t xml:space="preserve">of having </w:t>
      </w:r>
      <w:r w:rsidR="00487175">
        <w:rPr>
          <w:rFonts w:asciiTheme="minorHAnsi" w:hAnsiTheme="minorHAnsi"/>
          <w:bCs/>
          <w:snapToGrid w:val="0"/>
        </w:rPr>
        <w:t xml:space="preserve">an oral therapy </w:t>
      </w:r>
      <w:r w:rsidR="006F273D">
        <w:rPr>
          <w:rFonts w:asciiTheme="minorHAnsi" w:hAnsiTheme="minorHAnsi"/>
          <w:bCs/>
          <w:snapToGrid w:val="0"/>
        </w:rPr>
        <w:t xml:space="preserve">available for </w:t>
      </w:r>
      <w:r w:rsidR="00487175">
        <w:rPr>
          <w:rFonts w:asciiTheme="minorHAnsi" w:hAnsiTheme="minorHAnsi"/>
          <w:bCs/>
          <w:snapToGrid w:val="0"/>
        </w:rPr>
        <w:t>the paediatric population, TOF’s</w:t>
      </w:r>
      <w:r w:rsidR="00B24062">
        <w:rPr>
          <w:rFonts w:asciiTheme="minorHAnsi" w:hAnsiTheme="minorHAnsi"/>
          <w:bCs/>
          <w:snapToGrid w:val="0"/>
        </w:rPr>
        <w:t xml:space="preserve"> effectiveness in JIA</w:t>
      </w:r>
      <w:r w:rsidR="00D43AA9">
        <w:rPr>
          <w:rFonts w:asciiTheme="minorHAnsi" w:hAnsiTheme="minorHAnsi"/>
          <w:bCs/>
          <w:snapToGrid w:val="0"/>
        </w:rPr>
        <w:t xml:space="preserve">, </w:t>
      </w:r>
      <w:r w:rsidR="00487175">
        <w:rPr>
          <w:rFonts w:asciiTheme="minorHAnsi" w:hAnsiTheme="minorHAnsi"/>
          <w:bCs/>
          <w:snapToGrid w:val="0"/>
        </w:rPr>
        <w:t xml:space="preserve">and its </w:t>
      </w:r>
      <w:r w:rsidR="00D43AA9">
        <w:rPr>
          <w:rFonts w:asciiTheme="minorHAnsi" w:hAnsiTheme="minorHAnsi"/>
          <w:bCs/>
          <w:snapToGrid w:val="0"/>
        </w:rPr>
        <w:t>manageable side effects</w:t>
      </w:r>
      <w:r w:rsidR="0039044E">
        <w:rPr>
          <w:rFonts w:asciiTheme="minorHAnsi" w:hAnsiTheme="minorHAnsi"/>
          <w:bCs/>
          <w:snapToGrid w:val="0"/>
        </w:rPr>
        <w:t>.</w:t>
      </w:r>
      <w:r w:rsidR="00035AC1">
        <w:rPr>
          <w:rFonts w:asciiTheme="minorHAnsi" w:hAnsiTheme="minorHAnsi"/>
          <w:bCs/>
          <w:snapToGrid w:val="0"/>
        </w:rPr>
        <w:t xml:space="preserve"> </w:t>
      </w:r>
      <w:r w:rsidR="0039044E" w:rsidRPr="00035AC1">
        <w:rPr>
          <w:rFonts w:asciiTheme="minorHAnsi" w:hAnsiTheme="minorHAnsi"/>
          <w:bCs/>
          <w:snapToGrid w:val="0"/>
        </w:rPr>
        <w:t>The PBAC specifically noted the number of comments from carers</w:t>
      </w:r>
      <w:r w:rsidR="000272F4">
        <w:rPr>
          <w:rFonts w:asciiTheme="minorHAnsi" w:hAnsiTheme="minorHAnsi"/>
          <w:bCs/>
          <w:snapToGrid w:val="0"/>
        </w:rPr>
        <w:t xml:space="preserve">, </w:t>
      </w:r>
      <w:r w:rsidR="0039044E" w:rsidRPr="00035AC1">
        <w:rPr>
          <w:rFonts w:asciiTheme="minorHAnsi" w:hAnsiTheme="minorHAnsi"/>
          <w:bCs/>
          <w:snapToGrid w:val="0"/>
        </w:rPr>
        <w:t>family</w:t>
      </w:r>
      <w:r w:rsidR="000272F4">
        <w:rPr>
          <w:rFonts w:asciiTheme="minorHAnsi" w:hAnsiTheme="minorHAnsi"/>
          <w:bCs/>
          <w:snapToGrid w:val="0"/>
        </w:rPr>
        <w:t xml:space="preserve"> and organisations</w:t>
      </w:r>
      <w:r w:rsidR="00B24062">
        <w:rPr>
          <w:rFonts w:asciiTheme="minorHAnsi" w:hAnsiTheme="minorHAnsi"/>
          <w:bCs/>
          <w:snapToGrid w:val="0"/>
        </w:rPr>
        <w:t xml:space="preserve">, including the Australian Rheumatology Association (ARA), Arthritis Australia, </w:t>
      </w:r>
      <w:r w:rsidR="00281FBB">
        <w:rPr>
          <w:rFonts w:asciiTheme="minorHAnsi" w:hAnsiTheme="minorHAnsi"/>
          <w:bCs/>
          <w:snapToGrid w:val="0"/>
        </w:rPr>
        <w:t>the National Paediatric Medicines Forum</w:t>
      </w:r>
      <w:r w:rsidR="00B24062">
        <w:rPr>
          <w:rFonts w:asciiTheme="minorHAnsi" w:hAnsiTheme="minorHAnsi"/>
          <w:bCs/>
          <w:snapToGrid w:val="0"/>
        </w:rPr>
        <w:t>, Musculoskeletal Australia, Creaky Join</w:t>
      </w:r>
      <w:r w:rsidR="00BF14AF">
        <w:rPr>
          <w:rFonts w:asciiTheme="minorHAnsi" w:hAnsiTheme="minorHAnsi"/>
          <w:bCs/>
          <w:snapToGrid w:val="0"/>
        </w:rPr>
        <w:t>t</w:t>
      </w:r>
      <w:r w:rsidR="00B24062">
        <w:rPr>
          <w:rFonts w:asciiTheme="minorHAnsi" w:hAnsiTheme="minorHAnsi"/>
          <w:bCs/>
          <w:snapToGrid w:val="0"/>
        </w:rPr>
        <w:t xml:space="preserve">s </w:t>
      </w:r>
      <w:r w:rsidR="00BF14AF">
        <w:rPr>
          <w:rFonts w:asciiTheme="minorHAnsi" w:hAnsiTheme="minorHAnsi"/>
          <w:bCs/>
          <w:snapToGrid w:val="0"/>
        </w:rPr>
        <w:t>Australia, the Juvenile Arthritis Foundation Australia and Pain Australia</w:t>
      </w:r>
      <w:r w:rsidR="0039044E" w:rsidRPr="00035AC1">
        <w:rPr>
          <w:rFonts w:asciiTheme="minorHAnsi" w:hAnsiTheme="minorHAnsi"/>
          <w:bCs/>
          <w:snapToGrid w:val="0"/>
        </w:rPr>
        <w:t xml:space="preserve"> concerning </w:t>
      </w:r>
      <w:r w:rsidR="00035AC1" w:rsidRPr="00035AC1">
        <w:rPr>
          <w:rFonts w:asciiTheme="minorHAnsi" w:hAnsiTheme="minorHAnsi"/>
          <w:bCs/>
          <w:snapToGrid w:val="0"/>
        </w:rPr>
        <w:t xml:space="preserve">the amount of </w:t>
      </w:r>
      <w:r w:rsidR="0039044E" w:rsidRPr="00035AC1">
        <w:rPr>
          <w:rFonts w:asciiTheme="minorHAnsi" w:hAnsiTheme="minorHAnsi"/>
          <w:bCs/>
          <w:snapToGrid w:val="0"/>
        </w:rPr>
        <w:t>time off</w:t>
      </w:r>
      <w:r w:rsidR="000272F4">
        <w:rPr>
          <w:rFonts w:asciiTheme="minorHAnsi" w:hAnsiTheme="minorHAnsi"/>
          <w:bCs/>
          <w:snapToGrid w:val="0"/>
        </w:rPr>
        <w:t xml:space="preserve"> from school and work</w:t>
      </w:r>
      <w:r w:rsidR="0039044E" w:rsidRPr="00035AC1">
        <w:rPr>
          <w:rFonts w:asciiTheme="minorHAnsi" w:hAnsiTheme="minorHAnsi"/>
          <w:bCs/>
          <w:snapToGrid w:val="0"/>
        </w:rPr>
        <w:t xml:space="preserve"> to manage the pain and trauma associated with JIA and the current </w:t>
      </w:r>
      <w:r w:rsidR="004E4D9E">
        <w:rPr>
          <w:rFonts w:asciiTheme="minorHAnsi" w:hAnsiTheme="minorHAnsi"/>
          <w:bCs/>
          <w:snapToGrid w:val="0"/>
        </w:rPr>
        <w:t>injectable t</w:t>
      </w:r>
      <w:r w:rsidR="0039044E" w:rsidRPr="00035AC1">
        <w:rPr>
          <w:rFonts w:asciiTheme="minorHAnsi" w:hAnsiTheme="minorHAnsi"/>
          <w:bCs/>
          <w:snapToGrid w:val="0"/>
        </w:rPr>
        <w:t>reatments available</w:t>
      </w:r>
      <w:r w:rsidR="00487175">
        <w:rPr>
          <w:rFonts w:asciiTheme="minorHAnsi" w:hAnsiTheme="minorHAnsi"/>
          <w:bCs/>
          <w:snapToGrid w:val="0"/>
        </w:rPr>
        <w:t>. The comments</w:t>
      </w:r>
      <w:r w:rsidR="00035AC1" w:rsidRPr="00035AC1">
        <w:rPr>
          <w:rFonts w:asciiTheme="minorHAnsi" w:hAnsiTheme="minorHAnsi"/>
          <w:bCs/>
          <w:snapToGrid w:val="0"/>
        </w:rPr>
        <w:t xml:space="preserve"> </w:t>
      </w:r>
      <w:r w:rsidR="00487175">
        <w:rPr>
          <w:rFonts w:asciiTheme="minorHAnsi" w:hAnsiTheme="minorHAnsi"/>
          <w:bCs/>
          <w:snapToGrid w:val="0"/>
        </w:rPr>
        <w:t xml:space="preserve">further noted </w:t>
      </w:r>
      <w:r w:rsidR="00035AC1" w:rsidRPr="00035AC1">
        <w:rPr>
          <w:rFonts w:asciiTheme="minorHAnsi" w:hAnsiTheme="minorHAnsi"/>
          <w:bCs/>
          <w:snapToGrid w:val="0"/>
        </w:rPr>
        <w:t>the use of TOF orally was welcomed as it reduced stress and anxiety over administration of the alternative treatments</w:t>
      </w:r>
      <w:r w:rsidR="00035AC1">
        <w:rPr>
          <w:rFonts w:asciiTheme="minorHAnsi" w:hAnsiTheme="minorHAnsi"/>
          <w:bCs/>
          <w:snapToGrid w:val="0"/>
        </w:rPr>
        <w:t xml:space="preserve"> in the needle form</w:t>
      </w:r>
      <w:r w:rsidR="0039044E" w:rsidRPr="00035AC1">
        <w:rPr>
          <w:rFonts w:asciiTheme="minorHAnsi" w:hAnsiTheme="minorHAnsi"/>
          <w:bCs/>
          <w:snapToGrid w:val="0"/>
        </w:rPr>
        <w:t>.</w:t>
      </w:r>
      <w:r w:rsidR="000272F4">
        <w:rPr>
          <w:rFonts w:asciiTheme="minorHAnsi" w:hAnsiTheme="minorHAnsi"/>
          <w:bCs/>
          <w:snapToGrid w:val="0"/>
        </w:rPr>
        <w:t xml:space="preserve"> </w:t>
      </w:r>
      <w:r w:rsidRPr="000272F4">
        <w:rPr>
          <w:rFonts w:asciiTheme="minorHAnsi" w:hAnsiTheme="minorHAnsi"/>
          <w:bCs/>
          <w:snapToGrid w:val="0"/>
        </w:rPr>
        <w:t>The PBAC noted that this advice was supportive of the evidence provided in the submission.</w:t>
      </w:r>
    </w:p>
    <w:bookmarkEnd w:id="15"/>
    <w:bookmarkEnd w:id="18"/>
    <w:p w14:paraId="609C0765" w14:textId="4EBF07A2" w:rsidR="00B60939" w:rsidRPr="00D04AA0" w:rsidRDefault="00B60939" w:rsidP="00B72287">
      <w:pPr>
        <w:pStyle w:val="4-SubsectionHeading"/>
        <w:rPr>
          <w:iCs/>
        </w:rPr>
      </w:pPr>
      <w:r w:rsidRPr="00D04AA0">
        <w:rPr>
          <w:iCs/>
        </w:rPr>
        <w:t>Clinical trials</w:t>
      </w:r>
      <w:bookmarkEnd w:id="14"/>
      <w:bookmarkEnd w:id="16"/>
    </w:p>
    <w:p w14:paraId="2B59ABAC" w14:textId="7AFAE824" w:rsidR="00862502" w:rsidRPr="00B50DB8" w:rsidRDefault="00BC11B9" w:rsidP="00BA6BD7">
      <w:pPr>
        <w:pStyle w:val="3-BodyText"/>
      </w:pPr>
      <w:r>
        <w:t>No head-to-head trials were available. The submission presented an indirect comparison bet</w:t>
      </w:r>
      <w:r w:rsidR="00BA6BD7">
        <w:t xml:space="preserve">ween TOF and ADA using placebo </w:t>
      </w:r>
      <w:r>
        <w:t xml:space="preserve">as the common reference, based on two randomised withdrawal trials: PROPEL and DE038. </w:t>
      </w:r>
      <w:r w:rsidR="00A73134" w:rsidRPr="00BC11B9">
        <w:rPr>
          <w:snapToGrid/>
          <w:lang w:val="en-US"/>
        </w:rPr>
        <w:t xml:space="preserve">Details of the trials presented in the submission are provided in </w:t>
      </w:r>
      <w:r w:rsidR="00696EF9" w:rsidRPr="00BC11B9">
        <w:rPr>
          <w:snapToGrid/>
          <w:lang w:val="en-US"/>
        </w:rPr>
        <w:fldChar w:fldCharType="begin"/>
      </w:r>
      <w:r w:rsidR="00696EF9" w:rsidRPr="00BC11B9">
        <w:rPr>
          <w:snapToGrid/>
          <w:lang w:val="en-US"/>
        </w:rPr>
        <w:instrText xml:space="preserve"> REF _Ref104803956 \h </w:instrText>
      </w:r>
      <w:r w:rsidR="00696EF9" w:rsidRPr="00BC11B9">
        <w:rPr>
          <w:snapToGrid/>
          <w:lang w:val="en-US"/>
        </w:rPr>
      </w:r>
      <w:r w:rsidR="00696EF9" w:rsidRPr="00BC11B9">
        <w:rPr>
          <w:snapToGrid/>
          <w:lang w:val="en-US"/>
        </w:rPr>
        <w:fldChar w:fldCharType="separate"/>
      </w:r>
      <w:r w:rsidR="006C1D0C">
        <w:t xml:space="preserve">Table </w:t>
      </w:r>
      <w:r w:rsidR="006C1D0C">
        <w:rPr>
          <w:noProof/>
        </w:rPr>
        <w:t>2</w:t>
      </w:r>
      <w:r w:rsidR="00696EF9" w:rsidRPr="00BC11B9">
        <w:rPr>
          <w:snapToGrid/>
          <w:lang w:val="en-US"/>
        </w:rPr>
        <w:fldChar w:fldCharType="end"/>
      </w:r>
      <w:r w:rsidR="00A73134" w:rsidRPr="00BC11B9">
        <w:rPr>
          <w:snapToGrid/>
          <w:lang w:val="en-US"/>
        </w:rPr>
        <w:t>.</w:t>
      </w:r>
    </w:p>
    <w:p w14:paraId="7DE3A286" w14:textId="7F2A33A5" w:rsidR="008E0D3C" w:rsidRDefault="00696EF9" w:rsidP="00BC11B9">
      <w:pPr>
        <w:pStyle w:val="TableFigureHeading"/>
        <w:rPr>
          <w:rStyle w:val="CommentReference"/>
          <w:b/>
          <w:szCs w:val="24"/>
        </w:rPr>
      </w:pPr>
      <w:bookmarkStart w:id="19" w:name="_Ref104803956"/>
      <w:r>
        <w:t xml:space="preserve">Table </w:t>
      </w:r>
      <w:fldSimple w:instr=" SEQ Table \* ARABIC ">
        <w:r w:rsidR="006C1D0C">
          <w:rPr>
            <w:noProof/>
          </w:rPr>
          <w:t>2</w:t>
        </w:r>
      </w:fldSimple>
      <w:bookmarkEnd w:id="19"/>
      <w:r>
        <w:t>:</w:t>
      </w:r>
      <w:r w:rsidR="00BC591F" w:rsidRPr="002E4F02">
        <w:rPr>
          <w:rStyle w:val="CommentReference"/>
          <w:b/>
          <w:szCs w:val="24"/>
        </w:rPr>
        <w:t xml:space="preserve"> </w:t>
      </w:r>
      <w:r w:rsidR="008E0D3C" w:rsidRPr="002E4F0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BC11B9" w:rsidRPr="00B41614" w14:paraId="3DF13B1D" w14:textId="77777777" w:rsidTr="008140AF">
        <w:trPr>
          <w:tblHeader/>
        </w:trPr>
        <w:tc>
          <w:tcPr>
            <w:tcW w:w="796" w:type="pct"/>
            <w:vAlign w:val="center"/>
          </w:tcPr>
          <w:p w14:paraId="3E0A9D5D" w14:textId="77777777" w:rsidR="00BC11B9" w:rsidRPr="00B41614" w:rsidRDefault="00BC11B9" w:rsidP="008140AF">
            <w:pPr>
              <w:pStyle w:val="In-tableHeading"/>
            </w:pPr>
            <w:r w:rsidRPr="00B41614">
              <w:t>Trial ID</w:t>
            </w:r>
          </w:p>
        </w:tc>
        <w:tc>
          <w:tcPr>
            <w:tcW w:w="3027" w:type="pct"/>
            <w:vAlign w:val="center"/>
          </w:tcPr>
          <w:p w14:paraId="3843BDA5" w14:textId="77777777" w:rsidR="00BC11B9" w:rsidRPr="00B41614" w:rsidRDefault="00BC11B9" w:rsidP="008140AF">
            <w:pPr>
              <w:pStyle w:val="In-tableHeading"/>
            </w:pPr>
            <w:r w:rsidRPr="00B41614">
              <w:t>Protocol title/ Publication title</w:t>
            </w:r>
          </w:p>
        </w:tc>
        <w:tc>
          <w:tcPr>
            <w:tcW w:w="1177" w:type="pct"/>
            <w:vAlign w:val="center"/>
          </w:tcPr>
          <w:p w14:paraId="19CF3A03" w14:textId="77777777" w:rsidR="00BC11B9" w:rsidRPr="00B41614" w:rsidRDefault="00BC11B9" w:rsidP="008140AF">
            <w:pPr>
              <w:pStyle w:val="In-tableHeading"/>
            </w:pPr>
            <w:r w:rsidRPr="00B41614">
              <w:t>Publication citation</w:t>
            </w:r>
          </w:p>
        </w:tc>
      </w:tr>
      <w:tr w:rsidR="00BC11B9" w:rsidRPr="00CB38A8" w14:paraId="3C5AB210" w14:textId="77777777" w:rsidTr="008140AF">
        <w:tc>
          <w:tcPr>
            <w:tcW w:w="796" w:type="pct"/>
            <w:vMerge w:val="restart"/>
            <w:vAlign w:val="center"/>
          </w:tcPr>
          <w:p w14:paraId="6A759FF3" w14:textId="77777777" w:rsidR="00BC11B9" w:rsidRDefault="00BC11B9" w:rsidP="008140AF">
            <w:pPr>
              <w:pStyle w:val="TableText0"/>
            </w:pPr>
            <w:r>
              <w:t>PROPEL</w:t>
            </w:r>
          </w:p>
          <w:p w14:paraId="3D861401" w14:textId="77777777" w:rsidR="00BC11B9" w:rsidRPr="00CB38A8" w:rsidRDefault="00BC11B9" w:rsidP="008140AF">
            <w:pPr>
              <w:pStyle w:val="TableText0"/>
            </w:pPr>
            <w:r>
              <w:t>(NCT02592434)</w:t>
            </w:r>
          </w:p>
        </w:tc>
        <w:tc>
          <w:tcPr>
            <w:tcW w:w="3027" w:type="pct"/>
            <w:tcBorders>
              <w:bottom w:val="nil"/>
            </w:tcBorders>
            <w:vAlign w:val="center"/>
          </w:tcPr>
          <w:p w14:paraId="5BBA4553" w14:textId="77777777" w:rsidR="00BC11B9" w:rsidRPr="00AB6248" w:rsidRDefault="00BC11B9" w:rsidP="008140AF">
            <w:pPr>
              <w:pStyle w:val="TableText0"/>
              <w:rPr>
                <w:szCs w:val="18"/>
              </w:rPr>
            </w:pPr>
            <w:r w:rsidRPr="009C7B24">
              <w:rPr>
                <w:szCs w:val="18"/>
              </w:rPr>
              <w:t>Efficacy, Safety, and Tolerability of Tofacitinib for Treatment of Polyarticular Course Juvenile Idiopathic Arthritis (JIA) in Children and Adolescent Subjects</w:t>
            </w:r>
            <w:r>
              <w:rPr>
                <w:szCs w:val="18"/>
              </w:rPr>
              <w:t>.</w:t>
            </w:r>
          </w:p>
        </w:tc>
        <w:tc>
          <w:tcPr>
            <w:tcW w:w="1177" w:type="pct"/>
            <w:tcBorders>
              <w:bottom w:val="nil"/>
            </w:tcBorders>
            <w:vAlign w:val="center"/>
          </w:tcPr>
          <w:p w14:paraId="14026EA0" w14:textId="77777777" w:rsidR="00BC11B9" w:rsidRPr="009C7B24" w:rsidRDefault="00BC11B9" w:rsidP="008140AF">
            <w:pPr>
              <w:pStyle w:val="TableText0"/>
              <w:rPr>
                <w:szCs w:val="18"/>
              </w:rPr>
            </w:pPr>
            <w:r>
              <w:rPr>
                <w:szCs w:val="18"/>
              </w:rPr>
              <w:t xml:space="preserve">Clinical Study Report, </w:t>
            </w:r>
            <w:r w:rsidRPr="009C7B24">
              <w:rPr>
                <w:szCs w:val="18"/>
              </w:rPr>
              <w:t>October 2019</w:t>
            </w:r>
          </w:p>
        </w:tc>
      </w:tr>
      <w:tr w:rsidR="00BC11B9" w:rsidRPr="00CB38A8" w14:paraId="0DAEF363" w14:textId="77777777" w:rsidTr="008140AF">
        <w:tc>
          <w:tcPr>
            <w:tcW w:w="796" w:type="pct"/>
            <w:vMerge/>
            <w:tcBorders>
              <w:bottom w:val="nil"/>
            </w:tcBorders>
          </w:tcPr>
          <w:p w14:paraId="7E6DE3A7" w14:textId="77777777" w:rsidR="00BC11B9" w:rsidRPr="00CB38A8" w:rsidRDefault="00BC11B9" w:rsidP="008140AF">
            <w:pPr>
              <w:pStyle w:val="TableText0"/>
            </w:pPr>
          </w:p>
        </w:tc>
        <w:tc>
          <w:tcPr>
            <w:tcW w:w="3027" w:type="pct"/>
            <w:tcBorders>
              <w:top w:val="nil"/>
              <w:bottom w:val="nil"/>
            </w:tcBorders>
            <w:vAlign w:val="center"/>
          </w:tcPr>
          <w:p w14:paraId="58C387AF" w14:textId="77777777" w:rsidR="00BC11B9" w:rsidRPr="009C7B24" w:rsidRDefault="00BC11B9" w:rsidP="008140AF">
            <w:pPr>
              <w:pStyle w:val="TableText0"/>
              <w:rPr>
                <w:szCs w:val="18"/>
              </w:rPr>
            </w:pPr>
            <w:r w:rsidRPr="009C7B24">
              <w:rPr>
                <w:szCs w:val="18"/>
              </w:rPr>
              <w:t>Ruperto N</w:t>
            </w:r>
            <w:r>
              <w:rPr>
                <w:szCs w:val="18"/>
              </w:rPr>
              <w:t xml:space="preserve"> et al. </w:t>
            </w:r>
            <w:r w:rsidRPr="009C7B24">
              <w:rPr>
                <w:szCs w:val="18"/>
              </w:rPr>
              <w:t xml:space="preserve">Tofacitinib in juvenile idiopathic arthritis: a double-blind, placebo-controlled, withdrawal phase 3 randomised trial. </w:t>
            </w:r>
          </w:p>
        </w:tc>
        <w:tc>
          <w:tcPr>
            <w:tcW w:w="1177" w:type="pct"/>
            <w:tcBorders>
              <w:top w:val="nil"/>
              <w:bottom w:val="nil"/>
            </w:tcBorders>
            <w:vAlign w:val="center"/>
          </w:tcPr>
          <w:p w14:paraId="603934E4" w14:textId="77777777" w:rsidR="00BC11B9" w:rsidRPr="009C7B24" w:rsidRDefault="00BC11B9" w:rsidP="008140AF">
            <w:pPr>
              <w:pStyle w:val="TableText0"/>
              <w:rPr>
                <w:szCs w:val="18"/>
              </w:rPr>
            </w:pPr>
            <w:r w:rsidRPr="009C7B24">
              <w:rPr>
                <w:szCs w:val="18"/>
              </w:rPr>
              <w:t>The Lancet. 2021;</w:t>
            </w:r>
            <w:r>
              <w:rPr>
                <w:szCs w:val="18"/>
              </w:rPr>
              <w:t xml:space="preserve"> </w:t>
            </w:r>
            <w:r w:rsidRPr="009C7B24">
              <w:rPr>
                <w:szCs w:val="18"/>
              </w:rPr>
              <w:t>398(10315):1984-96.</w:t>
            </w:r>
          </w:p>
        </w:tc>
      </w:tr>
      <w:tr w:rsidR="00BC11B9" w:rsidRPr="00CB38A8" w14:paraId="52755D12" w14:textId="77777777" w:rsidTr="008140AF">
        <w:trPr>
          <w:trHeight w:val="70"/>
        </w:trPr>
        <w:tc>
          <w:tcPr>
            <w:tcW w:w="796" w:type="pct"/>
            <w:shd w:val="clear" w:color="auto" w:fill="C6D9F1" w:themeFill="text2" w:themeFillTint="33"/>
            <w:vAlign w:val="center"/>
          </w:tcPr>
          <w:p w14:paraId="0BBBC74E" w14:textId="77777777" w:rsidR="00BC11B9" w:rsidRPr="00CB38A8" w:rsidRDefault="00BC11B9" w:rsidP="008140AF">
            <w:pPr>
              <w:pStyle w:val="TableText0"/>
            </w:pPr>
            <w:r>
              <w:t>DE038</w:t>
            </w:r>
          </w:p>
        </w:tc>
        <w:tc>
          <w:tcPr>
            <w:tcW w:w="3027" w:type="pct"/>
            <w:shd w:val="clear" w:color="auto" w:fill="C6D9F1" w:themeFill="text2" w:themeFillTint="33"/>
            <w:vAlign w:val="center"/>
          </w:tcPr>
          <w:p w14:paraId="3DD9A080" w14:textId="77777777" w:rsidR="00BC11B9" w:rsidRPr="00CB38A8" w:rsidRDefault="00BC11B9" w:rsidP="008140AF">
            <w:pPr>
              <w:pStyle w:val="TableText0"/>
            </w:pPr>
            <w:r w:rsidRPr="00562254">
              <w:rPr>
                <w:color w:val="000000"/>
                <w:szCs w:val="18"/>
                <w:lang w:eastAsia="en-GB"/>
              </w:rPr>
              <w:t>Lovell DJ et al. Adalimumab with or without methotrexate in</w:t>
            </w:r>
            <w:r>
              <w:rPr>
                <w:color w:val="000000"/>
                <w:szCs w:val="18"/>
                <w:lang w:eastAsia="en-GB"/>
              </w:rPr>
              <w:t xml:space="preserve"> juvenile rheumatoid arthritis.</w:t>
            </w:r>
          </w:p>
        </w:tc>
        <w:tc>
          <w:tcPr>
            <w:tcW w:w="1177" w:type="pct"/>
            <w:shd w:val="clear" w:color="auto" w:fill="C6D9F1" w:themeFill="text2" w:themeFillTint="33"/>
            <w:vAlign w:val="center"/>
          </w:tcPr>
          <w:p w14:paraId="60EF2BEF" w14:textId="77777777" w:rsidR="00BC11B9" w:rsidRPr="004A2558" w:rsidRDefault="00BC11B9" w:rsidP="008140AF">
            <w:pPr>
              <w:pStyle w:val="TableText0"/>
            </w:pPr>
            <w:r>
              <w:t xml:space="preserve">NEJM 2008; </w:t>
            </w:r>
            <w:r w:rsidRPr="00562254">
              <w:rPr>
                <w:color w:val="000000"/>
                <w:szCs w:val="18"/>
                <w:lang w:eastAsia="en-GB"/>
              </w:rPr>
              <w:t>359(8):810-820</w:t>
            </w:r>
          </w:p>
        </w:tc>
      </w:tr>
    </w:tbl>
    <w:p w14:paraId="7B804EEE" w14:textId="77777777" w:rsidR="00BC11B9" w:rsidRDefault="00BC11B9" w:rsidP="00BC11B9">
      <w:pPr>
        <w:pStyle w:val="FooterTableFigure"/>
      </w:pPr>
      <w:r w:rsidRPr="00574B2D">
        <w:rPr>
          <w:rStyle w:val="CommentReference"/>
          <w:b w:val="0"/>
          <w:bCs/>
          <w:sz w:val="18"/>
          <w:szCs w:val="18"/>
          <w:shd w:val="clear" w:color="auto" w:fill="B8CCE4" w:themeFill="accent1" w:themeFillTint="66"/>
        </w:rPr>
        <w:t xml:space="preserve">Blue </w:t>
      </w:r>
      <w:r w:rsidRPr="00574B2D">
        <w:rPr>
          <w:rStyle w:val="CommentReference"/>
          <w:b w:val="0"/>
          <w:bCs/>
          <w:sz w:val="18"/>
          <w:szCs w:val="18"/>
        </w:rPr>
        <w:t>shading indicates data previously seen by the PBAC.</w:t>
      </w:r>
    </w:p>
    <w:p w14:paraId="04610709" w14:textId="77777777" w:rsidR="00BC11B9" w:rsidRPr="00B1011F" w:rsidRDefault="00BC11B9" w:rsidP="00BC11B9">
      <w:pPr>
        <w:pStyle w:val="FooterTableFigure"/>
        <w:rPr>
          <w:sz w:val="20"/>
        </w:rPr>
      </w:pPr>
      <w:r>
        <w:t xml:space="preserve">Source: Tables 2.3-2.4, pp27-28 </w:t>
      </w:r>
      <w:r w:rsidRPr="00D13A3E">
        <w:t xml:space="preserve">of the </w:t>
      </w:r>
      <w:r>
        <w:t>submission.</w:t>
      </w:r>
    </w:p>
    <w:p w14:paraId="1DD06D7D" w14:textId="45F46A8A" w:rsidR="007F1017" w:rsidRPr="00BA6BD7" w:rsidRDefault="008F120A" w:rsidP="00BA6BD7">
      <w:pPr>
        <w:pStyle w:val="3-BodyText"/>
      </w:pPr>
      <w:r w:rsidRPr="00BA6BD7">
        <w:t>The key features of the randomised trials</w:t>
      </w:r>
      <w:r w:rsidR="00BA6BD7" w:rsidRPr="00BA6BD7">
        <w:t xml:space="preserve"> </w:t>
      </w:r>
      <w:r w:rsidRPr="00BA6BD7">
        <w:t>are summarised in</w:t>
      </w:r>
      <w:r w:rsidR="00D6076E" w:rsidRPr="00BA6BD7">
        <w:t xml:space="preserve"> </w:t>
      </w:r>
      <w:r w:rsidR="00D6076E" w:rsidRPr="00BA6BD7">
        <w:fldChar w:fldCharType="begin"/>
      </w:r>
      <w:r w:rsidR="00D6076E" w:rsidRPr="00BA6BD7">
        <w:instrText xml:space="preserve"> REF _Ref104804098 \h  \* MERGEFORMAT </w:instrText>
      </w:r>
      <w:r w:rsidR="00D6076E" w:rsidRPr="00BA6BD7">
        <w:fldChar w:fldCharType="separate"/>
      </w:r>
      <w:r w:rsidR="006C1D0C" w:rsidRPr="006C1D0C">
        <w:t>Table 3</w:t>
      </w:r>
      <w:r w:rsidR="00D6076E" w:rsidRPr="00BA6BD7">
        <w:fldChar w:fldCharType="end"/>
      </w:r>
      <w:r w:rsidRPr="00BA6BD7">
        <w:t>.</w:t>
      </w:r>
    </w:p>
    <w:p w14:paraId="355E2F15" w14:textId="7F82E1E3" w:rsidR="007F1017" w:rsidRDefault="00696EF9" w:rsidP="00B069CA">
      <w:pPr>
        <w:pStyle w:val="Caption"/>
        <w:rPr>
          <w:rStyle w:val="CommentReference"/>
          <w:rFonts w:eastAsiaTheme="majorEastAsia" w:cstheme="majorBidi"/>
          <w:b/>
          <w:szCs w:val="24"/>
        </w:rPr>
      </w:pPr>
      <w:bookmarkStart w:id="20"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6C1D0C">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0"/>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992"/>
        <w:gridCol w:w="1701"/>
        <w:gridCol w:w="707"/>
        <w:gridCol w:w="1845"/>
        <w:gridCol w:w="1728"/>
        <w:gridCol w:w="631"/>
      </w:tblGrid>
      <w:tr w:rsidR="00BA6BD7" w:rsidRPr="00B41614" w14:paraId="6E67A8E5" w14:textId="77777777" w:rsidTr="008140AF">
        <w:trPr>
          <w:cantSplit/>
          <w:tblHeader/>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474057DC" w14:textId="77777777" w:rsidR="00BA6BD7" w:rsidRPr="00B41614" w:rsidRDefault="00BA6BD7" w:rsidP="00B069CA">
            <w:pPr>
              <w:pStyle w:val="In-tableHeading"/>
              <w:keepLines/>
            </w:pPr>
            <w:r w:rsidRPr="00B41614">
              <w:t>Trial</w:t>
            </w:r>
            <w:r>
              <w:t xml:space="preserve"> (dates)</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A77754E" w14:textId="77777777" w:rsidR="00BA6BD7" w:rsidRPr="00B41614" w:rsidRDefault="00BA6BD7" w:rsidP="00B069CA">
            <w:pPr>
              <w:pStyle w:val="In-tableHeading"/>
              <w:keepLines/>
              <w:jc w:val="center"/>
            </w:pPr>
            <w:r w:rsidRPr="00B41614">
              <w:t>N</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23DBF7C5" w14:textId="77777777" w:rsidR="00BA6BD7" w:rsidRPr="00B41614" w:rsidRDefault="00BA6BD7" w:rsidP="00B069CA">
            <w:pPr>
              <w:pStyle w:val="In-tableHeading"/>
              <w:keepLines/>
              <w:jc w:val="center"/>
            </w:pPr>
            <w:r w:rsidRPr="00B41614">
              <w:t>Design/ duration</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48BD1084" w14:textId="77777777" w:rsidR="00BA6BD7" w:rsidRPr="00B41614" w:rsidRDefault="00BA6BD7" w:rsidP="00B069CA">
            <w:pPr>
              <w:pStyle w:val="In-tableHeading"/>
              <w:keepLines/>
              <w:jc w:val="center"/>
            </w:pPr>
            <w:r w:rsidRPr="00B41614">
              <w:t>Risk of bias</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182F6A87" w14:textId="77777777" w:rsidR="00BA6BD7" w:rsidRPr="00B41614" w:rsidRDefault="00BA6BD7" w:rsidP="00B069CA">
            <w:pPr>
              <w:pStyle w:val="In-tableHeading"/>
              <w:keepLines/>
              <w:jc w:val="center"/>
            </w:pPr>
            <w:r w:rsidRPr="00B41614">
              <w:t>Patient population</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6E1676F6" w14:textId="77777777" w:rsidR="00BA6BD7" w:rsidRPr="00B41614" w:rsidRDefault="00BA6BD7" w:rsidP="00B069CA">
            <w:pPr>
              <w:pStyle w:val="In-tableHeading"/>
              <w:keepLines/>
              <w:jc w:val="center"/>
            </w:pPr>
            <w:r>
              <w:t>Key o</w:t>
            </w:r>
            <w:r w:rsidRPr="00B41614">
              <w:t>utcomes</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EDEA4DD" w14:textId="77777777" w:rsidR="00BA6BD7" w:rsidRPr="00B41614" w:rsidRDefault="00BA6BD7" w:rsidP="00B069CA">
            <w:pPr>
              <w:pStyle w:val="In-tableHeading"/>
              <w:keepLines/>
              <w:jc w:val="center"/>
            </w:pPr>
            <w:r w:rsidRPr="00B41614">
              <w:t>Use</w:t>
            </w:r>
            <w:r>
              <w:t>d</w:t>
            </w:r>
          </w:p>
        </w:tc>
      </w:tr>
      <w:tr w:rsidR="00BA6BD7" w:rsidRPr="00E2771E" w14:paraId="0D16E7F6" w14:textId="77777777" w:rsidTr="008140AF">
        <w:trPr>
          <w:cantSplit/>
        </w:trPr>
        <w:tc>
          <w:tcPr>
            <w:tcW w:w="5000" w:type="pct"/>
            <w:gridSpan w:val="7"/>
            <w:shd w:val="clear" w:color="auto" w:fill="auto"/>
            <w:vAlign w:val="center"/>
          </w:tcPr>
          <w:p w14:paraId="19C747B7" w14:textId="5CE5A7EF" w:rsidR="00BA6BD7" w:rsidRPr="00EC5836" w:rsidRDefault="00BA6BD7" w:rsidP="00B069CA">
            <w:pPr>
              <w:pStyle w:val="In-tableHeading"/>
              <w:keepLines/>
            </w:pPr>
            <w:r>
              <w:t>TOF v placebo</w:t>
            </w:r>
          </w:p>
        </w:tc>
      </w:tr>
      <w:tr w:rsidR="00BA6BD7" w:rsidRPr="00E2771E" w14:paraId="544BAB8E" w14:textId="77777777" w:rsidTr="008140AF">
        <w:trPr>
          <w:cantSplit/>
        </w:trPr>
        <w:tc>
          <w:tcPr>
            <w:tcW w:w="784" w:type="pct"/>
            <w:shd w:val="clear" w:color="auto" w:fill="auto"/>
            <w:vAlign w:val="center"/>
          </w:tcPr>
          <w:p w14:paraId="42CD8FD9" w14:textId="77777777" w:rsidR="00BA6BD7" w:rsidRDefault="00BA6BD7" w:rsidP="00B069CA">
            <w:pPr>
              <w:pStyle w:val="TableText0"/>
              <w:keepLines/>
              <w:rPr>
                <w:lang w:val="en-US"/>
              </w:rPr>
            </w:pPr>
            <w:r>
              <w:rPr>
                <w:lang w:val="en-US"/>
              </w:rPr>
              <w:t>PROPEL</w:t>
            </w:r>
          </w:p>
          <w:p w14:paraId="63145C9C" w14:textId="77777777" w:rsidR="00BA6BD7" w:rsidRPr="00E2771E" w:rsidRDefault="00BA6BD7" w:rsidP="00B069CA">
            <w:pPr>
              <w:pStyle w:val="TableText0"/>
              <w:keepLines/>
              <w:rPr>
                <w:lang w:val="en-US"/>
              </w:rPr>
            </w:pPr>
            <w:r>
              <w:rPr>
                <w:lang w:val="en-US"/>
              </w:rPr>
              <w:t>(June 2016 to May 2019)</w:t>
            </w:r>
          </w:p>
        </w:tc>
        <w:tc>
          <w:tcPr>
            <w:tcW w:w="550" w:type="pct"/>
            <w:shd w:val="clear" w:color="auto" w:fill="auto"/>
            <w:vAlign w:val="center"/>
          </w:tcPr>
          <w:p w14:paraId="1F31B247" w14:textId="77777777" w:rsidR="00BA6BD7" w:rsidRDefault="00BA6BD7" w:rsidP="00B069CA">
            <w:pPr>
              <w:pStyle w:val="TableText0"/>
              <w:keepLines/>
              <w:jc w:val="center"/>
              <w:rPr>
                <w:lang w:val="en-US"/>
              </w:rPr>
            </w:pPr>
            <w:r>
              <w:rPr>
                <w:lang w:val="en-US"/>
              </w:rPr>
              <w:t>OL-LI: 225</w:t>
            </w:r>
          </w:p>
          <w:p w14:paraId="50910CF5" w14:textId="77777777" w:rsidR="00BA6BD7" w:rsidRDefault="00BA6BD7" w:rsidP="00B069CA">
            <w:pPr>
              <w:pStyle w:val="TableText0"/>
              <w:keepLines/>
              <w:jc w:val="center"/>
              <w:rPr>
                <w:lang w:val="en-US"/>
              </w:rPr>
            </w:pPr>
            <w:r>
              <w:rPr>
                <w:lang w:val="en-US"/>
              </w:rPr>
              <w:t>(184 pcJIA)</w:t>
            </w:r>
          </w:p>
          <w:p w14:paraId="67AAF190" w14:textId="77777777" w:rsidR="00BA6BD7" w:rsidRDefault="00BA6BD7" w:rsidP="00B069CA">
            <w:pPr>
              <w:pStyle w:val="TableText0"/>
              <w:keepLines/>
              <w:jc w:val="center"/>
              <w:rPr>
                <w:lang w:val="en-US"/>
              </w:rPr>
            </w:pPr>
            <w:r>
              <w:rPr>
                <w:lang w:val="en-US"/>
              </w:rPr>
              <w:t>DB: 173</w:t>
            </w:r>
          </w:p>
          <w:p w14:paraId="240203FF" w14:textId="77777777" w:rsidR="00BA6BD7" w:rsidRPr="00E2771E" w:rsidRDefault="00BA6BD7" w:rsidP="00B069CA">
            <w:pPr>
              <w:pStyle w:val="TableText0"/>
              <w:keepLines/>
              <w:jc w:val="center"/>
              <w:rPr>
                <w:lang w:val="en-US"/>
              </w:rPr>
            </w:pPr>
            <w:r>
              <w:rPr>
                <w:lang w:val="en-US"/>
              </w:rPr>
              <w:t>(142 pcJIA)</w:t>
            </w:r>
          </w:p>
        </w:tc>
        <w:tc>
          <w:tcPr>
            <w:tcW w:w="943" w:type="pct"/>
            <w:shd w:val="clear" w:color="auto" w:fill="auto"/>
            <w:vAlign w:val="center"/>
          </w:tcPr>
          <w:p w14:paraId="7C600993" w14:textId="77777777" w:rsidR="00BA6BD7" w:rsidRPr="00E2771E" w:rsidRDefault="00BA6BD7" w:rsidP="00B069CA">
            <w:pPr>
              <w:pStyle w:val="TableText0"/>
              <w:keepLines/>
              <w:jc w:val="center"/>
              <w:rPr>
                <w:lang w:val="en-US"/>
              </w:rPr>
            </w:pPr>
            <w:r>
              <w:rPr>
                <w:lang w:val="en-US"/>
              </w:rPr>
              <w:t>MC, DB; PC; RWD, 18wk OL-LI &amp; 26wk DB phase, DB criteria: PedACR30 in OL-LI</w:t>
            </w:r>
          </w:p>
        </w:tc>
        <w:tc>
          <w:tcPr>
            <w:tcW w:w="392" w:type="pct"/>
            <w:shd w:val="clear" w:color="auto" w:fill="auto"/>
            <w:vAlign w:val="center"/>
          </w:tcPr>
          <w:p w14:paraId="0B5C5899" w14:textId="07BAAC53" w:rsidR="00BA6BD7" w:rsidRPr="002277BD" w:rsidRDefault="00BA6BD7" w:rsidP="00B069CA">
            <w:pPr>
              <w:pStyle w:val="TableText0"/>
              <w:keepLines/>
              <w:jc w:val="center"/>
              <w:rPr>
                <w:iCs/>
                <w:lang w:val="en-US"/>
              </w:rPr>
            </w:pPr>
            <w:r w:rsidRPr="002277BD">
              <w:rPr>
                <w:iCs/>
                <w:lang w:val="en-US"/>
              </w:rPr>
              <w:t>Low</w:t>
            </w:r>
            <w:r w:rsidR="001F06C2">
              <w:rPr>
                <w:iCs/>
                <w:lang w:val="en-US"/>
              </w:rPr>
              <w:t xml:space="preserve"> (DB phase)</w:t>
            </w:r>
          </w:p>
        </w:tc>
        <w:tc>
          <w:tcPr>
            <w:tcW w:w="1023" w:type="pct"/>
            <w:shd w:val="clear" w:color="auto" w:fill="auto"/>
            <w:vAlign w:val="center"/>
          </w:tcPr>
          <w:p w14:paraId="70BF935C" w14:textId="21107013" w:rsidR="00BA6BD7" w:rsidRPr="00E2771E" w:rsidRDefault="00BA6BD7" w:rsidP="00B069CA">
            <w:pPr>
              <w:pStyle w:val="TableText0"/>
              <w:keepLines/>
              <w:jc w:val="center"/>
              <w:rPr>
                <w:lang w:val="en-US"/>
              </w:rPr>
            </w:pPr>
            <w:r w:rsidRPr="00BA6BD7">
              <w:rPr>
                <w:lang w:val="en-US"/>
              </w:rPr>
              <w:t>pcJIA, PsA or ERA</w:t>
            </w:r>
            <w:r>
              <w:rPr>
                <w:lang w:val="en-US"/>
              </w:rPr>
              <w:t>; 2-1</w:t>
            </w:r>
            <w:r w:rsidR="00A1526C">
              <w:rPr>
                <w:lang w:val="en-US"/>
              </w:rPr>
              <w:t>7</w:t>
            </w:r>
            <w:r>
              <w:rPr>
                <w:lang w:val="en-US"/>
              </w:rPr>
              <w:t xml:space="preserve"> yrs; IR to i) MTX or bDMARDs (pcJIA) or ii) NSAIDs (PsA, ERA);</w:t>
            </w:r>
          </w:p>
        </w:tc>
        <w:tc>
          <w:tcPr>
            <w:tcW w:w="958" w:type="pct"/>
            <w:shd w:val="clear" w:color="auto" w:fill="auto"/>
            <w:vAlign w:val="center"/>
          </w:tcPr>
          <w:p w14:paraId="00852FF4" w14:textId="16B67D16" w:rsidR="00BA6BD7" w:rsidRDefault="00BA6BD7" w:rsidP="00B069CA">
            <w:pPr>
              <w:pStyle w:val="TableText0"/>
              <w:keepLines/>
              <w:jc w:val="center"/>
              <w:rPr>
                <w:lang w:val="en-US"/>
              </w:rPr>
            </w:pPr>
            <w:r w:rsidRPr="008F6264">
              <w:rPr>
                <w:u w:val="single"/>
                <w:lang w:val="en-US"/>
              </w:rPr>
              <w:t>Efficacy</w:t>
            </w:r>
            <w:r>
              <w:rPr>
                <w:u w:val="single"/>
                <w:lang w:val="en-US"/>
              </w:rPr>
              <w:t>^</w:t>
            </w:r>
            <w:r>
              <w:rPr>
                <w:lang w:val="en-US"/>
              </w:rPr>
              <w:t>:</w:t>
            </w:r>
          </w:p>
          <w:p w14:paraId="108D5D1D" w14:textId="77777777" w:rsidR="00BA6BD7" w:rsidRDefault="00BA6BD7" w:rsidP="00B069CA">
            <w:pPr>
              <w:pStyle w:val="TableText0"/>
              <w:keepLines/>
              <w:jc w:val="center"/>
              <w:rPr>
                <w:lang w:val="en-US"/>
              </w:rPr>
            </w:pPr>
            <w:r>
              <w:rPr>
                <w:lang w:val="en-US"/>
              </w:rPr>
              <w:t>1</w:t>
            </w:r>
            <w:r w:rsidRPr="006C1A2D">
              <w:rPr>
                <w:rFonts w:ascii="Calibri" w:hAnsi="Calibri" w:cs="Calibri"/>
                <w:vertAlign w:val="superscript"/>
                <w:lang w:val="en-US"/>
              </w:rPr>
              <w:t>ᴑ</w:t>
            </w:r>
            <w:r>
              <w:rPr>
                <w:lang w:val="en-US"/>
              </w:rPr>
              <w:t>: Flare Wk18-44</w:t>
            </w:r>
          </w:p>
          <w:p w14:paraId="1A39E13A" w14:textId="77777777" w:rsidR="00BA6BD7" w:rsidRPr="00E2771E" w:rsidRDefault="00BA6BD7" w:rsidP="00B069CA">
            <w:pPr>
              <w:pStyle w:val="TableText0"/>
              <w:keepLines/>
              <w:jc w:val="center"/>
              <w:rPr>
                <w:lang w:val="en-US"/>
              </w:rPr>
            </w:pPr>
            <w:r>
              <w:rPr>
                <w:lang w:val="en-US"/>
              </w:rPr>
              <w:t>2</w:t>
            </w:r>
            <w:r w:rsidRPr="006C1A2D">
              <w:rPr>
                <w:rFonts w:ascii="Calibri" w:hAnsi="Calibri" w:cs="Calibri"/>
                <w:vertAlign w:val="superscript"/>
                <w:lang w:val="en-US"/>
              </w:rPr>
              <w:t>ᴑ</w:t>
            </w:r>
            <w:r>
              <w:rPr>
                <w:lang w:val="en-US"/>
              </w:rPr>
              <w:t>: PedACR30/50/70 Wk44.</w:t>
            </w:r>
          </w:p>
        </w:tc>
        <w:tc>
          <w:tcPr>
            <w:tcW w:w="350" w:type="pct"/>
            <w:shd w:val="clear" w:color="auto" w:fill="auto"/>
            <w:vAlign w:val="center"/>
          </w:tcPr>
          <w:p w14:paraId="39823C2F" w14:textId="77777777" w:rsidR="00BA6BD7" w:rsidRPr="00E2771E" w:rsidRDefault="00BA6BD7" w:rsidP="00B069CA">
            <w:pPr>
              <w:pStyle w:val="TableText0"/>
              <w:keepLines/>
              <w:jc w:val="center"/>
              <w:rPr>
                <w:lang w:val="en-US"/>
              </w:rPr>
            </w:pPr>
            <w:r>
              <w:rPr>
                <w:lang w:val="en-US"/>
              </w:rPr>
              <w:t>ITC</w:t>
            </w:r>
          </w:p>
        </w:tc>
      </w:tr>
      <w:tr w:rsidR="00BA6BD7" w:rsidRPr="00E2771E" w14:paraId="2AC9337C" w14:textId="77777777" w:rsidTr="008140AF">
        <w:trPr>
          <w:cantSplit/>
        </w:trPr>
        <w:tc>
          <w:tcPr>
            <w:tcW w:w="5000" w:type="pct"/>
            <w:gridSpan w:val="7"/>
            <w:shd w:val="clear" w:color="auto" w:fill="C6D9F1" w:themeFill="text2" w:themeFillTint="33"/>
            <w:vAlign w:val="center"/>
          </w:tcPr>
          <w:p w14:paraId="76014BE3" w14:textId="3549AB3B" w:rsidR="00BA6BD7" w:rsidRPr="001A5923" w:rsidRDefault="00BA6BD7" w:rsidP="00B069CA">
            <w:pPr>
              <w:pStyle w:val="TableText0"/>
              <w:keepLines/>
              <w:rPr>
                <w:b/>
                <w:bCs w:val="0"/>
                <w:lang w:val="en-US"/>
              </w:rPr>
            </w:pPr>
            <w:r w:rsidRPr="001A5923">
              <w:rPr>
                <w:b/>
                <w:bCs w:val="0"/>
                <w:lang w:val="en-US"/>
              </w:rPr>
              <w:t xml:space="preserve">ADA v </w:t>
            </w:r>
            <w:r>
              <w:rPr>
                <w:b/>
                <w:bCs w:val="0"/>
                <w:lang w:val="en-US"/>
              </w:rPr>
              <w:t>placebo</w:t>
            </w:r>
          </w:p>
        </w:tc>
      </w:tr>
      <w:tr w:rsidR="00BA6BD7" w:rsidRPr="00E2771E" w14:paraId="6864D861" w14:textId="77777777" w:rsidTr="008140AF">
        <w:trPr>
          <w:cantSplit/>
        </w:trPr>
        <w:tc>
          <w:tcPr>
            <w:tcW w:w="784" w:type="pct"/>
            <w:shd w:val="clear" w:color="auto" w:fill="C6D9F1" w:themeFill="text2" w:themeFillTint="33"/>
            <w:vAlign w:val="center"/>
          </w:tcPr>
          <w:p w14:paraId="03C8E4CE" w14:textId="77777777" w:rsidR="00BA6BD7" w:rsidRDefault="00BA6BD7" w:rsidP="00B069CA">
            <w:pPr>
              <w:pStyle w:val="TableText0"/>
              <w:keepLines/>
              <w:rPr>
                <w:lang w:val="en-US"/>
              </w:rPr>
            </w:pPr>
            <w:r>
              <w:rPr>
                <w:lang w:val="en-US"/>
              </w:rPr>
              <w:t>DE038</w:t>
            </w:r>
          </w:p>
          <w:p w14:paraId="4CFE749F" w14:textId="77777777" w:rsidR="00BA6BD7" w:rsidRPr="00E2771E" w:rsidRDefault="00BA6BD7" w:rsidP="00B069CA">
            <w:pPr>
              <w:pStyle w:val="TableText0"/>
              <w:keepLines/>
              <w:rPr>
                <w:lang w:val="en-US"/>
              </w:rPr>
            </w:pPr>
            <w:r>
              <w:rPr>
                <w:lang w:val="en-US"/>
              </w:rPr>
              <w:t>(September 2002 to January 2005)</w:t>
            </w:r>
          </w:p>
        </w:tc>
        <w:tc>
          <w:tcPr>
            <w:tcW w:w="550" w:type="pct"/>
            <w:shd w:val="clear" w:color="auto" w:fill="C6D9F1" w:themeFill="text2" w:themeFillTint="33"/>
            <w:vAlign w:val="center"/>
          </w:tcPr>
          <w:p w14:paraId="58CCE408" w14:textId="77777777" w:rsidR="00BA6BD7" w:rsidRDefault="00BA6BD7" w:rsidP="00B069CA">
            <w:pPr>
              <w:pStyle w:val="TableText0"/>
              <w:keepLines/>
              <w:jc w:val="center"/>
              <w:rPr>
                <w:lang w:val="en-US"/>
              </w:rPr>
            </w:pPr>
            <w:r>
              <w:rPr>
                <w:lang w:val="en-US"/>
              </w:rPr>
              <w:t>OL-LI: 171</w:t>
            </w:r>
          </w:p>
          <w:p w14:paraId="4754F2CE" w14:textId="77777777" w:rsidR="00BA6BD7" w:rsidRPr="00E2771E" w:rsidRDefault="00BA6BD7" w:rsidP="00B069CA">
            <w:pPr>
              <w:pStyle w:val="TableText0"/>
              <w:keepLines/>
              <w:jc w:val="center"/>
              <w:rPr>
                <w:lang w:val="en-US"/>
              </w:rPr>
            </w:pPr>
            <w:r>
              <w:rPr>
                <w:lang w:val="en-US"/>
              </w:rPr>
              <w:t>DB: 133</w:t>
            </w:r>
          </w:p>
        </w:tc>
        <w:tc>
          <w:tcPr>
            <w:tcW w:w="943" w:type="pct"/>
            <w:shd w:val="clear" w:color="auto" w:fill="C6D9F1" w:themeFill="text2" w:themeFillTint="33"/>
            <w:vAlign w:val="center"/>
          </w:tcPr>
          <w:p w14:paraId="20F391E5" w14:textId="77777777" w:rsidR="00BA6BD7" w:rsidRPr="00E2771E" w:rsidRDefault="00BA6BD7" w:rsidP="00B069CA">
            <w:pPr>
              <w:pStyle w:val="TableText0"/>
              <w:keepLines/>
              <w:jc w:val="center"/>
              <w:rPr>
                <w:lang w:val="en-US"/>
              </w:rPr>
            </w:pPr>
            <w:r>
              <w:rPr>
                <w:lang w:val="en-US"/>
              </w:rPr>
              <w:t xml:space="preserve">MC, DB, PC, RWD, 16wk OL-LI &amp; 32wk DB phase, DB criteria: PedACR30 in OL-LI </w:t>
            </w:r>
          </w:p>
        </w:tc>
        <w:tc>
          <w:tcPr>
            <w:tcW w:w="392" w:type="pct"/>
            <w:shd w:val="clear" w:color="auto" w:fill="C6D9F1" w:themeFill="text2" w:themeFillTint="33"/>
            <w:vAlign w:val="center"/>
          </w:tcPr>
          <w:p w14:paraId="3B30B57D" w14:textId="3572C2C5" w:rsidR="00BA6BD7" w:rsidRPr="002277BD" w:rsidRDefault="00BA6BD7" w:rsidP="00B069CA">
            <w:pPr>
              <w:pStyle w:val="TableText0"/>
              <w:keepLines/>
              <w:jc w:val="center"/>
              <w:rPr>
                <w:iCs/>
                <w:lang w:val="en-US"/>
              </w:rPr>
            </w:pPr>
            <w:r>
              <w:rPr>
                <w:iCs/>
                <w:lang w:val="en-US"/>
              </w:rPr>
              <w:t>Low</w:t>
            </w:r>
            <w:r w:rsidR="001F06C2">
              <w:rPr>
                <w:iCs/>
                <w:lang w:val="en-US"/>
              </w:rPr>
              <w:t xml:space="preserve"> (DB phase)</w:t>
            </w:r>
          </w:p>
        </w:tc>
        <w:tc>
          <w:tcPr>
            <w:tcW w:w="1023" w:type="pct"/>
            <w:shd w:val="clear" w:color="auto" w:fill="C6D9F1" w:themeFill="text2" w:themeFillTint="33"/>
            <w:vAlign w:val="center"/>
          </w:tcPr>
          <w:p w14:paraId="56AF5832" w14:textId="77777777" w:rsidR="00BA6BD7" w:rsidRPr="00E2771E" w:rsidRDefault="00BA6BD7" w:rsidP="00B069CA">
            <w:pPr>
              <w:pStyle w:val="TableText0"/>
              <w:keepLines/>
              <w:jc w:val="center"/>
              <w:rPr>
                <w:lang w:val="en-US"/>
              </w:rPr>
            </w:pPr>
            <w:r>
              <w:rPr>
                <w:lang w:val="en-US"/>
              </w:rPr>
              <w:t>pcJIA; 4-17 yrs; IR to NSAIDs or MTX</w:t>
            </w:r>
          </w:p>
        </w:tc>
        <w:tc>
          <w:tcPr>
            <w:tcW w:w="958" w:type="pct"/>
            <w:shd w:val="clear" w:color="auto" w:fill="C6D9F1" w:themeFill="text2" w:themeFillTint="33"/>
            <w:vAlign w:val="center"/>
          </w:tcPr>
          <w:p w14:paraId="1FD76390" w14:textId="77777777" w:rsidR="00BA6BD7" w:rsidRDefault="00BA6BD7" w:rsidP="00B069CA">
            <w:pPr>
              <w:pStyle w:val="TableText0"/>
              <w:keepLines/>
              <w:jc w:val="center"/>
              <w:rPr>
                <w:lang w:val="en-US"/>
              </w:rPr>
            </w:pPr>
            <w:r w:rsidRPr="008F6264">
              <w:rPr>
                <w:u w:val="single"/>
                <w:lang w:val="en-US"/>
              </w:rPr>
              <w:t>Efficacy</w:t>
            </w:r>
            <w:r>
              <w:rPr>
                <w:lang w:val="en-US"/>
              </w:rPr>
              <w:t>:</w:t>
            </w:r>
          </w:p>
          <w:p w14:paraId="25134648" w14:textId="77777777" w:rsidR="00BA6BD7" w:rsidRDefault="00BA6BD7" w:rsidP="00B069CA">
            <w:pPr>
              <w:pStyle w:val="TableText0"/>
              <w:keepLines/>
              <w:jc w:val="center"/>
              <w:rPr>
                <w:lang w:val="en-US"/>
              </w:rPr>
            </w:pPr>
            <w:r>
              <w:rPr>
                <w:lang w:val="en-US"/>
              </w:rPr>
              <w:t>1</w:t>
            </w:r>
            <w:r w:rsidRPr="006C1A2D">
              <w:rPr>
                <w:rFonts w:ascii="Calibri" w:hAnsi="Calibri" w:cs="Calibri"/>
                <w:vertAlign w:val="superscript"/>
                <w:lang w:val="en-US"/>
              </w:rPr>
              <w:t>ᴑ</w:t>
            </w:r>
            <w:r>
              <w:rPr>
                <w:lang w:val="en-US"/>
              </w:rPr>
              <w:t xml:space="preserve">: Flare Wk16-48 </w:t>
            </w:r>
          </w:p>
          <w:p w14:paraId="6F7C101F" w14:textId="77777777" w:rsidR="00BA6BD7" w:rsidRDefault="00BA6BD7" w:rsidP="00B069CA">
            <w:pPr>
              <w:pStyle w:val="TableText0"/>
              <w:keepLines/>
              <w:jc w:val="center"/>
              <w:rPr>
                <w:lang w:val="en-US"/>
              </w:rPr>
            </w:pPr>
            <w:r>
              <w:rPr>
                <w:lang w:val="en-US"/>
              </w:rPr>
              <w:t>(Non-MTX stratum)</w:t>
            </w:r>
          </w:p>
          <w:p w14:paraId="0583588C" w14:textId="77777777" w:rsidR="00BA6BD7" w:rsidRPr="00E2771E" w:rsidRDefault="00BA6BD7" w:rsidP="00B069CA">
            <w:pPr>
              <w:pStyle w:val="TableText0"/>
              <w:keepLines/>
              <w:jc w:val="center"/>
              <w:rPr>
                <w:lang w:val="en-US"/>
              </w:rPr>
            </w:pPr>
            <w:r>
              <w:rPr>
                <w:lang w:val="en-US"/>
              </w:rPr>
              <w:t>2</w:t>
            </w:r>
            <w:r w:rsidRPr="006C1A2D">
              <w:rPr>
                <w:rFonts w:ascii="Calibri" w:hAnsi="Calibri" w:cs="Calibri"/>
                <w:vertAlign w:val="superscript"/>
                <w:lang w:val="en-US"/>
              </w:rPr>
              <w:t>ᴑ</w:t>
            </w:r>
            <w:r>
              <w:rPr>
                <w:lang w:val="en-US"/>
              </w:rPr>
              <w:t>: PedACR30/50/70 Wk48.</w:t>
            </w:r>
          </w:p>
        </w:tc>
        <w:tc>
          <w:tcPr>
            <w:tcW w:w="350" w:type="pct"/>
            <w:shd w:val="clear" w:color="auto" w:fill="C6D9F1" w:themeFill="text2" w:themeFillTint="33"/>
            <w:vAlign w:val="center"/>
          </w:tcPr>
          <w:p w14:paraId="1AE899E6" w14:textId="77777777" w:rsidR="00BA6BD7" w:rsidRPr="00E2771E" w:rsidRDefault="00BA6BD7" w:rsidP="00B069CA">
            <w:pPr>
              <w:pStyle w:val="TableText0"/>
              <w:keepLines/>
              <w:jc w:val="center"/>
              <w:rPr>
                <w:lang w:val="en-US"/>
              </w:rPr>
            </w:pPr>
            <w:r>
              <w:rPr>
                <w:lang w:val="en-US"/>
              </w:rPr>
              <w:t>ITC</w:t>
            </w:r>
          </w:p>
        </w:tc>
      </w:tr>
    </w:tbl>
    <w:p w14:paraId="55F5930D" w14:textId="77777777" w:rsidR="00BA6BD7" w:rsidRDefault="00BA6BD7" w:rsidP="00B069CA">
      <w:pPr>
        <w:pStyle w:val="TableFigureFooter"/>
        <w:keepNext/>
        <w:keepLines/>
        <w:rPr>
          <w:rStyle w:val="CommentReference"/>
          <w:b w:val="0"/>
          <w:bCs/>
          <w:sz w:val="18"/>
          <w:szCs w:val="18"/>
        </w:rPr>
      </w:pPr>
      <w:r w:rsidRPr="00574B2D">
        <w:rPr>
          <w:rStyle w:val="CommentReference"/>
          <w:b w:val="0"/>
          <w:bCs/>
          <w:sz w:val="18"/>
          <w:szCs w:val="18"/>
          <w:shd w:val="clear" w:color="auto" w:fill="B8CCE4" w:themeFill="accent1" w:themeFillTint="66"/>
        </w:rPr>
        <w:t xml:space="preserve">Blue </w:t>
      </w:r>
      <w:r w:rsidRPr="00574B2D">
        <w:rPr>
          <w:rStyle w:val="CommentReference"/>
          <w:b w:val="0"/>
          <w:bCs/>
          <w:sz w:val="18"/>
          <w:szCs w:val="18"/>
        </w:rPr>
        <w:t>shading indicates data previously seen by the PBAC.</w:t>
      </w:r>
    </w:p>
    <w:p w14:paraId="49174F5D" w14:textId="77777777" w:rsidR="00BA6BD7" w:rsidRDefault="00BA6BD7" w:rsidP="00B069CA">
      <w:pPr>
        <w:pStyle w:val="TableFigureFooter"/>
        <w:keepNext/>
        <w:keepLines/>
      </w:pPr>
      <w:r>
        <w:t xml:space="preserve">Source: Table 2.5, p29 </w:t>
      </w:r>
      <w:r w:rsidRPr="00D13A3E">
        <w:t xml:space="preserve">of the </w:t>
      </w:r>
      <w:r>
        <w:t>submission.</w:t>
      </w:r>
    </w:p>
    <w:p w14:paraId="1E4C7403" w14:textId="2D844C64" w:rsidR="00BA6BD7" w:rsidRDefault="00BA6BD7" w:rsidP="00B069CA">
      <w:pPr>
        <w:pStyle w:val="TableFigureFooter"/>
        <w:keepNext/>
        <w:keepLines/>
      </w:pPr>
      <w:r w:rsidRPr="0072416F">
        <w:t>DB=double blind; MC</w:t>
      </w:r>
      <w:r>
        <w:t>=</w:t>
      </w:r>
      <w:r w:rsidRPr="0072416F">
        <w:t>multi-centre; OL</w:t>
      </w:r>
      <w:r>
        <w:t>-LI</w:t>
      </w:r>
      <w:r w:rsidRPr="0072416F">
        <w:t>=open label</w:t>
      </w:r>
      <w:r>
        <w:t xml:space="preserve"> lead in</w:t>
      </w:r>
      <w:r w:rsidRPr="0072416F">
        <w:t>; R</w:t>
      </w:r>
      <w:r>
        <w:t>WD</w:t>
      </w:r>
      <w:r w:rsidRPr="0072416F">
        <w:t>=randomised</w:t>
      </w:r>
      <w:r>
        <w:t xml:space="preserve"> withdrawal design; Ped=paediatric; ACR=American College of Rheumatology; pcJIA=polyarticular course juvenile idiopathic arthritis; MTX=methotrexate; IR=inadequate response; Wk=week; PsA=psoriatic arthritis; ERA=enthesitis-related arthritis; ITC=indirect treatment comparison; NSAIDs=non-steroidal anti-inflammatory drugs</w:t>
      </w:r>
      <w:r w:rsidR="00FE6E00">
        <w:t xml:space="preserve">; </w:t>
      </w:r>
      <w:r w:rsidR="00FE6E00" w:rsidRPr="00A40CCE">
        <w:t>bDMARDs=biological disease modifying anti-rheumatic drugs</w:t>
      </w:r>
      <w:r>
        <w:t>.</w:t>
      </w:r>
    </w:p>
    <w:p w14:paraId="11A24C18" w14:textId="01AEA59B" w:rsidR="00BA6BD7" w:rsidRDefault="00BA6BD7" w:rsidP="00B069CA">
      <w:pPr>
        <w:pStyle w:val="TableFigureFooter"/>
        <w:keepNext/>
        <w:keepLines/>
      </w:pPr>
      <w:r>
        <w:t>^</w:t>
      </w:r>
      <w:r>
        <w:tab/>
        <w:t>Patients with PsA or ERA were excluded from the primary and key secondary efficacy outcomes but included in the exploratory efficacy</w:t>
      </w:r>
    </w:p>
    <w:p w14:paraId="1B006102" w14:textId="36F345CE" w:rsidR="00BA6BD7" w:rsidRDefault="00BA6BD7" w:rsidP="00FE6E00">
      <w:pPr>
        <w:pStyle w:val="3-BodyText"/>
      </w:pPr>
      <w:r>
        <w:t xml:space="preserve">Both the PROPEL and DE038 trials were Phase 3 multi-centre randomised withdrawal trials, with an active open-label lead phase (18 weeks and 16 weeks, respectively) and a randomised placebo-controlled withdrawal phase (26 weeks and 32 weeks, respectively). Both trials enrolled patients with polyarticular course JIA and </w:t>
      </w:r>
      <w:r w:rsidR="00FE6E00">
        <w:t>patients</w:t>
      </w:r>
      <w:r>
        <w:t xml:space="preserve"> with an American College of Rheumatology paediatric 30 response (PedACR30) at the end of the open-label lead in were randomised 1:1 to either remain on active treatment or swap to placebo in the double-blind withdrawal phase.</w:t>
      </w:r>
    </w:p>
    <w:p w14:paraId="6D091667" w14:textId="74202172" w:rsidR="00FE6E00" w:rsidRPr="006E2656" w:rsidRDefault="00FE6E00" w:rsidP="00681477">
      <w:pPr>
        <w:pStyle w:val="3-BodyText"/>
      </w:pPr>
      <w:r w:rsidRPr="006E2656">
        <w:t>The trial</w:t>
      </w:r>
      <w:r w:rsidR="00681477" w:rsidRPr="006E2656">
        <w:t xml:space="preserve"> design</w:t>
      </w:r>
      <w:r w:rsidRPr="006E2656">
        <w:t xml:space="preserve">s </w:t>
      </w:r>
      <w:r w:rsidR="00EB5868" w:rsidRPr="006E2656">
        <w:t>were</w:t>
      </w:r>
      <w:r w:rsidRPr="006E2656">
        <w:t xml:space="preserve"> similar, </w:t>
      </w:r>
      <w:r w:rsidR="00BF19F2" w:rsidRPr="006E2656">
        <w:t xml:space="preserve">but </w:t>
      </w:r>
      <w:r w:rsidR="00EB5868" w:rsidRPr="006E2656">
        <w:t xml:space="preserve">there were also </w:t>
      </w:r>
      <w:r w:rsidRPr="006E2656">
        <w:t>notable difference</w:t>
      </w:r>
      <w:r w:rsidR="00EB5868" w:rsidRPr="006E2656">
        <w:t>s</w:t>
      </w:r>
      <w:r w:rsidRPr="006E2656">
        <w:t>:</w:t>
      </w:r>
    </w:p>
    <w:p w14:paraId="6D2172E5" w14:textId="77777777" w:rsidR="00A1526C" w:rsidRPr="006E2656" w:rsidRDefault="00A1526C" w:rsidP="007C309F">
      <w:pPr>
        <w:pStyle w:val="3-BodyText"/>
        <w:numPr>
          <w:ilvl w:val="0"/>
          <w:numId w:val="13"/>
        </w:numPr>
      </w:pPr>
      <w:r w:rsidRPr="006E2656">
        <w:t>The PROPEL trial comprised children of age 2 to &lt;18 years, whereas DE038 comprised children of age 4 to &lt;18 years.</w:t>
      </w:r>
    </w:p>
    <w:p w14:paraId="10AD5BCA" w14:textId="58D7B589" w:rsidR="00FE6E00" w:rsidRPr="006E2656" w:rsidRDefault="00FE6E00" w:rsidP="007C309F">
      <w:pPr>
        <w:pStyle w:val="3-BodyText"/>
        <w:numPr>
          <w:ilvl w:val="0"/>
          <w:numId w:val="13"/>
        </w:numPr>
      </w:pPr>
      <w:r w:rsidRPr="006E2656">
        <w:t>The PROPEL trial enrolled a small cohort of patients with juvenile psoriatic arthritis and juvenile enthesitis-related arthritis</w:t>
      </w:r>
      <w:r w:rsidR="008F2766" w:rsidRPr="006E2656">
        <w:t xml:space="preserve">, who were </w:t>
      </w:r>
      <w:r w:rsidRPr="006E2656">
        <w:t xml:space="preserve">excluded from the </w:t>
      </w:r>
      <w:r w:rsidR="00A1526C" w:rsidRPr="006E2656">
        <w:t>key</w:t>
      </w:r>
      <w:r w:rsidRPr="006E2656">
        <w:t xml:space="preserve"> efficacy analyses but were included in </w:t>
      </w:r>
      <w:r w:rsidR="00A1526C" w:rsidRPr="006E2656">
        <w:t xml:space="preserve">the </w:t>
      </w:r>
      <w:r w:rsidRPr="006E2656">
        <w:t>safety analysis.</w:t>
      </w:r>
    </w:p>
    <w:p w14:paraId="0A1C1C56" w14:textId="05978D02" w:rsidR="00490228" w:rsidRPr="006E2656" w:rsidRDefault="00FE6E00" w:rsidP="007C309F">
      <w:pPr>
        <w:pStyle w:val="ListParagraph"/>
        <w:numPr>
          <w:ilvl w:val="0"/>
          <w:numId w:val="13"/>
        </w:numPr>
      </w:pPr>
      <w:r w:rsidRPr="006E2656">
        <w:t>The PROPEL trial enrolled patients with polyarticular course JIA who had an inadequate response to methotrexate or bDMARDs, whereas DE038 enrolled patients who had an inadequate response to NSAIDs or methotrexate</w:t>
      </w:r>
      <w:r w:rsidR="00A1526C" w:rsidRPr="006E2656">
        <w:t xml:space="preserve"> (</w:t>
      </w:r>
      <w:r w:rsidRPr="006E2656">
        <w:t>prior bDMARD</w:t>
      </w:r>
      <w:r w:rsidR="00A1526C" w:rsidRPr="006E2656">
        <w:t>s</w:t>
      </w:r>
      <w:r w:rsidRPr="006E2656">
        <w:t xml:space="preserve"> was an exclusion criteria).</w:t>
      </w:r>
      <w:r w:rsidR="00681477" w:rsidRPr="006E2656">
        <w:t xml:space="preserve"> </w:t>
      </w:r>
      <w:r w:rsidR="00490228" w:rsidRPr="006E2656">
        <w:t xml:space="preserve">Consequently, the use of prior treatments (corticosteroids, methotrexate and prior bDMARDs) was much higher in PROPEL compared to DE038. </w:t>
      </w:r>
      <w:r w:rsidR="003E4EEA" w:rsidRPr="006E2656">
        <w:t>T</w:t>
      </w:r>
      <w:r w:rsidR="00490228" w:rsidRPr="006E2656">
        <w:t>he use of concomitant treatments (corticosteroids and methotrexate) was also potentially higher in PROPEL compared to DE038</w:t>
      </w:r>
      <w:r w:rsidR="003E4EEA" w:rsidRPr="006E2656">
        <w:t xml:space="preserve"> based on available data</w:t>
      </w:r>
      <w:r w:rsidR="00490228" w:rsidRPr="006E2656">
        <w:t>.</w:t>
      </w:r>
    </w:p>
    <w:p w14:paraId="52957156" w14:textId="39BCF9E9" w:rsidR="00FE6E00" w:rsidRPr="006E2656" w:rsidRDefault="00FE6E00" w:rsidP="007C309F">
      <w:pPr>
        <w:pStyle w:val="3-BodyText"/>
        <w:numPr>
          <w:ilvl w:val="0"/>
          <w:numId w:val="13"/>
        </w:numPr>
      </w:pPr>
      <w:r w:rsidRPr="006E2656">
        <w:t>In the double-blind withdrawal phase, the PROPEL trial stratified patients by JIA subgroup and C-reactive protein level (normal, above normal), whereas DE038 stratified patients by concurrent methotrexate use.</w:t>
      </w:r>
    </w:p>
    <w:p w14:paraId="0A19E994" w14:textId="584E08C7" w:rsidR="00A1526C" w:rsidRPr="006E2656" w:rsidRDefault="00A1526C" w:rsidP="007C309F">
      <w:pPr>
        <w:pStyle w:val="3-BodyText"/>
        <w:numPr>
          <w:ilvl w:val="0"/>
          <w:numId w:val="13"/>
        </w:numPr>
      </w:pPr>
      <w:r w:rsidRPr="006E2656">
        <w:t>The open-label lead in phase was slightly longer in PROPEL (18 weeks) than DE038 (16 weeks), whereas the double-blind withdrawal phase was slightly longer in DE038 (32 weeks)</w:t>
      </w:r>
      <w:r w:rsidR="00EB5868" w:rsidRPr="006E2656">
        <w:t xml:space="preserve"> compared to PROPEL (26 weeks).</w:t>
      </w:r>
    </w:p>
    <w:p w14:paraId="44B392EF" w14:textId="63204A79" w:rsidR="002C7B54" w:rsidRPr="006E2656" w:rsidRDefault="002C7B54" w:rsidP="007C309F">
      <w:pPr>
        <w:pStyle w:val="3-BodyText"/>
        <w:numPr>
          <w:ilvl w:val="0"/>
          <w:numId w:val="13"/>
        </w:numPr>
      </w:pPr>
      <w:r w:rsidRPr="006E2656">
        <w:t>The discontinuation rules differed across the trials, given patients who experienced a disease flare had to discontinue treatment in PROPEL but could continue treatment in DE038. Consequently, discontinuation rates were much higher in PROPEL (29.2% for TOF; 52.9% for placebo) compared to DE038 (5.9% for ADA; 1.5% for placebo). Despite this difference, both trials classified patients who discontinued or experienced a flare as treatment non-responders</w:t>
      </w:r>
      <w:r w:rsidR="00B932FB" w:rsidRPr="006E2656">
        <w:t xml:space="preserve"> (hence it was unlikely to affect the comparability of the key efficacy outcomes between the trials)</w:t>
      </w:r>
      <w:r w:rsidRPr="006E2656">
        <w:t>.</w:t>
      </w:r>
    </w:p>
    <w:p w14:paraId="32214868" w14:textId="77777777" w:rsidR="00490228" w:rsidRPr="006E2656" w:rsidRDefault="00A1526C" w:rsidP="007C309F">
      <w:pPr>
        <w:pStyle w:val="ListParagraph"/>
        <w:numPr>
          <w:ilvl w:val="0"/>
          <w:numId w:val="13"/>
        </w:numPr>
      </w:pPr>
      <w:r w:rsidRPr="006E2656">
        <w:t xml:space="preserve">The </w:t>
      </w:r>
      <w:r w:rsidR="00106EC7" w:rsidRPr="006E2656">
        <w:t xml:space="preserve">outcome </w:t>
      </w:r>
      <w:r w:rsidRPr="006E2656">
        <w:t xml:space="preserve">definitions </w:t>
      </w:r>
      <w:r w:rsidR="00106EC7" w:rsidRPr="006E2656">
        <w:t xml:space="preserve">and </w:t>
      </w:r>
      <w:r w:rsidR="006D5B21" w:rsidRPr="006E2656">
        <w:t xml:space="preserve">six </w:t>
      </w:r>
      <w:r w:rsidR="00106EC7" w:rsidRPr="006E2656">
        <w:t xml:space="preserve">core </w:t>
      </w:r>
      <w:r w:rsidR="001B444B" w:rsidRPr="006E2656">
        <w:t xml:space="preserve">response </w:t>
      </w:r>
      <w:r w:rsidR="00106EC7" w:rsidRPr="006E2656">
        <w:t xml:space="preserve">criteria/components used to determine disease flare and </w:t>
      </w:r>
      <w:r w:rsidR="001B444B" w:rsidRPr="006E2656">
        <w:t xml:space="preserve">treatment </w:t>
      </w:r>
      <w:r w:rsidR="00106EC7" w:rsidRPr="006E2656">
        <w:t>response differed slightly</w:t>
      </w:r>
      <w:r w:rsidRPr="006E2656">
        <w:t xml:space="preserve">. </w:t>
      </w:r>
      <w:r w:rsidR="00106EC7" w:rsidRPr="006E2656">
        <w:t xml:space="preserve">For example, </w:t>
      </w:r>
      <w:r w:rsidRPr="006E2656">
        <w:t xml:space="preserve">PROPEL </w:t>
      </w:r>
      <w:r w:rsidR="00106EC7" w:rsidRPr="006E2656">
        <w:t xml:space="preserve">used </w:t>
      </w:r>
      <w:r w:rsidRPr="006E2656">
        <w:t>reduced joint counts whereas DE038 trial used standard joint counts</w:t>
      </w:r>
      <w:r w:rsidR="00106EC7" w:rsidRPr="006E2656">
        <w:t xml:space="preserve"> to determine number of affected joints, PROPEL used </w:t>
      </w:r>
      <w:r w:rsidRPr="006E2656">
        <w:t xml:space="preserve">erythrocyte sedimentation rate </w:t>
      </w:r>
      <w:r w:rsidR="00106EC7" w:rsidRPr="006E2656">
        <w:t>whereas DE038</w:t>
      </w:r>
      <w:r w:rsidRPr="006E2656">
        <w:t xml:space="preserve"> </w:t>
      </w:r>
      <w:r w:rsidR="00106EC7" w:rsidRPr="006E2656">
        <w:t>used</w:t>
      </w:r>
      <w:r w:rsidRPr="006E2656">
        <w:t xml:space="preserve"> C-reactive protein </w:t>
      </w:r>
      <w:r w:rsidR="00106EC7" w:rsidRPr="006E2656">
        <w:t>as the laboratory assessment of inflammation</w:t>
      </w:r>
      <w:r w:rsidRPr="006E2656">
        <w:t>.</w:t>
      </w:r>
    </w:p>
    <w:p w14:paraId="4A4FE085" w14:textId="1C5613CC" w:rsidR="00B60939" w:rsidRPr="00D04AA0" w:rsidRDefault="00B60939" w:rsidP="00EC5836">
      <w:pPr>
        <w:pStyle w:val="4-SubsectionHeading"/>
        <w:rPr>
          <w:iCs/>
        </w:rPr>
      </w:pPr>
      <w:bookmarkStart w:id="21" w:name="_Toc22897641"/>
      <w:bookmarkStart w:id="22" w:name="_Toc121477776"/>
      <w:r w:rsidRPr="00D04AA0">
        <w:rPr>
          <w:iCs/>
        </w:rPr>
        <w:t>Comparative effectiveness</w:t>
      </w:r>
      <w:bookmarkEnd w:id="21"/>
      <w:bookmarkEnd w:id="22"/>
    </w:p>
    <w:p w14:paraId="44DB7DD9" w14:textId="0886A5C4" w:rsidR="001B444B" w:rsidRPr="006E2656" w:rsidRDefault="001B444B" w:rsidP="003C2EAC">
      <w:pPr>
        <w:pStyle w:val="3-BodyText"/>
      </w:pPr>
      <w:r w:rsidRPr="006E2656">
        <w:t xml:space="preserve">The clinically relevant outcome for JIA is the American College of Rheumatology 30% paediatric response criteria (PedACR30), defined as a </w:t>
      </w:r>
      <w:r w:rsidRPr="006E2656">
        <w:rPr>
          <w:rFonts w:cs="Calibri"/>
        </w:rPr>
        <w:t>≥</w:t>
      </w:r>
      <w:r w:rsidRPr="006E2656">
        <w:t xml:space="preserve">30% improvement from baseline in at least 3 of 6 response criteria without a </w:t>
      </w:r>
      <w:r w:rsidRPr="006E2656">
        <w:rPr>
          <w:rFonts w:cs="Calibri"/>
        </w:rPr>
        <w:t>≥</w:t>
      </w:r>
      <w:r w:rsidRPr="006E2656">
        <w:t>30% worsening in more than one of the remaining response criteria (p4, TOC, Public Summary Document, November 2013).</w:t>
      </w:r>
    </w:p>
    <w:p w14:paraId="0E011D77" w14:textId="633DCC01" w:rsidR="001B444B" w:rsidRPr="006E2656" w:rsidRDefault="001B444B" w:rsidP="001B444B">
      <w:pPr>
        <w:pStyle w:val="3-BodyText"/>
      </w:pPr>
      <w:r w:rsidRPr="006E2656">
        <w:t xml:space="preserve">The submission also nominated ‘disease flare’ as a clinically relevant outcome in the randomised withdrawal trials, defined as a </w:t>
      </w:r>
      <w:r w:rsidRPr="006E2656">
        <w:rPr>
          <w:rFonts w:cs="Calibri"/>
        </w:rPr>
        <w:t>≥</w:t>
      </w:r>
      <w:r w:rsidRPr="006E2656">
        <w:t xml:space="preserve">30% worsening in at least 3 of 6 response criteria without a </w:t>
      </w:r>
      <w:r w:rsidRPr="006E2656">
        <w:rPr>
          <w:rFonts w:cs="Calibri"/>
        </w:rPr>
        <w:t>≥</w:t>
      </w:r>
      <w:r w:rsidRPr="006E2656">
        <w:t>30% improvement in more than one of the remaining response criteria. In the context of the randomised withdrawal trials, the ‘disease flare’ outcome in the withdrawal phase essentially measures the relapse rate of PedACR30 responders (given enrolment in the withdrawal phase was conditional on PedACR30 response in the lead in phase).</w:t>
      </w:r>
    </w:p>
    <w:p w14:paraId="582AA8D2" w14:textId="13A096E4" w:rsidR="009C5812" w:rsidRPr="006E2656" w:rsidRDefault="009C5812" w:rsidP="00E5367C">
      <w:pPr>
        <w:pStyle w:val="3-BodyText"/>
      </w:pPr>
      <w:r w:rsidRPr="006E2656">
        <w:t xml:space="preserve">The submission presented a series of indirect treatment comparisons using the Bucher method, comparing TOF and ADA </w:t>
      </w:r>
      <w:r w:rsidR="00B932FB" w:rsidRPr="006E2656">
        <w:t xml:space="preserve">(via a placebo common reference) </w:t>
      </w:r>
      <w:r w:rsidRPr="006E2656">
        <w:t xml:space="preserve">for several clinical outcomes measured at the end of the withdrawal phase (disease flare, PedACR30, PedACR50, </w:t>
      </w:r>
      <w:r w:rsidR="00633FB5" w:rsidRPr="006E2656">
        <w:t>and PedACR70</w:t>
      </w:r>
      <w:r w:rsidRPr="006E2656">
        <w:t>). The submission acknowledged several differences across the trials that would potentially violate the key transitivity assumption of the indirect treatment comparison, including differences in prior and concomitant treatment. The submission presented the following empirical strategy to provide the PBAC with more confidence in the indirect comparison</w:t>
      </w:r>
      <w:r w:rsidR="00E5367C" w:rsidRPr="006E2656">
        <w:t>s</w:t>
      </w:r>
      <w:r w:rsidRPr="006E2656">
        <w:t>:</w:t>
      </w:r>
    </w:p>
    <w:p w14:paraId="779B5D6C" w14:textId="5E962424" w:rsidR="009C5812" w:rsidRPr="006E2656" w:rsidRDefault="009C5812" w:rsidP="007C309F">
      <w:pPr>
        <w:pStyle w:val="3-BodyText"/>
        <w:numPr>
          <w:ilvl w:val="0"/>
          <w:numId w:val="13"/>
        </w:numPr>
      </w:pPr>
      <w:r w:rsidRPr="006E2656">
        <w:t xml:space="preserve">To control for differences in prior methotrexate, the submission conducted the indirect comparisons for patients in </w:t>
      </w:r>
      <w:r w:rsidRPr="00E55C36">
        <w:t>PROPEL (p</w:t>
      </w:r>
      <w:r w:rsidR="00E5367C" w:rsidRPr="00E55C36">
        <w:t xml:space="preserve">olyarticular course </w:t>
      </w:r>
      <w:r w:rsidRPr="00E55C36">
        <w:t>JIA ITT population) versus DE038 (methotrexate stratum).</w:t>
      </w:r>
      <w:r w:rsidRPr="006E2656">
        <w:t xml:space="preserve"> </w:t>
      </w:r>
      <w:r w:rsidR="00633FB5" w:rsidRPr="006E2656">
        <w:t>Approximately</w:t>
      </w:r>
      <w:r w:rsidRPr="006E2656">
        <w:t xml:space="preserve"> 90% of patients enrolled in PROPEL had used prior methotrexate </w:t>
      </w:r>
      <w:r w:rsidR="00633FB5" w:rsidRPr="006E2656">
        <w:t xml:space="preserve">compared to </w:t>
      </w:r>
      <w:r w:rsidRPr="006E2656">
        <w:t>all patients</w:t>
      </w:r>
      <w:r w:rsidR="00633FB5" w:rsidRPr="006E2656">
        <w:t xml:space="preserve"> </w:t>
      </w:r>
      <w:r w:rsidRPr="006E2656">
        <w:t>in the methotrexate stratum of DE038.</w:t>
      </w:r>
    </w:p>
    <w:p w14:paraId="6A02A2BA" w14:textId="7C7F7AD0" w:rsidR="00E5367C" w:rsidRPr="00E55C36" w:rsidRDefault="009C5812" w:rsidP="007C309F">
      <w:pPr>
        <w:pStyle w:val="3-BodyText"/>
        <w:numPr>
          <w:ilvl w:val="0"/>
          <w:numId w:val="13"/>
        </w:numPr>
      </w:pPr>
      <w:r w:rsidRPr="00E55C36">
        <w:t xml:space="preserve">To control for differences in prior bDMARDs, the submission </w:t>
      </w:r>
      <w:r w:rsidR="00633FB5" w:rsidRPr="00E55C36">
        <w:t>compared</w:t>
      </w:r>
      <w:r w:rsidRPr="00E55C36">
        <w:t xml:space="preserve"> PROPEL (p</w:t>
      </w:r>
      <w:r w:rsidR="00E5367C" w:rsidRPr="00E55C36">
        <w:t xml:space="preserve">olyarticular course </w:t>
      </w:r>
      <w:r w:rsidRPr="00E55C36">
        <w:t xml:space="preserve">JIA bDMARD naïve </w:t>
      </w:r>
      <w:r w:rsidR="00633FB5" w:rsidRPr="00E55C36">
        <w:t xml:space="preserve">post hoc </w:t>
      </w:r>
      <w:r w:rsidRPr="00E55C36">
        <w:t xml:space="preserve">subgroup) versus DE038 (methotrexate stratum). </w:t>
      </w:r>
      <w:r w:rsidR="00633FB5" w:rsidRPr="00E55C36">
        <w:t>A</w:t>
      </w:r>
      <w:r w:rsidRPr="00E55C36">
        <w:t>ll patients enrolled i</w:t>
      </w:r>
      <w:r w:rsidR="00633FB5" w:rsidRPr="00E55C36">
        <w:t xml:space="preserve">n DE038 were bDMARD naïve given it was </w:t>
      </w:r>
      <w:r w:rsidRPr="00E55C36">
        <w:t xml:space="preserve">an exclusion </w:t>
      </w:r>
      <w:r w:rsidR="00633FB5" w:rsidRPr="00E55C36">
        <w:t>criterion</w:t>
      </w:r>
      <w:r w:rsidRPr="00E55C36">
        <w:t>.</w:t>
      </w:r>
    </w:p>
    <w:p w14:paraId="4811E11F" w14:textId="7C94EDBC" w:rsidR="009C5812" w:rsidRPr="00E55C36" w:rsidRDefault="009C5812" w:rsidP="007C309F">
      <w:pPr>
        <w:pStyle w:val="3-BodyText"/>
        <w:numPr>
          <w:ilvl w:val="0"/>
          <w:numId w:val="13"/>
        </w:numPr>
      </w:pPr>
      <w:r w:rsidRPr="00E55C36">
        <w:t xml:space="preserve">To control for differences in the use of concomitant methotrexate, the submission </w:t>
      </w:r>
      <w:r w:rsidR="00633FB5" w:rsidRPr="00E55C36">
        <w:t>compared</w:t>
      </w:r>
      <w:r w:rsidRPr="00E55C36">
        <w:t xml:space="preserve"> PROPEL (p</w:t>
      </w:r>
      <w:r w:rsidR="00633FB5" w:rsidRPr="00E55C36">
        <w:t xml:space="preserve">olyarticular course </w:t>
      </w:r>
      <w:r w:rsidRPr="00E55C36">
        <w:t xml:space="preserve">JIA methotrexate on study day 1 </w:t>
      </w:r>
      <w:r w:rsidR="00633FB5" w:rsidRPr="00E55C36">
        <w:t xml:space="preserve">post hoc </w:t>
      </w:r>
      <w:r w:rsidRPr="00E55C36">
        <w:t>subgroup) versus DE038 (methotrexate stratum). The majority</w:t>
      </w:r>
      <w:r w:rsidR="00633FB5" w:rsidRPr="00E55C36">
        <w:t xml:space="preserve"> (approx. 75%)</w:t>
      </w:r>
      <w:r w:rsidRPr="00E55C36">
        <w:t xml:space="preserve"> of patients enrolled in PROPEL were using concomitant methotrexate on day 1 of the study, but it was unknown whether these patients continued taking methotrexate throughout the trial.</w:t>
      </w:r>
    </w:p>
    <w:p w14:paraId="3328C21C" w14:textId="77777777" w:rsidR="006C1D0C" w:rsidRPr="006C1D0C" w:rsidRDefault="00EC1985" w:rsidP="00D04AA0">
      <w:pPr>
        <w:pStyle w:val="3-BodyText"/>
      </w:pPr>
      <w:r w:rsidRPr="006E2656">
        <w:fldChar w:fldCharType="begin"/>
      </w:r>
      <w:r w:rsidRPr="006E2656">
        <w:instrText xml:space="preserve"> REF _Ref121408101 \h </w:instrText>
      </w:r>
      <w:r w:rsidR="006E2656" w:rsidRPr="006E2656">
        <w:instrText xml:space="preserve"> \* MERGEFORMAT </w:instrText>
      </w:r>
      <w:r w:rsidRPr="006E2656">
        <w:fldChar w:fldCharType="separate"/>
      </w:r>
    </w:p>
    <w:p w14:paraId="753E6F7E" w14:textId="77FBF5DD" w:rsidR="00D04AA0" w:rsidRPr="00D04AA0" w:rsidRDefault="006C1D0C" w:rsidP="00D04AA0">
      <w:pPr>
        <w:pStyle w:val="3-BodyText"/>
        <w:rPr>
          <w:rFonts w:ascii="Arial Narrow" w:hAnsi="Arial Narrow"/>
          <w:b/>
          <w:sz w:val="20"/>
        </w:rPr>
      </w:pPr>
      <w:r w:rsidRPr="006C1D0C">
        <w:t>Table</w:t>
      </w:r>
      <w:r w:rsidRPr="006C1D0C">
        <w:rPr>
          <w:noProof/>
        </w:rPr>
        <w:t xml:space="preserve"> </w:t>
      </w:r>
      <w:r>
        <w:rPr>
          <w:rFonts w:ascii="Arial Narrow" w:hAnsi="Arial Narrow"/>
          <w:b/>
          <w:bCs/>
          <w:noProof/>
          <w:sz w:val="20"/>
          <w:szCs w:val="20"/>
        </w:rPr>
        <w:t>4</w:t>
      </w:r>
      <w:r w:rsidR="00EC1985" w:rsidRPr="006E2656">
        <w:fldChar w:fldCharType="end"/>
      </w:r>
      <w:r w:rsidR="00EC1985" w:rsidRPr="006E2656">
        <w:t xml:space="preserve"> </w:t>
      </w:r>
      <w:r w:rsidR="00054D9F" w:rsidRPr="006E2656">
        <w:t xml:space="preserve">presents the key outcomes reported in PROPEL and DE038 (by the various subgroups and stratums) and results of the indirect treatment comparisons. </w:t>
      </w:r>
      <w:bookmarkStart w:id="23" w:name="_Ref121408101"/>
    </w:p>
    <w:p w14:paraId="312F0965" w14:textId="3549D6B9" w:rsidR="005D26B4" w:rsidRPr="0063439B" w:rsidRDefault="00D6076E" w:rsidP="00D04AA0">
      <w:pPr>
        <w:pStyle w:val="3-BodyText"/>
        <w:keepNext/>
        <w:keepLines/>
        <w:numPr>
          <w:ilvl w:val="0"/>
          <w:numId w:val="0"/>
        </w:numPr>
        <w:spacing w:after="0"/>
        <w:rPr>
          <w:rStyle w:val="CommentReference"/>
          <w:szCs w:val="24"/>
        </w:rPr>
      </w:pPr>
      <w:r w:rsidRPr="00D04AA0">
        <w:rPr>
          <w:rFonts w:ascii="Arial Narrow" w:hAnsi="Arial Narrow"/>
          <w:b/>
          <w:bCs/>
          <w:sz w:val="20"/>
          <w:szCs w:val="20"/>
        </w:rPr>
        <w:t xml:space="preserve">Table </w:t>
      </w:r>
      <w:r w:rsidR="00D04AA0" w:rsidRPr="00D04AA0">
        <w:rPr>
          <w:rFonts w:ascii="Arial Narrow" w:hAnsi="Arial Narrow"/>
          <w:b/>
          <w:bCs/>
          <w:sz w:val="20"/>
          <w:szCs w:val="20"/>
        </w:rPr>
        <w:fldChar w:fldCharType="begin"/>
      </w:r>
      <w:r w:rsidR="00D04AA0" w:rsidRPr="00D04AA0">
        <w:rPr>
          <w:rFonts w:ascii="Arial Narrow" w:hAnsi="Arial Narrow"/>
          <w:b/>
          <w:bCs/>
          <w:sz w:val="20"/>
          <w:szCs w:val="20"/>
        </w:rPr>
        <w:instrText xml:space="preserve"> SEQ Table \* ARABIC </w:instrText>
      </w:r>
      <w:r w:rsidR="00D04AA0" w:rsidRPr="00D04AA0">
        <w:rPr>
          <w:rFonts w:ascii="Arial Narrow" w:hAnsi="Arial Narrow"/>
          <w:b/>
          <w:bCs/>
          <w:sz w:val="20"/>
          <w:szCs w:val="20"/>
        </w:rPr>
        <w:fldChar w:fldCharType="separate"/>
      </w:r>
      <w:r w:rsidR="006C1D0C">
        <w:rPr>
          <w:rFonts w:ascii="Arial Narrow" w:hAnsi="Arial Narrow"/>
          <w:b/>
          <w:bCs/>
          <w:noProof/>
          <w:sz w:val="20"/>
          <w:szCs w:val="20"/>
        </w:rPr>
        <w:t>4</w:t>
      </w:r>
      <w:r w:rsidR="00D04AA0" w:rsidRPr="00D04AA0">
        <w:rPr>
          <w:rFonts w:ascii="Arial Narrow" w:hAnsi="Arial Narrow"/>
          <w:b/>
          <w:bCs/>
          <w:noProof/>
          <w:sz w:val="20"/>
          <w:szCs w:val="20"/>
        </w:rPr>
        <w:fldChar w:fldCharType="end"/>
      </w:r>
      <w:bookmarkEnd w:id="23"/>
      <w:r w:rsidRPr="00D04AA0">
        <w:rPr>
          <w:rFonts w:ascii="Arial Narrow" w:hAnsi="Arial Narrow"/>
          <w:b/>
          <w:bCs/>
          <w:sz w:val="20"/>
          <w:szCs w:val="20"/>
        </w:rPr>
        <w:t>:</w:t>
      </w:r>
      <w:r w:rsidR="005D26B4" w:rsidRPr="00D04AA0">
        <w:rPr>
          <w:rStyle w:val="CommentReference"/>
          <w:szCs w:val="20"/>
        </w:rPr>
        <w:t xml:space="preserve"> </w:t>
      </w:r>
      <w:r w:rsidR="00F3286B" w:rsidRPr="00D04AA0">
        <w:rPr>
          <w:rStyle w:val="CommentReference"/>
          <w:szCs w:val="20"/>
        </w:rPr>
        <w:t>Trial</w:t>
      </w:r>
      <w:r w:rsidR="00F3286B" w:rsidRPr="0063439B">
        <w:rPr>
          <w:rStyle w:val="CommentReference"/>
          <w:szCs w:val="24"/>
        </w:rPr>
        <w:t xml:space="preserve"> results and indirect treatment comparisons for key clinical outcomes, TOF vs 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5"/>
        <w:gridCol w:w="1668"/>
        <w:gridCol w:w="971"/>
        <w:gridCol w:w="983"/>
        <w:gridCol w:w="1470"/>
        <w:gridCol w:w="1400"/>
        <w:gridCol w:w="1400"/>
      </w:tblGrid>
      <w:tr w:rsidR="00F3286B" w:rsidRPr="00E55C36" w14:paraId="53F5A1ED" w14:textId="77777777" w:rsidTr="00C51B78">
        <w:trPr>
          <w:tblHeader/>
        </w:trPr>
        <w:tc>
          <w:tcPr>
            <w:tcW w:w="1125" w:type="dxa"/>
            <w:vAlign w:val="center"/>
          </w:tcPr>
          <w:p w14:paraId="064090CF" w14:textId="77777777" w:rsidR="00F3286B" w:rsidRPr="00E55C36" w:rsidRDefault="00F3286B" w:rsidP="00D04AA0">
            <w:pPr>
              <w:pStyle w:val="In-tableHeading"/>
              <w:keepLines/>
              <w:rPr>
                <w:szCs w:val="20"/>
              </w:rPr>
            </w:pPr>
          </w:p>
        </w:tc>
        <w:tc>
          <w:tcPr>
            <w:tcW w:w="1668" w:type="dxa"/>
            <w:shd w:val="clear" w:color="auto" w:fill="auto"/>
            <w:vAlign w:val="center"/>
          </w:tcPr>
          <w:p w14:paraId="76000C91" w14:textId="77777777" w:rsidR="00F3286B" w:rsidRPr="00E55C36" w:rsidRDefault="00F3286B" w:rsidP="00D04AA0">
            <w:pPr>
              <w:pStyle w:val="In-tableHeading"/>
              <w:keepLines/>
              <w:rPr>
                <w:szCs w:val="20"/>
              </w:rPr>
            </w:pPr>
            <w:r w:rsidRPr="00E55C36">
              <w:rPr>
                <w:szCs w:val="20"/>
              </w:rPr>
              <w:t>Trial ID, population</w:t>
            </w:r>
          </w:p>
        </w:tc>
        <w:tc>
          <w:tcPr>
            <w:tcW w:w="971" w:type="dxa"/>
            <w:shd w:val="clear" w:color="auto" w:fill="auto"/>
            <w:vAlign w:val="center"/>
          </w:tcPr>
          <w:p w14:paraId="7AEF1FCB" w14:textId="77777777" w:rsidR="00F3286B" w:rsidRPr="00E55C36" w:rsidRDefault="00F3286B" w:rsidP="00D04AA0">
            <w:pPr>
              <w:pStyle w:val="In-tableHeading"/>
              <w:keepLines/>
              <w:jc w:val="center"/>
              <w:rPr>
                <w:szCs w:val="20"/>
              </w:rPr>
            </w:pPr>
            <w:r w:rsidRPr="00E55C36">
              <w:rPr>
                <w:szCs w:val="20"/>
              </w:rPr>
              <w:t xml:space="preserve">Drug </w:t>
            </w:r>
          </w:p>
          <w:p w14:paraId="42A3982C" w14:textId="77777777" w:rsidR="00F3286B" w:rsidRPr="00E55C36" w:rsidRDefault="00F3286B" w:rsidP="00D04AA0">
            <w:pPr>
              <w:pStyle w:val="In-tableHeading"/>
              <w:keepLines/>
              <w:jc w:val="center"/>
              <w:rPr>
                <w:szCs w:val="20"/>
              </w:rPr>
            </w:pPr>
            <w:r w:rsidRPr="00E55C36">
              <w:rPr>
                <w:szCs w:val="20"/>
              </w:rPr>
              <w:t>n/N (%)</w:t>
            </w:r>
          </w:p>
        </w:tc>
        <w:tc>
          <w:tcPr>
            <w:tcW w:w="983" w:type="dxa"/>
            <w:shd w:val="clear" w:color="auto" w:fill="auto"/>
            <w:vAlign w:val="center"/>
          </w:tcPr>
          <w:p w14:paraId="19119958" w14:textId="77777777" w:rsidR="00F3286B" w:rsidRPr="00E55C36" w:rsidRDefault="00F3286B" w:rsidP="00D04AA0">
            <w:pPr>
              <w:pStyle w:val="In-tableHeading"/>
              <w:keepLines/>
              <w:jc w:val="center"/>
              <w:rPr>
                <w:szCs w:val="20"/>
              </w:rPr>
            </w:pPr>
            <w:r w:rsidRPr="00E55C36">
              <w:rPr>
                <w:szCs w:val="20"/>
              </w:rPr>
              <w:t xml:space="preserve">Control </w:t>
            </w:r>
          </w:p>
          <w:p w14:paraId="533471C6" w14:textId="77777777" w:rsidR="00F3286B" w:rsidRPr="00E55C36" w:rsidRDefault="00F3286B" w:rsidP="00D04AA0">
            <w:pPr>
              <w:pStyle w:val="In-tableHeading"/>
              <w:keepLines/>
              <w:jc w:val="center"/>
              <w:rPr>
                <w:szCs w:val="20"/>
              </w:rPr>
            </w:pPr>
            <w:r w:rsidRPr="00E55C36">
              <w:rPr>
                <w:szCs w:val="20"/>
              </w:rPr>
              <w:t>n/N (%)</w:t>
            </w:r>
          </w:p>
        </w:tc>
        <w:tc>
          <w:tcPr>
            <w:tcW w:w="1470" w:type="dxa"/>
            <w:shd w:val="clear" w:color="auto" w:fill="auto"/>
            <w:vAlign w:val="center"/>
          </w:tcPr>
          <w:p w14:paraId="1DFDAA99" w14:textId="77777777" w:rsidR="00F3286B" w:rsidRPr="00E55C36" w:rsidRDefault="00F3286B" w:rsidP="00D04AA0">
            <w:pPr>
              <w:pStyle w:val="In-tableHeading"/>
              <w:keepLines/>
              <w:jc w:val="center"/>
              <w:rPr>
                <w:szCs w:val="20"/>
              </w:rPr>
            </w:pPr>
            <w:r w:rsidRPr="00E55C36">
              <w:rPr>
                <w:szCs w:val="20"/>
              </w:rPr>
              <w:t>OR (95%CI)</w:t>
            </w:r>
          </w:p>
        </w:tc>
        <w:tc>
          <w:tcPr>
            <w:tcW w:w="1400" w:type="dxa"/>
            <w:shd w:val="clear" w:color="auto" w:fill="auto"/>
            <w:vAlign w:val="center"/>
          </w:tcPr>
          <w:p w14:paraId="2786781D" w14:textId="77777777" w:rsidR="00F3286B" w:rsidRPr="00E55C36" w:rsidRDefault="00F3286B" w:rsidP="00D04AA0">
            <w:pPr>
              <w:pStyle w:val="In-tableHeading"/>
              <w:keepLines/>
              <w:jc w:val="center"/>
              <w:rPr>
                <w:szCs w:val="20"/>
              </w:rPr>
            </w:pPr>
            <w:r w:rsidRPr="00E55C36">
              <w:rPr>
                <w:szCs w:val="20"/>
              </w:rPr>
              <w:t>RR (95%CI)</w:t>
            </w:r>
          </w:p>
        </w:tc>
        <w:tc>
          <w:tcPr>
            <w:tcW w:w="1400" w:type="dxa"/>
            <w:vAlign w:val="center"/>
          </w:tcPr>
          <w:p w14:paraId="6CBAC3C7" w14:textId="77777777" w:rsidR="00F3286B" w:rsidRPr="00E55C36" w:rsidRDefault="00F3286B" w:rsidP="00D04AA0">
            <w:pPr>
              <w:pStyle w:val="In-tableHeading"/>
              <w:keepLines/>
              <w:jc w:val="center"/>
              <w:rPr>
                <w:szCs w:val="20"/>
              </w:rPr>
            </w:pPr>
            <w:r w:rsidRPr="00E55C36">
              <w:rPr>
                <w:szCs w:val="20"/>
              </w:rPr>
              <w:t>RD (95%CI)</w:t>
            </w:r>
          </w:p>
        </w:tc>
      </w:tr>
      <w:tr w:rsidR="00F3286B" w:rsidRPr="00E55C36" w14:paraId="707E6CC4" w14:textId="77777777" w:rsidTr="00C51B78">
        <w:tc>
          <w:tcPr>
            <w:tcW w:w="4747" w:type="dxa"/>
            <w:gridSpan w:val="4"/>
            <w:vAlign w:val="center"/>
          </w:tcPr>
          <w:p w14:paraId="1151EC06" w14:textId="77777777" w:rsidR="00F3286B" w:rsidRPr="00E55C36" w:rsidRDefault="00F3286B" w:rsidP="00D04AA0">
            <w:pPr>
              <w:pStyle w:val="TableText0"/>
              <w:keepLines/>
              <w:rPr>
                <w:b/>
                <w:bCs w:val="0"/>
                <w:szCs w:val="20"/>
              </w:rPr>
            </w:pPr>
            <w:r w:rsidRPr="00E55C36">
              <w:rPr>
                <w:b/>
                <w:bCs w:val="0"/>
                <w:szCs w:val="20"/>
              </w:rPr>
              <w:t>OUTCOME: Flare in DB phase</w:t>
            </w:r>
          </w:p>
        </w:tc>
        <w:tc>
          <w:tcPr>
            <w:tcW w:w="1470" w:type="dxa"/>
            <w:shd w:val="clear" w:color="auto" w:fill="auto"/>
            <w:vAlign w:val="center"/>
          </w:tcPr>
          <w:p w14:paraId="0ED85D60" w14:textId="77777777" w:rsidR="00F3286B" w:rsidRPr="00E55C36" w:rsidRDefault="00F3286B" w:rsidP="00D04AA0">
            <w:pPr>
              <w:pStyle w:val="TableText0"/>
              <w:keepLines/>
              <w:jc w:val="center"/>
              <w:rPr>
                <w:szCs w:val="20"/>
              </w:rPr>
            </w:pPr>
          </w:p>
        </w:tc>
        <w:tc>
          <w:tcPr>
            <w:tcW w:w="1400" w:type="dxa"/>
            <w:shd w:val="clear" w:color="auto" w:fill="auto"/>
            <w:vAlign w:val="center"/>
          </w:tcPr>
          <w:p w14:paraId="1D82F263" w14:textId="77777777" w:rsidR="00F3286B" w:rsidRPr="00E55C36" w:rsidRDefault="00F3286B" w:rsidP="00D04AA0">
            <w:pPr>
              <w:pStyle w:val="TableText0"/>
              <w:keepLines/>
              <w:jc w:val="center"/>
              <w:rPr>
                <w:szCs w:val="20"/>
              </w:rPr>
            </w:pPr>
          </w:p>
        </w:tc>
        <w:tc>
          <w:tcPr>
            <w:tcW w:w="1400" w:type="dxa"/>
          </w:tcPr>
          <w:p w14:paraId="43997085" w14:textId="77777777" w:rsidR="00F3286B" w:rsidRPr="00E55C36" w:rsidRDefault="00F3286B" w:rsidP="00D04AA0">
            <w:pPr>
              <w:pStyle w:val="TableText0"/>
              <w:keepLines/>
              <w:jc w:val="center"/>
              <w:rPr>
                <w:szCs w:val="20"/>
              </w:rPr>
            </w:pPr>
          </w:p>
        </w:tc>
      </w:tr>
      <w:tr w:rsidR="00F3286B" w:rsidRPr="00E55C36" w14:paraId="0D20D35C" w14:textId="77777777" w:rsidTr="00C51B78">
        <w:trPr>
          <w:trHeight w:val="70"/>
        </w:trPr>
        <w:tc>
          <w:tcPr>
            <w:tcW w:w="1125" w:type="dxa"/>
            <w:vMerge w:val="restart"/>
            <w:vAlign w:val="center"/>
          </w:tcPr>
          <w:p w14:paraId="3D1F7BDC" w14:textId="77777777" w:rsidR="00F3286B" w:rsidRPr="00E55C36" w:rsidRDefault="00F3286B" w:rsidP="00D04AA0">
            <w:pPr>
              <w:pStyle w:val="TableText0"/>
              <w:keepLines/>
              <w:rPr>
                <w:szCs w:val="20"/>
              </w:rPr>
            </w:pPr>
            <w:r w:rsidRPr="00E55C36">
              <w:rPr>
                <w:szCs w:val="20"/>
              </w:rPr>
              <w:t>TOF v PBO Wk44│Wk18^</w:t>
            </w:r>
          </w:p>
        </w:tc>
        <w:tc>
          <w:tcPr>
            <w:tcW w:w="1668" w:type="dxa"/>
            <w:shd w:val="clear" w:color="auto" w:fill="auto"/>
            <w:vAlign w:val="center"/>
          </w:tcPr>
          <w:p w14:paraId="7BDF8D0C" w14:textId="77777777" w:rsidR="00F3286B" w:rsidRPr="00E55C36" w:rsidRDefault="00F3286B" w:rsidP="00D04AA0">
            <w:pPr>
              <w:pStyle w:val="TableText0"/>
              <w:keepLines/>
              <w:rPr>
                <w:szCs w:val="20"/>
              </w:rPr>
            </w:pPr>
            <w:r w:rsidRPr="00E55C36">
              <w:rPr>
                <w:szCs w:val="20"/>
              </w:rPr>
              <w:t xml:space="preserve">PROPEL, ITT </w:t>
            </w:r>
          </w:p>
        </w:tc>
        <w:tc>
          <w:tcPr>
            <w:tcW w:w="971" w:type="dxa"/>
            <w:shd w:val="clear" w:color="auto" w:fill="auto"/>
            <w:vAlign w:val="center"/>
          </w:tcPr>
          <w:p w14:paraId="4A32F54D" w14:textId="77777777" w:rsidR="00F3286B" w:rsidRPr="00E55C36" w:rsidRDefault="00F3286B" w:rsidP="00D04AA0">
            <w:pPr>
              <w:pStyle w:val="TableText0"/>
              <w:keepLines/>
              <w:jc w:val="center"/>
              <w:rPr>
                <w:szCs w:val="20"/>
              </w:rPr>
            </w:pPr>
            <w:r w:rsidRPr="00E55C36">
              <w:rPr>
                <w:szCs w:val="20"/>
              </w:rPr>
              <w:t>21/72 (29.2)</w:t>
            </w:r>
          </w:p>
        </w:tc>
        <w:tc>
          <w:tcPr>
            <w:tcW w:w="983" w:type="dxa"/>
            <w:shd w:val="clear" w:color="auto" w:fill="auto"/>
            <w:vAlign w:val="center"/>
          </w:tcPr>
          <w:p w14:paraId="1FF97333" w14:textId="77777777" w:rsidR="00F3286B" w:rsidRPr="00E55C36" w:rsidRDefault="00F3286B" w:rsidP="00D04AA0">
            <w:pPr>
              <w:pStyle w:val="TableText0"/>
              <w:keepLines/>
              <w:jc w:val="center"/>
              <w:rPr>
                <w:szCs w:val="20"/>
              </w:rPr>
            </w:pPr>
            <w:r w:rsidRPr="00E55C36">
              <w:rPr>
                <w:szCs w:val="20"/>
              </w:rPr>
              <w:t>37/70 (52.9)</w:t>
            </w:r>
          </w:p>
        </w:tc>
        <w:tc>
          <w:tcPr>
            <w:tcW w:w="1470" w:type="dxa"/>
            <w:shd w:val="clear" w:color="auto" w:fill="auto"/>
            <w:vAlign w:val="center"/>
          </w:tcPr>
          <w:p w14:paraId="3FC53867" w14:textId="77777777" w:rsidR="00F3286B" w:rsidRPr="00E55C36" w:rsidRDefault="00F3286B" w:rsidP="00D04AA0">
            <w:pPr>
              <w:pStyle w:val="TableText0"/>
              <w:keepLines/>
              <w:jc w:val="center"/>
              <w:rPr>
                <w:b/>
                <w:bCs w:val="0"/>
                <w:szCs w:val="20"/>
              </w:rPr>
            </w:pPr>
            <w:r w:rsidRPr="00E55C36">
              <w:rPr>
                <w:b/>
                <w:bCs w:val="0"/>
                <w:szCs w:val="20"/>
              </w:rPr>
              <w:t>0.37 (0.18,0.73)</w:t>
            </w:r>
          </w:p>
        </w:tc>
        <w:tc>
          <w:tcPr>
            <w:tcW w:w="1400" w:type="dxa"/>
            <w:shd w:val="clear" w:color="auto" w:fill="auto"/>
            <w:vAlign w:val="center"/>
          </w:tcPr>
          <w:p w14:paraId="0C11AF32" w14:textId="77777777" w:rsidR="00F3286B" w:rsidRPr="00E55C36" w:rsidRDefault="00F3286B" w:rsidP="00D04AA0">
            <w:pPr>
              <w:pStyle w:val="TableText0"/>
              <w:keepLines/>
              <w:jc w:val="center"/>
              <w:rPr>
                <w:b/>
                <w:bCs w:val="0"/>
                <w:szCs w:val="20"/>
              </w:rPr>
            </w:pPr>
            <w:r w:rsidRPr="00E55C36">
              <w:rPr>
                <w:b/>
                <w:bCs w:val="0"/>
                <w:szCs w:val="20"/>
              </w:rPr>
              <w:t>0.55 (0.36,0.84)</w:t>
            </w:r>
          </w:p>
        </w:tc>
        <w:tc>
          <w:tcPr>
            <w:tcW w:w="1400" w:type="dxa"/>
          </w:tcPr>
          <w:p w14:paraId="1D7ADA99" w14:textId="77777777" w:rsidR="00F3286B" w:rsidRPr="00E55C36" w:rsidRDefault="00F3286B" w:rsidP="00D04AA0">
            <w:pPr>
              <w:pStyle w:val="TableText0"/>
              <w:keepLines/>
              <w:jc w:val="center"/>
              <w:rPr>
                <w:b/>
                <w:bCs w:val="0"/>
                <w:szCs w:val="20"/>
              </w:rPr>
            </w:pPr>
            <w:r w:rsidRPr="00E55C36">
              <w:rPr>
                <w:b/>
                <w:bCs w:val="0"/>
                <w:szCs w:val="20"/>
              </w:rPr>
              <w:t>-0.24 (-0.39,-0.08)</w:t>
            </w:r>
          </w:p>
        </w:tc>
      </w:tr>
      <w:tr w:rsidR="00F3286B" w:rsidRPr="00E55C36" w14:paraId="66017A24" w14:textId="77777777" w:rsidTr="00C51B78">
        <w:trPr>
          <w:trHeight w:val="70"/>
        </w:trPr>
        <w:tc>
          <w:tcPr>
            <w:tcW w:w="1125" w:type="dxa"/>
            <w:vMerge/>
            <w:vAlign w:val="center"/>
          </w:tcPr>
          <w:p w14:paraId="3F59379B" w14:textId="77777777" w:rsidR="00F3286B" w:rsidRPr="00E55C36" w:rsidRDefault="00F3286B" w:rsidP="00D04AA0">
            <w:pPr>
              <w:pStyle w:val="TableText0"/>
              <w:keepLines/>
              <w:rPr>
                <w:szCs w:val="20"/>
              </w:rPr>
            </w:pPr>
          </w:p>
        </w:tc>
        <w:tc>
          <w:tcPr>
            <w:tcW w:w="1668" w:type="dxa"/>
            <w:shd w:val="clear" w:color="auto" w:fill="auto"/>
            <w:vAlign w:val="center"/>
          </w:tcPr>
          <w:p w14:paraId="5CB6FE36" w14:textId="77777777" w:rsidR="00F3286B" w:rsidRPr="00E55C36" w:rsidRDefault="00F3286B" w:rsidP="00D04AA0">
            <w:pPr>
              <w:pStyle w:val="TableText0"/>
              <w:keepLines/>
              <w:rPr>
                <w:szCs w:val="20"/>
              </w:rPr>
            </w:pPr>
            <w:r w:rsidRPr="00E55C36">
              <w:rPr>
                <w:szCs w:val="20"/>
              </w:rPr>
              <w:t>PROPEL, MTX-d1</w:t>
            </w:r>
          </w:p>
        </w:tc>
        <w:tc>
          <w:tcPr>
            <w:tcW w:w="971" w:type="dxa"/>
            <w:shd w:val="clear" w:color="auto" w:fill="auto"/>
            <w:vAlign w:val="center"/>
          </w:tcPr>
          <w:p w14:paraId="734353B4" w14:textId="77777777" w:rsidR="00F3286B" w:rsidRPr="00E55C36" w:rsidRDefault="00F3286B" w:rsidP="00D04AA0">
            <w:pPr>
              <w:pStyle w:val="TableText0"/>
              <w:keepLines/>
              <w:jc w:val="center"/>
              <w:rPr>
                <w:szCs w:val="20"/>
              </w:rPr>
            </w:pPr>
            <w:r w:rsidRPr="00E55C36">
              <w:rPr>
                <w:szCs w:val="20"/>
              </w:rPr>
              <w:t>15/52 (28.9)</w:t>
            </w:r>
          </w:p>
        </w:tc>
        <w:tc>
          <w:tcPr>
            <w:tcW w:w="983" w:type="dxa"/>
            <w:shd w:val="clear" w:color="auto" w:fill="auto"/>
            <w:vAlign w:val="center"/>
          </w:tcPr>
          <w:p w14:paraId="78EF046B" w14:textId="77777777" w:rsidR="00F3286B" w:rsidRPr="00E55C36" w:rsidRDefault="00F3286B" w:rsidP="00D04AA0">
            <w:pPr>
              <w:pStyle w:val="TableText0"/>
              <w:keepLines/>
              <w:jc w:val="center"/>
              <w:rPr>
                <w:szCs w:val="20"/>
              </w:rPr>
            </w:pPr>
            <w:r w:rsidRPr="00E55C36">
              <w:rPr>
                <w:szCs w:val="20"/>
              </w:rPr>
              <w:t>26/54 (48.2)</w:t>
            </w:r>
          </w:p>
        </w:tc>
        <w:tc>
          <w:tcPr>
            <w:tcW w:w="1470" w:type="dxa"/>
            <w:shd w:val="clear" w:color="auto" w:fill="auto"/>
            <w:vAlign w:val="center"/>
          </w:tcPr>
          <w:p w14:paraId="04896999" w14:textId="77777777" w:rsidR="00F3286B" w:rsidRPr="00E55C36" w:rsidRDefault="00F3286B" w:rsidP="00D04AA0">
            <w:pPr>
              <w:pStyle w:val="TableText0"/>
              <w:keepLines/>
              <w:jc w:val="center"/>
              <w:rPr>
                <w:b/>
                <w:bCs w:val="0"/>
                <w:szCs w:val="20"/>
              </w:rPr>
            </w:pPr>
            <w:r w:rsidRPr="00E55C36">
              <w:rPr>
                <w:b/>
                <w:bCs w:val="0"/>
                <w:szCs w:val="20"/>
              </w:rPr>
              <w:t>0.44 (0.20,0.97)</w:t>
            </w:r>
          </w:p>
        </w:tc>
        <w:tc>
          <w:tcPr>
            <w:tcW w:w="1400" w:type="dxa"/>
            <w:shd w:val="clear" w:color="auto" w:fill="auto"/>
            <w:vAlign w:val="center"/>
          </w:tcPr>
          <w:p w14:paraId="26A4B547" w14:textId="77777777" w:rsidR="00F3286B" w:rsidRPr="00E55C36" w:rsidRDefault="00F3286B" w:rsidP="00D04AA0">
            <w:pPr>
              <w:pStyle w:val="TableText0"/>
              <w:keepLines/>
              <w:jc w:val="center"/>
              <w:rPr>
                <w:szCs w:val="20"/>
              </w:rPr>
            </w:pPr>
            <w:r w:rsidRPr="00E55C36">
              <w:rPr>
                <w:szCs w:val="20"/>
              </w:rPr>
              <w:t>0.60 (0.36,1.00)</w:t>
            </w:r>
          </w:p>
        </w:tc>
        <w:tc>
          <w:tcPr>
            <w:tcW w:w="1400" w:type="dxa"/>
          </w:tcPr>
          <w:p w14:paraId="17CB1C18" w14:textId="77777777" w:rsidR="00F3286B" w:rsidRPr="00E55C36" w:rsidRDefault="00F3286B" w:rsidP="00D04AA0">
            <w:pPr>
              <w:pStyle w:val="TableText0"/>
              <w:keepLines/>
              <w:jc w:val="center"/>
              <w:rPr>
                <w:b/>
                <w:bCs w:val="0"/>
                <w:szCs w:val="20"/>
              </w:rPr>
            </w:pPr>
            <w:r w:rsidRPr="00E55C36">
              <w:rPr>
                <w:b/>
                <w:bCs w:val="0"/>
                <w:szCs w:val="20"/>
              </w:rPr>
              <w:t>-0.19 (-0.37,-0.01)</w:t>
            </w:r>
          </w:p>
        </w:tc>
      </w:tr>
      <w:tr w:rsidR="00F3286B" w:rsidRPr="00E55C36" w14:paraId="2332E29D" w14:textId="77777777" w:rsidTr="00C51B78">
        <w:trPr>
          <w:trHeight w:val="70"/>
        </w:trPr>
        <w:tc>
          <w:tcPr>
            <w:tcW w:w="1125" w:type="dxa"/>
            <w:vMerge/>
            <w:vAlign w:val="center"/>
          </w:tcPr>
          <w:p w14:paraId="61B7A479" w14:textId="77777777" w:rsidR="00F3286B" w:rsidRPr="00E55C36" w:rsidRDefault="00F3286B" w:rsidP="00D04AA0">
            <w:pPr>
              <w:pStyle w:val="TableText0"/>
              <w:keepLines/>
              <w:rPr>
                <w:szCs w:val="20"/>
              </w:rPr>
            </w:pPr>
          </w:p>
        </w:tc>
        <w:tc>
          <w:tcPr>
            <w:tcW w:w="1668" w:type="dxa"/>
            <w:shd w:val="clear" w:color="auto" w:fill="auto"/>
            <w:vAlign w:val="center"/>
          </w:tcPr>
          <w:p w14:paraId="5D2D974A" w14:textId="77777777" w:rsidR="00F3286B" w:rsidRPr="00E55C36" w:rsidRDefault="00F3286B" w:rsidP="00D04AA0">
            <w:pPr>
              <w:pStyle w:val="TableText0"/>
              <w:keepLines/>
              <w:rPr>
                <w:szCs w:val="20"/>
              </w:rPr>
            </w:pPr>
            <w:r w:rsidRPr="00E55C36">
              <w:rPr>
                <w:szCs w:val="20"/>
              </w:rPr>
              <w:t>PROPEL, bDMARDn</w:t>
            </w:r>
          </w:p>
        </w:tc>
        <w:tc>
          <w:tcPr>
            <w:tcW w:w="971" w:type="dxa"/>
            <w:shd w:val="clear" w:color="auto" w:fill="auto"/>
            <w:vAlign w:val="center"/>
          </w:tcPr>
          <w:p w14:paraId="3911C9D9" w14:textId="77777777" w:rsidR="00F3286B" w:rsidRPr="00E55C36" w:rsidRDefault="00F3286B" w:rsidP="00D04AA0">
            <w:pPr>
              <w:pStyle w:val="TableText0"/>
              <w:keepLines/>
              <w:jc w:val="center"/>
              <w:rPr>
                <w:szCs w:val="20"/>
              </w:rPr>
            </w:pPr>
            <w:r w:rsidRPr="00E55C36">
              <w:rPr>
                <w:szCs w:val="20"/>
              </w:rPr>
              <w:t>15/49 (30.6)</w:t>
            </w:r>
          </w:p>
        </w:tc>
        <w:tc>
          <w:tcPr>
            <w:tcW w:w="983" w:type="dxa"/>
            <w:shd w:val="clear" w:color="auto" w:fill="auto"/>
            <w:vAlign w:val="center"/>
          </w:tcPr>
          <w:p w14:paraId="7A796D1C" w14:textId="77777777" w:rsidR="00F3286B" w:rsidRPr="00E55C36" w:rsidRDefault="00F3286B" w:rsidP="00D04AA0">
            <w:pPr>
              <w:pStyle w:val="TableText0"/>
              <w:keepLines/>
              <w:jc w:val="center"/>
              <w:rPr>
                <w:szCs w:val="20"/>
              </w:rPr>
            </w:pPr>
            <w:r w:rsidRPr="00E55C36">
              <w:rPr>
                <w:szCs w:val="20"/>
              </w:rPr>
              <w:t>23/50 (46.0)</w:t>
            </w:r>
          </w:p>
        </w:tc>
        <w:tc>
          <w:tcPr>
            <w:tcW w:w="1470" w:type="dxa"/>
            <w:shd w:val="clear" w:color="auto" w:fill="auto"/>
            <w:vAlign w:val="center"/>
          </w:tcPr>
          <w:p w14:paraId="1F5BBEDD" w14:textId="77777777" w:rsidR="00F3286B" w:rsidRPr="00E55C36" w:rsidRDefault="00F3286B" w:rsidP="00D04AA0">
            <w:pPr>
              <w:pStyle w:val="TableText0"/>
              <w:keepLines/>
              <w:jc w:val="center"/>
              <w:rPr>
                <w:szCs w:val="20"/>
              </w:rPr>
            </w:pPr>
            <w:r w:rsidRPr="00E55C36">
              <w:rPr>
                <w:szCs w:val="20"/>
              </w:rPr>
              <w:t>0.52 (0.23,1.18)</w:t>
            </w:r>
          </w:p>
        </w:tc>
        <w:tc>
          <w:tcPr>
            <w:tcW w:w="1400" w:type="dxa"/>
            <w:shd w:val="clear" w:color="auto" w:fill="auto"/>
            <w:vAlign w:val="center"/>
          </w:tcPr>
          <w:p w14:paraId="1DB5E926" w14:textId="77777777" w:rsidR="00F3286B" w:rsidRPr="00E55C36" w:rsidRDefault="00F3286B" w:rsidP="00D04AA0">
            <w:pPr>
              <w:pStyle w:val="TableText0"/>
              <w:keepLines/>
              <w:jc w:val="center"/>
              <w:rPr>
                <w:szCs w:val="20"/>
              </w:rPr>
            </w:pPr>
            <w:r w:rsidRPr="00E55C36">
              <w:rPr>
                <w:szCs w:val="20"/>
              </w:rPr>
              <w:t>0.67 (0.40,1.12)</w:t>
            </w:r>
          </w:p>
        </w:tc>
        <w:tc>
          <w:tcPr>
            <w:tcW w:w="1400" w:type="dxa"/>
          </w:tcPr>
          <w:p w14:paraId="66BE0782" w14:textId="77777777" w:rsidR="00F3286B" w:rsidRPr="00E55C36" w:rsidRDefault="00F3286B" w:rsidP="00D04AA0">
            <w:pPr>
              <w:pStyle w:val="TableText0"/>
              <w:keepLines/>
              <w:jc w:val="center"/>
              <w:rPr>
                <w:szCs w:val="20"/>
              </w:rPr>
            </w:pPr>
            <w:r w:rsidRPr="00E55C36">
              <w:rPr>
                <w:szCs w:val="20"/>
              </w:rPr>
              <w:t>-0.15 (-0.34,0.04)</w:t>
            </w:r>
          </w:p>
        </w:tc>
      </w:tr>
      <w:tr w:rsidR="00F3286B" w:rsidRPr="00E55C36" w14:paraId="47C0BD4B" w14:textId="77777777" w:rsidTr="00C51B78">
        <w:trPr>
          <w:trHeight w:val="70"/>
        </w:trPr>
        <w:tc>
          <w:tcPr>
            <w:tcW w:w="1125" w:type="dxa"/>
            <w:vMerge w:val="restart"/>
            <w:shd w:val="clear" w:color="auto" w:fill="C6D9F1" w:themeFill="text2" w:themeFillTint="33"/>
            <w:vAlign w:val="center"/>
          </w:tcPr>
          <w:p w14:paraId="722C7973" w14:textId="77777777" w:rsidR="00F3286B" w:rsidRPr="00E55C36" w:rsidRDefault="00F3286B" w:rsidP="00D04AA0">
            <w:pPr>
              <w:pStyle w:val="TableText0"/>
              <w:keepLines/>
              <w:rPr>
                <w:szCs w:val="20"/>
              </w:rPr>
            </w:pPr>
            <w:r w:rsidRPr="00E55C36">
              <w:rPr>
                <w:szCs w:val="20"/>
              </w:rPr>
              <w:t>ADA v PBO</w:t>
            </w:r>
          </w:p>
          <w:p w14:paraId="2F3C1781" w14:textId="77777777" w:rsidR="00F3286B" w:rsidRPr="00E55C36" w:rsidRDefault="00F3286B" w:rsidP="00D04AA0">
            <w:pPr>
              <w:pStyle w:val="TableText0"/>
              <w:keepLines/>
              <w:rPr>
                <w:szCs w:val="20"/>
              </w:rPr>
            </w:pPr>
            <w:r w:rsidRPr="00E55C36">
              <w:rPr>
                <w:szCs w:val="20"/>
              </w:rPr>
              <w:t>Wk48│Wk16^</w:t>
            </w:r>
          </w:p>
        </w:tc>
        <w:tc>
          <w:tcPr>
            <w:tcW w:w="1668" w:type="dxa"/>
            <w:shd w:val="clear" w:color="auto" w:fill="C6D9F1" w:themeFill="text2" w:themeFillTint="33"/>
            <w:vAlign w:val="center"/>
          </w:tcPr>
          <w:p w14:paraId="2F5E8AE7" w14:textId="77777777" w:rsidR="00F3286B" w:rsidRPr="00E55C36" w:rsidRDefault="00F3286B" w:rsidP="00D04AA0">
            <w:pPr>
              <w:pStyle w:val="TableText0"/>
              <w:keepLines/>
              <w:rPr>
                <w:szCs w:val="20"/>
              </w:rPr>
            </w:pPr>
            <w:r w:rsidRPr="00E55C36">
              <w:rPr>
                <w:szCs w:val="20"/>
              </w:rPr>
              <w:t>DE038, ITT</w:t>
            </w:r>
          </w:p>
        </w:tc>
        <w:tc>
          <w:tcPr>
            <w:tcW w:w="971" w:type="dxa"/>
            <w:shd w:val="clear" w:color="auto" w:fill="C6D9F1" w:themeFill="text2" w:themeFillTint="33"/>
            <w:vAlign w:val="center"/>
          </w:tcPr>
          <w:p w14:paraId="59038DFE" w14:textId="77777777" w:rsidR="00F3286B" w:rsidRPr="00E55C36" w:rsidRDefault="00F3286B" w:rsidP="00D04AA0">
            <w:pPr>
              <w:pStyle w:val="TableText0"/>
              <w:keepLines/>
              <w:jc w:val="center"/>
              <w:rPr>
                <w:szCs w:val="20"/>
              </w:rPr>
            </w:pPr>
            <w:r w:rsidRPr="00E55C36">
              <w:rPr>
                <w:szCs w:val="20"/>
              </w:rPr>
              <w:t>27/68 (39.7)</w:t>
            </w:r>
          </w:p>
        </w:tc>
        <w:tc>
          <w:tcPr>
            <w:tcW w:w="983" w:type="dxa"/>
            <w:shd w:val="clear" w:color="auto" w:fill="C6D9F1" w:themeFill="text2" w:themeFillTint="33"/>
            <w:vAlign w:val="center"/>
          </w:tcPr>
          <w:p w14:paraId="786B2D73" w14:textId="77777777" w:rsidR="00F3286B" w:rsidRPr="00E55C36" w:rsidRDefault="00F3286B" w:rsidP="00D04AA0">
            <w:pPr>
              <w:pStyle w:val="TableText0"/>
              <w:keepLines/>
              <w:jc w:val="center"/>
              <w:rPr>
                <w:szCs w:val="20"/>
              </w:rPr>
            </w:pPr>
            <w:r w:rsidRPr="00E55C36">
              <w:rPr>
                <w:szCs w:val="20"/>
              </w:rPr>
              <w:t>44/65 (67.7)</w:t>
            </w:r>
          </w:p>
        </w:tc>
        <w:tc>
          <w:tcPr>
            <w:tcW w:w="1470" w:type="dxa"/>
            <w:shd w:val="clear" w:color="auto" w:fill="C6D9F1" w:themeFill="text2" w:themeFillTint="33"/>
            <w:vAlign w:val="center"/>
          </w:tcPr>
          <w:p w14:paraId="42BB8F5C" w14:textId="77777777" w:rsidR="00F3286B" w:rsidRPr="00E55C36" w:rsidRDefault="00F3286B" w:rsidP="00D04AA0">
            <w:pPr>
              <w:pStyle w:val="TableText0"/>
              <w:keepLines/>
              <w:jc w:val="center"/>
              <w:rPr>
                <w:szCs w:val="20"/>
              </w:rPr>
            </w:pPr>
            <w:r w:rsidRPr="00E55C36">
              <w:rPr>
                <w:szCs w:val="20"/>
              </w:rPr>
              <w:t>0.31 (0.15,0.64)</w:t>
            </w:r>
          </w:p>
        </w:tc>
        <w:tc>
          <w:tcPr>
            <w:tcW w:w="1400" w:type="dxa"/>
            <w:shd w:val="clear" w:color="auto" w:fill="C6D9F1" w:themeFill="text2" w:themeFillTint="33"/>
            <w:vAlign w:val="center"/>
          </w:tcPr>
          <w:p w14:paraId="30779C8E" w14:textId="77777777" w:rsidR="00F3286B" w:rsidRPr="00E55C36" w:rsidRDefault="00F3286B" w:rsidP="00D04AA0">
            <w:pPr>
              <w:pStyle w:val="TableText0"/>
              <w:keepLines/>
              <w:jc w:val="center"/>
              <w:rPr>
                <w:b/>
                <w:bCs w:val="0"/>
                <w:szCs w:val="20"/>
              </w:rPr>
            </w:pPr>
            <w:r w:rsidRPr="00E55C36">
              <w:rPr>
                <w:b/>
                <w:bCs w:val="0"/>
                <w:szCs w:val="20"/>
              </w:rPr>
              <w:t>0.59 (0.42,0.82)</w:t>
            </w:r>
          </w:p>
        </w:tc>
        <w:tc>
          <w:tcPr>
            <w:tcW w:w="1400" w:type="dxa"/>
            <w:shd w:val="clear" w:color="auto" w:fill="C6D9F1" w:themeFill="text2" w:themeFillTint="33"/>
          </w:tcPr>
          <w:p w14:paraId="77BDCF25" w14:textId="77777777" w:rsidR="00F3286B" w:rsidRPr="00E55C36" w:rsidRDefault="00F3286B" w:rsidP="00D04AA0">
            <w:pPr>
              <w:pStyle w:val="TableText0"/>
              <w:keepLines/>
              <w:jc w:val="center"/>
              <w:rPr>
                <w:b/>
                <w:bCs w:val="0"/>
                <w:szCs w:val="20"/>
              </w:rPr>
            </w:pPr>
            <w:r w:rsidRPr="00E55C36">
              <w:rPr>
                <w:b/>
                <w:bCs w:val="0"/>
                <w:szCs w:val="20"/>
              </w:rPr>
              <w:t>-0.28 (-0.44,-0.12)</w:t>
            </w:r>
          </w:p>
        </w:tc>
      </w:tr>
      <w:tr w:rsidR="00F3286B" w:rsidRPr="00E55C36" w14:paraId="7448D0A5" w14:textId="77777777" w:rsidTr="00C51B78">
        <w:trPr>
          <w:trHeight w:val="70"/>
        </w:trPr>
        <w:tc>
          <w:tcPr>
            <w:tcW w:w="1125" w:type="dxa"/>
            <w:vMerge/>
            <w:shd w:val="clear" w:color="auto" w:fill="C6D9F1" w:themeFill="text2" w:themeFillTint="33"/>
            <w:vAlign w:val="center"/>
          </w:tcPr>
          <w:p w14:paraId="482AD404" w14:textId="77777777" w:rsidR="00F3286B" w:rsidRPr="00E55C36" w:rsidRDefault="00F3286B" w:rsidP="00D04AA0">
            <w:pPr>
              <w:pStyle w:val="TableText0"/>
              <w:keepLines/>
              <w:rPr>
                <w:szCs w:val="20"/>
              </w:rPr>
            </w:pPr>
          </w:p>
        </w:tc>
        <w:tc>
          <w:tcPr>
            <w:tcW w:w="1668" w:type="dxa"/>
            <w:shd w:val="clear" w:color="auto" w:fill="C6D9F1" w:themeFill="text2" w:themeFillTint="33"/>
            <w:vAlign w:val="center"/>
          </w:tcPr>
          <w:p w14:paraId="2E147B44" w14:textId="77777777" w:rsidR="00F3286B" w:rsidRPr="00E55C36" w:rsidRDefault="00F3286B" w:rsidP="00D04AA0">
            <w:pPr>
              <w:pStyle w:val="TableText0"/>
              <w:keepLines/>
              <w:rPr>
                <w:szCs w:val="20"/>
              </w:rPr>
            </w:pPr>
            <w:r w:rsidRPr="00E55C36">
              <w:rPr>
                <w:szCs w:val="20"/>
              </w:rPr>
              <w:t>DE038, MTXs</w:t>
            </w:r>
          </w:p>
        </w:tc>
        <w:tc>
          <w:tcPr>
            <w:tcW w:w="971" w:type="dxa"/>
            <w:shd w:val="clear" w:color="auto" w:fill="C6D9F1" w:themeFill="text2" w:themeFillTint="33"/>
            <w:vAlign w:val="center"/>
          </w:tcPr>
          <w:p w14:paraId="62C9A310" w14:textId="77777777" w:rsidR="00F3286B" w:rsidRPr="00E55C36" w:rsidRDefault="00F3286B" w:rsidP="00D04AA0">
            <w:pPr>
              <w:pStyle w:val="TableText0"/>
              <w:keepLines/>
              <w:jc w:val="center"/>
              <w:rPr>
                <w:szCs w:val="20"/>
              </w:rPr>
            </w:pPr>
            <w:r w:rsidRPr="00E55C36">
              <w:rPr>
                <w:szCs w:val="20"/>
              </w:rPr>
              <w:t>14/38 (36.8)</w:t>
            </w:r>
          </w:p>
        </w:tc>
        <w:tc>
          <w:tcPr>
            <w:tcW w:w="983" w:type="dxa"/>
            <w:shd w:val="clear" w:color="auto" w:fill="C6D9F1" w:themeFill="text2" w:themeFillTint="33"/>
            <w:vAlign w:val="center"/>
          </w:tcPr>
          <w:p w14:paraId="6C8181F7" w14:textId="77777777" w:rsidR="00F3286B" w:rsidRPr="00E55C36" w:rsidRDefault="00F3286B" w:rsidP="00D04AA0">
            <w:pPr>
              <w:pStyle w:val="TableText0"/>
              <w:keepLines/>
              <w:jc w:val="center"/>
              <w:rPr>
                <w:szCs w:val="20"/>
              </w:rPr>
            </w:pPr>
            <w:r w:rsidRPr="00E55C36">
              <w:rPr>
                <w:szCs w:val="20"/>
              </w:rPr>
              <w:t>24/37 (64.9)</w:t>
            </w:r>
          </w:p>
        </w:tc>
        <w:tc>
          <w:tcPr>
            <w:tcW w:w="1470" w:type="dxa"/>
            <w:shd w:val="clear" w:color="auto" w:fill="C6D9F1" w:themeFill="text2" w:themeFillTint="33"/>
            <w:vAlign w:val="center"/>
          </w:tcPr>
          <w:p w14:paraId="3F63C2D0" w14:textId="77777777" w:rsidR="00F3286B" w:rsidRPr="00E55C36" w:rsidRDefault="00F3286B" w:rsidP="00D04AA0">
            <w:pPr>
              <w:pStyle w:val="TableText0"/>
              <w:keepLines/>
              <w:jc w:val="center"/>
              <w:rPr>
                <w:szCs w:val="20"/>
              </w:rPr>
            </w:pPr>
            <w:r w:rsidRPr="00E55C36">
              <w:rPr>
                <w:szCs w:val="20"/>
              </w:rPr>
              <w:t>0.32 (0.12,0.81)</w:t>
            </w:r>
          </w:p>
        </w:tc>
        <w:tc>
          <w:tcPr>
            <w:tcW w:w="1400" w:type="dxa"/>
            <w:shd w:val="clear" w:color="auto" w:fill="C6D9F1" w:themeFill="text2" w:themeFillTint="33"/>
            <w:vAlign w:val="center"/>
          </w:tcPr>
          <w:p w14:paraId="7135768F" w14:textId="77777777" w:rsidR="00F3286B" w:rsidRPr="00E55C36" w:rsidRDefault="00F3286B" w:rsidP="00D04AA0">
            <w:pPr>
              <w:pStyle w:val="TableText0"/>
              <w:keepLines/>
              <w:jc w:val="center"/>
              <w:rPr>
                <w:b/>
                <w:bCs w:val="0"/>
                <w:szCs w:val="20"/>
              </w:rPr>
            </w:pPr>
            <w:r w:rsidRPr="00E55C36">
              <w:rPr>
                <w:b/>
                <w:bCs w:val="0"/>
                <w:szCs w:val="20"/>
              </w:rPr>
              <w:t>0.57 (0.35,0.92)</w:t>
            </w:r>
          </w:p>
        </w:tc>
        <w:tc>
          <w:tcPr>
            <w:tcW w:w="1400" w:type="dxa"/>
            <w:shd w:val="clear" w:color="auto" w:fill="C6D9F1" w:themeFill="text2" w:themeFillTint="33"/>
          </w:tcPr>
          <w:p w14:paraId="2B12335A" w14:textId="77777777" w:rsidR="00F3286B" w:rsidRPr="00E55C36" w:rsidRDefault="00F3286B" w:rsidP="00D04AA0">
            <w:pPr>
              <w:pStyle w:val="TableText0"/>
              <w:keepLines/>
              <w:jc w:val="center"/>
              <w:rPr>
                <w:b/>
                <w:bCs w:val="0"/>
                <w:szCs w:val="20"/>
              </w:rPr>
            </w:pPr>
            <w:r w:rsidRPr="00E55C36">
              <w:rPr>
                <w:b/>
                <w:bCs w:val="0"/>
                <w:szCs w:val="20"/>
              </w:rPr>
              <w:t>-0.28 (-0.50,-0.06)</w:t>
            </w:r>
          </w:p>
        </w:tc>
      </w:tr>
      <w:tr w:rsidR="00F3286B" w:rsidRPr="00E55C36" w14:paraId="3E29CAAB" w14:textId="77777777" w:rsidTr="00C51B78">
        <w:trPr>
          <w:trHeight w:val="70"/>
        </w:trPr>
        <w:tc>
          <w:tcPr>
            <w:tcW w:w="1125" w:type="dxa"/>
            <w:vMerge/>
            <w:shd w:val="clear" w:color="auto" w:fill="C6D9F1" w:themeFill="text2" w:themeFillTint="33"/>
            <w:vAlign w:val="center"/>
          </w:tcPr>
          <w:p w14:paraId="287938B0" w14:textId="77777777" w:rsidR="00F3286B" w:rsidRPr="00E55C36" w:rsidRDefault="00F3286B" w:rsidP="00C959E4">
            <w:pPr>
              <w:pStyle w:val="TableText0"/>
              <w:rPr>
                <w:szCs w:val="20"/>
              </w:rPr>
            </w:pPr>
          </w:p>
        </w:tc>
        <w:tc>
          <w:tcPr>
            <w:tcW w:w="1668" w:type="dxa"/>
            <w:shd w:val="clear" w:color="auto" w:fill="C6D9F1" w:themeFill="text2" w:themeFillTint="33"/>
            <w:vAlign w:val="center"/>
          </w:tcPr>
          <w:p w14:paraId="4D807D65" w14:textId="77777777" w:rsidR="00F3286B" w:rsidRPr="00E55C36" w:rsidRDefault="00F3286B" w:rsidP="00C959E4">
            <w:pPr>
              <w:pStyle w:val="TableText0"/>
              <w:rPr>
                <w:szCs w:val="20"/>
              </w:rPr>
            </w:pPr>
            <w:r w:rsidRPr="00E55C36">
              <w:rPr>
                <w:szCs w:val="20"/>
              </w:rPr>
              <w:t>DE038, non-MTXs</w:t>
            </w:r>
          </w:p>
        </w:tc>
        <w:tc>
          <w:tcPr>
            <w:tcW w:w="971" w:type="dxa"/>
            <w:shd w:val="clear" w:color="auto" w:fill="C6D9F1" w:themeFill="text2" w:themeFillTint="33"/>
            <w:vAlign w:val="center"/>
          </w:tcPr>
          <w:p w14:paraId="55577424" w14:textId="77777777" w:rsidR="00F3286B" w:rsidRPr="00E55C36" w:rsidRDefault="00F3286B" w:rsidP="00C959E4">
            <w:pPr>
              <w:pStyle w:val="TableText0"/>
              <w:jc w:val="center"/>
              <w:rPr>
                <w:szCs w:val="20"/>
              </w:rPr>
            </w:pPr>
            <w:r w:rsidRPr="00E55C36">
              <w:rPr>
                <w:szCs w:val="20"/>
              </w:rPr>
              <w:t>13/30 (43.3)</w:t>
            </w:r>
          </w:p>
        </w:tc>
        <w:tc>
          <w:tcPr>
            <w:tcW w:w="983" w:type="dxa"/>
            <w:shd w:val="clear" w:color="auto" w:fill="C6D9F1" w:themeFill="text2" w:themeFillTint="33"/>
            <w:vAlign w:val="center"/>
          </w:tcPr>
          <w:p w14:paraId="170F6ADD" w14:textId="77777777" w:rsidR="00F3286B" w:rsidRPr="00E55C36" w:rsidRDefault="00F3286B" w:rsidP="00C959E4">
            <w:pPr>
              <w:pStyle w:val="TableText0"/>
              <w:jc w:val="center"/>
              <w:rPr>
                <w:szCs w:val="20"/>
              </w:rPr>
            </w:pPr>
            <w:r w:rsidRPr="00E55C36">
              <w:rPr>
                <w:szCs w:val="20"/>
              </w:rPr>
              <w:t>20/28 (71.4)</w:t>
            </w:r>
          </w:p>
        </w:tc>
        <w:tc>
          <w:tcPr>
            <w:tcW w:w="1470" w:type="dxa"/>
            <w:shd w:val="clear" w:color="auto" w:fill="C6D9F1" w:themeFill="text2" w:themeFillTint="33"/>
            <w:vAlign w:val="center"/>
          </w:tcPr>
          <w:p w14:paraId="45835556" w14:textId="77777777" w:rsidR="00F3286B" w:rsidRPr="00E55C36" w:rsidRDefault="00F3286B" w:rsidP="00C959E4">
            <w:pPr>
              <w:pStyle w:val="TableText0"/>
              <w:jc w:val="center"/>
              <w:rPr>
                <w:szCs w:val="20"/>
              </w:rPr>
            </w:pPr>
            <w:r w:rsidRPr="00E55C36">
              <w:rPr>
                <w:szCs w:val="20"/>
              </w:rPr>
              <w:t>0.31 (0.10,0.91)</w:t>
            </w:r>
          </w:p>
        </w:tc>
        <w:tc>
          <w:tcPr>
            <w:tcW w:w="1400" w:type="dxa"/>
            <w:shd w:val="clear" w:color="auto" w:fill="C6D9F1" w:themeFill="text2" w:themeFillTint="33"/>
            <w:vAlign w:val="center"/>
          </w:tcPr>
          <w:p w14:paraId="5A6D8ECB" w14:textId="77777777" w:rsidR="00F3286B" w:rsidRPr="00E55C36" w:rsidRDefault="00F3286B" w:rsidP="00C959E4">
            <w:pPr>
              <w:pStyle w:val="TableText0"/>
              <w:jc w:val="center"/>
              <w:rPr>
                <w:b/>
                <w:bCs w:val="0"/>
                <w:szCs w:val="20"/>
              </w:rPr>
            </w:pPr>
            <w:r w:rsidRPr="00E55C36">
              <w:rPr>
                <w:b/>
                <w:bCs w:val="0"/>
                <w:szCs w:val="20"/>
              </w:rPr>
              <w:t>0.61 (0.38,0.97)</w:t>
            </w:r>
          </w:p>
        </w:tc>
        <w:tc>
          <w:tcPr>
            <w:tcW w:w="1400" w:type="dxa"/>
            <w:shd w:val="clear" w:color="auto" w:fill="C6D9F1" w:themeFill="text2" w:themeFillTint="33"/>
          </w:tcPr>
          <w:p w14:paraId="380BF7AF" w14:textId="77777777" w:rsidR="00F3286B" w:rsidRPr="00E55C36" w:rsidRDefault="00F3286B" w:rsidP="00C959E4">
            <w:pPr>
              <w:pStyle w:val="TableText0"/>
              <w:jc w:val="center"/>
              <w:rPr>
                <w:b/>
                <w:bCs w:val="0"/>
                <w:szCs w:val="20"/>
              </w:rPr>
            </w:pPr>
            <w:r w:rsidRPr="00E55C36">
              <w:rPr>
                <w:b/>
                <w:bCs w:val="0"/>
                <w:szCs w:val="20"/>
              </w:rPr>
              <w:t>-0.28 (-0.52,-0.04)</w:t>
            </w:r>
          </w:p>
        </w:tc>
      </w:tr>
      <w:tr w:rsidR="00F3286B" w:rsidRPr="00E55C36" w14:paraId="2FB8D3D1" w14:textId="77777777" w:rsidTr="00C51B78">
        <w:tc>
          <w:tcPr>
            <w:tcW w:w="4747" w:type="dxa"/>
            <w:gridSpan w:val="4"/>
            <w:vAlign w:val="center"/>
          </w:tcPr>
          <w:p w14:paraId="6450D0A5" w14:textId="77777777" w:rsidR="00F3286B" w:rsidRPr="00E55C36" w:rsidRDefault="00F3286B" w:rsidP="00C959E4">
            <w:pPr>
              <w:pStyle w:val="TableText0"/>
              <w:rPr>
                <w:b/>
                <w:bCs w:val="0"/>
                <w:szCs w:val="20"/>
              </w:rPr>
            </w:pPr>
            <w:r w:rsidRPr="00E55C36">
              <w:rPr>
                <w:b/>
                <w:bCs w:val="0"/>
                <w:szCs w:val="20"/>
              </w:rPr>
              <w:t>OUTCOME: PedACR30, end of DB phase</w:t>
            </w:r>
          </w:p>
        </w:tc>
        <w:tc>
          <w:tcPr>
            <w:tcW w:w="1470" w:type="dxa"/>
            <w:shd w:val="clear" w:color="auto" w:fill="auto"/>
            <w:vAlign w:val="center"/>
          </w:tcPr>
          <w:p w14:paraId="0B613192" w14:textId="77777777" w:rsidR="00F3286B" w:rsidRPr="00E55C36" w:rsidRDefault="00F3286B" w:rsidP="00C959E4">
            <w:pPr>
              <w:pStyle w:val="TableText0"/>
              <w:jc w:val="center"/>
              <w:rPr>
                <w:szCs w:val="20"/>
              </w:rPr>
            </w:pPr>
          </w:p>
        </w:tc>
        <w:tc>
          <w:tcPr>
            <w:tcW w:w="1400" w:type="dxa"/>
            <w:shd w:val="clear" w:color="auto" w:fill="auto"/>
            <w:vAlign w:val="center"/>
          </w:tcPr>
          <w:p w14:paraId="2AB76989" w14:textId="77777777" w:rsidR="00F3286B" w:rsidRPr="00E55C36" w:rsidRDefault="00F3286B" w:rsidP="00C959E4">
            <w:pPr>
              <w:pStyle w:val="TableText0"/>
              <w:jc w:val="center"/>
              <w:rPr>
                <w:szCs w:val="20"/>
              </w:rPr>
            </w:pPr>
          </w:p>
        </w:tc>
        <w:tc>
          <w:tcPr>
            <w:tcW w:w="1400" w:type="dxa"/>
          </w:tcPr>
          <w:p w14:paraId="595868C9" w14:textId="77777777" w:rsidR="00F3286B" w:rsidRPr="00E55C36" w:rsidRDefault="00F3286B" w:rsidP="00C959E4">
            <w:pPr>
              <w:pStyle w:val="TableText0"/>
              <w:jc w:val="center"/>
              <w:rPr>
                <w:szCs w:val="20"/>
              </w:rPr>
            </w:pPr>
          </w:p>
        </w:tc>
      </w:tr>
      <w:tr w:rsidR="00F3286B" w:rsidRPr="00E55C36" w14:paraId="1840C9A3" w14:textId="77777777" w:rsidTr="00C51B78">
        <w:tc>
          <w:tcPr>
            <w:tcW w:w="1125" w:type="dxa"/>
            <w:vMerge w:val="restart"/>
            <w:vAlign w:val="center"/>
          </w:tcPr>
          <w:p w14:paraId="60A2C8DF" w14:textId="77777777" w:rsidR="00F3286B" w:rsidRPr="00E55C36" w:rsidRDefault="00F3286B" w:rsidP="00C959E4">
            <w:pPr>
              <w:pStyle w:val="TableText0"/>
              <w:rPr>
                <w:szCs w:val="20"/>
              </w:rPr>
            </w:pPr>
            <w:r w:rsidRPr="00E55C36">
              <w:rPr>
                <w:szCs w:val="20"/>
              </w:rPr>
              <w:t>TOF v PBO Wk44│Wk18^</w:t>
            </w:r>
          </w:p>
        </w:tc>
        <w:tc>
          <w:tcPr>
            <w:tcW w:w="1668" w:type="dxa"/>
            <w:shd w:val="clear" w:color="auto" w:fill="auto"/>
            <w:vAlign w:val="center"/>
          </w:tcPr>
          <w:p w14:paraId="60010BF2" w14:textId="77777777" w:rsidR="00F3286B" w:rsidRPr="00E55C36" w:rsidRDefault="00F3286B" w:rsidP="00C959E4">
            <w:pPr>
              <w:pStyle w:val="TableText0"/>
              <w:rPr>
                <w:szCs w:val="20"/>
              </w:rPr>
            </w:pPr>
            <w:r w:rsidRPr="00E55C36">
              <w:rPr>
                <w:szCs w:val="20"/>
              </w:rPr>
              <w:t xml:space="preserve">PROPEL, ITT </w:t>
            </w:r>
          </w:p>
        </w:tc>
        <w:tc>
          <w:tcPr>
            <w:tcW w:w="971" w:type="dxa"/>
            <w:shd w:val="clear" w:color="auto" w:fill="auto"/>
            <w:vAlign w:val="center"/>
          </w:tcPr>
          <w:p w14:paraId="23342333" w14:textId="77777777" w:rsidR="00F3286B" w:rsidRPr="00E55C36" w:rsidRDefault="00F3286B" w:rsidP="00C959E4">
            <w:pPr>
              <w:pStyle w:val="TableText0"/>
              <w:jc w:val="center"/>
              <w:rPr>
                <w:szCs w:val="20"/>
              </w:rPr>
            </w:pPr>
            <w:r w:rsidRPr="00E55C36">
              <w:rPr>
                <w:szCs w:val="20"/>
              </w:rPr>
              <w:t>51/72 (70.8)</w:t>
            </w:r>
          </w:p>
        </w:tc>
        <w:tc>
          <w:tcPr>
            <w:tcW w:w="983" w:type="dxa"/>
            <w:shd w:val="clear" w:color="auto" w:fill="auto"/>
            <w:vAlign w:val="center"/>
          </w:tcPr>
          <w:p w14:paraId="22371EAA" w14:textId="77777777" w:rsidR="00F3286B" w:rsidRPr="00E55C36" w:rsidRDefault="00F3286B" w:rsidP="00C959E4">
            <w:pPr>
              <w:pStyle w:val="TableText0"/>
              <w:jc w:val="center"/>
              <w:rPr>
                <w:szCs w:val="20"/>
              </w:rPr>
            </w:pPr>
            <w:r w:rsidRPr="00E55C36">
              <w:rPr>
                <w:szCs w:val="20"/>
              </w:rPr>
              <w:t>33/70 (47.1)</w:t>
            </w:r>
          </w:p>
        </w:tc>
        <w:tc>
          <w:tcPr>
            <w:tcW w:w="1470" w:type="dxa"/>
            <w:shd w:val="clear" w:color="auto" w:fill="auto"/>
            <w:vAlign w:val="center"/>
          </w:tcPr>
          <w:p w14:paraId="37A03002" w14:textId="77777777" w:rsidR="00F3286B" w:rsidRPr="00E55C36" w:rsidRDefault="00F3286B" w:rsidP="00C959E4">
            <w:pPr>
              <w:pStyle w:val="TableText0"/>
              <w:jc w:val="center"/>
              <w:rPr>
                <w:b/>
                <w:bCs w:val="0"/>
                <w:szCs w:val="20"/>
              </w:rPr>
            </w:pPr>
            <w:r w:rsidRPr="00E55C36">
              <w:rPr>
                <w:b/>
                <w:bCs w:val="0"/>
                <w:szCs w:val="20"/>
              </w:rPr>
              <w:t>2.72 (1.36,5.44)</w:t>
            </w:r>
          </w:p>
        </w:tc>
        <w:tc>
          <w:tcPr>
            <w:tcW w:w="1400" w:type="dxa"/>
            <w:shd w:val="clear" w:color="auto" w:fill="auto"/>
            <w:vAlign w:val="center"/>
          </w:tcPr>
          <w:p w14:paraId="175E84CF" w14:textId="77777777" w:rsidR="00F3286B" w:rsidRPr="00E55C36" w:rsidRDefault="00F3286B" w:rsidP="00C959E4">
            <w:pPr>
              <w:pStyle w:val="TableText0"/>
              <w:jc w:val="center"/>
              <w:rPr>
                <w:b/>
                <w:bCs w:val="0"/>
                <w:szCs w:val="20"/>
              </w:rPr>
            </w:pPr>
            <w:r w:rsidRPr="00E55C36">
              <w:rPr>
                <w:b/>
                <w:bCs w:val="0"/>
                <w:szCs w:val="20"/>
              </w:rPr>
              <w:t>1.50 (1.13,2.01)</w:t>
            </w:r>
          </w:p>
        </w:tc>
        <w:tc>
          <w:tcPr>
            <w:tcW w:w="1400" w:type="dxa"/>
          </w:tcPr>
          <w:p w14:paraId="2019C900" w14:textId="77777777" w:rsidR="00F3286B" w:rsidRPr="00E55C36" w:rsidRDefault="00F3286B" w:rsidP="00C959E4">
            <w:pPr>
              <w:pStyle w:val="TableText0"/>
              <w:jc w:val="center"/>
              <w:rPr>
                <w:b/>
                <w:bCs w:val="0"/>
                <w:szCs w:val="20"/>
              </w:rPr>
            </w:pPr>
            <w:r w:rsidRPr="00E55C36">
              <w:rPr>
                <w:b/>
                <w:bCs w:val="0"/>
                <w:szCs w:val="20"/>
              </w:rPr>
              <w:t>0.24 (0.08,0.39)</w:t>
            </w:r>
          </w:p>
        </w:tc>
      </w:tr>
      <w:tr w:rsidR="00F3286B" w:rsidRPr="00E55C36" w14:paraId="7DEF0897" w14:textId="77777777" w:rsidTr="00C51B78">
        <w:tc>
          <w:tcPr>
            <w:tcW w:w="1125" w:type="dxa"/>
            <w:vMerge/>
            <w:vAlign w:val="center"/>
          </w:tcPr>
          <w:p w14:paraId="08843461" w14:textId="77777777" w:rsidR="00F3286B" w:rsidRPr="00E55C36" w:rsidRDefault="00F3286B" w:rsidP="00C959E4">
            <w:pPr>
              <w:pStyle w:val="TableText0"/>
              <w:rPr>
                <w:szCs w:val="20"/>
              </w:rPr>
            </w:pPr>
          </w:p>
        </w:tc>
        <w:tc>
          <w:tcPr>
            <w:tcW w:w="1668" w:type="dxa"/>
            <w:shd w:val="clear" w:color="auto" w:fill="auto"/>
            <w:vAlign w:val="center"/>
          </w:tcPr>
          <w:p w14:paraId="52DA2FA0" w14:textId="77777777" w:rsidR="00F3286B" w:rsidRPr="00E55C36" w:rsidRDefault="00F3286B" w:rsidP="00C959E4">
            <w:pPr>
              <w:pStyle w:val="TableText0"/>
              <w:rPr>
                <w:szCs w:val="20"/>
              </w:rPr>
            </w:pPr>
            <w:r w:rsidRPr="00E55C36">
              <w:rPr>
                <w:szCs w:val="20"/>
              </w:rPr>
              <w:t>PROPEL, MTX-d1</w:t>
            </w:r>
          </w:p>
        </w:tc>
        <w:tc>
          <w:tcPr>
            <w:tcW w:w="971" w:type="dxa"/>
            <w:shd w:val="clear" w:color="auto" w:fill="auto"/>
            <w:vAlign w:val="center"/>
          </w:tcPr>
          <w:p w14:paraId="1761E46B" w14:textId="77777777" w:rsidR="00F3286B" w:rsidRPr="00E55C36" w:rsidRDefault="00F3286B" w:rsidP="00C959E4">
            <w:pPr>
              <w:pStyle w:val="TableText0"/>
              <w:jc w:val="center"/>
              <w:rPr>
                <w:szCs w:val="20"/>
              </w:rPr>
            </w:pPr>
            <w:r w:rsidRPr="00E55C36">
              <w:rPr>
                <w:szCs w:val="20"/>
              </w:rPr>
              <w:t>37/52 (71.2)</w:t>
            </w:r>
          </w:p>
        </w:tc>
        <w:tc>
          <w:tcPr>
            <w:tcW w:w="983" w:type="dxa"/>
            <w:shd w:val="clear" w:color="auto" w:fill="auto"/>
            <w:vAlign w:val="center"/>
          </w:tcPr>
          <w:p w14:paraId="2184A7CD" w14:textId="77777777" w:rsidR="00F3286B" w:rsidRPr="00E55C36" w:rsidRDefault="00F3286B" w:rsidP="00C959E4">
            <w:pPr>
              <w:pStyle w:val="TableText0"/>
              <w:jc w:val="center"/>
              <w:rPr>
                <w:szCs w:val="20"/>
              </w:rPr>
            </w:pPr>
            <w:r w:rsidRPr="00E55C36">
              <w:rPr>
                <w:szCs w:val="20"/>
              </w:rPr>
              <w:t>28/54 (51.9)</w:t>
            </w:r>
          </w:p>
        </w:tc>
        <w:tc>
          <w:tcPr>
            <w:tcW w:w="1470" w:type="dxa"/>
            <w:shd w:val="clear" w:color="auto" w:fill="auto"/>
            <w:vAlign w:val="center"/>
          </w:tcPr>
          <w:p w14:paraId="79262F86" w14:textId="77777777" w:rsidR="00F3286B" w:rsidRPr="00E55C36" w:rsidRDefault="00F3286B" w:rsidP="00C959E4">
            <w:pPr>
              <w:pStyle w:val="TableText0"/>
              <w:jc w:val="center"/>
              <w:rPr>
                <w:b/>
                <w:bCs w:val="0"/>
                <w:szCs w:val="20"/>
              </w:rPr>
            </w:pPr>
            <w:r w:rsidRPr="00E55C36">
              <w:rPr>
                <w:b/>
                <w:bCs w:val="0"/>
                <w:szCs w:val="20"/>
              </w:rPr>
              <w:t>2.29 (1.03,5.11)</w:t>
            </w:r>
          </w:p>
        </w:tc>
        <w:tc>
          <w:tcPr>
            <w:tcW w:w="1400" w:type="dxa"/>
            <w:shd w:val="clear" w:color="auto" w:fill="auto"/>
            <w:vAlign w:val="center"/>
          </w:tcPr>
          <w:p w14:paraId="48FA0F88" w14:textId="77777777" w:rsidR="00F3286B" w:rsidRPr="00E55C36" w:rsidRDefault="00F3286B" w:rsidP="00C959E4">
            <w:pPr>
              <w:pStyle w:val="TableText0"/>
              <w:jc w:val="center"/>
              <w:rPr>
                <w:b/>
                <w:bCs w:val="0"/>
                <w:szCs w:val="20"/>
              </w:rPr>
            </w:pPr>
            <w:r w:rsidRPr="00E55C36">
              <w:rPr>
                <w:b/>
                <w:bCs w:val="0"/>
                <w:szCs w:val="20"/>
              </w:rPr>
              <w:t>1.37 (1.01,1.87)</w:t>
            </w:r>
          </w:p>
        </w:tc>
        <w:tc>
          <w:tcPr>
            <w:tcW w:w="1400" w:type="dxa"/>
          </w:tcPr>
          <w:p w14:paraId="3C32A4F4" w14:textId="77777777" w:rsidR="00F3286B" w:rsidRPr="00E55C36" w:rsidRDefault="00F3286B" w:rsidP="00C959E4">
            <w:pPr>
              <w:pStyle w:val="TableText0"/>
              <w:jc w:val="center"/>
              <w:rPr>
                <w:b/>
                <w:bCs w:val="0"/>
                <w:szCs w:val="20"/>
              </w:rPr>
            </w:pPr>
            <w:r w:rsidRPr="00E55C36">
              <w:rPr>
                <w:b/>
                <w:bCs w:val="0"/>
                <w:szCs w:val="20"/>
              </w:rPr>
              <w:t>0.19 (0.01,0.37)</w:t>
            </w:r>
          </w:p>
        </w:tc>
      </w:tr>
      <w:tr w:rsidR="00F3286B" w:rsidRPr="00E55C36" w14:paraId="79E586A3" w14:textId="77777777" w:rsidTr="00C51B78">
        <w:tc>
          <w:tcPr>
            <w:tcW w:w="1125" w:type="dxa"/>
            <w:vMerge/>
            <w:vAlign w:val="center"/>
          </w:tcPr>
          <w:p w14:paraId="562994E5" w14:textId="77777777" w:rsidR="00F3286B" w:rsidRPr="00E55C36" w:rsidRDefault="00F3286B" w:rsidP="00C959E4">
            <w:pPr>
              <w:pStyle w:val="TableText0"/>
              <w:rPr>
                <w:szCs w:val="20"/>
              </w:rPr>
            </w:pPr>
          </w:p>
        </w:tc>
        <w:tc>
          <w:tcPr>
            <w:tcW w:w="1668" w:type="dxa"/>
            <w:shd w:val="clear" w:color="auto" w:fill="auto"/>
            <w:vAlign w:val="center"/>
          </w:tcPr>
          <w:p w14:paraId="144201C4" w14:textId="77777777" w:rsidR="00F3286B" w:rsidRPr="00E55C36" w:rsidRDefault="00F3286B" w:rsidP="00C959E4">
            <w:pPr>
              <w:pStyle w:val="TableText0"/>
              <w:rPr>
                <w:szCs w:val="20"/>
              </w:rPr>
            </w:pPr>
            <w:r w:rsidRPr="00E55C36">
              <w:rPr>
                <w:szCs w:val="20"/>
              </w:rPr>
              <w:t>PROPEL, bDMARDn</w:t>
            </w:r>
          </w:p>
        </w:tc>
        <w:tc>
          <w:tcPr>
            <w:tcW w:w="971" w:type="dxa"/>
            <w:shd w:val="clear" w:color="auto" w:fill="auto"/>
            <w:vAlign w:val="center"/>
          </w:tcPr>
          <w:p w14:paraId="434A773F" w14:textId="77777777" w:rsidR="00F3286B" w:rsidRPr="00E55C36" w:rsidRDefault="00F3286B" w:rsidP="00C959E4">
            <w:pPr>
              <w:pStyle w:val="TableText0"/>
              <w:jc w:val="center"/>
              <w:rPr>
                <w:szCs w:val="20"/>
              </w:rPr>
            </w:pPr>
            <w:r w:rsidRPr="00E55C36">
              <w:rPr>
                <w:szCs w:val="20"/>
              </w:rPr>
              <w:t>34/49 (69.4)</w:t>
            </w:r>
          </w:p>
        </w:tc>
        <w:tc>
          <w:tcPr>
            <w:tcW w:w="983" w:type="dxa"/>
            <w:shd w:val="clear" w:color="auto" w:fill="auto"/>
            <w:vAlign w:val="center"/>
          </w:tcPr>
          <w:p w14:paraId="1ACD8AD3" w14:textId="77777777" w:rsidR="00F3286B" w:rsidRPr="00E55C36" w:rsidRDefault="00F3286B" w:rsidP="00C959E4">
            <w:pPr>
              <w:pStyle w:val="TableText0"/>
              <w:jc w:val="center"/>
              <w:rPr>
                <w:szCs w:val="20"/>
              </w:rPr>
            </w:pPr>
            <w:r w:rsidRPr="00E55C36">
              <w:rPr>
                <w:szCs w:val="20"/>
              </w:rPr>
              <w:t>27/50 (54.0)</w:t>
            </w:r>
          </w:p>
        </w:tc>
        <w:tc>
          <w:tcPr>
            <w:tcW w:w="1470" w:type="dxa"/>
            <w:shd w:val="clear" w:color="auto" w:fill="auto"/>
            <w:vAlign w:val="center"/>
          </w:tcPr>
          <w:p w14:paraId="5A537972" w14:textId="77777777" w:rsidR="00F3286B" w:rsidRPr="00E55C36" w:rsidRDefault="00F3286B" w:rsidP="00C959E4">
            <w:pPr>
              <w:pStyle w:val="TableText0"/>
              <w:jc w:val="center"/>
              <w:rPr>
                <w:b/>
                <w:bCs w:val="0"/>
                <w:szCs w:val="20"/>
              </w:rPr>
            </w:pPr>
            <w:r w:rsidRPr="00E55C36">
              <w:rPr>
                <w:b/>
                <w:bCs w:val="0"/>
                <w:szCs w:val="20"/>
              </w:rPr>
              <w:t>1.93 (0.85,4.40)</w:t>
            </w:r>
          </w:p>
        </w:tc>
        <w:tc>
          <w:tcPr>
            <w:tcW w:w="1400" w:type="dxa"/>
            <w:shd w:val="clear" w:color="auto" w:fill="auto"/>
            <w:vAlign w:val="center"/>
          </w:tcPr>
          <w:p w14:paraId="4F66FE7A" w14:textId="77777777" w:rsidR="00F3286B" w:rsidRPr="00E55C36" w:rsidRDefault="00F3286B" w:rsidP="00C959E4">
            <w:pPr>
              <w:pStyle w:val="TableText0"/>
              <w:jc w:val="center"/>
              <w:rPr>
                <w:b/>
                <w:bCs w:val="0"/>
                <w:szCs w:val="20"/>
              </w:rPr>
            </w:pPr>
            <w:r w:rsidRPr="00E55C36">
              <w:rPr>
                <w:b/>
                <w:bCs w:val="0"/>
                <w:szCs w:val="20"/>
              </w:rPr>
              <w:t>1.28 (0.94,1.76)</w:t>
            </w:r>
          </w:p>
        </w:tc>
        <w:tc>
          <w:tcPr>
            <w:tcW w:w="1400" w:type="dxa"/>
          </w:tcPr>
          <w:p w14:paraId="3D3D7606" w14:textId="77777777" w:rsidR="00F3286B" w:rsidRPr="00E55C36" w:rsidRDefault="00F3286B" w:rsidP="00C959E4">
            <w:pPr>
              <w:pStyle w:val="TableText0"/>
              <w:jc w:val="center"/>
              <w:rPr>
                <w:b/>
                <w:bCs w:val="0"/>
                <w:szCs w:val="20"/>
              </w:rPr>
            </w:pPr>
            <w:r w:rsidRPr="00E55C36">
              <w:rPr>
                <w:b/>
                <w:bCs w:val="0"/>
                <w:szCs w:val="20"/>
              </w:rPr>
              <w:t>0.15 (-0.04,0.34)</w:t>
            </w:r>
          </w:p>
        </w:tc>
      </w:tr>
      <w:tr w:rsidR="00F3286B" w:rsidRPr="00E55C36" w14:paraId="51595ACA" w14:textId="77777777" w:rsidTr="00C51B78">
        <w:tc>
          <w:tcPr>
            <w:tcW w:w="1125" w:type="dxa"/>
            <w:vMerge w:val="restart"/>
            <w:shd w:val="clear" w:color="auto" w:fill="C6D9F1" w:themeFill="text2" w:themeFillTint="33"/>
            <w:vAlign w:val="center"/>
          </w:tcPr>
          <w:p w14:paraId="756B1FD6" w14:textId="77777777" w:rsidR="00F3286B" w:rsidRPr="00E55C36" w:rsidRDefault="00F3286B" w:rsidP="00C959E4">
            <w:pPr>
              <w:pStyle w:val="TableText0"/>
              <w:rPr>
                <w:szCs w:val="20"/>
              </w:rPr>
            </w:pPr>
            <w:r w:rsidRPr="00E55C36">
              <w:rPr>
                <w:szCs w:val="20"/>
              </w:rPr>
              <w:t>ADA v PBO</w:t>
            </w:r>
          </w:p>
          <w:p w14:paraId="29B14210" w14:textId="77777777" w:rsidR="00F3286B" w:rsidRPr="00E55C36" w:rsidRDefault="00F3286B" w:rsidP="00C959E4">
            <w:pPr>
              <w:pStyle w:val="TableText0"/>
              <w:rPr>
                <w:szCs w:val="20"/>
              </w:rPr>
            </w:pPr>
            <w:r w:rsidRPr="00E55C36">
              <w:rPr>
                <w:szCs w:val="20"/>
              </w:rPr>
              <w:t>Wk48│Wk16^</w:t>
            </w:r>
          </w:p>
        </w:tc>
        <w:tc>
          <w:tcPr>
            <w:tcW w:w="1668" w:type="dxa"/>
            <w:shd w:val="clear" w:color="auto" w:fill="C6D9F1" w:themeFill="text2" w:themeFillTint="33"/>
            <w:vAlign w:val="center"/>
          </w:tcPr>
          <w:p w14:paraId="10403A41" w14:textId="77777777" w:rsidR="00F3286B" w:rsidRPr="00E55C36" w:rsidRDefault="00F3286B" w:rsidP="00C959E4">
            <w:pPr>
              <w:pStyle w:val="TableText0"/>
              <w:rPr>
                <w:szCs w:val="20"/>
              </w:rPr>
            </w:pPr>
            <w:r w:rsidRPr="00E55C36">
              <w:rPr>
                <w:szCs w:val="20"/>
              </w:rPr>
              <w:t>DE038, ITT</w:t>
            </w:r>
          </w:p>
        </w:tc>
        <w:tc>
          <w:tcPr>
            <w:tcW w:w="971" w:type="dxa"/>
            <w:shd w:val="clear" w:color="auto" w:fill="C6D9F1" w:themeFill="text2" w:themeFillTint="33"/>
            <w:vAlign w:val="center"/>
          </w:tcPr>
          <w:p w14:paraId="0B078C4F" w14:textId="77777777" w:rsidR="00F3286B" w:rsidRPr="00E55C36" w:rsidRDefault="00F3286B" w:rsidP="00C959E4">
            <w:pPr>
              <w:pStyle w:val="TableText0"/>
              <w:jc w:val="center"/>
              <w:rPr>
                <w:szCs w:val="20"/>
              </w:rPr>
            </w:pPr>
            <w:r w:rsidRPr="00E55C36">
              <w:rPr>
                <w:szCs w:val="20"/>
              </w:rPr>
              <w:t>41/68 (60.3)</w:t>
            </w:r>
          </w:p>
        </w:tc>
        <w:tc>
          <w:tcPr>
            <w:tcW w:w="983" w:type="dxa"/>
            <w:shd w:val="clear" w:color="auto" w:fill="C6D9F1" w:themeFill="text2" w:themeFillTint="33"/>
            <w:vAlign w:val="center"/>
          </w:tcPr>
          <w:p w14:paraId="3B9E6B1F" w14:textId="77777777" w:rsidR="00F3286B" w:rsidRPr="00E55C36" w:rsidRDefault="00F3286B" w:rsidP="00C959E4">
            <w:pPr>
              <w:pStyle w:val="TableText0"/>
              <w:jc w:val="center"/>
              <w:rPr>
                <w:szCs w:val="20"/>
              </w:rPr>
            </w:pPr>
            <w:r w:rsidRPr="00E55C36">
              <w:rPr>
                <w:szCs w:val="20"/>
              </w:rPr>
              <w:t>23/65 (35.4)</w:t>
            </w:r>
          </w:p>
        </w:tc>
        <w:tc>
          <w:tcPr>
            <w:tcW w:w="1470" w:type="dxa"/>
            <w:shd w:val="clear" w:color="auto" w:fill="C6D9F1" w:themeFill="text2" w:themeFillTint="33"/>
            <w:vAlign w:val="center"/>
          </w:tcPr>
          <w:p w14:paraId="4780557C" w14:textId="77777777" w:rsidR="00F3286B" w:rsidRPr="00E55C36" w:rsidRDefault="00F3286B" w:rsidP="00C959E4">
            <w:pPr>
              <w:pStyle w:val="TableText0"/>
              <w:jc w:val="center"/>
              <w:rPr>
                <w:b/>
                <w:bCs w:val="0"/>
                <w:szCs w:val="20"/>
              </w:rPr>
            </w:pPr>
            <w:r w:rsidRPr="00E55C36">
              <w:rPr>
                <w:b/>
                <w:bCs w:val="0"/>
                <w:szCs w:val="20"/>
              </w:rPr>
              <w:t>2.77 (1.37,5.60)</w:t>
            </w:r>
          </w:p>
        </w:tc>
        <w:tc>
          <w:tcPr>
            <w:tcW w:w="1400" w:type="dxa"/>
            <w:shd w:val="clear" w:color="auto" w:fill="C6D9F1" w:themeFill="text2" w:themeFillTint="33"/>
            <w:vAlign w:val="center"/>
          </w:tcPr>
          <w:p w14:paraId="215C4BFE" w14:textId="77777777" w:rsidR="00F3286B" w:rsidRPr="00E55C36" w:rsidRDefault="00F3286B" w:rsidP="00C959E4">
            <w:pPr>
              <w:pStyle w:val="TableText0"/>
              <w:jc w:val="center"/>
              <w:rPr>
                <w:b/>
                <w:bCs w:val="0"/>
                <w:szCs w:val="20"/>
              </w:rPr>
            </w:pPr>
            <w:r w:rsidRPr="00E55C36">
              <w:rPr>
                <w:b/>
                <w:bCs w:val="0"/>
                <w:szCs w:val="20"/>
              </w:rPr>
              <w:t>1.70 (1.16,2.49)</w:t>
            </w:r>
          </w:p>
        </w:tc>
        <w:tc>
          <w:tcPr>
            <w:tcW w:w="1400" w:type="dxa"/>
            <w:shd w:val="clear" w:color="auto" w:fill="C6D9F1" w:themeFill="text2" w:themeFillTint="33"/>
          </w:tcPr>
          <w:p w14:paraId="6CDC0FDC" w14:textId="77777777" w:rsidR="00F3286B" w:rsidRPr="00E55C36" w:rsidRDefault="00F3286B" w:rsidP="00C959E4">
            <w:pPr>
              <w:pStyle w:val="TableText0"/>
              <w:jc w:val="center"/>
              <w:rPr>
                <w:b/>
                <w:bCs w:val="0"/>
                <w:szCs w:val="20"/>
              </w:rPr>
            </w:pPr>
            <w:r w:rsidRPr="00E55C36">
              <w:rPr>
                <w:b/>
                <w:bCs w:val="0"/>
                <w:szCs w:val="20"/>
              </w:rPr>
              <w:t>0.25 (0.08,0.41)</w:t>
            </w:r>
          </w:p>
        </w:tc>
      </w:tr>
      <w:tr w:rsidR="00F3286B" w:rsidRPr="00E55C36" w14:paraId="33BE208C" w14:textId="77777777" w:rsidTr="00C51B78">
        <w:tc>
          <w:tcPr>
            <w:tcW w:w="1125" w:type="dxa"/>
            <w:vMerge/>
            <w:shd w:val="clear" w:color="auto" w:fill="C6D9F1" w:themeFill="text2" w:themeFillTint="33"/>
            <w:vAlign w:val="center"/>
          </w:tcPr>
          <w:p w14:paraId="6BFCD890" w14:textId="77777777" w:rsidR="00F3286B" w:rsidRPr="00E55C36" w:rsidRDefault="00F3286B" w:rsidP="00C959E4">
            <w:pPr>
              <w:pStyle w:val="TableText0"/>
              <w:rPr>
                <w:szCs w:val="20"/>
              </w:rPr>
            </w:pPr>
          </w:p>
        </w:tc>
        <w:tc>
          <w:tcPr>
            <w:tcW w:w="1668" w:type="dxa"/>
            <w:shd w:val="clear" w:color="auto" w:fill="C6D9F1" w:themeFill="text2" w:themeFillTint="33"/>
            <w:vAlign w:val="center"/>
          </w:tcPr>
          <w:p w14:paraId="5E0CFCB4" w14:textId="77777777" w:rsidR="00F3286B" w:rsidRPr="00E55C36" w:rsidRDefault="00F3286B" w:rsidP="00C959E4">
            <w:pPr>
              <w:pStyle w:val="TableText0"/>
              <w:rPr>
                <w:szCs w:val="20"/>
              </w:rPr>
            </w:pPr>
            <w:r w:rsidRPr="00E55C36">
              <w:rPr>
                <w:szCs w:val="20"/>
              </w:rPr>
              <w:t>DE038, MTXs</w:t>
            </w:r>
          </w:p>
        </w:tc>
        <w:tc>
          <w:tcPr>
            <w:tcW w:w="971" w:type="dxa"/>
            <w:shd w:val="clear" w:color="auto" w:fill="C6D9F1" w:themeFill="text2" w:themeFillTint="33"/>
            <w:vAlign w:val="center"/>
          </w:tcPr>
          <w:p w14:paraId="334770EA" w14:textId="77777777" w:rsidR="00F3286B" w:rsidRPr="00E55C36" w:rsidRDefault="00F3286B" w:rsidP="00C959E4">
            <w:pPr>
              <w:pStyle w:val="TableText0"/>
              <w:jc w:val="center"/>
              <w:rPr>
                <w:szCs w:val="20"/>
              </w:rPr>
            </w:pPr>
            <w:r w:rsidRPr="00E55C36">
              <w:rPr>
                <w:szCs w:val="20"/>
              </w:rPr>
              <w:t>24/38 (63.2)</w:t>
            </w:r>
          </w:p>
        </w:tc>
        <w:tc>
          <w:tcPr>
            <w:tcW w:w="983" w:type="dxa"/>
            <w:shd w:val="clear" w:color="auto" w:fill="C6D9F1" w:themeFill="text2" w:themeFillTint="33"/>
            <w:vAlign w:val="center"/>
          </w:tcPr>
          <w:p w14:paraId="56C38D95" w14:textId="77777777" w:rsidR="00F3286B" w:rsidRPr="00E55C36" w:rsidRDefault="00F3286B" w:rsidP="00C959E4">
            <w:pPr>
              <w:pStyle w:val="TableText0"/>
              <w:jc w:val="center"/>
              <w:rPr>
                <w:szCs w:val="20"/>
              </w:rPr>
            </w:pPr>
            <w:r w:rsidRPr="00E55C36">
              <w:rPr>
                <w:szCs w:val="20"/>
              </w:rPr>
              <w:t>14/37 (37.8)</w:t>
            </w:r>
          </w:p>
        </w:tc>
        <w:tc>
          <w:tcPr>
            <w:tcW w:w="1470" w:type="dxa"/>
            <w:shd w:val="clear" w:color="auto" w:fill="C6D9F1" w:themeFill="text2" w:themeFillTint="33"/>
            <w:vAlign w:val="center"/>
          </w:tcPr>
          <w:p w14:paraId="271B7F65" w14:textId="77777777" w:rsidR="00F3286B" w:rsidRPr="00E55C36" w:rsidRDefault="00F3286B" w:rsidP="00C959E4">
            <w:pPr>
              <w:pStyle w:val="TableText0"/>
              <w:jc w:val="center"/>
              <w:rPr>
                <w:b/>
                <w:bCs w:val="0"/>
                <w:szCs w:val="20"/>
              </w:rPr>
            </w:pPr>
            <w:r w:rsidRPr="00E55C36">
              <w:rPr>
                <w:b/>
                <w:bCs w:val="0"/>
                <w:szCs w:val="20"/>
              </w:rPr>
              <w:t>2.82 (1.10,7.18)</w:t>
            </w:r>
          </w:p>
        </w:tc>
        <w:tc>
          <w:tcPr>
            <w:tcW w:w="1400" w:type="dxa"/>
            <w:shd w:val="clear" w:color="auto" w:fill="C6D9F1" w:themeFill="text2" w:themeFillTint="33"/>
            <w:vAlign w:val="center"/>
          </w:tcPr>
          <w:p w14:paraId="64F31F9A" w14:textId="77777777" w:rsidR="00F3286B" w:rsidRPr="00E55C36" w:rsidRDefault="00F3286B" w:rsidP="00C959E4">
            <w:pPr>
              <w:pStyle w:val="TableText0"/>
              <w:jc w:val="center"/>
              <w:rPr>
                <w:b/>
                <w:bCs w:val="0"/>
                <w:szCs w:val="20"/>
              </w:rPr>
            </w:pPr>
            <w:r w:rsidRPr="00E55C36">
              <w:rPr>
                <w:b/>
                <w:bCs w:val="0"/>
                <w:szCs w:val="20"/>
              </w:rPr>
              <w:t>1.67 (1.03,2.70)</w:t>
            </w:r>
          </w:p>
        </w:tc>
        <w:tc>
          <w:tcPr>
            <w:tcW w:w="1400" w:type="dxa"/>
            <w:shd w:val="clear" w:color="auto" w:fill="C6D9F1" w:themeFill="text2" w:themeFillTint="33"/>
          </w:tcPr>
          <w:p w14:paraId="5E1055F2" w14:textId="77777777" w:rsidR="00F3286B" w:rsidRPr="00E55C36" w:rsidRDefault="00F3286B" w:rsidP="00C959E4">
            <w:pPr>
              <w:pStyle w:val="TableText0"/>
              <w:jc w:val="center"/>
              <w:rPr>
                <w:b/>
                <w:bCs w:val="0"/>
                <w:szCs w:val="20"/>
              </w:rPr>
            </w:pPr>
            <w:r w:rsidRPr="00E55C36">
              <w:rPr>
                <w:b/>
                <w:bCs w:val="0"/>
                <w:szCs w:val="20"/>
              </w:rPr>
              <w:t>0.25 (0.03,0.47)</w:t>
            </w:r>
          </w:p>
        </w:tc>
      </w:tr>
      <w:tr w:rsidR="00F3286B" w:rsidRPr="00E55C36" w14:paraId="233CAAA0" w14:textId="77777777" w:rsidTr="00C51B78">
        <w:tc>
          <w:tcPr>
            <w:tcW w:w="1125" w:type="dxa"/>
            <w:vMerge/>
            <w:shd w:val="clear" w:color="auto" w:fill="C6D9F1" w:themeFill="text2" w:themeFillTint="33"/>
            <w:vAlign w:val="center"/>
          </w:tcPr>
          <w:p w14:paraId="1FF36976" w14:textId="77777777" w:rsidR="00F3286B" w:rsidRPr="00E55C36" w:rsidRDefault="00F3286B" w:rsidP="00C959E4">
            <w:pPr>
              <w:pStyle w:val="TableText0"/>
              <w:rPr>
                <w:szCs w:val="20"/>
              </w:rPr>
            </w:pPr>
          </w:p>
        </w:tc>
        <w:tc>
          <w:tcPr>
            <w:tcW w:w="1668" w:type="dxa"/>
            <w:shd w:val="clear" w:color="auto" w:fill="C6D9F1" w:themeFill="text2" w:themeFillTint="33"/>
            <w:vAlign w:val="center"/>
          </w:tcPr>
          <w:p w14:paraId="58219C19" w14:textId="77777777" w:rsidR="00F3286B" w:rsidRPr="00E55C36" w:rsidRDefault="00F3286B" w:rsidP="00C959E4">
            <w:pPr>
              <w:pStyle w:val="TableText0"/>
              <w:rPr>
                <w:szCs w:val="20"/>
              </w:rPr>
            </w:pPr>
            <w:r w:rsidRPr="00E55C36">
              <w:rPr>
                <w:szCs w:val="20"/>
              </w:rPr>
              <w:t>DE038, non-MTXs</w:t>
            </w:r>
          </w:p>
        </w:tc>
        <w:tc>
          <w:tcPr>
            <w:tcW w:w="971" w:type="dxa"/>
            <w:shd w:val="clear" w:color="auto" w:fill="C6D9F1" w:themeFill="text2" w:themeFillTint="33"/>
            <w:vAlign w:val="center"/>
          </w:tcPr>
          <w:p w14:paraId="1C6E48D2" w14:textId="77777777" w:rsidR="00F3286B" w:rsidRPr="00E55C36" w:rsidRDefault="00F3286B" w:rsidP="00C959E4">
            <w:pPr>
              <w:pStyle w:val="TableText0"/>
              <w:jc w:val="center"/>
              <w:rPr>
                <w:szCs w:val="20"/>
              </w:rPr>
            </w:pPr>
            <w:r w:rsidRPr="00E55C36">
              <w:rPr>
                <w:szCs w:val="20"/>
              </w:rPr>
              <w:t>17/30 (56.7)</w:t>
            </w:r>
          </w:p>
        </w:tc>
        <w:tc>
          <w:tcPr>
            <w:tcW w:w="983" w:type="dxa"/>
            <w:shd w:val="clear" w:color="auto" w:fill="C6D9F1" w:themeFill="text2" w:themeFillTint="33"/>
            <w:vAlign w:val="center"/>
          </w:tcPr>
          <w:p w14:paraId="4DEC5CAE" w14:textId="77777777" w:rsidR="00F3286B" w:rsidRPr="00E55C36" w:rsidRDefault="00F3286B" w:rsidP="00C959E4">
            <w:pPr>
              <w:pStyle w:val="TableText0"/>
              <w:jc w:val="center"/>
              <w:rPr>
                <w:szCs w:val="20"/>
              </w:rPr>
            </w:pPr>
            <w:r w:rsidRPr="00E55C36">
              <w:rPr>
                <w:szCs w:val="20"/>
              </w:rPr>
              <w:t>9/28 (32.1)</w:t>
            </w:r>
          </w:p>
        </w:tc>
        <w:tc>
          <w:tcPr>
            <w:tcW w:w="1470" w:type="dxa"/>
            <w:shd w:val="clear" w:color="auto" w:fill="C6D9F1" w:themeFill="text2" w:themeFillTint="33"/>
            <w:vAlign w:val="center"/>
          </w:tcPr>
          <w:p w14:paraId="7FAC687B" w14:textId="77777777" w:rsidR="00F3286B" w:rsidRPr="00E55C36" w:rsidRDefault="00F3286B" w:rsidP="00C959E4">
            <w:pPr>
              <w:pStyle w:val="TableText0"/>
              <w:jc w:val="center"/>
              <w:rPr>
                <w:szCs w:val="20"/>
              </w:rPr>
            </w:pPr>
            <w:r w:rsidRPr="00E55C36">
              <w:rPr>
                <w:szCs w:val="20"/>
              </w:rPr>
              <w:t>2.76 (0.94,8.07)</w:t>
            </w:r>
          </w:p>
        </w:tc>
        <w:tc>
          <w:tcPr>
            <w:tcW w:w="1400" w:type="dxa"/>
            <w:shd w:val="clear" w:color="auto" w:fill="C6D9F1" w:themeFill="text2" w:themeFillTint="33"/>
            <w:vAlign w:val="center"/>
          </w:tcPr>
          <w:p w14:paraId="14313EC2" w14:textId="77777777" w:rsidR="00F3286B" w:rsidRPr="00E55C36" w:rsidRDefault="00F3286B" w:rsidP="00C959E4">
            <w:pPr>
              <w:pStyle w:val="TableText0"/>
              <w:jc w:val="center"/>
              <w:rPr>
                <w:szCs w:val="20"/>
              </w:rPr>
            </w:pPr>
            <w:r w:rsidRPr="00E55C36">
              <w:rPr>
                <w:szCs w:val="20"/>
              </w:rPr>
              <w:t>1.76 (0.95,3.29)</w:t>
            </w:r>
          </w:p>
        </w:tc>
        <w:tc>
          <w:tcPr>
            <w:tcW w:w="1400" w:type="dxa"/>
            <w:shd w:val="clear" w:color="auto" w:fill="C6D9F1" w:themeFill="text2" w:themeFillTint="33"/>
          </w:tcPr>
          <w:p w14:paraId="4041468F" w14:textId="77777777" w:rsidR="00F3286B" w:rsidRPr="00E55C36" w:rsidRDefault="00F3286B" w:rsidP="00C959E4">
            <w:pPr>
              <w:pStyle w:val="TableText0"/>
              <w:jc w:val="center"/>
              <w:rPr>
                <w:szCs w:val="20"/>
              </w:rPr>
            </w:pPr>
            <w:r w:rsidRPr="00E55C36">
              <w:rPr>
                <w:szCs w:val="20"/>
              </w:rPr>
              <w:t>0.25 (-0.00,0.49)</w:t>
            </w:r>
          </w:p>
        </w:tc>
      </w:tr>
      <w:tr w:rsidR="00F3286B" w:rsidRPr="00E55C36" w14:paraId="47D7A7F4" w14:textId="77777777" w:rsidTr="00C51B78">
        <w:tc>
          <w:tcPr>
            <w:tcW w:w="4747" w:type="dxa"/>
            <w:gridSpan w:val="4"/>
            <w:vAlign w:val="center"/>
          </w:tcPr>
          <w:p w14:paraId="696A8B52" w14:textId="77777777" w:rsidR="00F3286B" w:rsidRPr="00E55C36" w:rsidRDefault="00F3286B" w:rsidP="00C959E4">
            <w:pPr>
              <w:pStyle w:val="TableText0"/>
              <w:rPr>
                <w:szCs w:val="20"/>
              </w:rPr>
            </w:pPr>
            <w:r w:rsidRPr="00E55C36">
              <w:rPr>
                <w:b/>
                <w:bCs w:val="0"/>
                <w:szCs w:val="20"/>
              </w:rPr>
              <w:t>OUTCOME: PedACR50, end of DB phase</w:t>
            </w:r>
          </w:p>
        </w:tc>
        <w:tc>
          <w:tcPr>
            <w:tcW w:w="1470" w:type="dxa"/>
            <w:shd w:val="clear" w:color="auto" w:fill="auto"/>
            <w:vAlign w:val="center"/>
          </w:tcPr>
          <w:p w14:paraId="376FC8C4" w14:textId="77777777" w:rsidR="00F3286B" w:rsidRPr="00E55C36" w:rsidRDefault="00F3286B" w:rsidP="00C959E4">
            <w:pPr>
              <w:pStyle w:val="TableText0"/>
              <w:jc w:val="center"/>
              <w:rPr>
                <w:szCs w:val="20"/>
              </w:rPr>
            </w:pPr>
          </w:p>
        </w:tc>
        <w:tc>
          <w:tcPr>
            <w:tcW w:w="1400" w:type="dxa"/>
            <w:shd w:val="clear" w:color="auto" w:fill="auto"/>
            <w:vAlign w:val="center"/>
          </w:tcPr>
          <w:p w14:paraId="5675EA55" w14:textId="77777777" w:rsidR="00F3286B" w:rsidRPr="00E55C36" w:rsidRDefault="00F3286B" w:rsidP="00C959E4">
            <w:pPr>
              <w:pStyle w:val="TableText0"/>
              <w:jc w:val="center"/>
              <w:rPr>
                <w:szCs w:val="20"/>
              </w:rPr>
            </w:pPr>
          </w:p>
        </w:tc>
        <w:tc>
          <w:tcPr>
            <w:tcW w:w="1400" w:type="dxa"/>
          </w:tcPr>
          <w:p w14:paraId="04ABA4A3" w14:textId="77777777" w:rsidR="00F3286B" w:rsidRPr="00E55C36" w:rsidRDefault="00F3286B" w:rsidP="00C959E4">
            <w:pPr>
              <w:pStyle w:val="TableText0"/>
              <w:jc w:val="center"/>
              <w:rPr>
                <w:szCs w:val="20"/>
              </w:rPr>
            </w:pPr>
          </w:p>
        </w:tc>
      </w:tr>
      <w:tr w:rsidR="00F3286B" w:rsidRPr="00E55C36" w14:paraId="300405FB" w14:textId="77777777" w:rsidTr="00C51B78">
        <w:trPr>
          <w:trHeight w:val="70"/>
        </w:trPr>
        <w:tc>
          <w:tcPr>
            <w:tcW w:w="1125" w:type="dxa"/>
            <w:vMerge w:val="restart"/>
            <w:vAlign w:val="center"/>
          </w:tcPr>
          <w:p w14:paraId="375311F5" w14:textId="77777777" w:rsidR="00F3286B" w:rsidRPr="00E55C36" w:rsidRDefault="00F3286B" w:rsidP="00C959E4">
            <w:pPr>
              <w:pStyle w:val="TableText0"/>
              <w:rPr>
                <w:szCs w:val="20"/>
              </w:rPr>
            </w:pPr>
            <w:r w:rsidRPr="00E55C36">
              <w:rPr>
                <w:szCs w:val="20"/>
              </w:rPr>
              <w:t>TOF v PBO Wk44│Wk18^</w:t>
            </w:r>
          </w:p>
        </w:tc>
        <w:tc>
          <w:tcPr>
            <w:tcW w:w="1668" w:type="dxa"/>
            <w:shd w:val="clear" w:color="auto" w:fill="auto"/>
            <w:vAlign w:val="center"/>
          </w:tcPr>
          <w:p w14:paraId="08E4C770" w14:textId="77777777" w:rsidR="00F3286B" w:rsidRPr="00E55C36" w:rsidRDefault="00F3286B" w:rsidP="00C959E4">
            <w:pPr>
              <w:pStyle w:val="TableText0"/>
              <w:rPr>
                <w:szCs w:val="20"/>
              </w:rPr>
            </w:pPr>
            <w:r w:rsidRPr="00E55C36">
              <w:rPr>
                <w:szCs w:val="20"/>
              </w:rPr>
              <w:t xml:space="preserve">PROPEL, ITT </w:t>
            </w:r>
          </w:p>
        </w:tc>
        <w:tc>
          <w:tcPr>
            <w:tcW w:w="971" w:type="dxa"/>
            <w:shd w:val="clear" w:color="auto" w:fill="auto"/>
            <w:vAlign w:val="center"/>
          </w:tcPr>
          <w:p w14:paraId="4BC3C896" w14:textId="77777777" w:rsidR="00F3286B" w:rsidRPr="00E55C36" w:rsidRDefault="00F3286B" w:rsidP="00C959E4">
            <w:pPr>
              <w:pStyle w:val="TableText0"/>
              <w:jc w:val="center"/>
              <w:rPr>
                <w:szCs w:val="20"/>
              </w:rPr>
            </w:pPr>
            <w:r w:rsidRPr="00E55C36">
              <w:rPr>
                <w:szCs w:val="20"/>
              </w:rPr>
              <w:t>48/72 (66.7)</w:t>
            </w:r>
          </w:p>
        </w:tc>
        <w:tc>
          <w:tcPr>
            <w:tcW w:w="983" w:type="dxa"/>
            <w:shd w:val="clear" w:color="auto" w:fill="auto"/>
            <w:vAlign w:val="center"/>
          </w:tcPr>
          <w:p w14:paraId="30F30579" w14:textId="77777777" w:rsidR="00F3286B" w:rsidRPr="00E55C36" w:rsidRDefault="00F3286B" w:rsidP="00C959E4">
            <w:pPr>
              <w:pStyle w:val="TableText0"/>
              <w:jc w:val="center"/>
              <w:rPr>
                <w:szCs w:val="20"/>
              </w:rPr>
            </w:pPr>
            <w:r w:rsidRPr="00E55C36">
              <w:rPr>
                <w:szCs w:val="20"/>
              </w:rPr>
              <w:t>33/70 (47.1)</w:t>
            </w:r>
          </w:p>
        </w:tc>
        <w:tc>
          <w:tcPr>
            <w:tcW w:w="1470" w:type="dxa"/>
            <w:shd w:val="clear" w:color="auto" w:fill="auto"/>
            <w:vAlign w:val="center"/>
          </w:tcPr>
          <w:p w14:paraId="7625CAC5" w14:textId="77777777" w:rsidR="00F3286B" w:rsidRPr="00E55C36" w:rsidRDefault="00F3286B" w:rsidP="00C959E4">
            <w:pPr>
              <w:pStyle w:val="TableText0"/>
              <w:jc w:val="center"/>
              <w:rPr>
                <w:b/>
                <w:bCs w:val="0"/>
                <w:szCs w:val="20"/>
              </w:rPr>
            </w:pPr>
            <w:r w:rsidRPr="00E55C36">
              <w:rPr>
                <w:b/>
                <w:bCs w:val="0"/>
                <w:szCs w:val="20"/>
              </w:rPr>
              <w:t>2.24 (1.14,4.42)</w:t>
            </w:r>
          </w:p>
        </w:tc>
        <w:tc>
          <w:tcPr>
            <w:tcW w:w="1400" w:type="dxa"/>
            <w:shd w:val="clear" w:color="auto" w:fill="auto"/>
            <w:vAlign w:val="center"/>
          </w:tcPr>
          <w:p w14:paraId="22E0E346" w14:textId="77777777" w:rsidR="00F3286B" w:rsidRPr="00E55C36" w:rsidRDefault="00F3286B" w:rsidP="00C959E4">
            <w:pPr>
              <w:pStyle w:val="TableText0"/>
              <w:jc w:val="center"/>
              <w:rPr>
                <w:b/>
                <w:bCs w:val="0"/>
                <w:szCs w:val="20"/>
              </w:rPr>
            </w:pPr>
            <w:r w:rsidRPr="00E55C36">
              <w:rPr>
                <w:b/>
                <w:bCs w:val="0"/>
                <w:szCs w:val="20"/>
              </w:rPr>
              <w:t>1.41 (1.05,1.90)</w:t>
            </w:r>
          </w:p>
        </w:tc>
        <w:tc>
          <w:tcPr>
            <w:tcW w:w="1400" w:type="dxa"/>
          </w:tcPr>
          <w:p w14:paraId="287BCA13" w14:textId="77777777" w:rsidR="00F3286B" w:rsidRPr="00E55C36" w:rsidRDefault="00F3286B" w:rsidP="00C959E4">
            <w:pPr>
              <w:pStyle w:val="TableText0"/>
              <w:jc w:val="center"/>
              <w:rPr>
                <w:b/>
                <w:bCs w:val="0"/>
                <w:szCs w:val="20"/>
              </w:rPr>
            </w:pPr>
            <w:r w:rsidRPr="00E55C36">
              <w:rPr>
                <w:b/>
                <w:bCs w:val="0"/>
                <w:szCs w:val="20"/>
              </w:rPr>
              <w:t>0.20 (0.04,0.36)</w:t>
            </w:r>
          </w:p>
        </w:tc>
      </w:tr>
      <w:tr w:rsidR="00F3286B" w:rsidRPr="00E55C36" w14:paraId="114BA9E5" w14:textId="77777777" w:rsidTr="00C51B78">
        <w:tc>
          <w:tcPr>
            <w:tcW w:w="1125" w:type="dxa"/>
            <w:vMerge/>
            <w:vAlign w:val="center"/>
          </w:tcPr>
          <w:p w14:paraId="2566482D" w14:textId="77777777" w:rsidR="00F3286B" w:rsidRPr="00E55C36" w:rsidRDefault="00F3286B" w:rsidP="00C959E4">
            <w:pPr>
              <w:pStyle w:val="TableText0"/>
              <w:rPr>
                <w:szCs w:val="20"/>
              </w:rPr>
            </w:pPr>
          </w:p>
        </w:tc>
        <w:tc>
          <w:tcPr>
            <w:tcW w:w="1668" w:type="dxa"/>
            <w:shd w:val="clear" w:color="auto" w:fill="auto"/>
            <w:vAlign w:val="center"/>
          </w:tcPr>
          <w:p w14:paraId="5FEB9F97" w14:textId="77777777" w:rsidR="00F3286B" w:rsidRPr="00E55C36" w:rsidRDefault="00F3286B" w:rsidP="00C959E4">
            <w:pPr>
              <w:pStyle w:val="TableText0"/>
              <w:rPr>
                <w:szCs w:val="20"/>
              </w:rPr>
            </w:pPr>
            <w:r w:rsidRPr="00E55C36">
              <w:rPr>
                <w:szCs w:val="20"/>
              </w:rPr>
              <w:t>PROPEL, MTX-d1</w:t>
            </w:r>
          </w:p>
        </w:tc>
        <w:tc>
          <w:tcPr>
            <w:tcW w:w="971" w:type="dxa"/>
            <w:shd w:val="clear" w:color="auto" w:fill="auto"/>
            <w:vAlign w:val="center"/>
          </w:tcPr>
          <w:p w14:paraId="6D565B5D" w14:textId="77777777" w:rsidR="00F3286B" w:rsidRPr="00E55C36" w:rsidRDefault="00F3286B" w:rsidP="00C959E4">
            <w:pPr>
              <w:pStyle w:val="TableText0"/>
              <w:jc w:val="center"/>
              <w:rPr>
                <w:szCs w:val="20"/>
              </w:rPr>
            </w:pPr>
            <w:r w:rsidRPr="00E55C36">
              <w:rPr>
                <w:szCs w:val="20"/>
              </w:rPr>
              <w:t>34/52 (65.4)</w:t>
            </w:r>
          </w:p>
        </w:tc>
        <w:tc>
          <w:tcPr>
            <w:tcW w:w="983" w:type="dxa"/>
            <w:shd w:val="clear" w:color="auto" w:fill="auto"/>
            <w:vAlign w:val="center"/>
          </w:tcPr>
          <w:p w14:paraId="24FBF420" w14:textId="77777777" w:rsidR="00F3286B" w:rsidRPr="00E55C36" w:rsidRDefault="00F3286B" w:rsidP="00C959E4">
            <w:pPr>
              <w:pStyle w:val="TableText0"/>
              <w:jc w:val="center"/>
              <w:rPr>
                <w:szCs w:val="20"/>
              </w:rPr>
            </w:pPr>
            <w:r w:rsidRPr="00E55C36">
              <w:rPr>
                <w:szCs w:val="20"/>
              </w:rPr>
              <w:t>28/54 (51.9)</w:t>
            </w:r>
          </w:p>
        </w:tc>
        <w:tc>
          <w:tcPr>
            <w:tcW w:w="1470" w:type="dxa"/>
            <w:shd w:val="clear" w:color="auto" w:fill="auto"/>
            <w:vAlign w:val="center"/>
          </w:tcPr>
          <w:p w14:paraId="70D1347B" w14:textId="77777777" w:rsidR="00F3286B" w:rsidRPr="00E55C36" w:rsidRDefault="00F3286B" w:rsidP="00C959E4">
            <w:pPr>
              <w:pStyle w:val="TableText0"/>
              <w:jc w:val="center"/>
              <w:rPr>
                <w:szCs w:val="20"/>
              </w:rPr>
            </w:pPr>
            <w:r w:rsidRPr="00E55C36">
              <w:rPr>
                <w:szCs w:val="20"/>
              </w:rPr>
              <w:t>1.75 (0.80,3.83)</w:t>
            </w:r>
          </w:p>
        </w:tc>
        <w:tc>
          <w:tcPr>
            <w:tcW w:w="1400" w:type="dxa"/>
            <w:shd w:val="clear" w:color="auto" w:fill="auto"/>
            <w:vAlign w:val="center"/>
          </w:tcPr>
          <w:p w14:paraId="24D7501E" w14:textId="77777777" w:rsidR="00F3286B" w:rsidRPr="00E55C36" w:rsidRDefault="00F3286B" w:rsidP="00C959E4">
            <w:pPr>
              <w:pStyle w:val="TableText0"/>
              <w:jc w:val="center"/>
              <w:rPr>
                <w:szCs w:val="20"/>
              </w:rPr>
            </w:pPr>
            <w:r w:rsidRPr="00E55C36">
              <w:rPr>
                <w:szCs w:val="20"/>
              </w:rPr>
              <w:t>1.26 (0.91,1.74)</w:t>
            </w:r>
          </w:p>
        </w:tc>
        <w:tc>
          <w:tcPr>
            <w:tcW w:w="1400" w:type="dxa"/>
          </w:tcPr>
          <w:p w14:paraId="73294512" w14:textId="77777777" w:rsidR="00F3286B" w:rsidRPr="00E55C36" w:rsidRDefault="00F3286B" w:rsidP="00C959E4">
            <w:pPr>
              <w:pStyle w:val="TableText0"/>
              <w:jc w:val="center"/>
              <w:rPr>
                <w:szCs w:val="20"/>
              </w:rPr>
            </w:pPr>
            <w:r w:rsidRPr="00E55C36">
              <w:rPr>
                <w:szCs w:val="20"/>
              </w:rPr>
              <w:t>0.14 (-0.05,0.32)</w:t>
            </w:r>
          </w:p>
        </w:tc>
      </w:tr>
      <w:tr w:rsidR="00F3286B" w:rsidRPr="00E55C36" w14:paraId="1275AFE2" w14:textId="77777777" w:rsidTr="00C51B78">
        <w:tc>
          <w:tcPr>
            <w:tcW w:w="1125" w:type="dxa"/>
            <w:vMerge/>
            <w:vAlign w:val="center"/>
          </w:tcPr>
          <w:p w14:paraId="1EC16E77" w14:textId="77777777" w:rsidR="00F3286B" w:rsidRPr="00E55C36" w:rsidRDefault="00F3286B" w:rsidP="00C959E4">
            <w:pPr>
              <w:pStyle w:val="TableText0"/>
              <w:rPr>
                <w:szCs w:val="20"/>
              </w:rPr>
            </w:pPr>
          </w:p>
        </w:tc>
        <w:tc>
          <w:tcPr>
            <w:tcW w:w="1668" w:type="dxa"/>
            <w:shd w:val="clear" w:color="auto" w:fill="auto"/>
            <w:vAlign w:val="center"/>
          </w:tcPr>
          <w:p w14:paraId="7DB78E83" w14:textId="77777777" w:rsidR="00F3286B" w:rsidRPr="00E55C36" w:rsidRDefault="00F3286B" w:rsidP="00C959E4">
            <w:pPr>
              <w:pStyle w:val="TableText0"/>
              <w:rPr>
                <w:szCs w:val="20"/>
              </w:rPr>
            </w:pPr>
            <w:r w:rsidRPr="00E55C36">
              <w:rPr>
                <w:szCs w:val="20"/>
              </w:rPr>
              <w:t>PROPEL, bDMARDn</w:t>
            </w:r>
          </w:p>
        </w:tc>
        <w:tc>
          <w:tcPr>
            <w:tcW w:w="971" w:type="dxa"/>
            <w:shd w:val="clear" w:color="auto" w:fill="auto"/>
            <w:vAlign w:val="center"/>
          </w:tcPr>
          <w:p w14:paraId="05E33C24" w14:textId="77777777" w:rsidR="00F3286B" w:rsidRPr="00E55C36" w:rsidRDefault="00F3286B" w:rsidP="00C959E4">
            <w:pPr>
              <w:pStyle w:val="TableText0"/>
              <w:jc w:val="center"/>
              <w:rPr>
                <w:szCs w:val="20"/>
              </w:rPr>
            </w:pPr>
            <w:r w:rsidRPr="00E55C36">
              <w:rPr>
                <w:szCs w:val="20"/>
              </w:rPr>
              <w:t>31/49 (63.3)</w:t>
            </w:r>
          </w:p>
        </w:tc>
        <w:tc>
          <w:tcPr>
            <w:tcW w:w="983" w:type="dxa"/>
            <w:shd w:val="clear" w:color="auto" w:fill="auto"/>
            <w:vAlign w:val="center"/>
          </w:tcPr>
          <w:p w14:paraId="7986F0FD" w14:textId="77777777" w:rsidR="00F3286B" w:rsidRPr="00E55C36" w:rsidRDefault="00F3286B" w:rsidP="00C959E4">
            <w:pPr>
              <w:pStyle w:val="TableText0"/>
              <w:jc w:val="center"/>
              <w:rPr>
                <w:szCs w:val="20"/>
              </w:rPr>
            </w:pPr>
            <w:r w:rsidRPr="00E55C36">
              <w:rPr>
                <w:szCs w:val="20"/>
              </w:rPr>
              <w:t>27/50 (54.0)</w:t>
            </w:r>
          </w:p>
        </w:tc>
        <w:tc>
          <w:tcPr>
            <w:tcW w:w="1470" w:type="dxa"/>
            <w:shd w:val="clear" w:color="auto" w:fill="auto"/>
            <w:vAlign w:val="center"/>
          </w:tcPr>
          <w:p w14:paraId="48D817CA" w14:textId="77777777" w:rsidR="00F3286B" w:rsidRPr="00E55C36" w:rsidRDefault="00F3286B" w:rsidP="00C959E4">
            <w:pPr>
              <w:pStyle w:val="TableText0"/>
              <w:jc w:val="center"/>
              <w:rPr>
                <w:szCs w:val="20"/>
              </w:rPr>
            </w:pPr>
            <w:r w:rsidRPr="00E55C36">
              <w:rPr>
                <w:szCs w:val="20"/>
              </w:rPr>
              <w:t>1.47 (0.66,3.28)</w:t>
            </w:r>
          </w:p>
        </w:tc>
        <w:tc>
          <w:tcPr>
            <w:tcW w:w="1400" w:type="dxa"/>
            <w:shd w:val="clear" w:color="auto" w:fill="auto"/>
            <w:vAlign w:val="center"/>
          </w:tcPr>
          <w:p w14:paraId="25158038" w14:textId="77777777" w:rsidR="00F3286B" w:rsidRPr="00E55C36" w:rsidRDefault="00F3286B" w:rsidP="00C959E4">
            <w:pPr>
              <w:pStyle w:val="TableText0"/>
              <w:jc w:val="center"/>
              <w:rPr>
                <w:szCs w:val="20"/>
              </w:rPr>
            </w:pPr>
            <w:r w:rsidRPr="00E55C36">
              <w:rPr>
                <w:szCs w:val="20"/>
              </w:rPr>
              <w:t>1.17 (0.84,1.63)</w:t>
            </w:r>
          </w:p>
        </w:tc>
        <w:tc>
          <w:tcPr>
            <w:tcW w:w="1400" w:type="dxa"/>
          </w:tcPr>
          <w:p w14:paraId="44E4A408" w14:textId="77777777" w:rsidR="00F3286B" w:rsidRPr="00E55C36" w:rsidRDefault="00F3286B" w:rsidP="00C959E4">
            <w:pPr>
              <w:pStyle w:val="TableText0"/>
              <w:jc w:val="center"/>
              <w:rPr>
                <w:szCs w:val="20"/>
              </w:rPr>
            </w:pPr>
            <w:r w:rsidRPr="00E55C36">
              <w:rPr>
                <w:szCs w:val="20"/>
              </w:rPr>
              <w:t>0.09 (-0.10,0.29)</w:t>
            </w:r>
          </w:p>
        </w:tc>
      </w:tr>
      <w:tr w:rsidR="00F3286B" w:rsidRPr="00E55C36" w14:paraId="52E391F8" w14:textId="77777777" w:rsidTr="00C51B78">
        <w:tc>
          <w:tcPr>
            <w:tcW w:w="1125" w:type="dxa"/>
            <w:vMerge w:val="restart"/>
            <w:shd w:val="clear" w:color="auto" w:fill="C6D9F1" w:themeFill="text2" w:themeFillTint="33"/>
            <w:vAlign w:val="center"/>
          </w:tcPr>
          <w:p w14:paraId="47E936EF" w14:textId="77777777" w:rsidR="00F3286B" w:rsidRPr="00E55C36" w:rsidRDefault="00F3286B" w:rsidP="00C959E4">
            <w:pPr>
              <w:pStyle w:val="TableText0"/>
              <w:rPr>
                <w:szCs w:val="20"/>
              </w:rPr>
            </w:pPr>
            <w:r w:rsidRPr="00E55C36">
              <w:rPr>
                <w:szCs w:val="20"/>
              </w:rPr>
              <w:t>ADA v PBO</w:t>
            </w:r>
          </w:p>
          <w:p w14:paraId="58ED53C0" w14:textId="77777777" w:rsidR="00F3286B" w:rsidRPr="00E55C36" w:rsidRDefault="00F3286B" w:rsidP="00C959E4">
            <w:pPr>
              <w:pStyle w:val="TableText0"/>
              <w:rPr>
                <w:szCs w:val="20"/>
              </w:rPr>
            </w:pPr>
            <w:r w:rsidRPr="00E55C36">
              <w:rPr>
                <w:szCs w:val="20"/>
              </w:rPr>
              <w:t>Wk48│Wk16^</w:t>
            </w:r>
          </w:p>
        </w:tc>
        <w:tc>
          <w:tcPr>
            <w:tcW w:w="1668" w:type="dxa"/>
            <w:shd w:val="clear" w:color="auto" w:fill="C6D9F1" w:themeFill="text2" w:themeFillTint="33"/>
            <w:vAlign w:val="center"/>
          </w:tcPr>
          <w:p w14:paraId="23B2E04B" w14:textId="77777777" w:rsidR="00F3286B" w:rsidRPr="00E55C36" w:rsidRDefault="00F3286B" w:rsidP="00C959E4">
            <w:pPr>
              <w:pStyle w:val="TableText0"/>
              <w:rPr>
                <w:szCs w:val="20"/>
              </w:rPr>
            </w:pPr>
            <w:r w:rsidRPr="00E55C36">
              <w:rPr>
                <w:szCs w:val="20"/>
              </w:rPr>
              <w:t>DE038, ITT</w:t>
            </w:r>
          </w:p>
        </w:tc>
        <w:tc>
          <w:tcPr>
            <w:tcW w:w="971" w:type="dxa"/>
            <w:shd w:val="clear" w:color="auto" w:fill="C6D9F1" w:themeFill="text2" w:themeFillTint="33"/>
            <w:vAlign w:val="center"/>
          </w:tcPr>
          <w:p w14:paraId="2053542C" w14:textId="77777777" w:rsidR="00F3286B" w:rsidRPr="00E55C36" w:rsidRDefault="00F3286B" w:rsidP="00C959E4">
            <w:pPr>
              <w:pStyle w:val="TableText0"/>
              <w:jc w:val="center"/>
              <w:rPr>
                <w:szCs w:val="20"/>
              </w:rPr>
            </w:pPr>
            <w:r w:rsidRPr="00E55C36">
              <w:rPr>
                <w:szCs w:val="20"/>
              </w:rPr>
              <w:t>40/68 (58.8)</w:t>
            </w:r>
          </w:p>
        </w:tc>
        <w:tc>
          <w:tcPr>
            <w:tcW w:w="983" w:type="dxa"/>
            <w:shd w:val="clear" w:color="auto" w:fill="C6D9F1" w:themeFill="text2" w:themeFillTint="33"/>
            <w:vAlign w:val="center"/>
          </w:tcPr>
          <w:p w14:paraId="37D0D4EE" w14:textId="77777777" w:rsidR="00F3286B" w:rsidRPr="00E55C36" w:rsidRDefault="00F3286B" w:rsidP="00C959E4">
            <w:pPr>
              <w:pStyle w:val="TableText0"/>
              <w:jc w:val="center"/>
              <w:rPr>
                <w:szCs w:val="20"/>
              </w:rPr>
            </w:pPr>
            <w:r w:rsidRPr="00E55C36">
              <w:rPr>
                <w:szCs w:val="20"/>
              </w:rPr>
              <w:t>23/65 (35.4)</w:t>
            </w:r>
          </w:p>
        </w:tc>
        <w:tc>
          <w:tcPr>
            <w:tcW w:w="1470" w:type="dxa"/>
            <w:shd w:val="clear" w:color="auto" w:fill="C6D9F1" w:themeFill="text2" w:themeFillTint="33"/>
            <w:vAlign w:val="center"/>
          </w:tcPr>
          <w:p w14:paraId="61858A19" w14:textId="77777777" w:rsidR="00F3286B" w:rsidRPr="00E55C36" w:rsidRDefault="00F3286B" w:rsidP="00C959E4">
            <w:pPr>
              <w:pStyle w:val="TableText0"/>
              <w:jc w:val="center"/>
              <w:rPr>
                <w:b/>
                <w:bCs w:val="0"/>
                <w:szCs w:val="20"/>
              </w:rPr>
            </w:pPr>
            <w:r w:rsidRPr="00E55C36">
              <w:rPr>
                <w:b/>
                <w:bCs w:val="0"/>
                <w:szCs w:val="20"/>
              </w:rPr>
              <w:t>2.61 (1.29,5.26)</w:t>
            </w:r>
          </w:p>
        </w:tc>
        <w:tc>
          <w:tcPr>
            <w:tcW w:w="1400" w:type="dxa"/>
            <w:shd w:val="clear" w:color="auto" w:fill="C6D9F1" w:themeFill="text2" w:themeFillTint="33"/>
            <w:vAlign w:val="center"/>
          </w:tcPr>
          <w:p w14:paraId="5B0FC08A" w14:textId="77777777" w:rsidR="00F3286B" w:rsidRPr="00E55C36" w:rsidRDefault="00F3286B" w:rsidP="00C959E4">
            <w:pPr>
              <w:pStyle w:val="TableText0"/>
              <w:jc w:val="center"/>
              <w:rPr>
                <w:b/>
                <w:bCs w:val="0"/>
                <w:szCs w:val="20"/>
              </w:rPr>
            </w:pPr>
            <w:r w:rsidRPr="00E55C36">
              <w:rPr>
                <w:b/>
                <w:bCs w:val="0"/>
                <w:szCs w:val="20"/>
              </w:rPr>
              <w:t>1.66 (1.13,2.44)</w:t>
            </w:r>
          </w:p>
        </w:tc>
        <w:tc>
          <w:tcPr>
            <w:tcW w:w="1400" w:type="dxa"/>
            <w:shd w:val="clear" w:color="auto" w:fill="C6D9F1" w:themeFill="text2" w:themeFillTint="33"/>
          </w:tcPr>
          <w:p w14:paraId="065A57B6" w14:textId="77777777" w:rsidR="00F3286B" w:rsidRPr="00E55C36" w:rsidRDefault="00F3286B" w:rsidP="00C959E4">
            <w:pPr>
              <w:pStyle w:val="TableText0"/>
              <w:jc w:val="center"/>
              <w:rPr>
                <w:b/>
                <w:bCs w:val="0"/>
                <w:szCs w:val="20"/>
              </w:rPr>
            </w:pPr>
            <w:r w:rsidRPr="00E55C36">
              <w:rPr>
                <w:b/>
                <w:bCs w:val="0"/>
                <w:szCs w:val="20"/>
              </w:rPr>
              <w:t>0.23 (0.07,0.40)</w:t>
            </w:r>
          </w:p>
        </w:tc>
      </w:tr>
      <w:tr w:rsidR="00F3286B" w:rsidRPr="00E55C36" w14:paraId="617C92E8" w14:textId="77777777" w:rsidTr="00C51B78">
        <w:tc>
          <w:tcPr>
            <w:tcW w:w="1125" w:type="dxa"/>
            <w:vMerge/>
            <w:shd w:val="clear" w:color="auto" w:fill="C6D9F1" w:themeFill="text2" w:themeFillTint="33"/>
            <w:vAlign w:val="center"/>
          </w:tcPr>
          <w:p w14:paraId="7F63C16A" w14:textId="77777777" w:rsidR="00F3286B" w:rsidRPr="00E55C36" w:rsidRDefault="00F3286B" w:rsidP="00C959E4">
            <w:pPr>
              <w:pStyle w:val="TableText0"/>
              <w:rPr>
                <w:szCs w:val="20"/>
              </w:rPr>
            </w:pPr>
          </w:p>
        </w:tc>
        <w:tc>
          <w:tcPr>
            <w:tcW w:w="1668" w:type="dxa"/>
            <w:shd w:val="clear" w:color="auto" w:fill="C6D9F1" w:themeFill="text2" w:themeFillTint="33"/>
            <w:vAlign w:val="center"/>
          </w:tcPr>
          <w:p w14:paraId="30FFF60C" w14:textId="77777777" w:rsidR="00F3286B" w:rsidRPr="00E55C36" w:rsidRDefault="00F3286B" w:rsidP="00C959E4">
            <w:pPr>
              <w:pStyle w:val="TableText0"/>
              <w:rPr>
                <w:szCs w:val="20"/>
              </w:rPr>
            </w:pPr>
            <w:r w:rsidRPr="00E55C36">
              <w:rPr>
                <w:szCs w:val="20"/>
              </w:rPr>
              <w:t>DE038, MTXs</w:t>
            </w:r>
          </w:p>
        </w:tc>
        <w:tc>
          <w:tcPr>
            <w:tcW w:w="971" w:type="dxa"/>
            <w:shd w:val="clear" w:color="auto" w:fill="C6D9F1" w:themeFill="text2" w:themeFillTint="33"/>
            <w:vAlign w:val="center"/>
          </w:tcPr>
          <w:p w14:paraId="668EEB9F" w14:textId="77777777" w:rsidR="00F3286B" w:rsidRPr="00E55C36" w:rsidRDefault="00F3286B" w:rsidP="00C959E4">
            <w:pPr>
              <w:pStyle w:val="TableText0"/>
              <w:jc w:val="center"/>
              <w:rPr>
                <w:szCs w:val="20"/>
              </w:rPr>
            </w:pPr>
            <w:r w:rsidRPr="00E55C36">
              <w:rPr>
                <w:szCs w:val="20"/>
              </w:rPr>
              <w:t>24/38 (63.2)</w:t>
            </w:r>
          </w:p>
        </w:tc>
        <w:tc>
          <w:tcPr>
            <w:tcW w:w="983" w:type="dxa"/>
            <w:shd w:val="clear" w:color="auto" w:fill="C6D9F1" w:themeFill="text2" w:themeFillTint="33"/>
            <w:vAlign w:val="center"/>
          </w:tcPr>
          <w:p w14:paraId="13F2149F" w14:textId="77777777" w:rsidR="00F3286B" w:rsidRPr="00E55C36" w:rsidRDefault="00F3286B" w:rsidP="00C959E4">
            <w:pPr>
              <w:pStyle w:val="TableText0"/>
              <w:jc w:val="center"/>
              <w:rPr>
                <w:szCs w:val="20"/>
              </w:rPr>
            </w:pPr>
            <w:r w:rsidRPr="00E55C36">
              <w:rPr>
                <w:szCs w:val="20"/>
              </w:rPr>
              <w:t>14/37 (37.8)</w:t>
            </w:r>
          </w:p>
        </w:tc>
        <w:tc>
          <w:tcPr>
            <w:tcW w:w="1470" w:type="dxa"/>
            <w:shd w:val="clear" w:color="auto" w:fill="C6D9F1" w:themeFill="text2" w:themeFillTint="33"/>
            <w:vAlign w:val="center"/>
          </w:tcPr>
          <w:p w14:paraId="490DD3C7" w14:textId="77777777" w:rsidR="00F3286B" w:rsidRPr="00E55C36" w:rsidRDefault="00F3286B" w:rsidP="00C959E4">
            <w:pPr>
              <w:pStyle w:val="TableText0"/>
              <w:jc w:val="center"/>
              <w:rPr>
                <w:b/>
                <w:bCs w:val="0"/>
                <w:szCs w:val="20"/>
              </w:rPr>
            </w:pPr>
            <w:r w:rsidRPr="00E55C36">
              <w:rPr>
                <w:b/>
                <w:bCs w:val="0"/>
                <w:szCs w:val="20"/>
              </w:rPr>
              <w:t>2.82 (1.10,7.18)</w:t>
            </w:r>
          </w:p>
        </w:tc>
        <w:tc>
          <w:tcPr>
            <w:tcW w:w="1400" w:type="dxa"/>
            <w:shd w:val="clear" w:color="auto" w:fill="C6D9F1" w:themeFill="text2" w:themeFillTint="33"/>
            <w:vAlign w:val="center"/>
          </w:tcPr>
          <w:p w14:paraId="32826617" w14:textId="77777777" w:rsidR="00F3286B" w:rsidRPr="00E55C36" w:rsidRDefault="00F3286B" w:rsidP="00C959E4">
            <w:pPr>
              <w:pStyle w:val="TableText0"/>
              <w:jc w:val="center"/>
              <w:rPr>
                <w:b/>
                <w:bCs w:val="0"/>
                <w:szCs w:val="20"/>
              </w:rPr>
            </w:pPr>
            <w:r w:rsidRPr="00E55C36">
              <w:rPr>
                <w:b/>
                <w:bCs w:val="0"/>
                <w:szCs w:val="20"/>
              </w:rPr>
              <w:t>1.67 (1.03,2.70)</w:t>
            </w:r>
          </w:p>
        </w:tc>
        <w:tc>
          <w:tcPr>
            <w:tcW w:w="1400" w:type="dxa"/>
            <w:shd w:val="clear" w:color="auto" w:fill="C6D9F1" w:themeFill="text2" w:themeFillTint="33"/>
          </w:tcPr>
          <w:p w14:paraId="4F93504E" w14:textId="77777777" w:rsidR="00F3286B" w:rsidRPr="00E55C36" w:rsidRDefault="00F3286B" w:rsidP="00C959E4">
            <w:pPr>
              <w:pStyle w:val="TableText0"/>
              <w:jc w:val="center"/>
              <w:rPr>
                <w:b/>
                <w:bCs w:val="0"/>
                <w:szCs w:val="20"/>
              </w:rPr>
            </w:pPr>
            <w:r w:rsidRPr="00E55C36">
              <w:rPr>
                <w:b/>
                <w:bCs w:val="0"/>
                <w:szCs w:val="20"/>
              </w:rPr>
              <w:t>0.25 (0.03,0.47)</w:t>
            </w:r>
          </w:p>
        </w:tc>
      </w:tr>
      <w:tr w:rsidR="00F3286B" w:rsidRPr="00E55C36" w14:paraId="23D4C691" w14:textId="77777777" w:rsidTr="00C51B78">
        <w:tc>
          <w:tcPr>
            <w:tcW w:w="1125" w:type="dxa"/>
            <w:vMerge/>
            <w:shd w:val="clear" w:color="auto" w:fill="C6D9F1" w:themeFill="text2" w:themeFillTint="33"/>
            <w:vAlign w:val="center"/>
          </w:tcPr>
          <w:p w14:paraId="031CAE91" w14:textId="77777777" w:rsidR="00F3286B" w:rsidRPr="00E55C36" w:rsidRDefault="00F3286B" w:rsidP="00C959E4">
            <w:pPr>
              <w:pStyle w:val="TableText0"/>
              <w:rPr>
                <w:szCs w:val="20"/>
              </w:rPr>
            </w:pPr>
          </w:p>
        </w:tc>
        <w:tc>
          <w:tcPr>
            <w:tcW w:w="1668" w:type="dxa"/>
            <w:shd w:val="clear" w:color="auto" w:fill="C6D9F1" w:themeFill="text2" w:themeFillTint="33"/>
            <w:vAlign w:val="center"/>
          </w:tcPr>
          <w:p w14:paraId="7E61B3CF" w14:textId="77777777" w:rsidR="00F3286B" w:rsidRPr="00E55C36" w:rsidRDefault="00F3286B" w:rsidP="00C959E4">
            <w:pPr>
              <w:pStyle w:val="TableText0"/>
              <w:rPr>
                <w:szCs w:val="20"/>
              </w:rPr>
            </w:pPr>
            <w:r w:rsidRPr="00E55C36">
              <w:rPr>
                <w:szCs w:val="20"/>
              </w:rPr>
              <w:t>DE038, non-MTXs</w:t>
            </w:r>
          </w:p>
        </w:tc>
        <w:tc>
          <w:tcPr>
            <w:tcW w:w="971" w:type="dxa"/>
            <w:shd w:val="clear" w:color="auto" w:fill="C6D9F1" w:themeFill="text2" w:themeFillTint="33"/>
            <w:vAlign w:val="center"/>
          </w:tcPr>
          <w:p w14:paraId="053C02D1" w14:textId="77777777" w:rsidR="00F3286B" w:rsidRPr="00E55C36" w:rsidRDefault="00F3286B" w:rsidP="00C959E4">
            <w:pPr>
              <w:pStyle w:val="TableText0"/>
              <w:jc w:val="center"/>
              <w:rPr>
                <w:szCs w:val="20"/>
              </w:rPr>
            </w:pPr>
            <w:r w:rsidRPr="00E55C36">
              <w:rPr>
                <w:szCs w:val="20"/>
              </w:rPr>
              <w:t>16/30 (53.3)</w:t>
            </w:r>
          </w:p>
        </w:tc>
        <w:tc>
          <w:tcPr>
            <w:tcW w:w="983" w:type="dxa"/>
            <w:shd w:val="clear" w:color="auto" w:fill="C6D9F1" w:themeFill="text2" w:themeFillTint="33"/>
            <w:vAlign w:val="center"/>
          </w:tcPr>
          <w:p w14:paraId="6A44C4A5" w14:textId="77777777" w:rsidR="00F3286B" w:rsidRPr="00E55C36" w:rsidRDefault="00F3286B" w:rsidP="00C959E4">
            <w:pPr>
              <w:pStyle w:val="TableText0"/>
              <w:jc w:val="center"/>
              <w:rPr>
                <w:szCs w:val="20"/>
              </w:rPr>
            </w:pPr>
            <w:r w:rsidRPr="00E55C36">
              <w:rPr>
                <w:szCs w:val="20"/>
              </w:rPr>
              <w:t>9/28 (32.1)</w:t>
            </w:r>
          </w:p>
        </w:tc>
        <w:tc>
          <w:tcPr>
            <w:tcW w:w="1470" w:type="dxa"/>
            <w:shd w:val="clear" w:color="auto" w:fill="C6D9F1" w:themeFill="text2" w:themeFillTint="33"/>
            <w:vAlign w:val="center"/>
          </w:tcPr>
          <w:p w14:paraId="6B38DB09" w14:textId="77777777" w:rsidR="00F3286B" w:rsidRPr="00E55C36" w:rsidRDefault="00F3286B" w:rsidP="00C959E4">
            <w:pPr>
              <w:pStyle w:val="TableText0"/>
              <w:jc w:val="center"/>
              <w:rPr>
                <w:szCs w:val="20"/>
              </w:rPr>
            </w:pPr>
            <w:r w:rsidRPr="00E55C36">
              <w:rPr>
                <w:szCs w:val="20"/>
              </w:rPr>
              <w:t>2.41 (0.83,7.03)</w:t>
            </w:r>
          </w:p>
        </w:tc>
        <w:tc>
          <w:tcPr>
            <w:tcW w:w="1400" w:type="dxa"/>
            <w:shd w:val="clear" w:color="auto" w:fill="C6D9F1" w:themeFill="text2" w:themeFillTint="33"/>
            <w:vAlign w:val="center"/>
          </w:tcPr>
          <w:p w14:paraId="7F37D416" w14:textId="77777777" w:rsidR="00F3286B" w:rsidRPr="00E55C36" w:rsidRDefault="00F3286B" w:rsidP="00C959E4">
            <w:pPr>
              <w:pStyle w:val="TableText0"/>
              <w:jc w:val="center"/>
              <w:rPr>
                <w:szCs w:val="20"/>
              </w:rPr>
            </w:pPr>
            <w:r w:rsidRPr="00E55C36">
              <w:rPr>
                <w:szCs w:val="20"/>
              </w:rPr>
              <w:t>1.66 (0.88,3.13)</w:t>
            </w:r>
          </w:p>
        </w:tc>
        <w:tc>
          <w:tcPr>
            <w:tcW w:w="1400" w:type="dxa"/>
            <w:shd w:val="clear" w:color="auto" w:fill="C6D9F1" w:themeFill="text2" w:themeFillTint="33"/>
          </w:tcPr>
          <w:p w14:paraId="1BD05EE2" w14:textId="77777777" w:rsidR="00F3286B" w:rsidRPr="00E55C36" w:rsidRDefault="00F3286B" w:rsidP="00C959E4">
            <w:pPr>
              <w:pStyle w:val="TableText0"/>
              <w:jc w:val="center"/>
              <w:rPr>
                <w:szCs w:val="20"/>
              </w:rPr>
            </w:pPr>
            <w:r w:rsidRPr="00E55C36">
              <w:rPr>
                <w:szCs w:val="20"/>
              </w:rPr>
              <w:t>0.21 (-0.04,0.46)</w:t>
            </w:r>
          </w:p>
        </w:tc>
      </w:tr>
      <w:tr w:rsidR="00F3286B" w:rsidRPr="00E55C36" w14:paraId="2A96DE4F" w14:textId="77777777" w:rsidTr="00C51B78">
        <w:tc>
          <w:tcPr>
            <w:tcW w:w="4747" w:type="dxa"/>
            <w:gridSpan w:val="4"/>
            <w:vAlign w:val="center"/>
          </w:tcPr>
          <w:p w14:paraId="34D26093" w14:textId="77777777" w:rsidR="00F3286B" w:rsidRPr="00E55C36" w:rsidRDefault="00F3286B" w:rsidP="00C959E4">
            <w:pPr>
              <w:pStyle w:val="TableText0"/>
              <w:rPr>
                <w:szCs w:val="20"/>
              </w:rPr>
            </w:pPr>
            <w:r w:rsidRPr="00E55C36">
              <w:rPr>
                <w:b/>
                <w:bCs w:val="0"/>
                <w:szCs w:val="20"/>
              </w:rPr>
              <w:t>OUTCOME: PedACR70, end of DB phase</w:t>
            </w:r>
          </w:p>
        </w:tc>
        <w:tc>
          <w:tcPr>
            <w:tcW w:w="1470" w:type="dxa"/>
            <w:shd w:val="clear" w:color="auto" w:fill="auto"/>
            <w:vAlign w:val="center"/>
          </w:tcPr>
          <w:p w14:paraId="05CFAE37" w14:textId="77777777" w:rsidR="00F3286B" w:rsidRPr="00E55C36" w:rsidRDefault="00F3286B" w:rsidP="00C959E4">
            <w:pPr>
              <w:pStyle w:val="TableText0"/>
              <w:jc w:val="center"/>
              <w:rPr>
                <w:szCs w:val="20"/>
              </w:rPr>
            </w:pPr>
          </w:p>
        </w:tc>
        <w:tc>
          <w:tcPr>
            <w:tcW w:w="1400" w:type="dxa"/>
            <w:shd w:val="clear" w:color="auto" w:fill="auto"/>
            <w:vAlign w:val="center"/>
          </w:tcPr>
          <w:p w14:paraId="0B5B1A0C" w14:textId="77777777" w:rsidR="00F3286B" w:rsidRPr="00E55C36" w:rsidRDefault="00F3286B" w:rsidP="00C959E4">
            <w:pPr>
              <w:pStyle w:val="TableText0"/>
              <w:jc w:val="center"/>
              <w:rPr>
                <w:szCs w:val="20"/>
              </w:rPr>
            </w:pPr>
          </w:p>
        </w:tc>
        <w:tc>
          <w:tcPr>
            <w:tcW w:w="1400" w:type="dxa"/>
          </w:tcPr>
          <w:p w14:paraId="4102FC53" w14:textId="77777777" w:rsidR="00F3286B" w:rsidRPr="00E55C36" w:rsidRDefault="00F3286B" w:rsidP="00C959E4">
            <w:pPr>
              <w:pStyle w:val="TableText0"/>
              <w:jc w:val="center"/>
              <w:rPr>
                <w:szCs w:val="20"/>
              </w:rPr>
            </w:pPr>
          </w:p>
        </w:tc>
      </w:tr>
      <w:tr w:rsidR="00F3286B" w:rsidRPr="00E55C36" w14:paraId="330B4CBA" w14:textId="77777777" w:rsidTr="00C51B78">
        <w:tc>
          <w:tcPr>
            <w:tcW w:w="1125" w:type="dxa"/>
            <w:vMerge w:val="restart"/>
            <w:vAlign w:val="center"/>
          </w:tcPr>
          <w:p w14:paraId="78DB5496" w14:textId="77777777" w:rsidR="00F3286B" w:rsidRPr="00E55C36" w:rsidRDefault="00F3286B" w:rsidP="00C959E4">
            <w:pPr>
              <w:pStyle w:val="TableText0"/>
              <w:rPr>
                <w:szCs w:val="20"/>
              </w:rPr>
            </w:pPr>
            <w:r w:rsidRPr="00E55C36">
              <w:rPr>
                <w:szCs w:val="20"/>
              </w:rPr>
              <w:t>TOF v PBO Wk44│Wk18^</w:t>
            </w:r>
          </w:p>
        </w:tc>
        <w:tc>
          <w:tcPr>
            <w:tcW w:w="1668" w:type="dxa"/>
            <w:shd w:val="clear" w:color="auto" w:fill="auto"/>
            <w:vAlign w:val="center"/>
          </w:tcPr>
          <w:p w14:paraId="1149012C" w14:textId="77777777" w:rsidR="00F3286B" w:rsidRPr="00E55C36" w:rsidRDefault="00F3286B" w:rsidP="00C959E4">
            <w:pPr>
              <w:pStyle w:val="TableText0"/>
              <w:rPr>
                <w:szCs w:val="20"/>
              </w:rPr>
            </w:pPr>
            <w:r w:rsidRPr="00E55C36">
              <w:rPr>
                <w:szCs w:val="20"/>
              </w:rPr>
              <w:t xml:space="preserve">PROPEL, ITT </w:t>
            </w:r>
          </w:p>
        </w:tc>
        <w:tc>
          <w:tcPr>
            <w:tcW w:w="971" w:type="dxa"/>
            <w:shd w:val="clear" w:color="auto" w:fill="auto"/>
            <w:vAlign w:val="center"/>
          </w:tcPr>
          <w:p w14:paraId="38BEA012" w14:textId="77777777" w:rsidR="00F3286B" w:rsidRPr="00E55C36" w:rsidRDefault="00F3286B" w:rsidP="00C959E4">
            <w:pPr>
              <w:pStyle w:val="TableText0"/>
              <w:jc w:val="center"/>
              <w:rPr>
                <w:szCs w:val="20"/>
              </w:rPr>
            </w:pPr>
            <w:r w:rsidRPr="00E55C36">
              <w:rPr>
                <w:szCs w:val="20"/>
              </w:rPr>
              <w:t>39/72 (54.2)</w:t>
            </w:r>
          </w:p>
        </w:tc>
        <w:tc>
          <w:tcPr>
            <w:tcW w:w="983" w:type="dxa"/>
            <w:shd w:val="clear" w:color="auto" w:fill="auto"/>
            <w:vAlign w:val="center"/>
          </w:tcPr>
          <w:p w14:paraId="040F9707" w14:textId="77777777" w:rsidR="00F3286B" w:rsidRPr="00E55C36" w:rsidRDefault="00F3286B" w:rsidP="00C959E4">
            <w:pPr>
              <w:pStyle w:val="TableText0"/>
              <w:jc w:val="center"/>
              <w:rPr>
                <w:szCs w:val="20"/>
              </w:rPr>
            </w:pPr>
            <w:r w:rsidRPr="00E55C36">
              <w:rPr>
                <w:szCs w:val="20"/>
              </w:rPr>
              <w:t>26/70 (37.1)</w:t>
            </w:r>
          </w:p>
        </w:tc>
        <w:tc>
          <w:tcPr>
            <w:tcW w:w="1470" w:type="dxa"/>
            <w:shd w:val="clear" w:color="auto" w:fill="auto"/>
            <w:vAlign w:val="center"/>
          </w:tcPr>
          <w:p w14:paraId="65219BC4" w14:textId="77777777" w:rsidR="00F3286B" w:rsidRPr="00E55C36" w:rsidRDefault="00F3286B" w:rsidP="00C959E4">
            <w:pPr>
              <w:pStyle w:val="TableText0"/>
              <w:jc w:val="center"/>
              <w:rPr>
                <w:b/>
                <w:bCs w:val="0"/>
                <w:szCs w:val="20"/>
              </w:rPr>
            </w:pPr>
            <w:r w:rsidRPr="00E55C36">
              <w:rPr>
                <w:b/>
                <w:bCs w:val="0"/>
                <w:szCs w:val="20"/>
              </w:rPr>
              <w:t>2.00 (1.02,3.91)</w:t>
            </w:r>
          </w:p>
        </w:tc>
        <w:tc>
          <w:tcPr>
            <w:tcW w:w="1400" w:type="dxa"/>
            <w:shd w:val="clear" w:color="auto" w:fill="auto"/>
            <w:vAlign w:val="center"/>
          </w:tcPr>
          <w:p w14:paraId="55619F32" w14:textId="77777777" w:rsidR="00F3286B" w:rsidRPr="00E55C36" w:rsidRDefault="00F3286B" w:rsidP="00C959E4">
            <w:pPr>
              <w:pStyle w:val="TableText0"/>
              <w:jc w:val="center"/>
              <w:rPr>
                <w:b/>
                <w:bCs w:val="0"/>
                <w:szCs w:val="20"/>
              </w:rPr>
            </w:pPr>
            <w:r w:rsidRPr="00E55C36">
              <w:rPr>
                <w:b/>
                <w:bCs w:val="0"/>
                <w:szCs w:val="20"/>
              </w:rPr>
              <w:t>1.46 (1.01,2.11)</w:t>
            </w:r>
          </w:p>
        </w:tc>
        <w:tc>
          <w:tcPr>
            <w:tcW w:w="1400" w:type="dxa"/>
          </w:tcPr>
          <w:p w14:paraId="1D2517B5" w14:textId="77777777" w:rsidR="00F3286B" w:rsidRPr="00E55C36" w:rsidRDefault="00F3286B" w:rsidP="00C959E4">
            <w:pPr>
              <w:pStyle w:val="TableText0"/>
              <w:jc w:val="center"/>
              <w:rPr>
                <w:b/>
                <w:bCs w:val="0"/>
                <w:szCs w:val="20"/>
              </w:rPr>
            </w:pPr>
            <w:r w:rsidRPr="00E55C36">
              <w:rPr>
                <w:b/>
                <w:bCs w:val="0"/>
                <w:szCs w:val="20"/>
              </w:rPr>
              <w:t>0.17 (0.01,0.33)</w:t>
            </w:r>
          </w:p>
        </w:tc>
      </w:tr>
      <w:tr w:rsidR="00F3286B" w:rsidRPr="00E55C36" w14:paraId="6A48F752" w14:textId="77777777" w:rsidTr="00C51B78">
        <w:tc>
          <w:tcPr>
            <w:tcW w:w="1125" w:type="dxa"/>
            <w:vMerge/>
            <w:vAlign w:val="center"/>
          </w:tcPr>
          <w:p w14:paraId="538B4A78" w14:textId="77777777" w:rsidR="00F3286B" w:rsidRPr="00E55C36" w:rsidRDefault="00F3286B" w:rsidP="00C959E4">
            <w:pPr>
              <w:pStyle w:val="TableText0"/>
              <w:rPr>
                <w:szCs w:val="20"/>
              </w:rPr>
            </w:pPr>
          </w:p>
        </w:tc>
        <w:tc>
          <w:tcPr>
            <w:tcW w:w="1668" w:type="dxa"/>
            <w:shd w:val="clear" w:color="auto" w:fill="auto"/>
            <w:vAlign w:val="center"/>
          </w:tcPr>
          <w:p w14:paraId="21B4C1B3" w14:textId="77777777" w:rsidR="00F3286B" w:rsidRPr="00E55C36" w:rsidRDefault="00F3286B" w:rsidP="00C959E4">
            <w:pPr>
              <w:pStyle w:val="TableText0"/>
              <w:rPr>
                <w:szCs w:val="20"/>
              </w:rPr>
            </w:pPr>
            <w:r w:rsidRPr="00E55C36">
              <w:rPr>
                <w:szCs w:val="20"/>
              </w:rPr>
              <w:t>PROPEL, MTX-d1</w:t>
            </w:r>
          </w:p>
        </w:tc>
        <w:tc>
          <w:tcPr>
            <w:tcW w:w="971" w:type="dxa"/>
            <w:shd w:val="clear" w:color="auto" w:fill="auto"/>
            <w:vAlign w:val="center"/>
          </w:tcPr>
          <w:p w14:paraId="2E77BD48" w14:textId="77777777" w:rsidR="00F3286B" w:rsidRPr="00E55C36" w:rsidRDefault="00F3286B" w:rsidP="00C959E4">
            <w:pPr>
              <w:pStyle w:val="TableText0"/>
              <w:jc w:val="center"/>
              <w:rPr>
                <w:szCs w:val="20"/>
              </w:rPr>
            </w:pPr>
            <w:r w:rsidRPr="00E55C36">
              <w:rPr>
                <w:szCs w:val="20"/>
              </w:rPr>
              <w:t>28/52 (53.9)</w:t>
            </w:r>
          </w:p>
        </w:tc>
        <w:tc>
          <w:tcPr>
            <w:tcW w:w="983" w:type="dxa"/>
            <w:shd w:val="clear" w:color="auto" w:fill="auto"/>
            <w:vAlign w:val="center"/>
          </w:tcPr>
          <w:p w14:paraId="42A5310C" w14:textId="77777777" w:rsidR="00F3286B" w:rsidRPr="00E55C36" w:rsidRDefault="00F3286B" w:rsidP="00C959E4">
            <w:pPr>
              <w:pStyle w:val="TableText0"/>
              <w:jc w:val="center"/>
              <w:rPr>
                <w:szCs w:val="20"/>
              </w:rPr>
            </w:pPr>
            <w:r w:rsidRPr="00E55C36">
              <w:rPr>
                <w:szCs w:val="20"/>
              </w:rPr>
              <w:t>22/54 (40.7)</w:t>
            </w:r>
          </w:p>
        </w:tc>
        <w:tc>
          <w:tcPr>
            <w:tcW w:w="1470" w:type="dxa"/>
            <w:shd w:val="clear" w:color="auto" w:fill="auto"/>
            <w:vAlign w:val="center"/>
          </w:tcPr>
          <w:p w14:paraId="5657748C" w14:textId="77777777" w:rsidR="00F3286B" w:rsidRPr="00E55C36" w:rsidRDefault="00F3286B" w:rsidP="00C959E4">
            <w:pPr>
              <w:pStyle w:val="TableText0"/>
              <w:jc w:val="center"/>
              <w:rPr>
                <w:szCs w:val="20"/>
              </w:rPr>
            </w:pPr>
            <w:r w:rsidRPr="00E55C36">
              <w:rPr>
                <w:szCs w:val="20"/>
              </w:rPr>
              <w:t>1.70 (0.79,3.66)</w:t>
            </w:r>
          </w:p>
        </w:tc>
        <w:tc>
          <w:tcPr>
            <w:tcW w:w="1400" w:type="dxa"/>
            <w:shd w:val="clear" w:color="auto" w:fill="auto"/>
            <w:vAlign w:val="center"/>
          </w:tcPr>
          <w:p w14:paraId="741EFADE" w14:textId="77777777" w:rsidR="00F3286B" w:rsidRPr="00E55C36" w:rsidRDefault="00F3286B" w:rsidP="00C959E4">
            <w:pPr>
              <w:pStyle w:val="TableText0"/>
              <w:jc w:val="center"/>
              <w:rPr>
                <w:szCs w:val="20"/>
              </w:rPr>
            </w:pPr>
            <w:r w:rsidRPr="00E55C36">
              <w:rPr>
                <w:szCs w:val="20"/>
              </w:rPr>
              <w:t>1.32 (0.88,1.99)</w:t>
            </w:r>
          </w:p>
        </w:tc>
        <w:tc>
          <w:tcPr>
            <w:tcW w:w="1400" w:type="dxa"/>
          </w:tcPr>
          <w:p w14:paraId="638B18F2" w14:textId="77777777" w:rsidR="00F3286B" w:rsidRPr="00E55C36" w:rsidRDefault="00F3286B" w:rsidP="00C959E4">
            <w:pPr>
              <w:pStyle w:val="TableText0"/>
              <w:jc w:val="center"/>
              <w:rPr>
                <w:szCs w:val="20"/>
              </w:rPr>
            </w:pPr>
            <w:r w:rsidRPr="00E55C36">
              <w:rPr>
                <w:szCs w:val="20"/>
              </w:rPr>
              <w:t>0.13 (-0.06,0.32)</w:t>
            </w:r>
          </w:p>
        </w:tc>
      </w:tr>
      <w:tr w:rsidR="00F3286B" w:rsidRPr="00E55C36" w14:paraId="686C0429" w14:textId="77777777" w:rsidTr="00C51B78">
        <w:tc>
          <w:tcPr>
            <w:tcW w:w="1125" w:type="dxa"/>
            <w:vMerge/>
            <w:vAlign w:val="center"/>
          </w:tcPr>
          <w:p w14:paraId="0C44E4DA" w14:textId="77777777" w:rsidR="00F3286B" w:rsidRPr="00E55C36" w:rsidRDefault="00F3286B" w:rsidP="00C959E4">
            <w:pPr>
              <w:pStyle w:val="TableText0"/>
              <w:rPr>
                <w:szCs w:val="20"/>
              </w:rPr>
            </w:pPr>
          </w:p>
        </w:tc>
        <w:tc>
          <w:tcPr>
            <w:tcW w:w="1668" w:type="dxa"/>
            <w:shd w:val="clear" w:color="auto" w:fill="auto"/>
            <w:vAlign w:val="center"/>
          </w:tcPr>
          <w:p w14:paraId="4A0C2D6D" w14:textId="77777777" w:rsidR="00F3286B" w:rsidRPr="00E55C36" w:rsidRDefault="00F3286B" w:rsidP="00C959E4">
            <w:pPr>
              <w:pStyle w:val="TableText0"/>
              <w:rPr>
                <w:szCs w:val="20"/>
              </w:rPr>
            </w:pPr>
            <w:r w:rsidRPr="00E55C36">
              <w:rPr>
                <w:szCs w:val="20"/>
              </w:rPr>
              <w:t>PROPEL, bDMARDn</w:t>
            </w:r>
          </w:p>
        </w:tc>
        <w:tc>
          <w:tcPr>
            <w:tcW w:w="971" w:type="dxa"/>
            <w:shd w:val="clear" w:color="auto" w:fill="auto"/>
            <w:vAlign w:val="center"/>
          </w:tcPr>
          <w:p w14:paraId="50378B35" w14:textId="77777777" w:rsidR="00F3286B" w:rsidRPr="00E55C36" w:rsidRDefault="00F3286B" w:rsidP="00C959E4">
            <w:pPr>
              <w:pStyle w:val="TableText0"/>
              <w:jc w:val="center"/>
              <w:rPr>
                <w:szCs w:val="20"/>
              </w:rPr>
            </w:pPr>
            <w:r w:rsidRPr="00E55C36">
              <w:rPr>
                <w:szCs w:val="20"/>
              </w:rPr>
              <w:t>28/49 (57.1)</w:t>
            </w:r>
          </w:p>
        </w:tc>
        <w:tc>
          <w:tcPr>
            <w:tcW w:w="983" w:type="dxa"/>
            <w:shd w:val="clear" w:color="auto" w:fill="auto"/>
            <w:vAlign w:val="center"/>
          </w:tcPr>
          <w:p w14:paraId="7DE45D92" w14:textId="77777777" w:rsidR="00F3286B" w:rsidRPr="00E55C36" w:rsidRDefault="00F3286B" w:rsidP="00C959E4">
            <w:pPr>
              <w:pStyle w:val="TableText0"/>
              <w:jc w:val="center"/>
              <w:rPr>
                <w:szCs w:val="20"/>
              </w:rPr>
            </w:pPr>
            <w:r w:rsidRPr="00E55C36">
              <w:rPr>
                <w:szCs w:val="20"/>
              </w:rPr>
              <w:t>21/50 (42.0)</w:t>
            </w:r>
          </w:p>
        </w:tc>
        <w:tc>
          <w:tcPr>
            <w:tcW w:w="1470" w:type="dxa"/>
            <w:shd w:val="clear" w:color="auto" w:fill="auto"/>
            <w:vAlign w:val="center"/>
          </w:tcPr>
          <w:p w14:paraId="3CE6AAC4" w14:textId="77777777" w:rsidR="00F3286B" w:rsidRPr="00E55C36" w:rsidRDefault="00F3286B" w:rsidP="00C959E4">
            <w:pPr>
              <w:pStyle w:val="TableText0"/>
              <w:jc w:val="center"/>
              <w:rPr>
                <w:szCs w:val="20"/>
              </w:rPr>
            </w:pPr>
            <w:r w:rsidRPr="00E55C36">
              <w:rPr>
                <w:szCs w:val="20"/>
              </w:rPr>
              <w:t>1.84 (0.83,4.09)</w:t>
            </w:r>
          </w:p>
        </w:tc>
        <w:tc>
          <w:tcPr>
            <w:tcW w:w="1400" w:type="dxa"/>
            <w:shd w:val="clear" w:color="auto" w:fill="auto"/>
            <w:vAlign w:val="center"/>
          </w:tcPr>
          <w:p w14:paraId="7831FD70" w14:textId="77777777" w:rsidR="00F3286B" w:rsidRPr="00E55C36" w:rsidRDefault="00F3286B" w:rsidP="00C959E4">
            <w:pPr>
              <w:pStyle w:val="TableText0"/>
              <w:jc w:val="center"/>
              <w:rPr>
                <w:szCs w:val="20"/>
              </w:rPr>
            </w:pPr>
            <w:r w:rsidRPr="00E55C36">
              <w:rPr>
                <w:szCs w:val="20"/>
              </w:rPr>
              <w:t>1.36 (0.91,2.04)</w:t>
            </w:r>
          </w:p>
        </w:tc>
        <w:tc>
          <w:tcPr>
            <w:tcW w:w="1400" w:type="dxa"/>
          </w:tcPr>
          <w:p w14:paraId="30D4A288" w14:textId="77777777" w:rsidR="00F3286B" w:rsidRPr="00E55C36" w:rsidRDefault="00F3286B" w:rsidP="00C959E4">
            <w:pPr>
              <w:pStyle w:val="TableText0"/>
              <w:jc w:val="center"/>
              <w:rPr>
                <w:szCs w:val="20"/>
              </w:rPr>
            </w:pPr>
            <w:r w:rsidRPr="00E55C36">
              <w:rPr>
                <w:szCs w:val="20"/>
              </w:rPr>
              <w:t>0.15 (-0.04,0.35)</w:t>
            </w:r>
          </w:p>
        </w:tc>
      </w:tr>
      <w:tr w:rsidR="00F3286B" w:rsidRPr="00E55C36" w14:paraId="47B5000B" w14:textId="77777777" w:rsidTr="00C51B78">
        <w:tc>
          <w:tcPr>
            <w:tcW w:w="1125" w:type="dxa"/>
            <w:vMerge w:val="restart"/>
            <w:shd w:val="clear" w:color="auto" w:fill="C6D9F1" w:themeFill="text2" w:themeFillTint="33"/>
            <w:vAlign w:val="center"/>
          </w:tcPr>
          <w:p w14:paraId="12E8810C" w14:textId="77777777" w:rsidR="00F3286B" w:rsidRPr="00E55C36" w:rsidRDefault="00F3286B" w:rsidP="00C959E4">
            <w:pPr>
              <w:pStyle w:val="TableText0"/>
              <w:rPr>
                <w:szCs w:val="20"/>
              </w:rPr>
            </w:pPr>
            <w:r w:rsidRPr="00E55C36">
              <w:rPr>
                <w:szCs w:val="20"/>
              </w:rPr>
              <w:t>ADA v PBO</w:t>
            </w:r>
          </w:p>
          <w:p w14:paraId="7CAB6F44" w14:textId="77777777" w:rsidR="00F3286B" w:rsidRPr="00E55C36" w:rsidRDefault="00F3286B" w:rsidP="00C959E4">
            <w:pPr>
              <w:pStyle w:val="TableText0"/>
              <w:rPr>
                <w:szCs w:val="20"/>
              </w:rPr>
            </w:pPr>
            <w:r w:rsidRPr="00E55C36">
              <w:rPr>
                <w:szCs w:val="20"/>
              </w:rPr>
              <w:t>Wk48│Wk16^</w:t>
            </w:r>
          </w:p>
        </w:tc>
        <w:tc>
          <w:tcPr>
            <w:tcW w:w="1668" w:type="dxa"/>
            <w:shd w:val="clear" w:color="auto" w:fill="C6D9F1" w:themeFill="text2" w:themeFillTint="33"/>
            <w:vAlign w:val="center"/>
          </w:tcPr>
          <w:p w14:paraId="57D86F99" w14:textId="77777777" w:rsidR="00F3286B" w:rsidRPr="00E55C36" w:rsidRDefault="00F3286B" w:rsidP="00C959E4">
            <w:pPr>
              <w:pStyle w:val="TableText0"/>
              <w:rPr>
                <w:szCs w:val="20"/>
              </w:rPr>
            </w:pPr>
            <w:r w:rsidRPr="00E55C36">
              <w:rPr>
                <w:szCs w:val="20"/>
              </w:rPr>
              <w:t>DE038, ITT</w:t>
            </w:r>
          </w:p>
        </w:tc>
        <w:tc>
          <w:tcPr>
            <w:tcW w:w="971" w:type="dxa"/>
            <w:shd w:val="clear" w:color="auto" w:fill="C6D9F1" w:themeFill="text2" w:themeFillTint="33"/>
            <w:vAlign w:val="center"/>
          </w:tcPr>
          <w:p w14:paraId="253E3001" w14:textId="77777777" w:rsidR="00F3286B" w:rsidRPr="00E55C36" w:rsidRDefault="00F3286B" w:rsidP="00C959E4">
            <w:pPr>
              <w:pStyle w:val="TableText0"/>
              <w:jc w:val="center"/>
              <w:rPr>
                <w:szCs w:val="20"/>
              </w:rPr>
            </w:pPr>
            <w:r w:rsidRPr="00E55C36">
              <w:rPr>
                <w:szCs w:val="20"/>
              </w:rPr>
              <w:t>38/68 (55.9)</w:t>
            </w:r>
          </w:p>
        </w:tc>
        <w:tc>
          <w:tcPr>
            <w:tcW w:w="983" w:type="dxa"/>
            <w:shd w:val="clear" w:color="auto" w:fill="C6D9F1" w:themeFill="text2" w:themeFillTint="33"/>
            <w:vAlign w:val="center"/>
          </w:tcPr>
          <w:p w14:paraId="5DC44DA9" w14:textId="77777777" w:rsidR="00F3286B" w:rsidRPr="00E55C36" w:rsidRDefault="00F3286B" w:rsidP="00C959E4">
            <w:pPr>
              <w:pStyle w:val="TableText0"/>
              <w:jc w:val="center"/>
              <w:rPr>
                <w:szCs w:val="20"/>
              </w:rPr>
            </w:pPr>
            <w:r w:rsidRPr="00E55C36">
              <w:rPr>
                <w:szCs w:val="20"/>
              </w:rPr>
              <w:t>18/65 (27.7)</w:t>
            </w:r>
          </w:p>
        </w:tc>
        <w:tc>
          <w:tcPr>
            <w:tcW w:w="1470" w:type="dxa"/>
            <w:shd w:val="clear" w:color="auto" w:fill="C6D9F1" w:themeFill="text2" w:themeFillTint="33"/>
            <w:vAlign w:val="center"/>
          </w:tcPr>
          <w:p w14:paraId="4EE4282E" w14:textId="77777777" w:rsidR="00F3286B" w:rsidRPr="00E55C36" w:rsidRDefault="00F3286B" w:rsidP="00C959E4">
            <w:pPr>
              <w:pStyle w:val="TableText0"/>
              <w:jc w:val="center"/>
              <w:rPr>
                <w:b/>
                <w:bCs w:val="0"/>
                <w:szCs w:val="20"/>
              </w:rPr>
            </w:pPr>
            <w:r w:rsidRPr="00E55C36">
              <w:rPr>
                <w:b/>
                <w:bCs w:val="0"/>
                <w:szCs w:val="20"/>
              </w:rPr>
              <w:t>3.31 (1.60,6.82)</w:t>
            </w:r>
          </w:p>
        </w:tc>
        <w:tc>
          <w:tcPr>
            <w:tcW w:w="1400" w:type="dxa"/>
            <w:shd w:val="clear" w:color="auto" w:fill="C6D9F1" w:themeFill="text2" w:themeFillTint="33"/>
            <w:vAlign w:val="center"/>
          </w:tcPr>
          <w:p w14:paraId="21E65A1C" w14:textId="77777777" w:rsidR="00F3286B" w:rsidRPr="00E55C36" w:rsidRDefault="00F3286B" w:rsidP="00C959E4">
            <w:pPr>
              <w:pStyle w:val="TableText0"/>
              <w:jc w:val="center"/>
              <w:rPr>
                <w:b/>
                <w:bCs w:val="0"/>
                <w:szCs w:val="20"/>
              </w:rPr>
            </w:pPr>
            <w:r w:rsidRPr="00E55C36">
              <w:rPr>
                <w:b/>
                <w:bCs w:val="0"/>
                <w:szCs w:val="20"/>
              </w:rPr>
              <w:t>2.02 (1.29,3.15)</w:t>
            </w:r>
          </w:p>
        </w:tc>
        <w:tc>
          <w:tcPr>
            <w:tcW w:w="1400" w:type="dxa"/>
            <w:shd w:val="clear" w:color="auto" w:fill="C6D9F1" w:themeFill="text2" w:themeFillTint="33"/>
          </w:tcPr>
          <w:p w14:paraId="1D1B9F25" w14:textId="77777777" w:rsidR="00F3286B" w:rsidRPr="00E55C36" w:rsidRDefault="00F3286B" w:rsidP="00C959E4">
            <w:pPr>
              <w:pStyle w:val="TableText0"/>
              <w:jc w:val="center"/>
              <w:rPr>
                <w:b/>
                <w:bCs w:val="0"/>
                <w:szCs w:val="20"/>
              </w:rPr>
            </w:pPr>
            <w:r w:rsidRPr="00E55C36">
              <w:rPr>
                <w:b/>
                <w:bCs w:val="0"/>
                <w:szCs w:val="20"/>
              </w:rPr>
              <w:t>0.28 (0.12,0.44)</w:t>
            </w:r>
          </w:p>
        </w:tc>
      </w:tr>
      <w:tr w:rsidR="00F3286B" w:rsidRPr="00E55C36" w14:paraId="05B870C2" w14:textId="77777777" w:rsidTr="00C51B78">
        <w:tc>
          <w:tcPr>
            <w:tcW w:w="1125" w:type="dxa"/>
            <w:vMerge/>
            <w:shd w:val="clear" w:color="auto" w:fill="C6D9F1" w:themeFill="text2" w:themeFillTint="33"/>
            <w:vAlign w:val="center"/>
          </w:tcPr>
          <w:p w14:paraId="05CF8948" w14:textId="77777777" w:rsidR="00F3286B" w:rsidRPr="00E55C36" w:rsidRDefault="00F3286B" w:rsidP="00C959E4">
            <w:pPr>
              <w:pStyle w:val="TableText0"/>
              <w:rPr>
                <w:szCs w:val="20"/>
              </w:rPr>
            </w:pPr>
          </w:p>
        </w:tc>
        <w:tc>
          <w:tcPr>
            <w:tcW w:w="1668" w:type="dxa"/>
            <w:shd w:val="clear" w:color="auto" w:fill="C6D9F1" w:themeFill="text2" w:themeFillTint="33"/>
            <w:vAlign w:val="center"/>
          </w:tcPr>
          <w:p w14:paraId="05D2361F" w14:textId="77777777" w:rsidR="00F3286B" w:rsidRPr="00E55C36" w:rsidRDefault="00F3286B" w:rsidP="00C959E4">
            <w:pPr>
              <w:pStyle w:val="TableText0"/>
              <w:rPr>
                <w:szCs w:val="20"/>
              </w:rPr>
            </w:pPr>
            <w:r w:rsidRPr="00E55C36">
              <w:rPr>
                <w:szCs w:val="20"/>
              </w:rPr>
              <w:t>DE038, MTXs</w:t>
            </w:r>
          </w:p>
        </w:tc>
        <w:tc>
          <w:tcPr>
            <w:tcW w:w="971" w:type="dxa"/>
            <w:shd w:val="clear" w:color="auto" w:fill="C6D9F1" w:themeFill="text2" w:themeFillTint="33"/>
            <w:vAlign w:val="center"/>
          </w:tcPr>
          <w:p w14:paraId="6C73081E" w14:textId="77777777" w:rsidR="00F3286B" w:rsidRPr="00E55C36" w:rsidRDefault="00F3286B" w:rsidP="00C959E4">
            <w:pPr>
              <w:pStyle w:val="TableText0"/>
              <w:jc w:val="center"/>
              <w:rPr>
                <w:szCs w:val="20"/>
              </w:rPr>
            </w:pPr>
            <w:r w:rsidRPr="00E55C36">
              <w:rPr>
                <w:szCs w:val="20"/>
              </w:rPr>
              <w:t>24/38 (63.2)</w:t>
            </w:r>
          </w:p>
        </w:tc>
        <w:tc>
          <w:tcPr>
            <w:tcW w:w="983" w:type="dxa"/>
            <w:shd w:val="clear" w:color="auto" w:fill="C6D9F1" w:themeFill="text2" w:themeFillTint="33"/>
            <w:vAlign w:val="center"/>
          </w:tcPr>
          <w:p w14:paraId="140B6455" w14:textId="77777777" w:rsidR="00F3286B" w:rsidRPr="00E55C36" w:rsidRDefault="00F3286B" w:rsidP="00C959E4">
            <w:pPr>
              <w:pStyle w:val="TableText0"/>
              <w:jc w:val="center"/>
              <w:rPr>
                <w:szCs w:val="20"/>
              </w:rPr>
            </w:pPr>
            <w:r w:rsidRPr="00E55C36">
              <w:rPr>
                <w:szCs w:val="20"/>
              </w:rPr>
              <w:t>10/37 (27.0)</w:t>
            </w:r>
          </w:p>
        </w:tc>
        <w:tc>
          <w:tcPr>
            <w:tcW w:w="1470" w:type="dxa"/>
            <w:shd w:val="clear" w:color="auto" w:fill="C6D9F1" w:themeFill="text2" w:themeFillTint="33"/>
            <w:vAlign w:val="center"/>
          </w:tcPr>
          <w:p w14:paraId="1414C70E" w14:textId="77777777" w:rsidR="00F3286B" w:rsidRPr="00E55C36" w:rsidRDefault="00F3286B" w:rsidP="00C959E4">
            <w:pPr>
              <w:pStyle w:val="TableText0"/>
              <w:jc w:val="center"/>
              <w:rPr>
                <w:b/>
                <w:bCs w:val="0"/>
                <w:szCs w:val="20"/>
              </w:rPr>
            </w:pPr>
            <w:r w:rsidRPr="00E55C36">
              <w:rPr>
                <w:b/>
                <w:bCs w:val="0"/>
                <w:szCs w:val="20"/>
              </w:rPr>
              <w:t>4.63 (1.74,12.34)</w:t>
            </w:r>
          </w:p>
        </w:tc>
        <w:tc>
          <w:tcPr>
            <w:tcW w:w="1400" w:type="dxa"/>
            <w:shd w:val="clear" w:color="auto" w:fill="C6D9F1" w:themeFill="text2" w:themeFillTint="33"/>
            <w:vAlign w:val="center"/>
          </w:tcPr>
          <w:p w14:paraId="7C252412" w14:textId="77777777" w:rsidR="00F3286B" w:rsidRPr="00E55C36" w:rsidRDefault="00F3286B" w:rsidP="00C959E4">
            <w:pPr>
              <w:pStyle w:val="TableText0"/>
              <w:jc w:val="center"/>
              <w:rPr>
                <w:b/>
                <w:bCs w:val="0"/>
                <w:szCs w:val="20"/>
              </w:rPr>
            </w:pPr>
            <w:r w:rsidRPr="00E55C36">
              <w:rPr>
                <w:b/>
                <w:bCs w:val="0"/>
                <w:szCs w:val="20"/>
              </w:rPr>
              <w:t>2.34 (1.31,4.18)</w:t>
            </w:r>
          </w:p>
        </w:tc>
        <w:tc>
          <w:tcPr>
            <w:tcW w:w="1400" w:type="dxa"/>
            <w:shd w:val="clear" w:color="auto" w:fill="C6D9F1" w:themeFill="text2" w:themeFillTint="33"/>
          </w:tcPr>
          <w:p w14:paraId="37E5CB63" w14:textId="77777777" w:rsidR="00F3286B" w:rsidRPr="00E55C36" w:rsidRDefault="00F3286B" w:rsidP="00C959E4">
            <w:pPr>
              <w:pStyle w:val="TableText0"/>
              <w:jc w:val="center"/>
              <w:rPr>
                <w:b/>
                <w:bCs w:val="0"/>
                <w:szCs w:val="20"/>
              </w:rPr>
            </w:pPr>
            <w:r w:rsidRPr="00E55C36">
              <w:rPr>
                <w:b/>
                <w:bCs w:val="0"/>
                <w:szCs w:val="20"/>
              </w:rPr>
              <w:t>0.36 (0.15,0.57)</w:t>
            </w:r>
          </w:p>
        </w:tc>
      </w:tr>
      <w:tr w:rsidR="00F3286B" w:rsidRPr="00E55C36" w14:paraId="15939ABA" w14:textId="77777777" w:rsidTr="00C51B78">
        <w:tc>
          <w:tcPr>
            <w:tcW w:w="1125" w:type="dxa"/>
            <w:vMerge/>
            <w:shd w:val="clear" w:color="auto" w:fill="C6D9F1" w:themeFill="text2" w:themeFillTint="33"/>
            <w:vAlign w:val="center"/>
          </w:tcPr>
          <w:p w14:paraId="0FCA6326" w14:textId="77777777" w:rsidR="00F3286B" w:rsidRPr="00E55C36" w:rsidRDefault="00F3286B" w:rsidP="00C959E4">
            <w:pPr>
              <w:pStyle w:val="TableText0"/>
              <w:rPr>
                <w:szCs w:val="20"/>
              </w:rPr>
            </w:pPr>
          </w:p>
        </w:tc>
        <w:tc>
          <w:tcPr>
            <w:tcW w:w="1668" w:type="dxa"/>
            <w:shd w:val="clear" w:color="auto" w:fill="C6D9F1" w:themeFill="text2" w:themeFillTint="33"/>
            <w:vAlign w:val="center"/>
          </w:tcPr>
          <w:p w14:paraId="624A63C6" w14:textId="77777777" w:rsidR="00F3286B" w:rsidRPr="00E55C36" w:rsidRDefault="00F3286B" w:rsidP="00C959E4">
            <w:pPr>
              <w:pStyle w:val="TableText0"/>
              <w:rPr>
                <w:szCs w:val="20"/>
              </w:rPr>
            </w:pPr>
            <w:r w:rsidRPr="00E55C36">
              <w:rPr>
                <w:szCs w:val="20"/>
              </w:rPr>
              <w:t>DE038, non-MTXs</w:t>
            </w:r>
          </w:p>
        </w:tc>
        <w:tc>
          <w:tcPr>
            <w:tcW w:w="971" w:type="dxa"/>
            <w:shd w:val="clear" w:color="auto" w:fill="C6D9F1" w:themeFill="text2" w:themeFillTint="33"/>
            <w:vAlign w:val="center"/>
          </w:tcPr>
          <w:p w14:paraId="5AE27AE5" w14:textId="77777777" w:rsidR="00F3286B" w:rsidRPr="00E55C36" w:rsidRDefault="00F3286B" w:rsidP="00C959E4">
            <w:pPr>
              <w:pStyle w:val="TableText0"/>
              <w:jc w:val="center"/>
              <w:rPr>
                <w:szCs w:val="20"/>
              </w:rPr>
            </w:pPr>
            <w:r w:rsidRPr="00E55C36">
              <w:rPr>
                <w:szCs w:val="20"/>
              </w:rPr>
              <w:t>14/30 (46.7)</w:t>
            </w:r>
          </w:p>
        </w:tc>
        <w:tc>
          <w:tcPr>
            <w:tcW w:w="983" w:type="dxa"/>
            <w:shd w:val="clear" w:color="auto" w:fill="C6D9F1" w:themeFill="text2" w:themeFillTint="33"/>
            <w:vAlign w:val="center"/>
          </w:tcPr>
          <w:p w14:paraId="3D918679" w14:textId="77777777" w:rsidR="00F3286B" w:rsidRPr="00E55C36" w:rsidRDefault="00F3286B" w:rsidP="00C959E4">
            <w:pPr>
              <w:pStyle w:val="TableText0"/>
              <w:jc w:val="center"/>
              <w:rPr>
                <w:szCs w:val="20"/>
              </w:rPr>
            </w:pPr>
            <w:r w:rsidRPr="00E55C36">
              <w:rPr>
                <w:szCs w:val="20"/>
              </w:rPr>
              <w:t>8/28 (28.6)</w:t>
            </w:r>
          </w:p>
        </w:tc>
        <w:tc>
          <w:tcPr>
            <w:tcW w:w="1470" w:type="dxa"/>
            <w:shd w:val="clear" w:color="auto" w:fill="C6D9F1" w:themeFill="text2" w:themeFillTint="33"/>
            <w:vAlign w:val="center"/>
          </w:tcPr>
          <w:p w14:paraId="12E09D49" w14:textId="77777777" w:rsidR="00F3286B" w:rsidRPr="00E55C36" w:rsidRDefault="00F3286B" w:rsidP="00C959E4">
            <w:pPr>
              <w:pStyle w:val="TableText0"/>
              <w:jc w:val="center"/>
              <w:rPr>
                <w:szCs w:val="20"/>
              </w:rPr>
            </w:pPr>
            <w:r w:rsidRPr="00E55C36">
              <w:rPr>
                <w:szCs w:val="20"/>
              </w:rPr>
              <w:t>2.19 (0.74,6.50)</w:t>
            </w:r>
          </w:p>
        </w:tc>
        <w:tc>
          <w:tcPr>
            <w:tcW w:w="1400" w:type="dxa"/>
            <w:shd w:val="clear" w:color="auto" w:fill="C6D9F1" w:themeFill="text2" w:themeFillTint="33"/>
            <w:vAlign w:val="center"/>
          </w:tcPr>
          <w:p w14:paraId="4DFEBE61" w14:textId="77777777" w:rsidR="00F3286B" w:rsidRPr="00E55C36" w:rsidRDefault="00F3286B" w:rsidP="00C959E4">
            <w:pPr>
              <w:pStyle w:val="TableText0"/>
              <w:jc w:val="center"/>
              <w:rPr>
                <w:szCs w:val="20"/>
              </w:rPr>
            </w:pPr>
            <w:r w:rsidRPr="00E55C36">
              <w:rPr>
                <w:szCs w:val="20"/>
              </w:rPr>
              <w:t>1.63 (0.81,3.29)</w:t>
            </w:r>
          </w:p>
        </w:tc>
        <w:tc>
          <w:tcPr>
            <w:tcW w:w="1400" w:type="dxa"/>
            <w:shd w:val="clear" w:color="auto" w:fill="C6D9F1" w:themeFill="text2" w:themeFillTint="33"/>
          </w:tcPr>
          <w:p w14:paraId="40DA664E" w14:textId="77777777" w:rsidR="00F3286B" w:rsidRPr="00E55C36" w:rsidRDefault="00F3286B" w:rsidP="00C959E4">
            <w:pPr>
              <w:pStyle w:val="TableText0"/>
              <w:jc w:val="center"/>
              <w:rPr>
                <w:szCs w:val="20"/>
              </w:rPr>
            </w:pPr>
            <w:r w:rsidRPr="00E55C36">
              <w:rPr>
                <w:szCs w:val="20"/>
              </w:rPr>
              <w:t>0.18 (-0.06,0.43)</w:t>
            </w:r>
          </w:p>
        </w:tc>
      </w:tr>
      <w:tr w:rsidR="00F3286B" w:rsidRPr="00E55C36" w14:paraId="33EBC57C" w14:textId="77777777" w:rsidTr="00C51B78">
        <w:tc>
          <w:tcPr>
            <w:tcW w:w="4747" w:type="dxa"/>
            <w:gridSpan w:val="4"/>
            <w:tcBorders>
              <w:bottom w:val="nil"/>
            </w:tcBorders>
            <w:shd w:val="clear" w:color="auto" w:fill="auto"/>
            <w:vAlign w:val="center"/>
          </w:tcPr>
          <w:p w14:paraId="5AA3839F" w14:textId="77777777" w:rsidR="00F3286B" w:rsidRPr="00E55C36" w:rsidRDefault="00F3286B" w:rsidP="00C959E4">
            <w:pPr>
              <w:pStyle w:val="TableText0"/>
              <w:jc w:val="right"/>
              <w:rPr>
                <w:b/>
                <w:bCs w:val="0"/>
                <w:szCs w:val="20"/>
              </w:rPr>
            </w:pPr>
            <w:r w:rsidRPr="00E55C36">
              <w:rPr>
                <w:b/>
                <w:bCs w:val="0"/>
                <w:szCs w:val="20"/>
              </w:rPr>
              <w:t>ITC: Flare</w:t>
            </w:r>
          </w:p>
        </w:tc>
        <w:tc>
          <w:tcPr>
            <w:tcW w:w="1470" w:type="dxa"/>
            <w:tcBorders>
              <w:bottom w:val="nil"/>
            </w:tcBorders>
            <w:shd w:val="clear" w:color="auto" w:fill="auto"/>
            <w:vAlign w:val="center"/>
          </w:tcPr>
          <w:p w14:paraId="4DFD517D" w14:textId="77777777" w:rsidR="00F3286B" w:rsidRPr="00E55C36" w:rsidRDefault="00F3286B" w:rsidP="00C959E4">
            <w:pPr>
              <w:pStyle w:val="TableText0"/>
              <w:jc w:val="center"/>
              <w:rPr>
                <w:szCs w:val="20"/>
              </w:rPr>
            </w:pPr>
          </w:p>
        </w:tc>
        <w:tc>
          <w:tcPr>
            <w:tcW w:w="1400" w:type="dxa"/>
            <w:tcBorders>
              <w:bottom w:val="nil"/>
            </w:tcBorders>
            <w:shd w:val="clear" w:color="auto" w:fill="auto"/>
            <w:vAlign w:val="center"/>
          </w:tcPr>
          <w:p w14:paraId="0A2C0360" w14:textId="77777777" w:rsidR="00F3286B" w:rsidRPr="00E55C36" w:rsidRDefault="00F3286B" w:rsidP="00C959E4">
            <w:pPr>
              <w:pStyle w:val="TableText0"/>
              <w:jc w:val="center"/>
              <w:rPr>
                <w:szCs w:val="20"/>
              </w:rPr>
            </w:pPr>
          </w:p>
        </w:tc>
        <w:tc>
          <w:tcPr>
            <w:tcW w:w="1400" w:type="dxa"/>
            <w:tcBorders>
              <w:bottom w:val="nil"/>
            </w:tcBorders>
            <w:shd w:val="clear" w:color="auto" w:fill="auto"/>
          </w:tcPr>
          <w:p w14:paraId="558A40FB" w14:textId="77777777" w:rsidR="00F3286B" w:rsidRPr="00E55C36" w:rsidRDefault="00F3286B" w:rsidP="00C959E4">
            <w:pPr>
              <w:pStyle w:val="TableText0"/>
              <w:jc w:val="center"/>
              <w:rPr>
                <w:szCs w:val="20"/>
              </w:rPr>
            </w:pPr>
          </w:p>
        </w:tc>
      </w:tr>
      <w:tr w:rsidR="00F3286B" w:rsidRPr="00E55C36" w14:paraId="66B8F227" w14:textId="77777777" w:rsidTr="00C51B78">
        <w:tc>
          <w:tcPr>
            <w:tcW w:w="4747" w:type="dxa"/>
            <w:gridSpan w:val="4"/>
            <w:tcBorders>
              <w:top w:val="nil"/>
              <w:bottom w:val="nil"/>
            </w:tcBorders>
            <w:shd w:val="clear" w:color="auto" w:fill="auto"/>
            <w:vAlign w:val="center"/>
          </w:tcPr>
          <w:p w14:paraId="7703F9E3" w14:textId="77777777" w:rsidR="00F3286B" w:rsidRPr="00E55C36" w:rsidRDefault="00F3286B" w:rsidP="00C959E4">
            <w:pPr>
              <w:pStyle w:val="TableText0"/>
              <w:jc w:val="right"/>
              <w:rPr>
                <w:szCs w:val="20"/>
              </w:rPr>
            </w:pPr>
            <w:r w:rsidRPr="00E55C36">
              <w:rPr>
                <w:szCs w:val="20"/>
              </w:rPr>
              <w:t>TOF (ITT) v ADA (MTXs)</w:t>
            </w:r>
          </w:p>
        </w:tc>
        <w:tc>
          <w:tcPr>
            <w:tcW w:w="1470" w:type="dxa"/>
            <w:tcBorders>
              <w:top w:val="nil"/>
              <w:bottom w:val="nil"/>
            </w:tcBorders>
            <w:shd w:val="clear" w:color="auto" w:fill="auto"/>
            <w:vAlign w:val="center"/>
          </w:tcPr>
          <w:p w14:paraId="6E96837B" w14:textId="77777777" w:rsidR="00F3286B" w:rsidRPr="00E55C36" w:rsidRDefault="00F3286B" w:rsidP="00C959E4">
            <w:pPr>
              <w:pStyle w:val="TableText0"/>
              <w:jc w:val="center"/>
              <w:rPr>
                <w:szCs w:val="20"/>
              </w:rPr>
            </w:pPr>
            <w:r w:rsidRPr="00E55C36">
              <w:rPr>
                <w:szCs w:val="20"/>
              </w:rPr>
              <w:t>1.16 (0.35,3.78)</w:t>
            </w:r>
          </w:p>
        </w:tc>
        <w:tc>
          <w:tcPr>
            <w:tcW w:w="1400" w:type="dxa"/>
            <w:tcBorders>
              <w:top w:val="nil"/>
              <w:bottom w:val="nil"/>
            </w:tcBorders>
            <w:shd w:val="clear" w:color="auto" w:fill="auto"/>
            <w:vAlign w:val="center"/>
          </w:tcPr>
          <w:p w14:paraId="1F3EF601" w14:textId="77777777" w:rsidR="00F3286B" w:rsidRPr="00E55C36" w:rsidRDefault="00F3286B" w:rsidP="00C959E4">
            <w:pPr>
              <w:pStyle w:val="TableText0"/>
              <w:jc w:val="center"/>
              <w:rPr>
                <w:szCs w:val="20"/>
              </w:rPr>
            </w:pPr>
            <w:r w:rsidRPr="00E55C36">
              <w:rPr>
                <w:szCs w:val="20"/>
              </w:rPr>
              <w:t>0.96 (0.51,1.83)</w:t>
            </w:r>
          </w:p>
        </w:tc>
        <w:tc>
          <w:tcPr>
            <w:tcW w:w="1400" w:type="dxa"/>
            <w:tcBorders>
              <w:top w:val="nil"/>
              <w:bottom w:val="nil"/>
            </w:tcBorders>
            <w:shd w:val="clear" w:color="auto" w:fill="auto"/>
          </w:tcPr>
          <w:p w14:paraId="4D7042A1" w14:textId="77777777" w:rsidR="00F3286B" w:rsidRPr="00E55C36" w:rsidRDefault="00F3286B" w:rsidP="00C959E4">
            <w:pPr>
              <w:pStyle w:val="TableText0"/>
              <w:jc w:val="center"/>
              <w:rPr>
                <w:szCs w:val="20"/>
              </w:rPr>
            </w:pPr>
            <w:r w:rsidRPr="00E55C36">
              <w:rPr>
                <w:szCs w:val="20"/>
              </w:rPr>
              <w:t>0.04 (-0.23,0.31)</w:t>
            </w:r>
          </w:p>
        </w:tc>
      </w:tr>
      <w:tr w:rsidR="00F3286B" w:rsidRPr="00E55C36" w14:paraId="7B89225A" w14:textId="77777777" w:rsidTr="00C51B78">
        <w:tc>
          <w:tcPr>
            <w:tcW w:w="4747" w:type="dxa"/>
            <w:gridSpan w:val="4"/>
            <w:tcBorders>
              <w:top w:val="nil"/>
              <w:bottom w:val="nil"/>
            </w:tcBorders>
            <w:shd w:val="clear" w:color="auto" w:fill="auto"/>
            <w:vAlign w:val="center"/>
          </w:tcPr>
          <w:p w14:paraId="602EAFF0" w14:textId="77777777" w:rsidR="00F3286B" w:rsidRPr="00E55C36" w:rsidRDefault="00F3286B" w:rsidP="00C959E4">
            <w:pPr>
              <w:pStyle w:val="TableText0"/>
              <w:jc w:val="right"/>
              <w:rPr>
                <w:szCs w:val="20"/>
              </w:rPr>
            </w:pPr>
            <w:r w:rsidRPr="00E55C36">
              <w:rPr>
                <w:szCs w:val="20"/>
              </w:rPr>
              <w:t>MTX: TOF (MTX-d1) v ADA (MTXs)</w:t>
            </w:r>
          </w:p>
        </w:tc>
        <w:tc>
          <w:tcPr>
            <w:tcW w:w="1470" w:type="dxa"/>
            <w:tcBorders>
              <w:top w:val="nil"/>
              <w:bottom w:val="nil"/>
            </w:tcBorders>
            <w:shd w:val="clear" w:color="auto" w:fill="auto"/>
            <w:vAlign w:val="center"/>
          </w:tcPr>
          <w:p w14:paraId="7A2067FF" w14:textId="77777777" w:rsidR="00F3286B" w:rsidRPr="00E55C36" w:rsidRDefault="00F3286B" w:rsidP="00C959E4">
            <w:pPr>
              <w:pStyle w:val="TableText0"/>
              <w:jc w:val="center"/>
              <w:rPr>
                <w:szCs w:val="20"/>
              </w:rPr>
            </w:pPr>
            <w:r w:rsidRPr="00E55C36">
              <w:rPr>
                <w:szCs w:val="20"/>
              </w:rPr>
              <w:t>1.38 (0.40,4.75)</w:t>
            </w:r>
          </w:p>
        </w:tc>
        <w:tc>
          <w:tcPr>
            <w:tcW w:w="1400" w:type="dxa"/>
            <w:tcBorders>
              <w:top w:val="nil"/>
              <w:bottom w:val="nil"/>
            </w:tcBorders>
            <w:shd w:val="clear" w:color="auto" w:fill="auto"/>
            <w:vAlign w:val="center"/>
          </w:tcPr>
          <w:p w14:paraId="48428B5C" w14:textId="77777777" w:rsidR="00F3286B" w:rsidRPr="00E55C36" w:rsidRDefault="00F3286B" w:rsidP="00C959E4">
            <w:pPr>
              <w:pStyle w:val="TableText0"/>
              <w:jc w:val="center"/>
              <w:rPr>
                <w:szCs w:val="20"/>
              </w:rPr>
            </w:pPr>
            <w:r w:rsidRPr="00E55C36">
              <w:rPr>
                <w:szCs w:val="20"/>
              </w:rPr>
              <w:t>1.05 (0.52,2.13)</w:t>
            </w:r>
          </w:p>
        </w:tc>
        <w:tc>
          <w:tcPr>
            <w:tcW w:w="1400" w:type="dxa"/>
            <w:tcBorders>
              <w:top w:val="nil"/>
              <w:bottom w:val="nil"/>
            </w:tcBorders>
            <w:shd w:val="clear" w:color="auto" w:fill="auto"/>
          </w:tcPr>
          <w:p w14:paraId="3BE92DA7" w14:textId="77777777" w:rsidR="00F3286B" w:rsidRPr="00E55C36" w:rsidRDefault="00F3286B" w:rsidP="00C959E4">
            <w:pPr>
              <w:pStyle w:val="TableText0"/>
              <w:jc w:val="center"/>
              <w:rPr>
                <w:szCs w:val="20"/>
              </w:rPr>
            </w:pPr>
            <w:r w:rsidRPr="00E55C36">
              <w:rPr>
                <w:szCs w:val="20"/>
              </w:rPr>
              <w:t>0.09 (-0.19,0.37)</w:t>
            </w:r>
          </w:p>
        </w:tc>
      </w:tr>
      <w:tr w:rsidR="00F3286B" w:rsidRPr="00E55C36" w14:paraId="39DB388B" w14:textId="77777777" w:rsidTr="00C51B78">
        <w:tc>
          <w:tcPr>
            <w:tcW w:w="4747" w:type="dxa"/>
            <w:gridSpan w:val="4"/>
            <w:tcBorders>
              <w:top w:val="nil"/>
              <w:bottom w:val="single" w:sz="4" w:space="0" w:color="auto"/>
            </w:tcBorders>
            <w:shd w:val="clear" w:color="auto" w:fill="auto"/>
            <w:vAlign w:val="center"/>
          </w:tcPr>
          <w:p w14:paraId="56F7C9DC" w14:textId="77777777" w:rsidR="00F3286B" w:rsidRPr="00E55C36" w:rsidRDefault="00F3286B" w:rsidP="00C959E4">
            <w:pPr>
              <w:pStyle w:val="TableText0"/>
              <w:jc w:val="right"/>
              <w:rPr>
                <w:szCs w:val="20"/>
              </w:rPr>
            </w:pPr>
            <w:r w:rsidRPr="00E55C36">
              <w:rPr>
                <w:szCs w:val="20"/>
              </w:rPr>
              <w:t>TOF (bDMARDn) v ADA (MTXs)</w:t>
            </w:r>
          </w:p>
        </w:tc>
        <w:tc>
          <w:tcPr>
            <w:tcW w:w="1470" w:type="dxa"/>
            <w:tcBorders>
              <w:top w:val="nil"/>
              <w:bottom w:val="single" w:sz="4" w:space="0" w:color="auto"/>
            </w:tcBorders>
            <w:shd w:val="clear" w:color="auto" w:fill="auto"/>
            <w:vAlign w:val="center"/>
          </w:tcPr>
          <w:p w14:paraId="7B07DDCD" w14:textId="77777777" w:rsidR="00F3286B" w:rsidRPr="00E55C36" w:rsidRDefault="00F3286B" w:rsidP="00C959E4">
            <w:pPr>
              <w:pStyle w:val="TableText0"/>
              <w:jc w:val="center"/>
              <w:rPr>
                <w:szCs w:val="20"/>
              </w:rPr>
            </w:pPr>
            <w:r w:rsidRPr="00E55C36">
              <w:rPr>
                <w:szCs w:val="20"/>
              </w:rPr>
              <w:t>1.63 (0.46,5.71)</w:t>
            </w:r>
          </w:p>
        </w:tc>
        <w:tc>
          <w:tcPr>
            <w:tcW w:w="1400" w:type="dxa"/>
            <w:tcBorders>
              <w:top w:val="nil"/>
              <w:bottom w:val="single" w:sz="4" w:space="0" w:color="auto"/>
            </w:tcBorders>
            <w:shd w:val="clear" w:color="auto" w:fill="auto"/>
            <w:vAlign w:val="center"/>
          </w:tcPr>
          <w:p w14:paraId="77D4FC5A" w14:textId="77777777" w:rsidR="00F3286B" w:rsidRPr="00E55C36" w:rsidRDefault="00F3286B" w:rsidP="00C959E4">
            <w:pPr>
              <w:pStyle w:val="TableText0"/>
              <w:jc w:val="center"/>
              <w:rPr>
                <w:szCs w:val="20"/>
              </w:rPr>
            </w:pPr>
            <w:r w:rsidRPr="00E55C36">
              <w:rPr>
                <w:szCs w:val="20"/>
              </w:rPr>
              <w:t>1.18 (0.58,2.38)</w:t>
            </w:r>
          </w:p>
        </w:tc>
        <w:tc>
          <w:tcPr>
            <w:tcW w:w="1400" w:type="dxa"/>
            <w:tcBorders>
              <w:top w:val="nil"/>
              <w:bottom w:val="single" w:sz="4" w:space="0" w:color="auto"/>
            </w:tcBorders>
            <w:shd w:val="clear" w:color="auto" w:fill="auto"/>
          </w:tcPr>
          <w:p w14:paraId="40E204B4" w14:textId="77777777" w:rsidR="00F3286B" w:rsidRPr="00E55C36" w:rsidRDefault="00F3286B" w:rsidP="00C959E4">
            <w:pPr>
              <w:pStyle w:val="TableText0"/>
              <w:jc w:val="center"/>
              <w:rPr>
                <w:szCs w:val="20"/>
              </w:rPr>
            </w:pPr>
            <w:r w:rsidRPr="00E55C36">
              <w:rPr>
                <w:szCs w:val="20"/>
              </w:rPr>
              <w:t>0.13 (-0.16,0.42)</w:t>
            </w:r>
          </w:p>
        </w:tc>
      </w:tr>
      <w:tr w:rsidR="00F3286B" w:rsidRPr="00E55C36" w14:paraId="6C7B00F6" w14:textId="77777777" w:rsidTr="00C51B78">
        <w:tc>
          <w:tcPr>
            <w:tcW w:w="4747" w:type="dxa"/>
            <w:gridSpan w:val="4"/>
            <w:tcBorders>
              <w:bottom w:val="nil"/>
            </w:tcBorders>
            <w:shd w:val="clear" w:color="auto" w:fill="auto"/>
            <w:vAlign w:val="center"/>
          </w:tcPr>
          <w:p w14:paraId="2A150D74" w14:textId="77777777" w:rsidR="00F3286B" w:rsidRPr="00E55C36" w:rsidRDefault="00F3286B" w:rsidP="00C959E4">
            <w:pPr>
              <w:pStyle w:val="TableText0"/>
              <w:jc w:val="right"/>
              <w:rPr>
                <w:b/>
                <w:bCs w:val="0"/>
                <w:szCs w:val="20"/>
              </w:rPr>
            </w:pPr>
            <w:r w:rsidRPr="00E55C36">
              <w:rPr>
                <w:b/>
                <w:bCs w:val="0"/>
                <w:szCs w:val="20"/>
              </w:rPr>
              <w:t>ITC: PedACR30</w:t>
            </w:r>
          </w:p>
        </w:tc>
        <w:tc>
          <w:tcPr>
            <w:tcW w:w="1470" w:type="dxa"/>
            <w:tcBorders>
              <w:bottom w:val="nil"/>
            </w:tcBorders>
            <w:shd w:val="clear" w:color="auto" w:fill="auto"/>
            <w:vAlign w:val="center"/>
          </w:tcPr>
          <w:p w14:paraId="04B1F6A2" w14:textId="77777777" w:rsidR="00F3286B" w:rsidRPr="00E55C36" w:rsidRDefault="00F3286B" w:rsidP="00C959E4">
            <w:pPr>
              <w:pStyle w:val="TableText0"/>
              <w:jc w:val="center"/>
              <w:rPr>
                <w:szCs w:val="20"/>
              </w:rPr>
            </w:pPr>
          </w:p>
        </w:tc>
        <w:tc>
          <w:tcPr>
            <w:tcW w:w="1400" w:type="dxa"/>
            <w:tcBorders>
              <w:bottom w:val="nil"/>
            </w:tcBorders>
            <w:shd w:val="clear" w:color="auto" w:fill="auto"/>
            <w:vAlign w:val="center"/>
          </w:tcPr>
          <w:p w14:paraId="3A4F5003" w14:textId="77777777" w:rsidR="00F3286B" w:rsidRPr="00E55C36" w:rsidRDefault="00F3286B" w:rsidP="00C959E4">
            <w:pPr>
              <w:pStyle w:val="TableText0"/>
              <w:jc w:val="center"/>
              <w:rPr>
                <w:szCs w:val="20"/>
              </w:rPr>
            </w:pPr>
          </w:p>
        </w:tc>
        <w:tc>
          <w:tcPr>
            <w:tcW w:w="1400" w:type="dxa"/>
            <w:tcBorders>
              <w:bottom w:val="nil"/>
            </w:tcBorders>
            <w:shd w:val="clear" w:color="auto" w:fill="auto"/>
          </w:tcPr>
          <w:p w14:paraId="0FBD4E8C" w14:textId="77777777" w:rsidR="00F3286B" w:rsidRPr="00E55C36" w:rsidRDefault="00F3286B" w:rsidP="00C959E4">
            <w:pPr>
              <w:pStyle w:val="TableText0"/>
              <w:jc w:val="center"/>
              <w:rPr>
                <w:szCs w:val="20"/>
              </w:rPr>
            </w:pPr>
          </w:p>
        </w:tc>
      </w:tr>
      <w:tr w:rsidR="00F3286B" w:rsidRPr="00E55C36" w14:paraId="3434AE09" w14:textId="77777777" w:rsidTr="00C51B78">
        <w:tc>
          <w:tcPr>
            <w:tcW w:w="4747" w:type="dxa"/>
            <w:gridSpan w:val="4"/>
            <w:tcBorders>
              <w:top w:val="nil"/>
              <w:bottom w:val="nil"/>
            </w:tcBorders>
            <w:shd w:val="clear" w:color="auto" w:fill="auto"/>
            <w:vAlign w:val="center"/>
          </w:tcPr>
          <w:p w14:paraId="45E0CEBC" w14:textId="77777777" w:rsidR="00F3286B" w:rsidRPr="00E55C36" w:rsidRDefault="00F3286B" w:rsidP="00C959E4">
            <w:pPr>
              <w:pStyle w:val="TableText0"/>
              <w:jc w:val="right"/>
              <w:rPr>
                <w:szCs w:val="20"/>
              </w:rPr>
            </w:pPr>
            <w:r w:rsidRPr="00E55C36">
              <w:rPr>
                <w:szCs w:val="20"/>
              </w:rPr>
              <w:t>TOF (ITT) v ADA (MTXs)</w:t>
            </w:r>
          </w:p>
        </w:tc>
        <w:tc>
          <w:tcPr>
            <w:tcW w:w="1470" w:type="dxa"/>
            <w:tcBorders>
              <w:top w:val="nil"/>
              <w:bottom w:val="nil"/>
            </w:tcBorders>
            <w:shd w:val="clear" w:color="auto" w:fill="auto"/>
            <w:vAlign w:val="center"/>
          </w:tcPr>
          <w:p w14:paraId="5C67D564" w14:textId="77777777" w:rsidR="00F3286B" w:rsidRPr="00E55C36" w:rsidRDefault="00F3286B" w:rsidP="00C959E4">
            <w:pPr>
              <w:pStyle w:val="TableText0"/>
              <w:jc w:val="center"/>
              <w:rPr>
                <w:szCs w:val="20"/>
              </w:rPr>
            </w:pPr>
            <w:r w:rsidRPr="00E55C36">
              <w:rPr>
                <w:szCs w:val="20"/>
              </w:rPr>
              <w:t>0.96 (0.30,3.10)</w:t>
            </w:r>
          </w:p>
        </w:tc>
        <w:tc>
          <w:tcPr>
            <w:tcW w:w="1400" w:type="dxa"/>
            <w:tcBorders>
              <w:top w:val="nil"/>
              <w:bottom w:val="nil"/>
            </w:tcBorders>
            <w:shd w:val="clear" w:color="auto" w:fill="auto"/>
            <w:vAlign w:val="center"/>
          </w:tcPr>
          <w:p w14:paraId="16724807" w14:textId="77777777" w:rsidR="00F3286B" w:rsidRPr="00E55C36" w:rsidRDefault="00F3286B" w:rsidP="00C959E4">
            <w:pPr>
              <w:pStyle w:val="TableText0"/>
              <w:jc w:val="center"/>
              <w:rPr>
                <w:szCs w:val="20"/>
              </w:rPr>
            </w:pPr>
            <w:r w:rsidRPr="00E55C36">
              <w:rPr>
                <w:szCs w:val="20"/>
              </w:rPr>
              <w:t>0.90 (0.51,1.57)</w:t>
            </w:r>
          </w:p>
        </w:tc>
        <w:tc>
          <w:tcPr>
            <w:tcW w:w="1400" w:type="dxa"/>
            <w:tcBorders>
              <w:top w:val="nil"/>
              <w:bottom w:val="nil"/>
            </w:tcBorders>
            <w:shd w:val="clear" w:color="auto" w:fill="auto"/>
          </w:tcPr>
          <w:p w14:paraId="39420132" w14:textId="77777777" w:rsidR="00F3286B" w:rsidRPr="00E55C36" w:rsidRDefault="00F3286B" w:rsidP="00C959E4">
            <w:pPr>
              <w:pStyle w:val="TableText0"/>
              <w:jc w:val="center"/>
              <w:rPr>
                <w:szCs w:val="20"/>
              </w:rPr>
            </w:pPr>
            <w:r w:rsidRPr="00E55C36">
              <w:rPr>
                <w:szCs w:val="20"/>
              </w:rPr>
              <w:t>-0.01 (-0.28,0.26)</w:t>
            </w:r>
          </w:p>
        </w:tc>
      </w:tr>
      <w:tr w:rsidR="00F3286B" w:rsidRPr="00E55C36" w14:paraId="619BF4A1" w14:textId="77777777" w:rsidTr="00C51B78">
        <w:tc>
          <w:tcPr>
            <w:tcW w:w="4747" w:type="dxa"/>
            <w:gridSpan w:val="4"/>
            <w:tcBorders>
              <w:top w:val="nil"/>
              <w:bottom w:val="nil"/>
            </w:tcBorders>
            <w:shd w:val="clear" w:color="auto" w:fill="auto"/>
            <w:vAlign w:val="center"/>
          </w:tcPr>
          <w:p w14:paraId="64056510" w14:textId="77777777" w:rsidR="00F3286B" w:rsidRPr="00E55C36" w:rsidRDefault="00F3286B" w:rsidP="00C959E4">
            <w:pPr>
              <w:pStyle w:val="TableText0"/>
              <w:jc w:val="right"/>
              <w:rPr>
                <w:szCs w:val="20"/>
              </w:rPr>
            </w:pPr>
            <w:r w:rsidRPr="00E55C36">
              <w:rPr>
                <w:szCs w:val="20"/>
              </w:rPr>
              <w:t>MTX: TOF (MTX-d1) v ADA (MTXs)</w:t>
            </w:r>
          </w:p>
        </w:tc>
        <w:tc>
          <w:tcPr>
            <w:tcW w:w="1470" w:type="dxa"/>
            <w:tcBorders>
              <w:top w:val="nil"/>
              <w:bottom w:val="nil"/>
            </w:tcBorders>
            <w:shd w:val="clear" w:color="auto" w:fill="auto"/>
            <w:vAlign w:val="center"/>
          </w:tcPr>
          <w:p w14:paraId="3E02EFD4" w14:textId="77777777" w:rsidR="00F3286B" w:rsidRPr="00E55C36" w:rsidRDefault="00F3286B" w:rsidP="00C959E4">
            <w:pPr>
              <w:pStyle w:val="TableText0"/>
              <w:jc w:val="center"/>
              <w:rPr>
                <w:szCs w:val="20"/>
              </w:rPr>
            </w:pPr>
            <w:r w:rsidRPr="00E55C36">
              <w:rPr>
                <w:szCs w:val="20"/>
              </w:rPr>
              <w:t>0.81 (0.24,2.79)</w:t>
            </w:r>
          </w:p>
        </w:tc>
        <w:tc>
          <w:tcPr>
            <w:tcW w:w="1400" w:type="dxa"/>
            <w:tcBorders>
              <w:top w:val="nil"/>
              <w:bottom w:val="nil"/>
            </w:tcBorders>
            <w:shd w:val="clear" w:color="auto" w:fill="auto"/>
            <w:vAlign w:val="center"/>
          </w:tcPr>
          <w:p w14:paraId="11B769C4" w14:textId="77777777" w:rsidR="00F3286B" w:rsidRPr="00E55C36" w:rsidRDefault="00F3286B" w:rsidP="00C959E4">
            <w:pPr>
              <w:pStyle w:val="TableText0"/>
              <w:jc w:val="center"/>
              <w:rPr>
                <w:szCs w:val="20"/>
              </w:rPr>
            </w:pPr>
            <w:r w:rsidRPr="00E55C36">
              <w:rPr>
                <w:szCs w:val="20"/>
              </w:rPr>
              <w:t>0.82 (0.46,1.45)</w:t>
            </w:r>
          </w:p>
        </w:tc>
        <w:tc>
          <w:tcPr>
            <w:tcW w:w="1400" w:type="dxa"/>
            <w:tcBorders>
              <w:top w:val="nil"/>
              <w:bottom w:val="nil"/>
            </w:tcBorders>
            <w:shd w:val="clear" w:color="auto" w:fill="auto"/>
          </w:tcPr>
          <w:p w14:paraId="44613E33" w14:textId="77777777" w:rsidR="00F3286B" w:rsidRPr="00E55C36" w:rsidRDefault="00F3286B" w:rsidP="00C959E4">
            <w:pPr>
              <w:pStyle w:val="TableText0"/>
              <w:jc w:val="center"/>
              <w:rPr>
                <w:szCs w:val="20"/>
              </w:rPr>
            </w:pPr>
            <w:r w:rsidRPr="00E55C36">
              <w:rPr>
                <w:szCs w:val="20"/>
              </w:rPr>
              <w:t>-0.06 (-0.34,0.22)</w:t>
            </w:r>
          </w:p>
        </w:tc>
      </w:tr>
      <w:tr w:rsidR="00F3286B" w:rsidRPr="00E55C36" w14:paraId="400225C0" w14:textId="77777777" w:rsidTr="00C51B78">
        <w:tc>
          <w:tcPr>
            <w:tcW w:w="4747" w:type="dxa"/>
            <w:gridSpan w:val="4"/>
            <w:tcBorders>
              <w:top w:val="nil"/>
              <w:bottom w:val="single" w:sz="4" w:space="0" w:color="auto"/>
            </w:tcBorders>
            <w:shd w:val="clear" w:color="auto" w:fill="auto"/>
            <w:vAlign w:val="center"/>
          </w:tcPr>
          <w:p w14:paraId="3704B6FB" w14:textId="77777777" w:rsidR="00F3286B" w:rsidRPr="00E55C36" w:rsidRDefault="00F3286B" w:rsidP="00C959E4">
            <w:pPr>
              <w:pStyle w:val="TableText0"/>
              <w:jc w:val="right"/>
              <w:rPr>
                <w:szCs w:val="20"/>
              </w:rPr>
            </w:pPr>
            <w:r w:rsidRPr="00E55C36">
              <w:rPr>
                <w:szCs w:val="20"/>
              </w:rPr>
              <w:t>TOF (bDMARDn) v ADA (MTXs)</w:t>
            </w:r>
          </w:p>
        </w:tc>
        <w:tc>
          <w:tcPr>
            <w:tcW w:w="1470" w:type="dxa"/>
            <w:tcBorders>
              <w:top w:val="nil"/>
              <w:bottom w:val="single" w:sz="4" w:space="0" w:color="auto"/>
            </w:tcBorders>
            <w:shd w:val="clear" w:color="auto" w:fill="auto"/>
            <w:vAlign w:val="center"/>
          </w:tcPr>
          <w:p w14:paraId="4AEC83A4" w14:textId="77777777" w:rsidR="00F3286B" w:rsidRPr="00E55C36" w:rsidRDefault="00F3286B" w:rsidP="00C959E4">
            <w:pPr>
              <w:pStyle w:val="TableText0"/>
              <w:jc w:val="center"/>
              <w:rPr>
                <w:szCs w:val="20"/>
              </w:rPr>
            </w:pPr>
            <w:r w:rsidRPr="00E55C36">
              <w:rPr>
                <w:szCs w:val="20"/>
              </w:rPr>
              <w:t>0.68 (0.20,2.38)</w:t>
            </w:r>
          </w:p>
        </w:tc>
        <w:tc>
          <w:tcPr>
            <w:tcW w:w="1400" w:type="dxa"/>
            <w:tcBorders>
              <w:top w:val="nil"/>
              <w:bottom w:val="single" w:sz="4" w:space="0" w:color="auto"/>
            </w:tcBorders>
            <w:shd w:val="clear" w:color="auto" w:fill="auto"/>
            <w:vAlign w:val="center"/>
          </w:tcPr>
          <w:p w14:paraId="6E82F6DA" w14:textId="77777777" w:rsidR="00F3286B" w:rsidRPr="00E55C36" w:rsidRDefault="00F3286B" w:rsidP="00C959E4">
            <w:pPr>
              <w:pStyle w:val="TableText0"/>
              <w:jc w:val="center"/>
              <w:rPr>
                <w:szCs w:val="20"/>
              </w:rPr>
            </w:pPr>
            <w:r w:rsidRPr="00E55C36">
              <w:rPr>
                <w:szCs w:val="20"/>
              </w:rPr>
              <w:t>0.77 (0.43,1.36)</w:t>
            </w:r>
          </w:p>
        </w:tc>
        <w:tc>
          <w:tcPr>
            <w:tcW w:w="1400" w:type="dxa"/>
            <w:tcBorders>
              <w:top w:val="nil"/>
              <w:bottom w:val="single" w:sz="4" w:space="0" w:color="auto"/>
            </w:tcBorders>
            <w:shd w:val="clear" w:color="auto" w:fill="auto"/>
          </w:tcPr>
          <w:p w14:paraId="314505F4" w14:textId="77777777" w:rsidR="00F3286B" w:rsidRPr="00E55C36" w:rsidRDefault="00F3286B" w:rsidP="00C959E4">
            <w:pPr>
              <w:pStyle w:val="TableText0"/>
              <w:jc w:val="center"/>
              <w:rPr>
                <w:szCs w:val="20"/>
              </w:rPr>
            </w:pPr>
            <w:r w:rsidRPr="00E55C36">
              <w:rPr>
                <w:szCs w:val="20"/>
              </w:rPr>
              <w:t>-0.10 (-0.39,0.19)</w:t>
            </w:r>
          </w:p>
        </w:tc>
      </w:tr>
      <w:tr w:rsidR="00F3286B" w:rsidRPr="00E55C36" w14:paraId="67DD8F01" w14:textId="77777777" w:rsidTr="00C51B78">
        <w:tc>
          <w:tcPr>
            <w:tcW w:w="4747" w:type="dxa"/>
            <w:gridSpan w:val="4"/>
            <w:tcBorders>
              <w:bottom w:val="nil"/>
            </w:tcBorders>
            <w:shd w:val="clear" w:color="auto" w:fill="auto"/>
            <w:vAlign w:val="center"/>
          </w:tcPr>
          <w:p w14:paraId="2D6F14DD" w14:textId="77777777" w:rsidR="00F3286B" w:rsidRPr="00E55C36" w:rsidRDefault="00F3286B" w:rsidP="00C959E4">
            <w:pPr>
              <w:pStyle w:val="TableText0"/>
              <w:jc w:val="right"/>
              <w:rPr>
                <w:szCs w:val="20"/>
              </w:rPr>
            </w:pPr>
            <w:r w:rsidRPr="00E55C36">
              <w:rPr>
                <w:b/>
                <w:bCs w:val="0"/>
                <w:szCs w:val="20"/>
              </w:rPr>
              <w:t>ITC: PedACR50</w:t>
            </w:r>
          </w:p>
        </w:tc>
        <w:tc>
          <w:tcPr>
            <w:tcW w:w="1470" w:type="dxa"/>
            <w:tcBorders>
              <w:bottom w:val="nil"/>
            </w:tcBorders>
            <w:shd w:val="clear" w:color="auto" w:fill="auto"/>
            <w:vAlign w:val="center"/>
          </w:tcPr>
          <w:p w14:paraId="19801B29" w14:textId="77777777" w:rsidR="00F3286B" w:rsidRPr="00E55C36" w:rsidRDefault="00F3286B" w:rsidP="00C959E4">
            <w:pPr>
              <w:pStyle w:val="TableText0"/>
              <w:jc w:val="center"/>
              <w:rPr>
                <w:szCs w:val="20"/>
              </w:rPr>
            </w:pPr>
          </w:p>
        </w:tc>
        <w:tc>
          <w:tcPr>
            <w:tcW w:w="1400" w:type="dxa"/>
            <w:tcBorders>
              <w:bottom w:val="nil"/>
            </w:tcBorders>
            <w:shd w:val="clear" w:color="auto" w:fill="auto"/>
            <w:vAlign w:val="center"/>
          </w:tcPr>
          <w:p w14:paraId="629EA233" w14:textId="77777777" w:rsidR="00F3286B" w:rsidRPr="00E55C36" w:rsidRDefault="00F3286B" w:rsidP="00C959E4">
            <w:pPr>
              <w:pStyle w:val="TableText0"/>
              <w:jc w:val="center"/>
              <w:rPr>
                <w:szCs w:val="20"/>
              </w:rPr>
            </w:pPr>
          </w:p>
        </w:tc>
        <w:tc>
          <w:tcPr>
            <w:tcW w:w="1400" w:type="dxa"/>
            <w:tcBorders>
              <w:bottom w:val="nil"/>
            </w:tcBorders>
            <w:shd w:val="clear" w:color="auto" w:fill="auto"/>
          </w:tcPr>
          <w:p w14:paraId="7AC1621B" w14:textId="77777777" w:rsidR="00F3286B" w:rsidRPr="00E55C36" w:rsidRDefault="00F3286B" w:rsidP="00C959E4">
            <w:pPr>
              <w:pStyle w:val="TableText0"/>
              <w:jc w:val="center"/>
              <w:rPr>
                <w:szCs w:val="20"/>
              </w:rPr>
            </w:pPr>
          </w:p>
        </w:tc>
      </w:tr>
      <w:tr w:rsidR="00F3286B" w:rsidRPr="00E55C36" w14:paraId="11E09D82" w14:textId="77777777" w:rsidTr="00C51B78">
        <w:tc>
          <w:tcPr>
            <w:tcW w:w="4747" w:type="dxa"/>
            <w:gridSpan w:val="4"/>
            <w:tcBorders>
              <w:top w:val="nil"/>
              <w:bottom w:val="nil"/>
            </w:tcBorders>
            <w:shd w:val="clear" w:color="auto" w:fill="auto"/>
            <w:vAlign w:val="center"/>
          </w:tcPr>
          <w:p w14:paraId="39C41A77" w14:textId="77777777" w:rsidR="00F3286B" w:rsidRPr="00E55C36" w:rsidRDefault="00F3286B" w:rsidP="00C959E4">
            <w:pPr>
              <w:pStyle w:val="TableText0"/>
              <w:jc w:val="right"/>
              <w:rPr>
                <w:szCs w:val="20"/>
              </w:rPr>
            </w:pPr>
            <w:r w:rsidRPr="00E55C36">
              <w:rPr>
                <w:szCs w:val="20"/>
              </w:rPr>
              <w:t>TOF (ITT) v ADA (MTXs)</w:t>
            </w:r>
          </w:p>
        </w:tc>
        <w:tc>
          <w:tcPr>
            <w:tcW w:w="1470" w:type="dxa"/>
            <w:tcBorders>
              <w:top w:val="nil"/>
              <w:bottom w:val="nil"/>
            </w:tcBorders>
            <w:shd w:val="clear" w:color="auto" w:fill="auto"/>
            <w:vAlign w:val="center"/>
          </w:tcPr>
          <w:p w14:paraId="33381FCC" w14:textId="77777777" w:rsidR="00F3286B" w:rsidRPr="00E55C36" w:rsidRDefault="00F3286B" w:rsidP="00C959E4">
            <w:pPr>
              <w:pStyle w:val="TableText0"/>
              <w:jc w:val="center"/>
              <w:rPr>
                <w:szCs w:val="20"/>
              </w:rPr>
            </w:pPr>
            <w:r w:rsidRPr="00E55C36">
              <w:rPr>
                <w:szCs w:val="20"/>
              </w:rPr>
              <w:t>0.79 (0.25,2.53)</w:t>
            </w:r>
          </w:p>
        </w:tc>
        <w:tc>
          <w:tcPr>
            <w:tcW w:w="1400" w:type="dxa"/>
            <w:tcBorders>
              <w:top w:val="nil"/>
              <w:bottom w:val="nil"/>
            </w:tcBorders>
            <w:shd w:val="clear" w:color="auto" w:fill="auto"/>
            <w:vAlign w:val="center"/>
          </w:tcPr>
          <w:p w14:paraId="0B28A36A" w14:textId="77777777" w:rsidR="00F3286B" w:rsidRPr="00E55C36" w:rsidRDefault="00F3286B" w:rsidP="00C959E4">
            <w:pPr>
              <w:pStyle w:val="TableText0"/>
              <w:jc w:val="center"/>
              <w:rPr>
                <w:szCs w:val="20"/>
              </w:rPr>
            </w:pPr>
            <w:r w:rsidRPr="00E55C36">
              <w:rPr>
                <w:szCs w:val="20"/>
              </w:rPr>
              <w:t>0.84 (0.48,1.49)</w:t>
            </w:r>
          </w:p>
        </w:tc>
        <w:tc>
          <w:tcPr>
            <w:tcW w:w="1400" w:type="dxa"/>
            <w:tcBorders>
              <w:top w:val="nil"/>
              <w:bottom w:val="nil"/>
            </w:tcBorders>
            <w:shd w:val="clear" w:color="auto" w:fill="auto"/>
          </w:tcPr>
          <w:p w14:paraId="3111C5DE" w14:textId="77777777" w:rsidR="00F3286B" w:rsidRPr="00E55C36" w:rsidRDefault="00F3286B" w:rsidP="00C959E4">
            <w:pPr>
              <w:pStyle w:val="TableText0"/>
              <w:jc w:val="center"/>
              <w:rPr>
                <w:szCs w:val="20"/>
              </w:rPr>
            </w:pPr>
            <w:r w:rsidRPr="00E55C36">
              <w:rPr>
                <w:szCs w:val="20"/>
              </w:rPr>
              <w:t>-0.05 (-0.32,0.22)</w:t>
            </w:r>
          </w:p>
        </w:tc>
      </w:tr>
      <w:tr w:rsidR="00F3286B" w:rsidRPr="00E55C36" w14:paraId="7D9BE812" w14:textId="77777777" w:rsidTr="00C51B78">
        <w:tc>
          <w:tcPr>
            <w:tcW w:w="4747" w:type="dxa"/>
            <w:gridSpan w:val="4"/>
            <w:tcBorders>
              <w:top w:val="nil"/>
              <w:bottom w:val="nil"/>
            </w:tcBorders>
            <w:shd w:val="clear" w:color="auto" w:fill="auto"/>
            <w:vAlign w:val="center"/>
          </w:tcPr>
          <w:p w14:paraId="71073F1E" w14:textId="77777777" w:rsidR="00F3286B" w:rsidRPr="00E55C36" w:rsidRDefault="00F3286B" w:rsidP="00C959E4">
            <w:pPr>
              <w:pStyle w:val="TableText0"/>
              <w:jc w:val="right"/>
              <w:rPr>
                <w:szCs w:val="20"/>
              </w:rPr>
            </w:pPr>
            <w:r w:rsidRPr="00E55C36">
              <w:rPr>
                <w:szCs w:val="20"/>
              </w:rPr>
              <w:t>MTX: TOF (MTX-d1) v ADA (MTXs)</w:t>
            </w:r>
          </w:p>
        </w:tc>
        <w:tc>
          <w:tcPr>
            <w:tcW w:w="1470" w:type="dxa"/>
            <w:tcBorders>
              <w:top w:val="nil"/>
              <w:bottom w:val="nil"/>
            </w:tcBorders>
            <w:shd w:val="clear" w:color="auto" w:fill="auto"/>
            <w:vAlign w:val="center"/>
          </w:tcPr>
          <w:p w14:paraId="3E0D5942" w14:textId="77777777" w:rsidR="00F3286B" w:rsidRPr="00E55C36" w:rsidRDefault="00F3286B" w:rsidP="00C959E4">
            <w:pPr>
              <w:pStyle w:val="TableText0"/>
              <w:jc w:val="center"/>
              <w:rPr>
                <w:szCs w:val="20"/>
              </w:rPr>
            </w:pPr>
            <w:r w:rsidRPr="00E55C36">
              <w:rPr>
                <w:szCs w:val="20"/>
              </w:rPr>
              <w:t>0.62 (0.18,2.11)</w:t>
            </w:r>
          </w:p>
        </w:tc>
        <w:tc>
          <w:tcPr>
            <w:tcW w:w="1400" w:type="dxa"/>
            <w:tcBorders>
              <w:top w:val="nil"/>
              <w:bottom w:val="nil"/>
            </w:tcBorders>
            <w:shd w:val="clear" w:color="auto" w:fill="auto"/>
            <w:vAlign w:val="center"/>
          </w:tcPr>
          <w:p w14:paraId="21262074" w14:textId="77777777" w:rsidR="00F3286B" w:rsidRPr="00E55C36" w:rsidRDefault="00F3286B" w:rsidP="00C959E4">
            <w:pPr>
              <w:pStyle w:val="TableText0"/>
              <w:jc w:val="center"/>
              <w:rPr>
                <w:szCs w:val="20"/>
              </w:rPr>
            </w:pPr>
            <w:r w:rsidRPr="00E55C36">
              <w:rPr>
                <w:szCs w:val="20"/>
              </w:rPr>
              <w:t>0.75 (0.42,1.35)</w:t>
            </w:r>
          </w:p>
        </w:tc>
        <w:tc>
          <w:tcPr>
            <w:tcW w:w="1400" w:type="dxa"/>
            <w:tcBorders>
              <w:top w:val="nil"/>
              <w:bottom w:val="nil"/>
            </w:tcBorders>
            <w:shd w:val="clear" w:color="auto" w:fill="auto"/>
          </w:tcPr>
          <w:p w14:paraId="4EB7D60F" w14:textId="77777777" w:rsidR="00F3286B" w:rsidRPr="00E55C36" w:rsidRDefault="00F3286B" w:rsidP="00C959E4">
            <w:pPr>
              <w:pStyle w:val="TableText0"/>
              <w:jc w:val="center"/>
              <w:rPr>
                <w:szCs w:val="20"/>
              </w:rPr>
            </w:pPr>
            <w:r w:rsidRPr="00E55C36">
              <w:rPr>
                <w:szCs w:val="20"/>
              </w:rPr>
              <w:t>-0.11 (-0.40,0.18)</w:t>
            </w:r>
          </w:p>
        </w:tc>
      </w:tr>
      <w:tr w:rsidR="00F3286B" w:rsidRPr="00E55C36" w14:paraId="171BC7F7" w14:textId="77777777" w:rsidTr="00C51B78">
        <w:tc>
          <w:tcPr>
            <w:tcW w:w="4747" w:type="dxa"/>
            <w:gridSpan w:val="4"/>
            <w:tcBorders>
              <w:top w:val="nil"/>
              <w:bottom w:val="single" w:sz="4" w:space="0" w:color="auto"/>
            </w:tcBorders>
            <w:shd w:val="clear" w:color="auto" w:fill="auto"/>
            <w:vAlign w:val="center"/>
          </w:tcPr>
          <w:p w14:paraId="6122E695" w14:textId="77777777" w:rsidR="00F3286B" w:rsidRPr="00E55C36" w:rsidRDefault="00F3286B" w:rsidP="00C959E4">
            <w:pPr>
              <w:pStyle w:val="TableText0"/>
              <w:jc w:val="right"/>
              <w:rPr>
                <w:szCs w:val="20"/>
              </w:rPr>
            </w:pPr>
            <w:r w:rsidRPr="00E55C36">
              <w:rPr>
                <w:szCs w:val="20"/>
              </w:rPr>
              <w:t>TOF (bDMARDn) v ADA (MTXs)</w:t>
            </w:r>
          </w:p>
        </w:tc>
        <w:tc>
          <w:tcPr>
            <w:tcW w:w="1470" w:type="dxa"/>
            <w:tcBorders>
              <w:top w:val="nil"/>
              <w:bottom w:val="single" w:sz="4" w:space="0" w:color="auto"/>
            </w:tcBorders>
            <w:shd w:val="clear" w:color="auto" w:fill="auto"/>
            <w:vAlign w:val="center"/>
          </w:tcPr>
          <w:p w14:paraId="12F4DFA3" w14:textId="77777777" w:rsidR="00F3286B" w:rsidRPr="00E55C36" w:rsidRDefault="00F3286B" w:rsidP="00C959E4">
            <w:pPr>
              <w:pStyle w:val="TableText0"/>
              <w:jc w:val="center"/>
              <w:rPr>
                <w:szCs w:val="20"/>
              </w:rPr>
            </w:pPr>
            <w:r w:rsidRPr="00E55C36">
              <w:rPr>
                <w:szCs w:val="20"/>
              </w:rPr>
              <w:t>0.52 (0.15,1.79)</w:t>
            </w:r>
          </w:p>
        </w:tc>
        <w:tc>
          <w:tcPr>
            <w:tcW w:w="1400" w:type="dxa"/>
            <w:tcBorders>
              <w:top w:val="nil"/>
              <w:bottom w:val="single" w:sz="4" w:space="0" w:color="auto"/>
            </w:tcBorders>
            <w:shd w:val="clear" w:color="auto" w:fill="auto"/>
            <w:vAlign w:val="center"/>
          </w:tcPr>
          <w:p w14:paraId="57342D35" w14:textId="77777777" w:rsidR="00F3286B" w:rsidRPr="00E55C36" w:rsidRDefault="00F3286B" w:rsidP="00C959E4">
            <w:pPr>
              <w:pStyle w:val="TableText0"/>
              <w:jc w:val="center"/>
              <w:rPr>
                <w:szCs w:val="20"/>
              </w:rPr>
            </w:pPr>
            <w:r w:rsidRPr="00E55C36">
              <w:rPr>
                <w:szCs w:val="20"/>
              </w:rPr>
              <w:t>0.70 (0.39,1.26)</w:t>
            </w:r>
          </w:p>
        </w:tc>
        <w:tc>
          <w:tcPr>
            <w:tcW w:w="1400" w:type="dxa"/>
            <w:tcBorders>
              <w:top w:val="nil"/>
              <w:bottom w:val="single" w:sz="4" w:space="0" w:color="auto"/>
            </w:tcBorders>
            <w:shd w:val="clear" w:color="auto" w:fill="auto"/>
          </w:tcPr>
          <w:p w14:paraId="07B71E8D" w14:textId="77777777" w:rsidR="00F3286B" w:rsidRPr="00E55C36" w:rsidRDefault="00F3286B" w:rsidP="00C959E4">
            <w:pPr>
              <w:pStyle w:val="TableText0"/>
              <w:jc w:val="center"/>
              <w:rPr>
                <w:szCs w:val="20"/>
              </w:rPr>
            </w:pPr>
            <w:r w:rsidRPr="00E55C36">
              <w:rPr>
                <w:szCs w:val="20"/>
              </w:rPr>
              <w:t>-0.16 (-0.45,0.13)</w:t>
            </w:r>
          </w:p>
        </w:tc>
      </w:tr>
      <w:tr w:rsidR="00F3286B" w:rsidRPr="00E55C36" w14:paraId="06846309" w14:textId="77777777" w:rsidTr="00C51B78">
        <w:tc>
          <w:tcPr>
            <w:tcW w:w="4747" w:type="dxa"/>
            <w:gridSpan w:val="4"/>
            <w:tcBorders>
              <w:bottom w:val="nil"/>
            </w:tcBorders>
            <w:shd w:val="clear" w:color="auto" w:fill="auto"/>
            <w:vAlign w:val="center"/>
          </w:tcPr>
          <w:p w14:paraId="1FD2FFD0" w14:textId="77777777" w:rsidR="00F3286B" w:rsidRPr="00E55C36" w:rsidRDefault="00F3286B" w:rsidP="00C959E4">
            <w:pPr>
              <w:pStyle w:val="TableText0"/>
              <w:jc w:val="right"/>
              <w:rPr>
                <w:szCs w:val="20"/>
              </w:rPr>
            </w:pPr>
            <w:r w:rsidRPr="00E55C36">
              <w:rPr>
                <w:b/>
                <w:bCs w:val="0"/>
                <w:szCs w:val="20"/>
              </w:rPr>
              <w:t>ITC: PedACR70</w:t>
            </w:r>
          </w:p>
        </w:tc>
        <w:tc>
          <w:tcPr>
            <w:tcW w:w="1470" w:type="dxa"/>
            <w:tcBorders>
              <w:bottom w:val="nil"/>
            </w:tcBorders>
            <w:shd w:val="clear" w:color="auto" w:fill="auto"/>
            <w:vAlign w:val="center"/>
          </w:tcPr>
          <w:p w14:paraId="7CAC8110" w14:textId="77777777" w:rsidR="00F3286B" w:rsidRPr="00E55C36" w:rsidRDefault="00F3286B" w:rsidP="00C959E4">
            <w:pPr>
              <w:pStyle w:val="TableText0"/>
              <w:jc w:val="center"/>
              <w:rPr>
                <w:szCs w:val="20"/>
              </w:rPr>
            </w:pPr>
          </w:p>
        </w:tc>
        <w:tc>
          <w:tcPr>
            <w:tcW w:w="1400" w:type="dxa"/>
            <w:tcBorders>
              <w:bottom w:val="nil"/>
            </w:tcBorders>
            <w:shd w:val="clear" w:color="auto" w:fill="auto"/>
            <w:vAlign w:val="center"/>
          </w:tcPr>
          <w:p w14:paraId="00E02CFD" w14:textId="77777777" w:rsidR="00F3286B" w:rsidRPr="00E55C36" w:rsidRDefault="00F3286B" w:rsidP="00C959E4">
            <w:pPr>
              <w:pStyle w:val="TableText0"/>
              <w:jc w:val="center"/>
              <w:rPr>
                <w:szCs w:val="20"/>
              </w:rPr>
            </w:pPr>
          </w:p>
        </w:tc>
        <w:tc>
          <w:tcPr>
            <w:tcW w:w="1400" w:type="dxa"/>
            <w:tcBorders>
              <w:bottom w:val="nil"/>
            </w:tcBorders>
            <w:shd w:val="clear" w:color="auto" w:fill="auto"/>
          </w:tcPr>
          <w:p w14:paraId="332AA839" w14:textId="77777777" w:rsidR="00F3286B" w:rsidRPr="00E55C36" w:rsidRDefault="00F3286B" w:rsidP="00C959E4">
            <w:pPr>
              <w:pStyle w:val="TableText0"/>
              <w:jc w:val="center"/>
              <w:rPr>
                <w:szCs w:val="20"/>
              </w:rPr>
            </w:pPr>
          </w:p>
        </w:tc>
      </w:tr>
      <w:tr w:rsidR="00F3286B" w:rsidRPr="00E55C36" w14:paraId="078AA493" w14:textId="77777777" w:rsidTr="00C51B78">
        <w:tc>
          <w:tcPr>
            <w:tcW w:w="4747" w:type="dxa"/>
            <w:gridSpan w:val="4"/>
            <w:tcBorders>
              <w:top w:val="nil"/>
              <w:bottom w:val="nil"/>
            </w:tcBorders>
            <w:shd w:val="clear" w:color="auto" w:fill="auto"/>
            <w:vAlign w:val="center"/>
          </w:tcPr>
          <w:p w14:paraId="1FD80476" w14:textId="77777777" w:rsidR="00F3286B" w:rsidRPr="00E55C36" w:rsidRDefault="00F3286B" w:rsidP="00C959E4">
            <w:pPr>
              <w:pStyle w:val="TableText0"/>
              <w:jc w:val="right"/>
              <w:rPr>
                <w:szCs w:val="20"/>
              </w:rPr>
            </w:pPr>
            <w:r w:rsidRPr="00E55C36">
              <w:rPr>
                <w:szCs w:val="20"/>
              </w:rPr>
              <w:t>TOF (ITT) v ADA (MTXs)</w:t>
            </w:r>
          </w:p>
        </w:tc>
        <w:tc>
          <w:tcPr>
            <w:tcW w:w="1470" w:type="dxa"/>
            <w:tcBorders>
              <w:top w:val="nil"/>
              <w:bottom w:val="nil"/>
            </w:tcBorders>
            <w:shd w:val="clear" w:color="auto" w:fill="auto"/>
            <w:vAlign w:val="center"/>
          </w:tcPr>
          <w:p w14:paraId="3D2FD6D5" w14:textId="77777777" w:rsidR="00F3286B" w:rsidRPr="00E55C36" w:rsidRDefault="00F3286B" w:rsidP="00C959E4">
            <w:pPr>
              <w:pStyle w:val="TableText0"/>
              <w:jc w:val="center"/>
              <w:rPr>
                <w:szCs w:val="20"/>
              </w:rPr>
            </w:pPr>
            <w:r w:rsidRPr="00E55C36">
              <w:rPr>
                <w:szCs w:val="20"/>
              </w:rPr>
              <w:t>0.43 (0.13,1.42)</w:t>
            </w:r>
          </w:p>
        </w:tc>
        <w:tc>
          <w:tcPr>
            <w:tcW w:w="1400" w:type="dxa"/>
            <w:tcBorders>
              <w:top w:val="nil"/>
              <w:bottom w:val="nil"/>
            </w:tcBorders>
            <w:shd w:val="clear" w:color="auto" w:fill="auto"/>
            <w:vAlign w:val="center"/>
          </w:tcPr>
          <w:p w14:paraId="6F516ECC" w14:textId="77777777" w:rsidR="00F3286B" w:rsidRPr="00E55C36" w:rsidRDefault="00F3286B" w:rsidP="00C959E4">
            <w:pPr>
              <w:pStyle w:val="TableText0"/>
              <w:jc w:val="center"/>
              <w:rPr>
                <w:szCs w:val="20"/>
              </w:rPr>
            </w:pPr>
            <w:r w:rsidRPr="00E55C36">
              <w:rPr>
                <w:szCs w:val="20"/>
              </w:rPr>
              <w:t>0.62 (0.31,1.24)</w:t>
            </w:r>
          </w:p>
        </w:tc>
        <w:tc>
          <w:tcPr>
            <w:tcW w:w="1400" w:type="dxa"/>
            <w:tcBorders>
              <w:top w:val="nil"/>
              <w:bottom w:val="nil"/>
            </w:tcBorders>
            <w:shd w:val="clear" w:color="auto" w:fill="auto"/>
          </w:tcPr>
          <w:p w14:paraId="2214804C" w14:textId="77777777" w:rsidR="00F3286B" w:rsidRPr="00E55C36" w:rsidRDefault="00F3286B" w:rsidP="00C959E4">
            <w:pPr>
              <w:pStyle w:val="TableText0"/>
              <w:jc w:val="center"/>
              <w:rPr>
                <w:szCs w:val="20"/>
              </w:rPr>
            </w:pPr>
            <w:r w:rsidRPr="00E55C36">
              <w:rPr>
                <w:szCs w:val="20"/>
              </w:rPr>
              <w:t>-0.19 (-0.45,0.07)</w:t>
            </w:r>
          </w:p>
        </w:tc>
      </w:tr>
      <w:tr w:rsidR="00F3286B" w:rsidRPr="00E55C36" w14:paraId="3CBF716C" w14:textId="77777777" w:rsidTr="00C51B78">
        <w:tc>
          <w:tcPr>
            <w:tcW w:w="4747" w:type="dxa"/>
            <w:gridSpan w:val="4"/>
            <w:tcBorders>
              <w:top w:val="nil"/>
              <w:bottom w:val="nil"/>
            </w:tcBorders>
            <w:shd w:val="clear" w:color="auto" w:fill="auto"/>
            <w:vAlign w:val="center"/>
          </w:tcPr>
          <w:p w14:paraId="6CD86162" w14:textId="77777777" w:rsidR="00F3286B" w:rsidRPr="00E55C36" w:rsidRDefault="00F3286B" w:rsidP="00C959E4">
            <w:pPr>
              <w:pStyle w:val="TableText0"/>
              <w:jc w:val="right"/>
              <w:rPr>
                <w:szCs w:val="20"/>
              </w:rPr>
            </w:pPr>
            <w:r w:rsidRPr="00E55C36">
              <w:rPr>
                <w:szCs w:val="20"/>
              </w:rPr>
              <w:t>MTX: TOF (MTX-d1) v ADA (MTXs)</w:t>
            </w:r>
          </w:p>
        </w:tc>
        <w:tc>
          <w:tcPr>
            <w:tcW w:w="1470" w:type="dxa"/>
            <w:tcBorders>
              <w:top w:val="nil"/>
              <w:bottom w:val="nil"/>
            </w:tcBorders>
            <w:shd w:val="clear" w:color="auto" w:fill="auto"/>
            <w:vAlign w:val="center"/>
          </w:tcPr>
          <w:p w14:paraId="441CDF77" w14:textId="77777777" w:rsidR="00F3286B" w:rsidRPr="00E55C36" w:rsidRDefault="00F3286B" w:rsidP="00C959E4">
            <w:pPr>
              <w:pStyle w:val="TableText0"/>
              <w:jc w:val="center"/>
              <w:rPr>
                <w:szCs w:val="20"/>
              </w:rPr>
            </w:pPr>
            <w:r w:rsidRPr="00E55C36">
              <w:rPr>
                <w:szCs w:val="20"/>
              </w:rPr>
              <w:t>0.37 (0.11,1.27)</w:t>
            </w:r>
          </w:p>
        </w:tc>
        <w:tc>
          <w:tcPr>
            <w:tcW w:w="1400" w:type="dxa"/>
            <w:tcBorders>
              <w:top w:val="nil"/>
              <w:bottom w:val="nil"/>
            </w:tcBorders>
            <w:shd w:val="clear" w:color="auto" w:fill="auto"/>
            <w:vAlign w:val="center"/>
          </w:tcPr>
          <w:p w14:paraId="22B5C39B" w14:textId="77777777" w:rsidR="00F3286B" w:rsidRPr="00E55C36" w:rsidRDefault="00F3286B" w:rsidP="00C959E4">
            <w:pPr>
              <w:pStyle w:val="TableText0"/>
              <w:jc w:val="center"/>
              <w:rPr>
                <w:szCs w:val="20"/>
              </w:rPr>
            </w:pPr>
            <w:r w:rsidRPr="00E55C36">
              <w:rPr>
                <w:szCs w:val="20"/>
              </w:rPr>
              <w:t>0.56 (0.28,1.15)</w:t>
            </w:r>
          </w:p>
        </w:tc>
        <w:tc>
          <w:tcPr>
            <w:tcW w:w="1400" w:type="dxa"/>
            <w:tcBorders>
              <w:top w:val="nil"/>
              <w:bottom w:val="nil"/>
            </w:tcBorders>
            <w:shd w:val="clear" w:color="auto" w:fill="auto"/>
          </w:tcPr>
          <w:p w14:paraId="321DCFF3" w14:textId="77777777" w:rsidR="00F3286B" w:rsidRPr="00E55C36" w:rsidRDefault="00F3286B" w:rsidP="00C959E4">
            <w:pPr>
              <w:pStyle w:val="TableText0"/>
              <w:jc w:val="center"/>
              <w:rPr>
                <w:szCs w:val="20"/>
              </w:rPr>
            </w:pPr>
            <w:r w:rsidRPr="00E55C36">
              <w:rPr>
                <w:szCs w:val="20"/>
              </w:rPr>
              <w:t>-0.23 (-0.51,0.05)</w:t>
            </w:r>
          </w:p>
        </w:tc>
      </w:tr>
      <w:tr w:rsidR="00F3286B" w:rsidRPr="00E55C36" w14:paraId="4C1F66E3" w14:textId="77777777" w:rsidTr="00C51B78">
        <w:tc>
          <w:tcPr>
            <w:tcW w:w="4747" w:type="dxa"/>
            <w:gridSpan w:val="4"/>
            <w:tcBorders>
              <w:top w:val="nil"/>
              <w:bottom w:val="single" w:sz="4" w:space="0" w:color="auto"/>
            </w:tcBorders>
            <w:shd w:val="clear" w:color="auto" w:fill="auto"/>
            <w:vAlign w:val="center"/>
          </w:tcPr>
          <w:p w14:paraId="176F1567" w14:textId="77777777" w:rsidR="00F3286B" w:rsidRPr="00E55C36" w:rsidRDefault="00F3286B" w:rsidP="00C959E4">
            <w:pPr>
              <w:pStyle w:val="TableText0"/>
              <w:jc w:val="right"/>
              <w:rPr>
                <w:szCs w:val="20"/>
              </w:rPr>
            </w:pPr>
            <w:r w:rsidRPr="00E55C36">
              <w:rPr>
                <w:szCs w:val="20"/>
              </w:rPr>
              <w:t>TOF (bDMARDn) v ADA (MTXs)</w:t>
            </w:r>
          </w:p>
        </w:tc>
        <w:tc>
          <w:tcPr>
            <w:tcW w:w="1470" w:type="dxa"/>
            <w:tcBorders>
              <w:top w:val="nil"/>
              <w:bottom w:val="single" w:sz="4" w:space="0" w:color="auto"/>
            </w:tcBorders>
            <w:shd w:val="clear" w:color="auto" w:fill="auto"/>
            <w:vAlign w:val="center"/>
          </w:tcPr>
          <w:p w14:paraId="1B94C9BE" w14:textId="77777777" w:rsidR="00F3286B" w:rsidRPr="00E55C36" w:rsidRDefault="00F3286B" w:rsidP="00C959E4">
            <w:pPr>
              <w:pStyle w:val="TableText0"/>
              <w:jc w:val="center"/>
              <w:rPr>
                <w:szCs w:val="20"/>
              </w:rPr>
            </w:pPr>
            <w:r w:rsidRPr="00E55C36">
              <w:rPr>
                <w:szCs w:val="20"/>
              </w:rPr>
              <w:t>0.40 (0.11,1.41)</w:t>
            </w:r>
          </w:p>
        </w:tc>
        <w:tc>
          <w:tcPr>
            <w:tcW w:w="1400" w:type="dxa"/>
            <w:tcBorders>
              <w:top w:val="nil"/>
              <w:bottom w:val="single" w:sz="4" w:space="0" w:color="auto"/>
            </w:tcBorders>
            <w:shd w:val="clear" w:color="auto" w:fill="auto"/>
            <w:vAlign w:val="center"/>
          </w:tcPr>
          <w:p w14:paraId="360C2FC7" w14:textId="77777777" w:rsidR="00F3286B" w:rsidRPr="00E55C36" w:rsidRDefault="00F3286B" w:rsidP="00C959E4">
            <w:pPr>
              <w:pStyle w:val="TableText0"/>
              <w:jc w:val="center"/>
              <w:rPr>
                <w:szCs w:val="20"/>
              </w:rPr>
            </w:pPr>
            <w:r w:rsidRPr="00E55C36">
              <w:rPr>
                <w:szCs w:val="20"/>
              </w:rPr>
              <w:t>0.58 (0.29,1.18)</w:t>
            </w:r>
          </w:p>
        </w:tc>
        <w:tc>
          <w:tcPr>
            <w:tcW w:w="1400" w:type="dxa"/>
            <w:tcBorders>
              <w:top w:val="nil"/>
              <w:bottom w:val="single" w:sz="4" w:space="0" w:color="auto"/>
            </w:tcBorders>
            <w:shd w:val="clear" w:color="auto" w:fill="auto"/>
          </w:tcPr>
          <w:p w14:paraId="0C91B026" w14:textId="77777777" w:rsidR="00F3286B" w:rsidRPr="00E55C36" w:rsidRDefault="00F3286B" w:rsidP="00C959E4">
            <w:pPr>
              <w:pStyle w:val="TableText0"/>
              <w:jc w:val="center"/>
              <w:rPr>
                <w:szCs w:val="20"/>
              </w:rPr>
            </w:pPr>
            <w:r w:rsidRPr="00E55C36">
              <w:rPr>
                <w:szCs w:val="20"/>
              </w:rPr>
              <w:t>-0.21 (-0.50,0.08)</w:t>
            </w:r>
          </w:p>
        </w:tc>
      </w:tr>
    </w:tbl>
    <w:p w14:paraId="64337CA4" w14:textId="7774CDA7" w:rsidR="00F3286B" w:rsidRPr="00CE6261" w:rsidRDefault="00F3286B" w:rsidP="00F3286B">
      <w:pPr>
        <w:pStyle w:val="FooterTableFigure"/>
      </w:pPr>
      <w:r w:rsidRPr="00574B2D">
        <w:rPr>
          <w:rStyle w:val="CommentReference"/>
          <w:b w:val="0"/>
          <w:bCs/>
          <w:sz w:val="18"/>
          <w:szCs w:val="18"/>
          <w:shd w:val="clear" w:color="auto" w:fill="B8CCE4" w:themeFill="accent1" w:themeFillTint="66"/>
        </w:rPr>
        <w:t xml:space="preserve">Blue </w:t>
      </w:r>
      <w:r w:rsidRPr="00574B2D">
        <w:rPr>
          <w:rStyle w:val="CommentReference"/>
          <w:b w:val="0"/>
          <w:bCs/>
          <w:sz w:val="18"/>
          <w:szCs w:val="18"/>
        </w:rPr>
        <w:t xml:space="preserve">shading indicates data previously seen by the PBAC. </w:t>
      </w:r>
      <w:r w:rsidR="00E55C36" w:rsidRPr="00E55C36">
        <w:rPr>
          <w:rStyle w:val="CommentReference"/>
          <w:b w:val="0"/>
          <w:bCs/>
          <w:sz w:val="18"/>
          <w:szCs w:val="18"/>
        </w:rPr>
        <w:t>Errors identified during the evaluation</w:t>
      </w:r>
      <w:r w:rsidRPr="00E55C36">
        <w:rPr>
          <w:rStyle w:val="CommentReference"/>
          <w:b w:val="0"/>
          <w:bCs/>
          <w:sz w:val="18"/>
          <w:szCs w:val="18"/>
        </w:rPr>
        <w:t xml:space="preserve"> </w:t>
      </w:r>
      <w:r w:rsidR="005C1E66">
        <w:rPr>
          <w:rStyle w:val="CommentReference"/>
          <w:b w:val="0"/>
          <w:bCs/>
          <w:sz w:val="18"/>
          <w:szCs w:val="18"/>
        </w:rPr>
        <w:t>corrected in the above table.</w:t>
      </w:r>
    </w:p>
    <w:p w14:paraId="26418C87" w14:textId="77777777" w:rsidR="00F3286B" w:rsidRDefault="00F3286B" w:rsidP="00F3286B">
      <w:pPr>
        <w:pStyle w:val="FooterTableFigure"/>
      </w:pPr>
      <w:r>
        <w:t xml:space="preserve">Source: Tables 2.26 to 2.29 and 2.32 to 2.39, pp71-77 </w:t>
      </w:r>
      <w:r w:rsidRPr="00D13A3E">
        <w:t xml:space="preserve">of the </w:t>
      </w:r>
      <w:r>
        <w:t>submission.</w:t>
      </w:r>
    </w:p>
    <w:p w14:paraId="3BB8CE91" w14:textId="657A77E6" w:rsidR="00F3286B" w:rsidRDefault="00F3286B" w:rsidP="00F3286B">
      <w:pPr>
        <w:pStyle w:val="FooterTableFigure"/>
      </w:pPr>
      <w:r w:rsidRPr="00040F65">
        <w:t>PedACR=Paediatric</w:t>
      </w:r>
      <w:r>
        <w:t xml:space="preserve"> American College of Rheumatology; ITT=intention to treat; TOF=tofacitinib; ADA=adalimumab; PBO=placebo; MTX=methotrexate; OR=odds ratio; RR=relative risk; RD=risk difference; CI=confidence interval; ITC=indirect treatment comparison; Wk=week; bDMARD=biologic disease modifying anti-rheumatic drug; DB=double blind</w:t>
      </w:r>
      <w:r w:rsidR="009329B3">
        <w:t>; bDMARDn = bDMARD naive</w:t>
      </w:r>
      <w:r>
        <w:t xml:space="preserve">. </w:t>
      </w:r>
    </w:p>
    <w:p w14:paraId="3BD95B01" w14:textId="77777777" w:rsidR="00F3286B" w:rsidRPr="00CE6261" w:rsidRDefault="00F3286B" w:rsidP="00F3286B">
      <w:pPr>
        <w:pStyle w:val="FooterTableFigure"/>
      </w:pPr>
      <w:r>
        <w:t>^</w:t>
      </w:r>
      <w:r>
        <w:tab/>
        <w:t>PedACR30 response at Week 16 or 18</w:t>
      </w:r>
    </w:p>
    <w:p w14:paraId="5F362D25" w14:textId="197619A4" w:rsidR="00C959E4" w:rsidRPr="006E2656" w:rsidRDefault="00C959E4" w:rsidP="00E00DB2">
      <w:pPr>
        <w:pStyle w:val="3-BodyText"/>
      </w:pPr>
      <w:r w:rsidRPr="006E2656">
        <w:t xml:space="preserve">The trial results demonstrated that, in patients with PedACR30 response at Week 16-18 following initial active treatment, TOF and ADA were more effective than placebo at maintaining PedACR30 response and avoiding disease flare at Week 44-48. The results also demonstrated that patients who remained on active treatment at Week 16-18 were more likely to achieve PedACR50 and PedACR70 response at Week 44-48 compared to those who switched to placebo. The results of the indirect treatment comparisons found no statistically significant differences between TOF and ADA in terms </w:t>
      </w:r>
      <w:r w:rsidR="00177D53" w:rsidRPr="006E2656">
        <w:t xml:space="preserve">of </w:t>
      </w:r>
      <w:r w:rsidRPr="006E2656">
        <w:t>PedACR30 response or any of the other outcomes. The decision to exclude patients enrolled in the non-methotrexate stratum of DE038 from the indirect treatment comparison had little impact on the results given the point estimates of the treatment effects in DE038 were generally similar for patients with or without concomitant methotrexate</w:t>
      </w:r>
      <w:r w:rsidR="00191C47">
        <w:t>.</w:t>
      </w:r>
      <w:r w:rsidRPr="006E2656">
        <w:t xml:space="preserve"> </w:t>
      </w:r>
    </w:p>
    <w:p w14:paraId="43986E1D" w14:textId="12A90586" w:rsidR="00C959E4" w:rsidRPr="006E2656" w:rsidRDefault="00C959E4" w:rsidP="007E1590">
      <w:pPr>
        <w:pStyle w:val="3-BodyText"/>
        <w:rPr>
          <w:rFonts w:ascii="Arial Narrow" w:hAnsi="Arial Narrow"/>
          <w:sz w:val="20"/>
          <w:szCs w:val="16"/>
        </w:rPr>
      </w:pPr>
      <w:r w:rsidRPr="006E2656">
        <w:t>The submission acknowledged that the point estimates from the indirect treatment comparisons numerically favoured ADA over TOF, but subsequently concluded that the evidence showed that TOF ‘was at least as effective’ as ADA. As the submission did not nominate a non-inferiority margin, the</w:t>
      </w:r>
      <w:r w:rsidR="003641CD">
        <w:t xml:space="preserve"> evaluation considered the</w:t>
      </w:r>
      <w:r w:rsidRPr="006E2656">
        <w:t xml:space="preserve"> submission’s claim that TOF was at least as effective as ADA (i.e. at least non-inferior) was poorly justified. The placebo response rates also differed considerably across the trials despite the submission’s attempt to compare similar populations / subgroups. This suggest</w:t>
      </w:r>
      <w:r w:rsidR="00E704ED" w:rsidRPr="006E2656">
        <w:t>ed</w:t>
      </w:r>
      <w:r w:rsidRPr="006E2656">
        <w:t xml:space="preserve"> that there may be other important differences across the trials, which may violate the transitivity assumption. In such cases, </w:t>
      </w:r>
      <w:r w:rsidR="007E1590" w:rsidRPr="006E2656">
        <w:t xml:space="preserve">a </w:t>
      </w:r>
      <w:r w:rsidRPr="006E2656">
        <w:t xml:space="preserve">relative </w:t>
      </w:r>
      <w:r w:rsidR="007E1590" w:rsidRPr="006E2656">
        <w:t>measure</w:t>
      </w:r>
      <w:r w:rsidRPr="006E2656">
        <w:t xml:space="preserve"> </w:t>
      </w:r>
      <w:r w:rsidR="00C429A4" w:rsidRPr="006E2656">
        <w:t xml:space="preserve">(e.g. </w:t>
      </w:r>
      <w:r w:rsidR="007E1590" w:rsidRPr="006E2656">
        <w:t>relative risk or odds ratio</w:t>
      </w:r>
      <w:r w:rsidR="00C429A4" w:rsidRPr="006E2656">
        <w:t xml:space="preserve">) </w:t>
      </w:r>
      <w:r w:rsidRPr="006E2656">
        <w:t xml:space="preserve">may be preferred </w:t>
      </w:r>
      <w:r w:rsidR="00C429A4" w:rsidRPr="006E2656">
        <w:t xml:space="preserve">over an absolute measure (e.g. RD) </w:t>
      </w:r>
      <w:r w:rsidRPr="006E2656">
        <w:t>given an imbalance in prognostic factors would not bias the indirect estimate if there is a constant relative treatment effect across trials.</w:t>
      </w:r>
    </w:p>
    <w:p w14:paraId="20CED82F" w14:textId="4402BDD7" w:rsidR="00C959E4" w:rsidRPr="00E55C36" w:rsidRDefault="00C959E4" w:rsidP="00805E2D">
      <w:pPr>
        <w:pStyle w:val="3-BodyText"/>
      </w:pPr>
      <w:r w:rsidRPr="00E55C36">
        <w:t>Despite these concerns, the PBAC had previously accepted non-inferiority between existing treatments for severe active JIA based on similar indirect evidence. For example, the PBAC accepted that TOC was non-inferior to both ADA based on an indirect relative risk for PedACR30 of 0.80 (95%CI: 0.51, 1.26), and non-inferior to ETN based on an indirect relative risk for PedACR30 of 0.59 (95%CI: 0.32, 1.09) (</w:t>
      </w:r>
      <w:r w:rsidR="00805E2D" w:rsidRPr="00E55C36">
        <w:t>Results of Trials and Clinical Claim</w:t>
      </w:r>
      <w:r w:rsidRPr="00E55C36">
        <w:t>, TOC, Public Summary Document, November 2013). The estimated lower bounds of the 95%CIs in those past decisions (i.e. 0.51 and 0.32) are similar to or below the corresponding estimates in the current submission between TOF and ADA (i.e. 0.43 to 0.51). In addition, the PBAC accepted non-inferiority despite noting differences between the trial populations and considerable variation in placebo response rates (</w:t>
      </w:r>
      <w:r w:rsidR="00805E2D" w:rsidRPr="00E55C36">
        <w:t>Results of Trials</w:t>
      </w:r>
      <w:r w:rsidRPr="00E55C36">
        <w:t>, TOC, Public Summary Document, November 2013).</w:t>
      </w:r>
    </w:p>
    <w:p w14:paraId="78B10E44" w14:textId="2692FFF7" w:rsidR="001E5872" w:rsidRPr="00736261" w:rsidRDefault="001E5872" w:rsidP="003F1D12">
      <w:pPr>
        <w:pStyle w:val="3-BodyText"/>
        <w:rPr>
          <w:rFonts w:ascii="Arial Narrow" w:hAnsi="Arial Narrow"/>
          <w:sz w:val="20"/>
          <w:szCs w:val="16"/>
        </w:rPr>
      </w:pPr>
      <w:r w:rsidRPr="006E2656">
        <w:t xml:space="preserve">The submission also conducted </w:t>
      </w:r>
      <w:r w:rsidR="003F1D12" w:rsidRPr="006E2656">
        <w:t xml:space="preserve">supplementary </w:t>
      </w:r>
      <w:r w:rsidRPr="006E2656">
        <w:t>indirect treatment comparisons between TOF and the other PBS-listed treatments (ETN and TOC) based on data from two additional trials, Lovell et al 2000 (ETN vs placebo) and CHERISH (TOC vs placebo). The PBAC ha</w:t>
      </w:r>
      <w:r w:rsidR="00E704ED" w:rsidRPr="006E2656">
        <w:t>d</w:t>
      </w:r>
      <w:r w:rsidRPr="006E2656">
        <w:t xml:space="preserve"> previously considered evidence from both trials (Lovell et al 2000 and CHERISH)</w:t>
      </w:r>
      <w:r w:rsidR="00736261" w:rsidRPr="006E2656">
        <w:t xml:space="preserve">, and the </w:t>
      </w:r>
      <w:r w:rsidRPr="006E2656">
        <w:t xml:space="preserve">submission concluded </w:t>
      </w:r>
      <w:r w:rsidR="00736261" w:rsidRPr="006E2656">
        <w:t>that TOF wa</w:t>
      </w:r>
      <w:r w:rsidRPr="006E2656">
        <w:t xml:space="preserve">s </w:t>
      </w:r>
      <w:r w:rsidR="00736261" w:rsidRPr="006E2656">
        <w:t xml:space="preserve">also </w:t>
      </w:r>
      <w:r w:rsidRPr="006E2656">
        <w:t>non-inferior to ETN and TOC given the lack of a statistically</w:t>
      </w:r>
      <w:r>
        <w:t xml:space="preserve"> </w:t>
      </w:r>
      <w:r w:rsidRPr="006E2656">
        <w:t xml:space="preserve">significant differences between treatments. </w:t>
      </w:r>
    </w:p>
    <w:p w14:paraId="1452C351" w14:textId="0D19F1B0" w:rsidR="00B60939" w:rsidRPr="00D04AA0" w:rsidRDefault="00B60939" w:rsidP="00D86231">
      <w:pPr>
        <w:pStyle w:val="4-SubsectionHeading"/>
        <w:rPr>
          <w:iCs/>
        </w:rPr>
      </w:pPr>
      <w:bookmarkStart w:id="24" w:name="_Toc22897642"/>
      <w:bookmarkStart w:id="25" w:name="_Toc121477777"/>
      <w:r w:rsidRPr="00D04AA0">
        <w:rPr>
          <w:iCs/>
        </w:rPr>
        <w:t>Comparative harms</w:t>
      </w:r>
      <w:bookmarkEnd w:id="24"/>
      <w:bookmarkEnd w:id="25"/>
    </w:p>
    <w:p w14:paraId="09422383" w14:textId="6C09DF57" w:rsidR="008D16AF" w:rsidRPr="006E2656" w:rsidRDefault="00765220" w:rsidP="00D86231">
      <w:pPr>
        <w:pStyle w:val="3-BodyText"/>
      </w:pPr>
      <w:r w:rsidRPr="006E2656">
        <w:rPr>
          <w:highlight w:val="yellow"/>
        </w:rPr>
        <w:fldChar w:fldCharType="begin"/>
      </w:r>
      <w:r w:rsidRPr="006E2656">
        <w:instrText xml:space="preserve"> REF _Ref124797355 \h </w:instrText>
      </w:r>
      <w:r w:rsidR="006E2656" w:rsidRPr="006E2656">
        <w:rPr>
          <w:highlight w:val="yellow"/>
        </w:rPr>
        <w:instrText xml:space="preserve"> \* MERGEFORMAT </w:instrText>
      </w:r>
      <w:r w:rsidRPr="006E2656">
        <w:rPr>
          <w:highlight w:val="yellow"/>
        </w:rPr>
      </w:r>
      <w:r w:rsidRPr="006E2656">
        <w:rPr>
          <w:highlight w:val="yellow"/>
        </w:rPr>
        <w:fldChar w:fldCharType="separate"/>
      </w:r>
      <w:r w:rsidR="006C1D0C" w:rsidRPr="00A40992">
        <w:t xml:space="preserve">Table </w:t>
      </w:r>
      <w:r w:rsidR="006C1D0C">
        <w:rPr>
          <w:noProof/>
        </w:rPr>
        <w:t>5</w:t>
      </w:r>
      <w:r w:rsidRPr="006E2656">
        <w:rPr>
          <w:highlight w:val="yellow"/>
        </w:rPr>
        <w:fldChar w:fldCharType="end"/>
      </w:r>
      <w:r w:rsidRPr="006E2656">
        <w:t xml:space="preserve"> </w:t>
      </w:r>
      <w:r w:rsidR="000A42EA" w:rsidRPr="006E2656">
        <w:t xml:space="preserve">presents a summary of adverse events reported in PROPEL by trial phase. The most commonly reported adverse reactions in the open-label lead in phase included infections (upper respiratory tract infection, nasopharyngitis, influenza), gastrointestinal disorders (nausea, vomiting, diarrhoea, abdominal pain) and headache. During the double-blind withdrawal phase, the incidence of infections remained elevated for patients who continued </w:t>
      </w:r>
      <w:r w:rsidR="00D57CB2" w:rsidRPr="006E2656">
        <w:t xml:space="preserve">in the </w:t>
      </w:r>
      <w:r w:rsidR="000A42EA" w:rsidRPr="006E2656">
        <w:t>TOF arm whereas gastrointestinal disorders and headache were comparatively lower. The safety outcomes reported in PROPEL were consistent with the known safety profile of TOF in adult populations.</w:t>
      </w:r>
    </w:p>
    <w:p w14:paraId="310B2246" w14:textId="0D04E41B" w:rsidR="00B60939" w:rsidRPr="00A40992" w:rsidRDefault="00765220" w:rsidP="00765220">
      <w:pPr>
        <w:pStyle w:val="Caption"/>
        <w:rPr>
          <w:rStyle w:val="CommentReference"/>
          <w:b/>
          <w:szCs w:val="24"/>
        </w:rPr>
      </w:pPr>
      <w:bookmarkStart w:id="26" w:name="_Ref124797355"/>
      <w:r w:rsidRPr="00A40992">
        <w:t xml:space="preserve">Table </w:t>
      </w:r>
      <w:fldSimple w:instr=" SEQ Table \* ARABIC ">
        <w:r w:rsidR="006C1D0C">
          <w:rPr>
            <w:noProof/>
          </w:rPr>
          <w:t>5</w:t>
        </w:r>
      </w:fldSimple>
      <w:bookmarkEnd w:id="26"/>
      <w:r w:rsidR="00D6076E" w:rsidRPr="00A40992">
        <w:t xml:space="preserve">: </w:t>
      </w:r>
      <w:r w:rsidR="005D26B4" w:rsidRPr="00A40992">
        <w:rPr>
          <w:rStyle w:val="CommentReference"/>
          <w:b/>
          <w:szCs w:val="24"/>
        </w:rPr>
        <w:t>Summary of key adverse events in the trials</w:t>
      </w:r>
    </w:p>
    <w:tbl>
      <w:tblPr>
        <w:tblW w:w="0" w:type="auto"/>
        <w:tblCellMar>
          <w:left w:w="28" w:type="dxa"/>
          <w:right w:w="28" w:type="dxa"/>
        </w:tblCellMar>
        <w:tblLook w:val="04A0" w:firstRow="1" w:lastRow="0" w:firstColumn="1" w:lastColumn="0" w:noHBand="0" w:noVBand="1"/>
      </w:tblPr>
      <w:tblGrid>
        <w:gridCol w:w="2830"/>
        <w:gridCol w:w="2062"/>
        <w:gridCol w:w="2062"/>
        <w:gridCol w:w="2063"/>
      </w:tblGrid>
      <w:tr w:rsidR="000A42EA" w:rsidRPr="00A40992" w14:paraId="74A2D964" w14:textId="77777777" w:rsidTr="00C51B78">
        <w:tc>
          <w:tcPr>
            <w:tcW w:w="2830" w:type="dxa"/>
            <w:vMerge w:val="restart"/>
            <w:tcBorders>
              <w:top w:val="single" w:sz="4" w:space="0" w:color="auto"/>
              <w:left w:val="single" w:sz="4" w:space="0" w:color="auto"/>
              <w:right w:val="single" w:sz="4" w:space="0" w:color="auto"/>
            </w:tcBorders>
          </w:tcPr>
          <w:p w14:paraId="041650C0" w14:textId="77777777" w:rsidR="000A42EA" w:rsidRPr="00A40992" w:rsidRDefault="000A42EA" w:rsidP="00C51B78">
            <w:pPr>
              <w:rPr>
                <w:rFonts w:ascii="Arial Narrow" w:hAnsi="Arial Narrow"/>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tcPr>
          <w:p w14:paraId="67248477" w14:textId="77777777" w:rsidR="000A42EA" w:rsidRPr="00A40992" w:rsidRDefault="000A42EA" w:rsidP="00C51B78">
            <w:pPr>
              <w:jc w:val="center"/>
              <w:rPr>
                <w:rFonts w:ascii="Arial Narrow" w:hAnsi="Arial Narrow"/>
                <w:b/>
                <w:bCs/>
                <w:sz w:val="20"/>
                <w:szCs w:val="20"/>
              </w:rPr>
            </w:pPr>
            <w:r w:rsidRPr="00A40992">
              <w:rPr>
                <w:rFonts w:ascii="Arial Narrow" w:hAnsi="Arial Narrow"/>
                <w:b/>
                <w:bCs/>
                <w:sz w:val="20"/>
                <w:szCs w:val="20"/>
              </w:rPr>
              <w:t>Open-label lead in phase</w:t>
            </w:r>
          </w:p>
        </w:tc>
        <w:tc>
          <w:tcPr>
            <w:tcW w:w="4125" w:type="dxa"/>
            <w:gridSpan w:val="2"/>
            <w:tcBorders>
              <w:top w:val="single" w:sz="4" w:space="0" w:color="auto"/>
              <w:left w:val="single" w:sz="4" w:space="0" w:color="auto"/>
              <w:right w:val="single" w:sz="4" w:space="0" w:color="auto"/>
            </w:tcBorders>
            <w:vAlign w:val="center"/>
          </w:tcPr>
          <w:p w14:paraId="7EFABFF3" w14:textId="77777777" w:rsidR="000A42EA" w:rsidRPr="00A40992" w:rsidRDefault="000A42EA" w:rsidP="00C51B78">
            <w:pPr>
              <w:jc w:val="center"/>
              <w:rPr>
                <w:rFonts w:ascii="Arial Narrow" w:hAnsi="Arial Narrow"/>
                <w:b/>
                <w:bCs/>
                <w:sz w:val="20"/>
                <w:szCs w:val="20"/>
              </w:rPr>
            </w:pPr>
            <w:r w:rsidRPr="00A40992">
              <w:rPr>
                <w:rFonts w:ascii="Arial Narrow" w:hAnsi="Arial Narrow"/>
                <w:b/>
                <w:bCs/>
                <w:sz w:val="20"/>
                <w:szCs w:val="20"/>
              </w:rPr>
              <w:t>Double-blind withdrawal phase</w:t>
            </w:r>
          </w:p>
        </w:tc>
      </w:tr>
      <w:tr w:rsidR="000A42EA" w:rsidRPr="00A40992" w14:paraId="53A610F1" w14:textId="77777777" w:rsidTr="00C51B78">
        <w:tc>
          <w:tcPr>
            <w:tcW w:w="2830" w:type="dxa"/>
            <w:vMerge/>
            <w:tcBorders>
              <w:left w:val="single" w:sz="4" w:space="0" w:color="auto"/>
              <w:bottom w:val="single" w:sz="4" w:space="0" w:color="auto"/>
              <w:right w:val="single" w:sz="4" w:space="0" w:color="auto"/>
            </w:tcBorders>
          </w:tcPr>
          <w:p w14:paraId="267AC4F2" w14:textId="77777777" w:rsidR="000A42EA" w:rsidRPr="00A40992" w:rsidRDefault="000A42EA" w:rsidP="00C51B78">
            <w:pPr>
              <w:rPr>
                <w:rFonts w:ascii="Arial Narrow" w:hAnsi="Arial Narrow"/>
                <w:sz w:val="20"/>
                <w:szCs w:val="20"/>
              </w:rPr>
            </w:pPr>
          </w:p>
        </w:tc>
        <w:tc>
          <w:tcPr>
            <w:tcW w:w="2062" w:type="dxa"/>
            <w:tcBorders>
              <w:top w:val="single" w:sz="4" w:space="0" w:color="auto"/>
              <w:left w:val="single" w:sz="4" w:space="0" w:color="auto"/>
              <w:bottom w:val="single" w:sz="4" w:space="0" w:color="auto"/>
              <w:right w:val="single" w:sz="4" w:space="0" w:color="auto"/>
            </w:tcBorders>
            <w:vAlign w:val="center"/>
          </w:tcPr>
          <w:p w14:paraId="4EE235E1" w14:textId="77777777" w:rsidR="000A42EA" w:rsidRPr="00A40992" w:rsidRDefault="000A42EA" w:rsidP="00C51B78">
            <w:pPr>
              <w:jc w:val="center"/>
              <w:rPr>
                <w:rFonts w:ascii="Arial Narrow" w:hAnsi="Arial Narrow"/>
                <w:b/>
                <w:bCs/>
                <w:sz w:val="20"/>
                <w:szCs w:val="20"/>
              </w:rPr>
            </w:pPr>
            <w:r w:rsidRPr="00A40992">
              <w:rPr>
                <w:rFonts w:ascii="Arial Narrow" w:hAnsi="Arial Narrow"/>
                <w:b/>
                <w:bCs/>
                <w:sz w:val="20"/>
                <w:szCs w:val="20"/>
              </w:rPr>
              <w:t>TOF (N=225)</w:t>
            </w:r>
          </w:p>
        </w:tc>
        <w:tc>
          <w:tcPr>
            <w:tcW w:w="2062" w:type="dxa"/>
            <w:tcBorders>
              <w:top w:val="single" w:sz="4" w:space="0" w:color="auto"/>
              <w:left w:val="single" w:sz="4" w:space="0" w:color="auto"/>
              <w:bottom w:val="single" w:sz="4" w:space="0" w:color="auto"/>
              <w:right w:val="single" w:sz="4" w:space="0" w:color="auto"/>
            </w:tcBorders>
            <w:vAlign w:val="center"/>
          </w:tcPr>
          <w:p w14:paraId="5739DAE5" w14:textId="77777777" w:rsidR="000A42EA" w:rsidRPr="00A40992" w:rsidRDefault="000A42EA" w:rsidP="00C51B78">
            <w:pPr>
              <w:jc w:val="center"/>
              <w:rPr>
                <w:rFonts w:ascii="Arial Narrow" w:hAnsi="Arial Narrow"/>
                <w:b/>
                <w:bCs/>
                <w:sz w:val="20"/>
                <w:szCs w:val="20"/>
              </w:rPr>
            </w:pPr>
            <w:r w:rsidRPr="00A40992">
              <w:rPr>
                <w:rFonts w:ascii="Arial Narrow" w:hAnsi="Arial Narrow"/>
                <w:b/>
                <w:bCs/>
                <w:sz w:val="20"/>
                <w:szCs w:val="20"/>
              </w:rPr>
              <w:t>TOF (N=88)</w:t>
            </w:r>
          </w:p>
        </w:tc>
        <w:tc>
          <w:tcPr>
            <w:tcW w:w="2063" w:type="dxa"/>
            <w:tcBorders>
              <w:top w:val="single" w:sz="4" w:space="0" w:color="auto"/>
              <w:left w:val="single" w:sz="4" w:space="0" w:color="auto"/>
              <w:bottom w:val="single" w:sz="4" w:space="0" w:color="auto"/>
              <w:right w:val="single" w:sz="4" w:space="0" w:color="auto"/>
            </w:tcBorders>
            <w:vAlign w:val="center"/>
          </w:tcPr>
          <w:p w14:paraId="618F5B15" w14:textId="77777777" w:rsidR="000A42EA" w:rsidRPr="00A40992" w:rsidRDefault="000A42EA" w:rsidP="00C51B78">
            <w:pPr>
              <w:jc w:val="center"/>
              <w:rPr>
                <w:rFonts w:ascii="Arial Narrow" w:hAnsi="Arial Narrow"/>
                <w:b/>
                <w:bCs/>
                <w:sz w:val="20"/>
                <w:szCs w:val="20"/>
              </w:rPr>
            </w:pPr>
            <w:r w:rsidRPr="00A40992">
              <w:rPr>
                <w:rFonts w:ascii="Arial Narrow" w:hAnsi="Arial Narrow"/>
                <w:b/>
                <w:bCs/>
                <w:sz w:val="20"/>
                <w:szCs w:val="20"/>
              </w:rPr>
              <w:t>PBO (N=85)</w:t>
            </w:r>
          </w:p>
        </w:tc>
      </w:tr>
      <w:tr w:rsidR="000A42EA" w:rsidRPr="00A40992" w14:paraId="6378F9E1" w14:textId="77777777" w:rsidTr="00C51B78">
        <w:tc>
          <w:tcPr>
            <w:tcW w:w="2830" w:type="dxa"/>
            <w:tcBorders>
              <w:left w:val="single" w:sz="4" w:space="0" w:color="auto"/>
              <w:bottom w:val="nil"/>
              <w:right w:val="single" w:sz="4" w:space="0" w:color="auto"/>
            </w:tcBorders>
          </w:tcPr>
          <w:p w14:paraId="24E4BF00" w14:textId="77777777" w:rsidR="000A42EA" w:rsidRPr="00A40992" w:rsidRDefault="000A42EA" w:rsidP="00C51B78">
            <w:pPr>
              <w:rPr>
                <w:rFonts w:ascii="Arial Narrow" w:hAnsi="Arial Narrow"/>
                <w:sz w:val="20"/>
                <w:szCs w:val="20"/>
              </w:rPr>
            </w:pPr>
            <w:r w:rsidRPr="00A40992">
              <w:rPr>
                <w:rFonts w:ascii="Arial Narrow" w:hAnsi="Arial Narrow"/>
                <w:sz w:val="20"/>
                <w:szCs w:val="20"/>
              </w:rPr>
              <w:t>Any AE, by patient</w:t>
            </w:r>
          </w:p>
        </w:tc>
        <w:tc>
          <w:tcPr>
            <w:tcW w:w="2062" w:type="dxa"/>
            <w:tcBorders>
              <w:left w:val="single" w:sz="4" w:space="0" w:color="auto"/>
              <w:bottom w:val="nil"/>
              <w:right w:val="single" w:sz="4" w:space="0" w:color="auto"/>
            </w:tcBorders>
            <w:vAlign w:val="center"/>
          </w:tcPr>
          <w:p w14:paraId="7680277B"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153 (68.0)</w:t>
            </w:r>
          </w:p>
        </w:tc>
        <w:tc>
          <w:tcPr>
            <w:tcW w:w="2062" w:type="dxa"/>
            <w:tcBorders>
              <w:left w:val="single" w:sz="4" w:space="0" w:color="auto"/>
              <w:bottom w:val="nil"/>
              <w:right w:val="single" w:sz="4" w:space="0" w:color="auto"/>
            </w:tcBorders>
            <w:vAlign w:val="center"/>
          </w:tcPr>
          <w:p w14:paraId="2D779AA3"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 xml:space="preserve">68 (77.3) </w:t>
            </w:r>
          </w:p>
        </w:tc>
        <w:tc>
          <w:tcPr>
            <w:tcW w:w="2063" w:type="dxa"/>
            <w:tcBorders>
              <w:left w:val="single" w:sz="4" w:space="0" w:color="auto"/>
              <w:bottom w:val="nil"/>
              <w:right w:val="single" w:sz="4" w:space="0" w:color="auto"/>
            </w:tcBorders>
            <w:vAlign w:val="center"/>
          </w:tcPr>
          <w:p w14:paraId="607429EB"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63 (74.1)</w:t>
            </w:r>
          </w:p>
        </w:tc>
      </w:tr>
      <w:tr w:rsidR="000A42EA" w:rsidRPr="00A40992" w14:paraId="336E5B6A" w14:textId="77777777" w:rsidTr="00C51B78">
        <w:tc>
          <w:tcPr>
            <w:tcW w:w="2830" w:type="dxa"/>
            <w:tcBorders>
              <w:top w:val="nil"/>
              <w:left w:val="single" w:sz="4" w:space="0" w:color="auto"/>
              <w:bottom w:val="nil"/>
              <w:right w:val="single" w:sz="4" w:space="0" w:color="auto"/>
            </w:tcBorders>
            <w:vAlign w:val="center"/>
          </w:tcPr>
          <w:p w14:paraId="331720F4" w14:textId="77777777" w:rsidR="000A42EA" w:rsidRPr="00A40992" w:rsidRDefault="000A42EA" w:rsidP="00C51B78">
            <w:pPr>
              <w:rPr>
                <w:rFonts w:ascii="Arial Narrow" w:hAnsi="Arial Narrow"/>
                <w:sz w:val="20"/>
                <w:szCs w:val="20"/>
              </w:rPr>
            </w:pPr>
            <w:r w:rsidRPr="00A40992">
              <w:rPr>
                <w:rFonts w:ascii="Arial Narrow" w:hAnsi="Arial Narrow"/>
                <w:sz w:val="20"/>
                <w:szCs w:val="20"/>
              </w:rPr>
              <w:t xml:space="preserve">Serious AE, by patient (%) </w:t>
            </w:r>
          </w:p>
        </w:tc>
        <w:tc>
          <w:tcPr>
            <w:tcW w:w="2062" w:type="dxa"/>
            <w:tcBorders>
              <w:top w:val="nil"/>
              <w:left w:val="single" w:sz="4" w:space="0" w:color="auto"/>
              <w:bottom w:val="nil"/>
              <w:right w:val="single" w:sz="4" w:space="0" w:color="auto"/>
            </w:tcBorders>
            <w:vAlign w:val="center"/>
          </w:tcPr>
          <w:p w14:paraId="1957FFEB"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7 (3.1)</w:t>
            </w:r>
          </w:p>
        </w:tc>
        <w:tc>
          <w:tcPr>
            <w:tcW w:w="2062" w:type="dxa"/>
            <w:tcBorders>
              <w:top w:val="nil"/>
              <w:left w:val="single" w:sz="4" w:space="0" w:color="auto"/>
              <w:bottom w:val="nil"/>
              <w:right w:val="single" w:sz="4" w:space="0" w:color="auto"/>
            </w:tcBorders>
            <w:vAlign w:val="center"/>
          </w:tcPr>
          <w:p w14:paraId="60019497"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 xml:space="preserve">1 (1.1) </w:t>
            </w:r>
          </w:p>
        </w:tc>
        <w:tc>
          <w:tcPr>
            <w:tcW w:w="2063" w:type="dxa"/>
            <w:tcBorders>
              <w:top w:val="nil"/>
              <w:left w:val="single" w:sz="4" w:space="0" w:color="auto"/>
              <w:bottom w:val="nil"/>
              <w:right w:val="single" w:sz="4" w:space="0" w:color="auto"/>
            </w:tcBorders>
            <w:vAlign w:val="center"/>
          </w:tcPr>
          <w:p w14:paraId="37AE43DE"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2 (2.4)</w:t>
            </w:r>
          </w:p>
        </w:tc>
      </w:tr>
      <w:tr w:rsidR="000A42EA" w:rsidRPr="00A40992" w14:paraId="45D99249" w14:textId="77777777" w:rsidTr="00C51B78">
        <w:tc>
          <w:tcPr>
            <w:tcW w:w="2830" w:type="dxa"/>
            <w:tcBorders>
              <w:top w:val="nil"/>
              <w:left w:val="single" w:sz="4" w:space="0" w:color="auto"/>
              <w:bottom w:val="nil"/>
              <w:right w:val="single" w:sz="4" w:space="0" w:color="auto"/>
            </w:tcBorders>
            <w:vAlign w:val="center"/>
          </w:tcPr>
          <w:p w14:paraId="2BB5BB17" w14:textId="77777777" w:rsidR="000A42EA" w:rsidRPr="00A40992" w:rsidRDefault="000A42EA" w:rsidP="00C51B78">
            <w:pPr>
              <w:rPr>
                <w:rFonts w:ascii="Arial Narrow" w:hAnsi="Arial Narrow"/>
                <w:sz w:val="20"/>
                <w:szCs w:val="20"/>
              </w:rPr>
            </w:pPr>
            <w:r w:rsidRPr="00A40992">
              <w:rPr>
                <w:rFonts w:ascii="Arial Narrow" w:hAnsi="Arial Narrow"/>
                <w:sz w:val="20"/>
                <w:szCs w:val="20"/>
              </w:rPr>
              <w:t>Severe AE, by patients (%)</w:t>
            </w:r>
          </w:p>
        </w:tc>
        <w:tc>
          <w:tcPr>
            <w:tcW w:w="2062" w:type="dxa"/>
            <w:tcBorders>
              <w:top w:val="nil"/>
              <w:left w:val="single" w:sz="4" w:space="0" w:color="auto"/>
              <w:bottom w:val="nil"/>
              <w:right w:val="single" w:sz="4" w:space="0" w:color="auto"/>
            </w:tcBorders>
            <w:vAlign w:val="center"/>
          </w:tcPr>
          <w:p w14:paraId="75D72311"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5 (2.2)</w:t>
            </w:r>
          </w:p>
        </w:tc>
        <w:tc>
          <w:tcPr>
            <w:tcW w:w="2062" w:type="dxa"/>
            <w:tcBorders>
              <w:top w:val="nil"/>
              <w:left w:val="single" w:sz="4" w:space="0" w:color="auto"/>
              <w:bottom w:val="nil"/>
              <w:right w:val="single" w:sz="4" w:space="0" w:color="auto"/>
            </w:tcBorders>
            <w:vAlign w:val="center"/>
          </w:tcPr>
          <w:p w14:paraId="5969287A"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 xml:space="preserve">0 </w:t>
            </w:r>
          </w:p>
        </w:tc>
        <w:tc>
          <w:tcPr>
            <w:tcW w:w="2063" w:type="dxa"/>
            <w:tcBorders>
              <w:top w:val="nil"/>
              <w:left w:val="single" w:sz="4" w:space="0" w:color="auto"/>
              <w:bottom w:val="nil"/>
              <w:right w:val="single" w:sz="4" w:space="0" w:color="auto"/>
            </w:tcBorders>
            <w:vAlign w:val="center"/>
          </w:tcPr>
          <w:p w14:paraId="3242C057"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3 (3.5)</w:t>
            </w:r>
          </w:p>
        </w:tc>
      </w:tr>
      <w:tr w:rsidR="000A42EA" w:rsidRPr="00A40992" w14:paraId="21E223F9" w14:textId="77777777" w:rsidTr="00C51B78">
        <w:tc>
          <w:tcPr>
            <w:tcW w:w="2830" w:type="dxa"/>
            <w:tcBorders>
              <w:top w:val="nil"/>
              <w:left w:val="single" w:sz="4" w:space="0" w:color="auto"/>
              <w:bottom w:val="nil"/>
              <w:right w:val="single" w:sz="4" w:space="0" w:color="auto"/>
            </w:tcBorders>
          </w:tcPr>
          <w:p w14:paraId="46CDDBB4" w14:textId="77777777" w:rsidR="000A42EA" w:rsidRPr="00A40992" w:rsidRDefault="000A42EA" w:rsidP="00C51B78">
            <w:pPr>
              <w:rPr>
                <w:rFonts w:ascii="Arial Narrow" w:hAnsi="Arial Narrow"/>
                <w:sz w:val="20"/>
                <w:szCs w:val="20"/>
              </w:rPr>
            </w:pPr>
            <w:r w:rsidRPr="00A40992">
              <w:rPr>
                <w:rFonts w:ascii="Arial Narrow" w:hAnsi="Arial Narrow"/>
                <w:sz w:val="20"/>
                <w:szCs w:val="20"/>
              </w:rPr>
              <w:t>AE leading to disc. (%)</w:t>
            </w:r>
          </w:p>
        </w:tc>
        <w:tc>
          <w:tcPr>
            <w:tcW w:w="2062" w:type="dxa"/>
            <w:tcBorders>
              <w:top w:val="nil"/>
              <w:left w:val="single" w:sz="4" w:space="0" w:color="auto"/>
              <w:bottom w:val="nil"/>
              <w:right w:val="single" w:sz="4" w:space="0" w:color="auto"/>
            </w:tcBorders>
            <w:vAlign w:val="center"/>
          </w:tcPr>
          <w:p w14:paraId="6272526B"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26 (11.6)</w:t>
            </w:r>
          </w:p>
        </w:tc>
        <w:tc>
          <w:tcPr>
            <w:tcW w:w="2062" w:type="dxa"/>
            <w:tcBorders>
              <w:top w:val="nil"/>
              <w:left w:val="single" w:sz="4" w:space="0" w:color="auto"/>
              <w:bottom w:val="nil"/>
              <w:right w:val="single" w:sz="4" w:space="0" w:color="auto"/>
            </w:tcBorders>
            <w:vAlign w:val="center"/>
          </w:tcPr>
          <w:p w14:paraId="56D0BE64"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 xml:space="preserve">16 (18.2) </w:t>
            </w:r>
          </w:p>
        </w:tc>
        <w:tc>
          <w:tcPr>
            <w:tcW w:w="2063" w:type="dxa"/>
            <w:tcBorders>
              <w:top w:val="nil"/>
              <w:left w:val="single" w:sz="4" w:space="0" w:color="auto"/>
              <w:bottom w:val="nil"/>
              <w:right w:val="single" w:sz="4" w:space="0" w:color="auto"/>
            </w:tcBorders>
            <w:vAlign w:val="center"/>
          </w:tcPr>
          <w:p w14:paraId="2124F545"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29 (34.1)</w:t>
            </w:r>
          </w:p>
        </w:tc>
      </w:tr>
      <w:tr w:rsidR="000A42EA" w:rsidRPr="00A40992" w14:paraId="00145615" w14:textId="77777777" w:rsidTr="00C51B78">
        <w:tc>
          <w:tcPr>
            <w:tcW w:w="2830" w:type="dxa"/>
            <w:tcBorders>
              <w:top w:val="nil"/>
              <w:left w:val="single" w:sz="4" w:space="0" w:color="auto"/>
              <w:bottom w:val="single" w:sz="4" w:space="0" w:color="auto"/>
              <w:right w:val="single" w:sz="4" w:space="0" w:color="auto"/>
            </w:tcBorders>
          </w:tcPr>
          <w:p w14:paraId="7B8ABB01" w14:textId="77777777" w:rsidR="000A42EA" w:rsidRPr="00A40992" w:rsidRDefault="000A42EA" w:rsidP="00C51B78">
            <w:pPr>
              <w:rPr>
                <w:rFonts w:ascii="Arial Narrow" w:hAnsi="Arial Narrow"/>
                <w:sz w:val="20"/>
                <w:szCs w:val="20"/>
              </w:rPr>
            </w:pPr>
            <w:r w:rsidRPr="00A40992">
              <w:rPr>
                <w:rFonts w:ascii="Arial Narrow" w:hAnsi="Arial Narrow"/>
                <w:sz w:val="20"/>
                <w:szCs w:val="20"/>
              </w:rPr>
              <w:t>Deaths (%)</w:t>
            </w:r>
          </w:p>
        </w:tc>
        <w:tc>
          <w:tcPr>
            <w:tcW w:w="2062" w:type="dxa"/>
            <w:tcBorders>
              <w:top w:val="nil"/>
              <w:left w:val="single" w:sz="4" w:space="0" w:color="auto"/>
              <w:bottom w:val="single" w:sz="4" w:space="0" w:color="auto"/>
              <w:right w:val="single" w:sz="4" w:space="0" w:color="auto"/>
            </w:tcBorders>
            <w:vAlign w:val="center"/>
          </w:tcPr>
          <w:p w14:paraId="1435145F"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0</w:t>
            </w:r>
          </w:p>
        </w:tc>
        <w:tc>
          <w:tcPr>
            <w:tcW w:w="2062" w:type="dxa"/>
            <w:tcBorders>
              <w:top w:val="nil"/>
              <w:left w:val="single" w:sz="4" w:space="0" w:color="auto"/>
              <w:bottom w:val="single" w:sz="4" w:space="0" w:color="auto"/>
              <w:right w:val="single" w:sz="4" w:space="0" w:color="auto"/>
            </w:tcBorders>
          </w:tcPr>
          <w:p w14:paraId="535B2F7E"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0</w:t>
            </w:r>
          </w:p>
        </w:tc>
        <w:tc>
          <w:tcPr>
            <w:tcW w:w="2063" w:type="dxa"/>
            <w:tcBorders>
              <w:top w:val="nil"/>
              <w:left w:val="single" w:sz="4" w:space="0" w:color="auto"/>
              <w:bottom w:val="single" w:sz="4" w:space="0" w:color="auto"/>
              <w:right w:val="single" w:sz="4" w:space="0" w:color="auto"/>
            </w:tcBorders>
          </w:tcPr>
          <w:p w14:paraId="6C39CA57"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0</w:t>
            </w:r>
          </w:p>
        </w:tc>
      </w:tr>
      <w:tr w:rsidR="000A42EA" w:rsidRPr="00A40992" w14:paraId="2DFA1C3F" w14:textId="77777777" w:rsidTr="00C51B78">
        <w:tc>
          <w:tcPr>
            <w:tcW w:w="2830" w:type="dxa"/>
            <w:tcBorders>
              <w:left w:val="single" w:sz="4" w:space="0" w:color="auto"/>
              <w:bottom w:val="nil"/>
              <w:right w:val="single" w:sz="4" w:space="0" w:color="auto"/>
            </w:tcBorders>
          </w:tcPr>
          <w:p w14:paraId="27371B74" w14:textId="77777777" w:rsidR="000A42EA" w:rsidRPr="00A40992" w:rsidRDefault="000A42EA" w:rsidP="00C51B78">
            <w:pPr>
              <w:rPr>
                <w:rFonts w:ascii="Arial Narrow" w:hAnsi="Arial Narrow"/>
                <w:sz w:val="20"/>
                <w:szCs w:val="20"/>
              </w:rPr>
            </w:pPr>
            <w:r w:rsidRPr="00A40992">
              <w:rPr>
                <w:rFonts w:ascii="Arial Narrow" w:hAnsi="Arial Narrow"/>
                <w:sz w:val="20"/>
                <w:szCs w:val="20"/>
              </w:rPr>
              <w:t>Common TEAEs</w:t>
            </w:r>
          </w:p>
        </w:tc>
        <w:tc>
          <w:tcPr>
            <w:tcW w:w="2062" w:type="dxa"/>
            <w:tcBorders>
              <w:left w:val="single" w:sz="4" w:space="0" w:color="auto"/>
              <w:bottom w:val="nil"/>
              <w:right w:val="single" w:sz="4" w:space="0" w:color="auto"/>
            </w:tcBorders>
          </w:tcPr>
          <w:p w14:paraId="0824F0FC" w14:textId="77777777" w:rsidR="000A42EA" w:rsidRPr="00A40992" w:rsidRDefault="000A42EA" w:rsidP="00C51B78">
            <w:pPr>
              <w:rPr>
                <w:rFonts w:ascii="Arial Narrow" w:hAnsi="Arial Narrow"/>
                <w:sz w:val="20"/>
                <w:szCs w:val="20"/>
              </w:rPr>
            </w:pPr>
          </w:p>
        </w:tc>
        <w:tc>
          <w:tcPr>
            <w:tcW w:w="2062" w:type="dxa"/>
            <w:tcBorders>
              <w:left w:val="single" w:sz="4" w:space="0" w:color="auto"/>
              <w:bottom w:val="nil"/>
              <w:right w:val="single" w:sz="4" w:space="0" w:color="auto"/>
            </w:tcBorders>
          </w:tcPr>
          <w:p w14:paraId="0C3DAB5F" w14:textId="77777777" w:rsidR="000A42EA" w:rsidRPr="00A40992" w:rsidRDefault="000A42EA" w:rsidP="00C51B78">
            <w:pPr>
              <w:rPr>
                <w:rFonts w:ascii="Arial Narrow" w:hAnsi="Arial Narrow"/>
                <w:sz w:val="20"/>
                <w:szCs w:val="20"/>
              </w:rPr>
            </w:pPr>
          </w:p>
        </w:tc>
        <w:tc>
          <w:tcPr>
            <w:tcW w:w="2063" w:type="dxa"/>
            <w:tcBorders>
              <w:left w:val="single" w:sz="4" w:space="0" w:color="auto"/>
              <w:bottom w:val="nil"/>
              <w:right w:val="single" w:sz="4" w:space="0" w:color="auto"/>
            </w:tcBorders>
          </w:tcPr>
          <w:p w14:paraId="34E41B5A" w14:textId="77777777" w:rsidR="000A42EA" w:rsidRPr="00A40992" w:rsidRDefault="000A42EA" w:rsidP="00C51B78">
            <w:pPr>
              <w:rPr>
                <w:rFonts w:ascii="Arial Narrow" w:hAnsi="Arial Narrow"/>
                <w:sz w:val="20"/>
                <w:szCs w:val="20"/>
              </w:rPr>
            </w:pPr>
          </w:p>
        </w:tc>
      </w:tr>
      <w:tr w:rsidR="000A42EA" w:rsidRPr="00A40992" w14:paraId="4A5D5254" w14:textId="77777777" w:rsidTr="00C51B78">
        <w:tc>
          <w:tcPr>
            <w:tcW w:w="2830" w:type="dxa"/>
            <w:tcBorders>
              <w:top w:val="nil"/>
              <w:left w:val="single" w:sz="4" w:space="0" w:color="auto"/>
              <w:bottom w:val="nil"/>
              <w:right w:val="single" w:sz="4" w:space="0" w:color="auto"/>
            </w:tcBorders>
            <w:vAlign w:val="center"/>
          </w:tcPr>
          <w:p w14:paraId="6F1A5A7A"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Upper respiratory tract infection</w:t>
            </w:r>
          </w:p>
        </w:tc>
        <w:tc>
          <w:tcPr>
            <w:tcW w:w="2062" w:type="dxa"/>
            <w:tcBorders>
              <w:top w:val="nil"/>
              <w:left w:val="single" w:sz="4" w:space="0" w:color="auto"/>
              <w:bottom w:val="nil"/>
              <w:right w:val="single" w:sz="4" w:space="0" w:color="auto"/>
            </w:tcBorders>
          </w:tcPr>
          <w:p w14:paraId="610DDFFF"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24 (10.7)</w:t>
            </w:r>
          </w:p>
        </w:tc>
        <w:tc>
          <w:tcPr>
            <w:tcW w:w="2062" w:type="dxa"/>
            <w:tcBorders>
              <w:top w:val="nil"/>
              <w:left w:val="single" w:sz="4" w:space="0" w:color="auto"/>
              <w:bottom w:val="nil"/>
              <w:right w:val="single" w:sz="4" w:space="0" w:color="auto"/>
            </w:tcBorders>
          </w:tcPr>
          <w:p w14:paraId="6C572635"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13 (14.8)</w:t>
            </w:r>
          </w:p>
        </w:tc>
        <w:tc>
          <w:tcPr>
            <w:tcW w:w="2063" w:type="dxa"/>
            <w:tcBorders>
              <w:top w:val="nil"/>
              <w:left w:val="single" w:sz="4" w:space="0" w:color="auto"/>
              <w:bottom w:val="nil"/>
              <w:right w:val="single" w:sz="4" w:space="0" w:color="auto"/>
            </w:tcBorders>
          </w:tcPr>
          <w:p w14:paraId="6661A0A9"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9 (10.6)</w:t>
            </w:r>
          </w:p>
        </w:tc>
      </w:tr>
      <w:tr w:rsidR="000A42EA" w:rsidRPr="00A40992" w14:paraId="1EACB515" w14:textId="77777777" w:rsidTr="00C51B78">
        <w:tc>
          <w:tcPr>
            <w:tcW w:w="2830" w:type="dxa"/>
            <w:tcBorders>
              <w:top w:val="nil"/>
              <w:left w:val="single" w:sz="4" w:space="0" w:color="auto"/>
              <w:bottom w:val="nil"/>
              <w:right w:val="single" w:sz="4" w:space="0" w:color="auto"/>
            </w:tcBorders>
            <w:vAlign w:val="center"/>
          </w:tcPr>
          <w:p w14:paraId="792C3FAC"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Nasopharyngitis</w:t>
            </w:r>
          </w:p>
        </w:tc>
        <w:tc>
          <w:tcPr>
            <w:tcW w:w="2062" w:type="dxa"/>
            <w:tcBorders>
              <w:top w:val="nil"/>
              <w:left w:val="single" w:sz="4" w:space="0" w:color="auto"/>
              <w:bottom w:val="nil"/>
              <w:right w:val="single" w:sz="4" w:space="0" w:color="auto"/>
            </w:tcBorders>
          </w:tcPr>
          <w:p w14:paraId="31939D8D"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10 (4.4)</w:t>
            </w:r>
          </w:p>
        </w:tc>
        <w:tc>
          <w:tcPr>
            <w:tcW w:w="2062" w:type="dxa"/>
            <w:tcBorders>
              <w:top w:val="nil"/>
              <w:left w:val="single" w:sz="4" w:space="0" w:color="auto"/>
              <w:bottom w:val="nil"/>
              <w:right w:val="single" w:sz="4" w:space="0" w:color="auto"/>
            </w:tcBorders>
          </w:tcPr>
          <w:p w14:paraId="070FEBA4"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7 (8.0)</w:t>
            </w:r>
          </w:p>
        </w:tc>
        <w:tc>
          <w:tcPr>
            <w:tcW w:w="2063" w:type="dxa"/>
            <w:tcBorders>
              <w:top w:val="nil"/>
              <w:left w:val="single" w:sz="4" w:space="0" w:color="auto"/>
              <w:bottom w:val="nil"/>
              <w:right w:val="single" w:sz="4" w:space="0" w:color="auto"/>
            </w:tcBorders>
          </w:tcPr>
          <w:p w14:paraId="08CF95A6"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3 (3.5)</w:t>
            </w:r>
          </w:p>
        </w:tc>
      </w:tr>
      <w:tr w:rsidR="000A42EA" w:rsidRPr="00A40992" w14:paraId="618B3DC9" w14:textId="77777777" w:rsidTr="00C51B78">
        <w:tc>
          <w:tcPr>
            <w:tcW w:w="2830" w:type="dxa"/>
            <w:tcBorders>
              <w:top w:val="nil"/>
              <w:left w:val="single" w:sz="4" w:space="0" w:color="auto"/>
              <w:bottom w:val="nil"/>
              <w:right w:val="single" w:sz="4" w:space="0" w:color="auto"/>
            </w:tcBorders>
            <w:vAlign w:val="center"/>
          </w:tcPr>
          <w:p w14:paraId="62ABADCF"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Influenza</w:t>
            </w:r>
          </w:p>
        </w:tc>
        <w:tc>
          <w:tcPr>
            <w:tcW w:w="2062" w:type="dxa"/>
            <w:tcBorders>
              <w:top w:val="nil"/>
              <w:left w:val="single" w:sz="4" w:space="0" w:color="auto"/>
              <w:bottom w:val="nil"/>
              <w:right w:val="single" w:sz="4" w:space="0" w:color="auto"/>
            </w:tcBorders>
          </w:tcPr>
          <w:p w14:paraId="6F37CD77"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8 (3.6)</w:t>
            </w:r>
          </w:p>
        </w:tc>
        <w:tc>
          <w:tcPr>
            <w:tcW w:w="2062" w:type="dxa"/>
            <w:tcBorders>
              <w:top w:val="nil"/>
              <w:left w:val="single" w:sz="4" w:space="0" w:color="auto"/>
              <w:bottom w:val="nil"/>
              <w:right w:val="single" w:sz="4" w:space="0" w:color="auto"/>
            </w:tcBorders>
          </w:tcPr>
          <w:p w14:paraId="4AD24451"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3 (3.4)</w:t>
            </w:r>
          </w:p>
        </w:tc>
        <w:tc>
          <w:tcPr>
            <w:tcW w:w="2063" w:type="dxa"/>
            <w:tcBorders>
              <w:top w:val="nil"/>
              <w:left w:val="single" w:sz="4" w:space="0" w:color="auto"/>
              <w:bottom w:val="nil"/>
              <w:right w:val="single" w:sz="4" w:space="0" w:color="auto"/>
            </w:tcBorders>
          </w:tcPr>
          <w:p w14:paraId="7F93BB74"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2 (2.4)</w:t>
            </w:r>
          </w:p>
        </w:tc>
      </w:tr>
      <w:tr w:rsidR="000A42EA" w:rsidRPr="00A40992" w14:paraId="59E25BA1" w14:textId="77777777" w:rsidTr="00C51B78">
        <w:tc>
          <w:tcPr>
            <w:tcW w:w="2830" w:type="dxa"/>
            <w:tcBorders>
              <w:top w:val="nil"/>
              <w:left w:val="single" w:sz="4" w:space="0" w:color="auto"/>
              <w:bottom w:val="nil"/>
              <w:right w:val="single" w:sz="4" w:space="0" w:color="auto"/>
            </w:tcBorders>
            <w:vAlign w:val="center"/>
          </w:tcPr>
          <w:p w14:paraId="35CE308C"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Nausea</w:t>
            </w:r>
          </w:p>
        </w:tc>
        <w:tc>
          <w:tcPr>
            <w:tcW w:w="2062" w:type="dxa"/>
            <w:tcBorders>
              <w:top w:val="nil"/>
              <w:left w:val="single" w:sz="4" w:space="0" w:color="auto"/>
              <w:bottom w:val="nil"/>
              <w:right w:val="single" w:sz="4" w:space="0" w:color="auto"/>
            </w:tcBorders>
          </w:tcPr>
          <w:p w14:paraId="42292D3F"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13 (5.8)</w:t>
            </w:r>
          </w:p>
        </w:tc>
        <w:tc>
          <w:tcPr>
            <w:tcW w:w="2062" w:type="dxa"/>
            <w:tcBorders>
              <w:top w:val="nil"/>
              <w:left w:val="single" w:sz="4" w:space="0" w:color="auto"/>
              <w:bottom w:val="nil"/>
              <w:right w:val="single" w:sz="4" w:space="0" w:color="auto"/>
            </w:tcBorders>
          </w:tcPr>
          <w:p w14:paraId="40B9A12E"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NR</w:t>
            </w:r>
          </w:p>
        </w:tc>
        <w:tc>
          <w:tcPr>
            <w:tcW w:w="2063" w:type="dxa"/>
            <w:tcBorders>
              <w:top w:val="nil"/>
              <w:left w:val="single" w:sz="4" w:space="0" w:color="auto"/>
              <w:bottom w:val="nil"/>
              <w:right w:val="single" w:sz="4" w:space="0" w:color="auto"/>
            </w:tcBorders>
          </w:tcPr>
          <w:p w14:paraId="2C692CA4"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NR</w:t>
            </w:r>
          </w:p>
        </w:tc>
      </w:tr>
      <w:tr w:rsidR="000A42EA" w:rsidRPr="00A40992" w14:paraId="219C0A48" w14:textId="77777777" w:rsidTr="00C51B78">
        <w:tc>
          <w:tcPr>
            <w:tcW w:w="2830" w:type="dxa"/>
            <w:tcBorders>
              <w:top w:val="nil"/>
              <w:left w:val="single" w:sz="4" w:space="0" w:color="auto"/>
              <w:bottom w:val="nil"/>
              <w:right w:val="single" w:sz="4" w:space="0" w:color="auto"/>
            </w:tcBorders>
            <w:vAlign w:val="center"/>
          </w:tcPr>
          <w:p w14:paraId="5BE21756"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Vomiting</w:t>
            </w:r>
          </w:p>
        </w:tc>
        <w:tc>
          <w:tcPr>
            <w:tcW w:w="2062" w:type="dxa"/>
            <w:tcBorders>
              <w:top w:val="nil"/>
              <w:left w:val="single" w:sz="4" w:space="0" w:color="auto"/>
              <w:bottom w:val="nil"/>
              <w:right w:val="single" w:sz="4" w:space="0" w:color="auto"/>
            </w:tcBorders>
          </w:tcPr>
          <w:p w14:paraId="0BA63502"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13 (5.8)</w:t>
            </w:r>
          </w:p>
        </w:tc>
        <w:tc>
          <w:tcPr>
            <w:tcW w:w="2062" w:type="dxa"/>
            <w:tcBorders>
              <w:top w:val="nil"/>
              <w:left w:val="single" w:sz="4" w:space="0" w:color="auto"/>
              <w:bottom w:val="nil"/>
              <w:right w:val="single" w:sz="4" w:space="0" w:color="auto"/>
            </w:tcBorders>
          </w:tcPr>
          <w:p w14:paraId="024C3D63"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0</w:t>
            </w:r>
          </w:p>
        </w:tc>
        <w:tc>
          <w:tcPr>
            <w:tcW w:w="2063" w:type="dxa"/>
            <w:tcBorders>
              <w:top w:val="nil"/>
              <w:left w:val="single" w:sz="4" w:space="0" w:color="auto"/>
              <w:bottom w:val="nil"/>
              <w:right w:val="single" w:sz="4" w:space="0" w:color="auto"/>
            </w:tcBorders>
          </w:tcPr>
          <w:p w14:paraId="41DBA029"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4 (4.7)</w:t>
            </w:r>
          </w:p>
        </w:tc>
      </w:tr>
      <w:tr w:rsidR="000A42EA" w:rsidRPr="00A40992" w14:paraId="6D59DB3A" w14:textId="77777777" w:rsidTr="00C51B78">
        <w:tc>
          <w:tcPr>
            <w:tcW w:w="2830" w:type="dxa"/>
            <w:tcBorders>
              <w:top w:val="nil"/>
              <w:left w:val="single" w:sz="4" w:space="0" w:color="auto"/>
              <w:bottom w:val="nil"/>
              <w:right w:val="single" w:sz="4" w:space="0" w:color="auto"/>
            </w:tcBorders>
            <w:vAlign w:val="center"/>
          </w:tcPr>
          <w:p w14:paraId="7A433E46"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Abdominal pain</w:t>
            </w:r>
          </w:p>
        </w:tc>
        <w:tc>
          <w:tcPr>
            <w:tcW w:w="2062" w:type="dxa"/>
            <w:tcBorders>
              <w:top w:val="nil"/>
              <w:left w:val="single" w:sz="4" w:space="0" w:color="auto"/>
              <w:bottom w:val="nil"/>
              <w:right w:val="single" w:sz="4" w:space="0" w:color="auto"/>
            </w:tcBorders>
          </w:tcPr>
          <w:p w14:paraId="00B906A2"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8 (3.6)</w:t>
            </w:r>
          </w:p>
        </w:tc>
        <w:tc>
          <w:tcPr>
            <w:tcW w:w="2062" w:type="dxa"/>
            <w:tcBorders>
              <w:top w:val="nil"/>
              <w:left w:val="single" w:sz="4" w:space="0" w:color="auto"/>
              <w:bottom w:val="nil"/>
              <w:right w:val="single" w:sz="4" w:space="0" w:color="auto"/>
            </w:tcBorders>
          </w:tcPr>
          <w:p w14:paraId="55402A6D"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0</w:t>
            </w:r>
          </w:p>
        </w:tc>
        <w:tc>
          <w:tcPr>
            <w:tcW w:w="2063" w:type="dxa"/>
            <w:tcBorders>
              <w:top w:val="nil"/>
              <w:left w:val="single" w:sz="4" w:space="0" w:color="auto"/>
              <w:bottom w:val="nil"/>
              <w:right w:val="single" w:sz="4" w:space="0" w:color="auto"/>
            </w:tcBorders>
          </w:tcPr>
          <w:p w14:paraId="19A86C92"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3 (3.5)</w:t>
            </w:r>
          </w:p>
        </w:tc>
      </w:tr>
      <w:tr w:rsidR="000A42EA" w:rsidRPr="00A40992" w14:paraId="40C69F08" w14:textId="77777777" w:rsidTr="00C51B78">
        <w:tc>
          <w:tcPr>
            <w:tcW w:w="2830" w:type="dxa"/>
            <w:tcBorders>
              <w:top w:val="nil"/>
              <w:left w:val="single" w:sz="4" w:space="0" w:color="auto"/>
              <w:bottom w:val="nil"/>
              <w:right w:val="single" w:sz="4" w:space="0" w:color="auto"/>
            </w:tcBorders>
            <w:vAlign w:val="center"/>
          </w:tcPr>
          <w:p w14:paraId="2B3C3722"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Diarrhoea</w:t>
            </w:r>
          </w:p>
        </w:tc>
        <w:tc>
          <w:tcPr>
            <w:tcW w:w="2062" w:type="dxa"/>
            <w:tcBorders>
              <w:top w:val="nil"/>
              <w:left w:val="single" w:sz="4" w:space="0" w:color="auto"/>
              <w:bottom w:val="nil"/>
              <w:right w:val="single" w:sz="4" w:space="0" w:color="auto"/>
            </w:tcBorders>
          </w:tcPr>
          <w:p w14:paraId="401BDEF4"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6 (2.7)</w:t>
            </w:r>
          </w:p>
        </w:tc>
        <w:tc>
          <w:tcPr>
            <w:tcW w:w="2062" w:type="dxa"/>
            <w:tcBorders>
              <w:top w:val="nil"/>
              <w:left w:val="single" w:sz="4" w:space="0" w:color="auto"/>
              <w:bottom w:val="nil"/>
              <w:right w:val="single" w:sz="4" w:space="0" w:color="auto"/>
            </w:tcBorders>
          </w:tcPr>
          <w:p w14:paraId="08451B0C"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 (1.1)</w:t>
            </w:r>
          </w:p>
        </w:tc>
        <w:tc>
          <w:tcPr>
            <w:tcW w:w="2063" w:type="dxa"/>
            <w:tcBorders>
              <w:top w:val="nil"/>
              <w:left w:val="single" w:sz="4" w:space="0" w:color="auto"/>
              <w:bottom w:val="nil"/>
              <w:right w:val="single" w:sz="4" w:space="0" w:color="auto"/>
            </w:tcBorders>
          </w:tcPr>
          <w:p w14:paraId="5E2B5E1E"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2 (2.4)</w:t>
            </w:r>
          </w:p>
        </w:tc>
      </w:tr>
      <w:tr w:rsidR="000A42EA" w:rsidRPr="00A40992" w14:paraId="1FD2BAA8" w14:textId="77777777" w:rsidTr="00C51B78">
        <w:tc>
          <w:tcPr>
            <w:tcW w:w="2830" w:type="dxa"/>
            <w:tcBorders>
              <w:top w:val="nil"/>
              <w:left w:val="single" w:sz="4" w:space="0" w:color="auto"/>
              <w:bottom w:val="nil"/>
              <w:right w:val="single" w:sz="4" w:space="0" w:color="auto"/>
            </w:tcBorders>
            <w:vAlign w:val="center"/>
          </w:tcPr>
          <w:p w14:paraId="1ECFD298"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Pyrexia</w:t>
            </w:r>
          </w:p>
        </w:tc>
        <w:tc>
          <w:tcPr>
            <w:tcW w:w="2062" w:type="dxa"/>
            <w:tcBorders>
              <w:top w:val="nil"/>
              <w:left w:val="single" w:sz="4" w:space="0" w:color="auto"/>
              <w:bottom w:val="nil"/>
              <w:right w:val="single" w:sz="4" w:space="0" w:color="auto"/>
            </w:tcBorders>
          </w:tcPr>
          <w:p w14:paraId="25CEDF25"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11 (4.9)</w:t>
            </w:r>
          </w:p>
        </w:tc>
        <w:tc>
          <w:tcPr>
            <w:tcW w:w="2062" w:type="dxa"/>
            <w:tcBorders>
              <w:top w:val="nil"/>
              <w:left w:val="single" w:sz="4" w:space="0" w:color="auto"/>
              <w:bottom w:val="nil"/>
              <w:right w:val="single" w:sz="4" w:space="0" w:color="auto"/>
            </w:tcBorders>
          </w:tcPr>
          <w:p w14:paraId="0C5364B0"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4 (4.5)</w:t>
            </w:r>
          </w:p>
        </w:tc>
        <w:tc>
          <w:tcPr>
            <w:tcW w:w="2063" w:type="dxa"/>
            <w:tcBorders>
              <w:top w:val="nil"/>
              <w:left w:val="single" w:sz="4" w:space="0" w:color="auto"/>
              <w:bottom w:val="nil"/>
              <w:right w:val="single" w:sz="4" w:space="0" w:color="auto"/>
            </w:tcBorders>
          </w:tcPr>
          <w:p w14:paraId="764A6A08"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 (1.2)</w:t>
            </w:r>
          </w:p>
        </w:tc>
      </w:tr>
      <w:tr w:rsidR="000A42EA" w:rsidRPr="00A40992" w14:paraId="39A93E3E" w14:textId="77777777" w:rsidTr="00C51B78">
        <w:tc>
          <w:tcPr>
            <w:tcW w:w="2830" w:type="dxa"/>
            <w:tcBorders>
              <w:top w:val="nil"/>
              <w:left w:val="single" w:sz="4" w:space="0" w:color="auto"/>
              <w:bottom w:val="single" w:sz="4" w:space="0" w:color="auto"/>
              <w:right w:val="single" w:sz="4" w:space="0" w:color="auto"/>
            </w:tcBorders>
            <w:vAlign w:val="center"/>
          </w:tcPr>
          <w:p w14:paraId="724F7B59" w14:textId="77777777" w:rsidR="000A42EA" w:rsidRPr="00A40992" w:rsidRDefault="000A42EA" w:rsidP="00C51B78">
            <w:pPr>
              <w:ind w:left="112"/>
              <w:jc w:val="left"/>
              <w:rPr>
                <w:rFonts w:ascii="Arial Narrow" w:hAnsi="Arial Narrow"/>
                <w:sz w:val="20"/>
                <w:szCs w:val="20"/>
              </w:rPr>
            </w:pPr>
            <w:r w:rsidRPr="00A40992">
              <w:rPr>
                <w:rFonts w:ascii="Arial Narrow" w:hAnsi="Arial Narrow"/>
                <w:sz w:val="20"/>
                <w:szCs w:val="20"/>
              </w:rPr>
              <w:t>Headache</w:t>
            </w:r>
          </w:p>
        </w:tc>
        <w:tc>
          <w:tcPr>
            <w:tcW w:w="2062" w:type="dxa"/>
            <w:tcBorders>
              <w:top w:val="nil"/>
              <w:left w:val="single" w:sz="4" w:space="0" w:color="auto"/>
              <w:bottom w:val="single" w:sz="4" w:space="0" w:color="auto"/>
              <w:right w:val="single" w:sz="4" w:space="0" w:color="auto"/>
            </w:tcBorders>
          </w:tcPr>
          <w:p w14:paraId="6E3BE7A3"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16 (7.1)</w:t>
            </w:r>
          </w:p>
        </w:tc>
        <w:tc>
          <w:tcPr>
            <w:tcW w:w="2062" w:type="dxa"/>
            <w:tcBorders>
              <w:top w:val="nil"/>
              <w:left w:val="single" w:sz="4" w:space="0" w:color="auto"/>
              <w:bottom w:val="single" w:sz="4" w:space="0" w:color="auto"/>
              <w:right w:val="single" w:sz="4" w:space="0" w:color="auto"/>
            </w:tcBorders>
          </w:tcPr>
          <w:p w14:paraId="0B323E0C"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2 (2.3)</w:t>
            </w:r>
          </w:p>
        </w:tc>
        <w:tc>
          <w:tcPr>
            <w:tcW w:w="2063" w:type="dxa"/>
            <w:tcBorders>
              <w:top w:val="nil"/>
              <w:left w:val="single" w:sz="4" w:space="0" w:color="auto"/>
              <w:bottom w:val="single" w:sz="4" w:space="0" w:color="auto"/>
              <w:right w:val="single" w:sz="4" w:space="0" w:color="auto"/>
            </w:tcBorders>
          </w:tcPr>
          <w:p w14:paraId="21830025" w14:textId="77777777" w:rsidR="000A42EA" w:rsidRPr="00A40992" w:rsidRDefault="000A42EA" w:rsidP="00C51B78">
            <w:pPr>
              <w:jc w:val="center"/>
              <w:rPr>
                <w:rFonts w:ascii="Arial Narrow" w:hAnsi="Arial Narrow"/>
                <w:sz w:val="20"/>
                <w:szCs w:val="20"/>
              </w:rPr>
            </w:pPr>
            <w:r w:rsidRPr="00A40992">
              <w:rPr>
                <w:rFonts w:ascii="Arial Narrow" w:hAnsi="Arial Narrow"/>
                <w:sz w:val="20"/>
                <w:szCs w:val="20"/>
              </w:rPr>
              <w:t>6 (7.1)</w:t>
            </w:r>
          </w:p>
        </w:tc>
      </w:tr>
    </w:tbl>
    <w:p w14:paraId="3705B95F" w14:textId="77777777" w:rsidR="000A42EA" w:rsidRDefault="000A42EA" w:rsidP="000A42EA">
      <w:pPr>
        <w:pStyle w:val="FooterTableFigure"/>
      </w:pPr>
      <w:r>
        <w:t xml:space="preserve">Source: Tables 2.21, pp59-60 </w:t>
      </w:r>
      <w:r w:rsidRPr="00D13A3E">
        <w:t xml:space="preserve">of the </w:t>
      </w:r>
      <w:r>
        <w:t>submission; PROPEL CSR</w:t>
      </w:r>
    </w:p>
    <w:p w14:paraId="71A53C5D" w14:textId="458A0FDD" w:rsidR="000A42EA" w:rsidRDefault="000A42EA" w:rsidP="000A42EA">
      <w:pPr>
        <w:pStyle w:val="FooterTableFigure"/>
      </w:pPr>
      <w:r w:rsidRPr="0071767E">
        <w:t>TOF=tofacitinib;</w:t>
      </w:r>
      <w:r>
        <w:t xml:space="preserve"> PBO=placebo; AE=adverse event; TEAE=treatment emergent adverse event. </w:t>
      </w:r>
    </w:p>
    <w:p w14:paraId="7B78D8F7" w14:textId="3C45E35C" w:rsidR="002C7B54" w:rsidRDefault="0011729E" w:rsidP="002C7B54">
      <w:pPr>
        <w:pStyle w:val="3-BodyText"/>
      </w:pPr>
      <w:bookmarkStart w:id="27" w:name="_Ref130308242"/>
      <w:r w:rsidRPr="006F0FC9">
        <w:t>Any meaningful comparison between TOF and ADA for safety outcomes is problematic because there was limited published safety data from DE038, and both trials reported safety outcomes differently.</w:t>
      </w:r>
      <w:r>
        <w:t xml:space="preserve"> For example, the PROPEL trial reported the number of patients with an event whereas DE038 reported the number of events and </w:t>
      </w:r>
      <w:r w:rsidR="00925706">
        <w:t xml:space="preserve">rate of </w:t>
      </w:r>
      <w:r>
        <w:t>events per patient-year of treatment.</w:t>
      </w:r>
      <w:r w:rsidR="00235CD0">
        <w:t xml:space="preserve"> Despite this, the submission conducted an indirect treatment comparison between TOF and ADA using the Bucher method for some safety outcomes. Based on this analysis, the submission concluded there was no statistically significant difference between TOF and ADA in terms of serious adverse events or risk of infection.</w:t>
      </w:r>
      <w:bookmarkEnd w:id="27"/>
    </w:p>
    <w:p w14:paraId="20D7C9CA" w14:textId="442B8EB4" w:rsidR="00A7161B" w:rsidRPr="006E2656" w:rsidRDefault="00235CD0" w:rsidP="00ED287F">
      <w:pPr>
        <w:pStyle w:val="3-BodyText"/>
      </w:pPr>
      <w:bookmarkStart w:id="28" w:name="_Ref130308244"/>
      <w:r w:rsidRPr="006E2656">
        <w:t xml:space="preserve">The </w:t>
      </w:r>
      <w:r w:rsidR="002C7B54" w:rsidRPr="006E2656">
        <w:t xml:space="preserve">indirect treatment comparison </w:t>
      </w:r>
      <w:r w:rsidR="00A7161B" w:rsidRPr="006E2656">
        <w:t xml:space="preserve">of safety outcomes presented in the submission </w:t>
      </w:r>
      <w:r w:rsidR="002C7B54" w:rsidRPr="006E2656">
        <w:t>w</w:t>
      </w:r>
      <w:r w:rsidR="00A7161B" w:rsidRPr="006E2656">
        <w:t>as</w:t>
      </w:r>
      <w:r w:rsidR="002C7B54" w:rsidRPr="006E2656">
        <w:t xml:space="preserve"> uninformative. The numbers of adverse events in DE038 were unverified and the analysis</w:t>
      </w:r>
      <w:r w:rsidR="0011729E" w:rsidRPr="006E2656">
        <w:t xml:space="preserve"> do</w:t>
      </w:r>
      <w:r w:rsidR="002C7B54" w:rsidRPr="006E2656">
        <w:t>es</w:t>
      </w:r>
      <w:r w:rsidR="0011729E" w:rsidRPr="006E2656">
        <w:t xml:space="preserve"> not control for differences in treatment exposures across the trials. As discussed above, the double-blind withdrawal phase was six weeks longer in DE038 compared to PROPEL and the discontinuation rules differed when patients experienced a disease flare, which would likely impact on the incidence of adverse events.</w:t>
      </w:r>
      <w:r w:rsidR="00ED287F" w:rsidRPr="006E2656">
        <w:t xml:space="preserve"> </w:t>
      </w:r>
      <w:r w:rsidR="00A7161B" w:rsidRPr="006E2656">
        <w:t xml:space="preserve">To provide the PBAC with a more meaningful comparison </w:t>
      </w:r>
      <w:r w:rsidR="002022F0" w:rsidRPr="006E2656">
        <w:t xml:space="preserve">of TOF and ADA for safety outcomes, </w:t>
      </w:r>
      <w:r w:rsidR="00A7161B" w:rsidRPr="006E2656">
        <w:t>safety data from PROPEL were compared</w:t>
      </w:r>
      <w:r w:rsidR="001D3338">
        <w:t xml:space="preserve"> to</w:t>
      </w:r>
      <w:r w:rsidR="00A7161B" w:rsidRPr="006E2656">
        <w:t xml:space="preserve"> </w:t>
      </w:r>
      <w:r w:rsidR="001D3338">
        <w:t xml:space="preserve">information provided in </w:t>
      </w:r>
      <w:r w:rsidR="00A7161B" w:rsidRPr="006E2656">
        <w:t>the March 2010 PBAC submission for ADA</w:t>
      </w:r>
      <w:r w:rsidR="001D3338">
        <w:t>.</w:t>
      </w:r>
      <w:r w:rsidR="00A7161B" w:rsidRPr="006E2656">
        <w:t xml:space="preserve"> Overall, the</w:t>
      </w:r>
      <w:r w:rsidR="00257B3F">
        <w:t xml:space="preserve"> evaluation considered the</w:t>
      </w:r>
      <w:r w:rsidR="00A7161B" w:rsidRPr="006E2656">
        <w:t xml:space="preserve"> general safety profile of TOF appear</w:t>
      </w:r>
      <w:r w:rsidR="00257B3F">
        <w:t>ed</w:t>
      </w:r>
      <w:r w:rsidR="00A7161B" w:rsidRPr="006E2656">
        <w:t xml:space="preserve"> comparable to ADA, albeit without the injection site reactions (not applicable for a tablet).</w:t>
      </w:r>
      <w:bookmarkEnd w:id="28"/>
    </w:p>
    <w:p w14:paraId="0B9B0653" w14:textId="483CFB28" w:rsidR="000F3BD2" w:rsidRPr="006E2656" w:rsidRDefault="00267677" w:rsidP="00925706">
      <w:pPr>
        <w:pStyle w:val="3-BodyText"/>
      </w:pPr>
      <w:r w:rsidRPr="006E2656">
        <w:t xml:space="preserve">The submission noted that a number of pharmacovigilance studies are either ongoing or planned to </w:t>
      </w:r>
      <w:r w:rsidR="000F3BD2" w:rsidRPr="006E2656">
        <w:t xml:space="preserve">better </w:t>
      </w:r>
      <w:r w:rsidRPr="006E2656">
        <w:t xml:space="preserve">understand </w:t>
      </w:r>
      <w:r w:rsidR="000F3BD2" w:rsidRPr="006E2656">
        <w:t xml:space="preserve">the </w:t>
      </w:r>
      <w:r w:rsidR="00C53AA9" w:rsidRPr="006E2656">
        <w:t>risks associated with TOF, including several planned studies in children</w:t>
      </w:r>
      <w:r w:rsidR="00191C47">
        <w:t>.</w:t>
      </w:r>
      <w:r w:rsidR="00BE5065">
        <w:t xml:space="preserve"> </w:t>
      </w:r>
      <w:r w:rsidR="00925706" w:rsidRPr="006E2656">
        <w:t>Results</w:t>
      </w:r>
      <w:r w:rsidR="00C53AA9" w:rsidRPr="006E2656">
        <w:t xml:space="preserve"> </w:t>
      </w:r>
      <w:r w:rsidR="009A48BB" w:rsidRPr="006E2656">
        <w:t xml:space="preserve">from a recent </w:t>
      </w:r>
      <w:r w:rsidR="00C53AA9" w:rsidRPr="006E2656">
        <w:t xml:space="preserve">long-term extension study of TOF (Study A3921133) </w:t>
      </w:r>
      <w:r w:rsidR="009A48BB" w:rsidRPr="006E2656">
        <w:t xml:space="preserve">in patients </w:t>
      </w:r>
      <w:r w:rsidR="009A48BB" w:rsidRPr="006E2656">
        <w:rPr>
          <w:rFonts w:cstheme="minorHAnsi"/>
        </w:rPr>
        <w:t>≥</w:t>
      </w:r>
      <w:r w:rsidR="009A48BB" w:rsidRPr="006E2656">
        <w:t xml:space="preserve">50 years with moderate-severe rheumatoid arthritis </w:t>
      </w:r>
      <w:r w:rsidR="00C53AA9" w:rsidRPr="006E2656">
        <w:t xml:space="preserve">found </w:t>
      </w:r>
      <w:r w:rsidR="009A48BB" w:rsidRPr="006E2656">
        <w:t xml:space="preserve">that </w:t>
      </w:r>
      <w:r w:rsidR="00C53AA9" w:rsidRPr="006E2656">
        <w:t xml:space="preserve">TOF </w:t>
      </w:r>
      <w:r w:rsidR="009A48BB" w:rsidRPr="006E2656">
        <w:t xml:space="preserve">was associated with increased frequency of MACE, malignancy, mortality and thromboembolism compared to those patients prescribed TNF-alpha inhibitor. The submission argued </w:t>
      </w:r>
      <w:r w:rsidR="000F3BD2" w:rsidRPr="006E2656">
        <w:t xml:space="preserve">that it was not appropriate to extrapolate the findings of the study to children with JIA, given the study </w:t>
      </w:r>
      <w:r w:rsidR="00F939EC" w:rsidRPr="006E2656">
        <w:t>included</w:t>
      </w:r>
      <w:r w:rsidR="000F3BD2" w:rsidRPr="006E2656">
        <w:t xml:space="preserve"> a </w:t>
      </w:r>
      <w:r w:rsidR="00F939EC" w:rsidRPr="006E2656">
        <w:t xml:space="preserve">CV </w:t>
      </w:r>
      <w:r w:rsidR="000F3BD2" w:rsidRPr="006E2656">
        <w:t>risk-enriched population</w:t>
      </w:r>
      <w:r w:rsidR="00F939EC" w:rsidRPr="006E2656">
        <w:t>, malignancy is rare in children</w:t>
      </w:r>
      <w:r w:rsidR="000F3BD2" w:rsidRPr="006E2656">
        <w:t xml:space="preserve"> and the nature of rheumatoid arthritis is different to JIA. </w:t>
      </w:r>
      <w:r w:rsidR="00F939EC" w:rsidRPr="006E2656">
        <w:t xml:space="preserve">The submission noted that the incidence rates for MACE and malignancy were similar between TOF and TNF-alpha inhibitors for patients &lt;65 years who had never smoked. </w:t>
      </w:r>
      <w:r w:rsidR="000F3BD2" w:rsidRPr="006E2656">
        <w:t>The TGA</w:t>
      </w:r>
      <w:r w:rsidR="00F939EC" w:rsidRPr="006E2656">
        <w:t xml:space="preserve"> </w:t>
      </w:r>
      <w:r w:rsidR="00925706" w:rsidRPr="006E2656">
        <w:t>Delegate’s Overview (p27) noted that there are some unresolved concerns with the potential for serious adverse events associated with long-term use of TOF</w:t>
      </w:r>
      <w:r w:rsidR="00ED287F" w:rsidRPr="006E2656">
        <w:t>,</w:t>
      </w:r>
      <w:r w:rsidR="00925706" w:rsidRPr="006E2656">
        <w:t xml:space="preserve"> which may result in further TGA action.</w:t>
      </w:r>
    </w:p>
    <w:p w14:paraId="04908C7F" w14:textId="415B9B7D" w:rsidR="007F1017" w:rsidRPr="00D04AA0" w:rsidRDefault="007F1017" w:rsidP="00D86231">
      <w:pPr>
        <w:pStyle w:val="4-SubsectionHeading"/>
        <w:rPr>
          <w:iCs/>
        </w:rPr>
      </w:pPr>
      <w:bookmarkStart w:id="29" w:name="_Toc22897643"/>
      <w:bookmarkStart w:id="30" w:name="_Toc121477778"/>
      <w:r w:rsidRPr="00D04AA0">
        <w:rPr>
          <w:iCs/>
        </w:rPr>
        <w:t>Benefits/harms</w:t>
      </w:r>
      <w:bookmarkEnd w:id="29"/>
      <w:bookmarkEnd w:id="30"/>
    </w:p>
    <w:p w14:paraId="02B9BDE3" w14:textId="7C7941E9" w:rsidR="007A1345" w:rsidRPr="006E2656" w:rsidRDefault="00311D9B" w:rsidP="00003E67">
      <w:pPr>
        <w:pStyle w:val="3-BodyText"/>
      </w:pPr>
      <w:r w:rsidRPr="006E2656">
        <w:rPr>
          <w:snapToGrid/>
          <w:lang w:val="en-US"/>
        </w:rPr>
        <w:t>A benefits and harms table is not presented as the submission made a claim of non-inferiority.</w:t>
      </w:r>
      <w:r w:rsidR="00E926A5" w:rsidRPr="006E2656">
        <w:rPr>
          <w:snapToGrid/>
          <w:lang w:val="en-US"/>
        </w:rPr>
        <w:t xml:space="preserve"> </w:t>
      </w:r>
      <w:r w:rsidR="00003E67" w:rsidRPr="006E2656">
        <w:rPr>
          <w:snapToGrid/>
          <w:lang w:val="en-US"/>
        </w:rPr>
        <w:t xml:space="preserve">Based on the clinical evidence presented in the submission, </w:t>
      </w:r>
      <w:r w:rsidR="003A7608" w:rsidRPr="006E2656">
        <w:rPr>
          <w:snapToGrid/>
          <w:lang w:val="en-US"/>
        </w:rPr>
        <w:t xml:space="preserve">there were no expected clinically meaningful differences between TOF and ADA in terms of efficacy or safety. </w:t>
      </w:r>
      <w:r w:rsidR="00003E67" w:rsidRPr="006E2656">
        <w:rPr>
          <w:snapToGrid/>
          <w:lang w:val="en-US"/>
        </w:rPr>
        <w:t>Differences in safety profiles are likely due to the different mechanism of action and route of administration, but overall rates of serious adverse events appear comparable. For example, a</w:t>
      </w:r>
      <w:r w:rsidR="003A7608" w:rsidRPr="006E2656">
        <w:rPr>
          <w:snapToGrid/>
          <w:lang w:val="en-US"/>
        </w:rPr>
        <w:t>lthough the rate of injection site reactions is relatively low with ADA (&lt;5%), TOF is not associated with injection site reactions as it is an orally administered treatment.</w:t>
      </w:r>
    </w:p>
    <w:p w14:paraId="7A1772B6" w14:textId="23BB3145" w:rsidR="00B60939" w:rsidRPr="00D04AA0" w:rsidRDefault="00B60939" w:rsidP="00E9094A">
      <w:pPr>
        <w:pStyle w:val="4-SubsectionHeading"/>
        <w:rPr>
          <w:iCs/>
        </w:rPr>
      </w:pPr>
      <w:bookmarkStart w:id="31" w:name="_Toc22897644"/>
      <w:bookmarkStart w:id="32" w:name="_Toc121477779"/>
      <w:r w:rsidRPr="00D04AA0">
        <w:rPr>
          <w:iCs/>
        </w:rPr>
        <w:t>Clinical claim</w:t>
      </w:r>
      <w:bookmarkEnd w:id="31"/>
      <w:bookmarkEnd w:id="32"/>
    </w:p>
    <w:p w14:paraId="2240207B" w14:textId="3B7161A7" w:rsidR="009A4337" w:rsidRPr="00C46ADD" w:rsidRDefault="005F7588" w:rsidP="00267677">
      <w:pPr>
        <w:pStyle w:val="3-BodyText"/>
        <w:rPr>
          <w:rFonts w:eastAsia="Calibri"/>
        </w:rPr>
      </w:pPr>
      <w:r w:rsidRPr="00A2441D">
        <w:rPr>
          <w:rFonts w:eastAsia="Calibri"/>
        </w:rPr>
        <w:t xml:space="preserve">The submission described </w:t>
      </w:r>
      <w:r w:rsidR="000E24DA" w:rsidRPr="00A2441D">
        <w:rPr>
          <w:rFonts w:eastAsia="Calibri"/>
        </w:rPr>
        <w:t>TOF</w:t>
      </w:r>
      <w:r w:rsidRPr="00A2441D">
        <w:rPr>
          <w:rFonts w:eastAsia="Calibri"/>
        </w:rPr>
        <w:t xml:space="preserve"> as non-inferior</w:t>
      </w:r>
      <w:r w:rsidR="000E24DA" w:rsidRPr="00A2441D">
        <w:rPr>
          <w:rFonts w:eastAsia="Calibri"/>
        </w:rPr>
        <w:t xml:space="preserve"> to ADA</w:t>
      </w:r>
      <w:r w:rsidRPr="00A2441D">
        <w:rPr>
          <w:rFonts w:eastAsia="Calibri"/>
        </w:rPr>
        <w:t xml:space="preserve"> in term</w:t>
      </w:r>
      <w:r w:rsidR="00156F8F" w:rsidRPr="00A2441D">
        <w:rPr>
          <w:rFonts w:eastAsia="Calibri"/>
        </w:rPr>
        <w:t>s</w:t>
      </w:r>
      <w:r w:rsidRPr="00A2441D">
        <w:rPr>
          <w:rFonts w:eastAsia="Calibri"/>
        </w:rPr>
        <w:t xml:space="preserve"> of </w:t>
      </w:r>
      <w:r w:rsidR="000E24DA" w:rsidRPr="00A2441D">
        <w:rPr>
          <w:rFonts w:eastAsia="Calibri"/>
        </w:rPr>
        <w:t xml:space="preserve">effectiveness and </w:t>
      </w:r>
      <w:r w:rsidRPr="00A2441D">
        <w:rPr>
          <w:rFonts w:eastAsia="Calibri"/>
        </w:rPr>
        <w:t>safety. Th</w:t>
      </w:r>
      <w:r w:rsidR="000E24DA" w:rsidRPr="00A2441D">
        <w:rPr>
          <w:rFonts w:eastAsia="Calibri"/>
        </w:rPr>
        <w:t>e clinical evidence presented in the submission adequately supported th</w:t>
      </w:r>
      <w:r w:rsidRPr="00A2441D">
        <w:rPr>
          <w:rFonts w:eastAsia="Calibri"/>
        </w:rPr>
        <w:t>is claim</w:t>
      </w:r>
      <w:r w:rsidR="00F3362A" w:rsidRPr="00A2441D">
        <w:rPr>
          <w:rFonts w:eastAsia="Calibri"/>
        </w:rPr>
        <w:t>; however, the long-term risks associated with the use of TOF in children is unknown</w:t>
      </w:r>
      <w:r w:rsidR="00267677" w:rsidRPr="00A2441D">
        <w:rPr>
          <w:rFonts w:eastAsia="Calibri"/>
        </w:rPr>
        <w:t xml:space="preserve"> (including impacts on growth and development)</w:t>
      </w:r>
      <w:r w:rsidR="007C70FF" w:rsidRPr="00A2441D">
        <w:rPr>
          <w:rFonts w:eastAsia="Calibri"/>
        </w:rPr>
        <w:t>.</w:t>
      </w:r>
      <w:r w:rsidR="00A435E6">
        <w:rPr>
          <w:rFonts w:eastAsia="Calibri"/>
        </w:rPr>
        <w:t xml:space="preserve"> </w:t>
      </w:r>
      <w:r w:rsidR="00A435E6" w:rsidRPr="00F00DB9">
        <w:rPr>
          <w:rFonts w:eastAsia="Calibri"/>
          <w:iCs/>
        </w:rPr>
        <w:t xml:space="preserve">The ESC </w:t>
      </w:r>
      <w:r w:rsidR="00191C47" w:rsidRPr="00F00DB9">
        <w:rPr>
          <w:rFonts w:eastAsia="Calibri"/>
          <w:iCs/>
        </w:rPr>
        <w:t>considered</w:t>
      </w:r>
      <w:r w:rsidR="00A435E6" w:rsidRPr="00F00DB9">
        <w:rPr>
          <w:rFonts w:eastAsia="Calibri"/>
          <w:iCs/>
        </w:rPr>
        <w:t xml:space="preserve"> the claim of non-inferior</w:t>
      </w:r>
      <w:r w:rsidR="00191C47" w:rsidRPr="00F00DB9">
        <w:rPr>
          <w:rFonts w:eastAsia="Calibri"/>
          <w:iCs/>
        </w:rPr>
        <w:t xml:space="preserve"> comparative effectiveness and safety</w:t>
      </w:r>
      <w:r w:rsidR="00A435E6" w:rsidRPr="00F00DB9">
        <w:rPr>
          <w:rFonts w:eastAsia="Calibri"/>
          <w:iCs/>
        </w:rPr>
        <w:t xml:space="preserve"> to</w:t>
      </w:r>
      <w:r w:rsidR="009055D0" w:rsidRPr="00F00DB9">
        <w:rPr>
          <w:rFonts w:eastAsia="Calibri"/>
          <w:iCs/>
        </w:rPr>
        <w:t xml:space="preserve"> ADA</w:t>
      </w:r>
      <w:r w:rsidR="00A435E6" w:rsidRPr="00F00DB9">
        <w:rPr>
          <w:rFonts w:eastAsia="Calibri"/>
          <w:iCs/>
        </w:rPr>
        <w:t xml:space="preserve"> </w:t>
      </w:r>
      <w:r w:rsidR="00191C47" w:rsidRPr="00F00DB9">
        <w:rPr>
          <w:rFonts w:eastAsia="Calibri"/>
          <w:iCs/>
        </w:rPr>
        <w:t>was adequately supported.</w:t>
      </w:r>
    </w:p>
    <w:p w14:paraId="557764E6" w14:textId="241455BE" w:rsidR="00C46ADD" w:rsidRPr="00CE42B4" w:rsidRDefault="00C46ADD" w:rsidP="00C46ADD">
      <w:pPr>
        <w:widowControl w:val="0"/>
        <w:numPr>
          <w:ilvl w:val="1"/>
          <w:numId w:val="1"/>
        </w:numPr>
        <w:spacing w:after="120"/>
        <w:rPr>
          <w:rFonts w:asciiTheme="minorHAnsi" w:hAnsiTheme="minorHAnsi"/>
          <w:snapToGrid w:val="0"/>
          <w:szCs w:val="20"/>
        </w:rPr>
      </w:pPr>
      <w:bookmarkStart w:id="33"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w:t>
      </w:r>
      <w:r w:rsidR="00054852">
        <w:rPr>
          <w:rFonts w:asciiTheme="minorHAnsi" w:hAnsiTheme="minorHAnsi"/>
          <w:snapToGrid w:val="0"/>
          <w:szCs w:val="20"/>
        </w:rPr>
        <w:t xml:space="preserve"> and safety</w:t>
      </w:r>
      <w:r w:rsidRPr="00CE42B4">
        <w:rPr>
          <w:rFonts w:asciiTheme="minorHAnsi" w:hAnsiTheme="minorHAnsi"/>
          <w:snapToGrid w:val="0"/>
          <w:szCs w:val="20"/>
        </w:rPr>
        <w:t xml:space="preserve"> was reasonable.</w:t>
      </w:r>
    </w:p>
    <w:p w14:paraId="74A1172E" w14:textId="7758783C" w:rsidR="00B60939" w:rsidRPr="00D04AA0" w:rsidRDefault="00B60939" w:rsidP="00267677">
      <w:pPr>
        <w:pStyle w:val="4-SubsectionHeading"/>
        <w:rPr>
          <w:iCs/>
        </w:rPr>
      </w:pPr>
      <w:bookmarkStart w:id="34" w:name="_Toc22897645"/>
      <w:bookmarkStart w:id="35" w:name="_Toc121477780"/>
      <w:bookmarkEnd w:id="33"/>
      <w:r w:rsidRPr="00D04AA0">
        <w:rPr>
          <w:iCs/>
        </w:rPr>
        <w:t>Economic analysis</w:t>
      </w:r>
      <w:bookmarkEnd w:id="34"/>
      <w:bookmarkEnd w:id="35"/>
    </w:p>
    <w:p w14:paraId="08189A99" w14:textId="731688ED" w:rsidR="00083D63" w:rsidRPr="00A2441D" w:rsidRDefault="00614F15" w:rsidP="0004157E">
      <w:pPr>
        <w:pStyle w:val="3-BodyText"/>
        <w:rPr>
          <w:b/>
          <w:bCs/>
          <w:lang w:val="en-US"/>
        </w:rPr>
      </w:pPr>
      <w:r w:rsidRPr="003D2E6D">
        <w:t xml:space="preserve">The submission presented a cost minimisation </w:t>
      </w:r>
      <w:r w:rsidR="0004157E" w:rsidRPr="003D2E6D">
        <w:t>approach</w:t>
      </w:r>
      <w:r w:rsidRPr="003D2E6D">
        <w:t xml:space="preserve"> between TOF and ADA, based on the published AEMP</w:t>
      </w:r>
      <w:r w:rsidR="00976B4B" w:rsidRPr="003D2E6D">
        <w:t xml:space="preserve"> for ADA</w:t>
      </w:r>
      <w:r w:rsidRPr="003D2E6D">
        <w:t xml:space="preserve">. </w:t>
      </w:r>
      <w:r w:rsidR="00083D63" w:rsidRPr="003D2E6D">
        <w:t>The</w:t>
      </w:r>
      <w:r w:rsidR="00083D63" w:rsidRPr="00A2441D">
        <w:t xml:space="preserve"> </w:t>
      </w:r>
      <w:r w:rsidR="004A1806" w:rsidRPr="00A2441D">
        <w:t xml:space="preserve">proposed </w:t>
      </w:r>
      <w:r w:rsidR="00083D63" w:rsidRPr="00A2441D">
        <w:t>equi-effective doses were based on the recommended doses:</w:t>
      </w:r>
    </w:p>
    <w:p w14:paraId="467AB4E9" w14:textId="7C9A5820" w:rsidR="005E7964" w:rsidRPr="00A2441D" w:rsidRDefault="005E7964" w:rsidP="007C309F">
      <w:pPr>
        <w:pStyle w:val="ListParagraph"/>
        <w:numPr>
          <w:ilvl w:val="0"/>
          <w:numId w:val="13"/>
        </w:numPr>
      </w:pPr>
      <w:r w:rsidRPr="00A2441D">
        <w:t>TOF (10 kg to &lt;20 kg: 3.2 mg; 20 kg to &lt;40 kg: 4 mg; ≥40 kg: 5 mg) twice daily</w:t>
      </w:r>
    </w:p>
    <w:p w14:paraId="6C7B2E7A" w14:textId="4B18584A" w:rsidR="005E7964" w:rsidRPr="00A2441D" w:rsidRDefault="005E7964" w:rsidP="007C309F">
      <w:pPr>
        <w:pStyle w:val="ListParagraph"/>
        <w:numPr>
          <w:ilvl w:val="0"/>
          <w:numId w:val="13"/>
        </w:numPr>
      </w:pPr>
      <w:r w:rsidRPr="00A2441D">
        <w:t>ADA (15 kg to &lt;30 kg: 20 mg; ≥30 kg: 40 mg) SC every two weeks.</w:t>
      </w:r>
    </w:p>
    <w:p w14:paraId="7FFFDAEE" w14:textId="400E1980" w:rsidR="004A1806" w:rsidRPr="00A2441D" w:rsidRDefault="00264109" w:rsidP="001136DE">
      <w:pPr>
        <w:pStyle w:val="3-BodyText"/>
        <w:numPr>
          <w:ilvl w:val="0"/>
          <w:numId w:val="0"/>
        </w:numPr>
        <w:ind w:left="720"/>
      </w:pPr>
      <w:r w:rsidRPr="00A2441D">
        <w:t>T</w:t>
      </w:r>
      <w:r w:rsidR="001136DE" w:rsidRPr="00A2441D">
        <w:t>he recommended doses in the product information (PI) documents differ slightly to those used in the PROPEL and DE038 trials. For TOF, the recommended dose in the draft PI consists of a simplified dosing regimen with fewer weight-based categories. For ADA, the recommended dose in the PI is based on the weight-based dosing regimen used in the open-label extension of DE038 rather than the body-surface area dose used in the lead-in and withdrawal phases. The therapeutic relativity sheets, however, include both ADA dosing regimens based on weight (as above) and body surface area (24 mg per m</w:t>
      </w:r>
      <w:r w:rsidR="001136DE" w:rsidRPr="000D3617">
        <w:rPr>
          <w:vertAlign w:val="superscript"/>
        </w:rPr>
        <w:t>2</w:t>
      </w:r>
      <w:r w:rsidR="001136DE" w:rsidRPr="00A2441D">
        <w:t xml:space="preserve"> SC every two weeks).</w:t>
      </w:r>
    </w:p>
    <w:p w14:paraId="3215C5BF" w14:textId="7FA24535" w:rsidR="005E7964" w:rsidRPr="00A2441D" w:rsidRDefault="00F726F5" w:rsidP="0004157E">
      <w:pPr>
        <w:pStyle w:val="3-BodyText"/>
        <w:rPr>
          <w:lang w:val="en-US"/>
        </w:rPr>
      </w:pPr>
      <w:r w:rsidRPr="00A2441D">
        <w:rPr>
          <w:lang w:val="en-US"/>
        </w:rPr>
        <w:t>The cost-</w:t>
      </w:r>
      <w:r w:rsidR="005B24C5" w:rsidRPr="00A2441D">
        <w:rPr>
          <w:lang w:val="en-US"/>
        </w:rPr>
        <w:t>minimi</w:t>
      </w:r>
      <w:r w:rsidR="00E704ED" w:rsidRPr="00A2441D">
        <w:rPr>
          <w:lang w:val="en-US"/>
        </w:rPr>
        <w:t>s</w:t>
      </w:r>
      <w:r w:rsidR="005B24C5" w:rsidRPr="00A2441D">
        <w:rPr>
          <w:lang w:val="en-US"/>
        </w:rPr>
        <w:t xml:space="preserve">ation </w:t>
      </w:r>
      <w:r w:rsidR="0004157E" w:rsidRPr="00A2441D">
        <w:rPr>
          <w:lang w:val="en-US"/>
        </w:rPr>
        <w:t>approach</w:t>
      </w:r>
      <w:r w:rsidR="005B24C5" w:rsidRPr="00A2441D">
        <w:rPr>
          <w:lang w:val="en-US"/>
        </w:rPr>
        <w:t xml:space="preserve"> calculated the total drug costs over a two-year period with TOF 5 mg tablets (i.e. assuming all patients </w:t>
      </w:r>
      <w:r w:rsidR="005B24C5" w:rsidRPr="00A2441D">
        <w:rPr>
          <w:rFonts w:cstheme="minorHAnsi"/>
          <w:lang w:val="en-US"/>
        </w:rPr>
        <w:t>≥</w:t>
      </w:r>
      <w:r w:rsidR="005B24C5" w:rsidRPr="00A2441D">
        <w:rPr>
          <w:lang w:val="en-US"/>
        </w:rPr>
        <w:t>40 kg) compared to ADA 20 mg or 40 mg SC injection</w:t>
      </w:r>
      <w:r w:rsidR="00C51B78" w:rsidRPr="00A2441D">
        <w:rPr>
          <w:lang w:val="en-US"/>
        </w:rPr>
        <w:t xml:space="preserve">, assuming </w:t>
      </w:r>
      <w:r w:rsidR="005B24C5" w:rsidRPr="00A2441D">
        <w:rPr>
          <w:lang w:val="en-US"/>
        </w:rPr>
        <w:t>no administration cost</w:t>
      </w:r>
      <w:r w:rsidR="00C51B78" w:rsidRPr="00A2441D">
        <w:rPr>
          <w:lang w:val="en-US"/>
        </w:rPr>
        <w:t>s</w:t>
      </w:r>
      <w:r w:rsidR="005B24C5" w:rsidRPr="00A2441D">
        <w:rPr>
          <w:lang w:val="en-US"/>
        </w:rPr>
        <w:t xml:space="preserve">. The submission noted the flat pricing structure for ADA 20 mg and ADA 40 </w:t>
      </w:r>
      <w:r w:rsidR="00887495" w:rsidRPr="00A2441D">
        <w:rPr>
          <w:lang w:val="en-US"/>
        </w:rPr>
        <w:t>mg and</w:t>
      </w:r>
      <w:r w:rsidR="005B24C5" w:rsidRPr="00A2441D">
        <w:rPr>
          <w:lang w:val="en-US"/>
        </w:rPr>
        <w:t xml:space="preserve"> requested a flat pricing structure between TOF 5 mg tablet and TOF 1 mg per </w:t>
      </w:r>
      <w:r w:rsidR="001C7680">
        <w:rPr>
          <w:lang w:val="en-US"/>
        </w:rPr>
        <w:t>mL</w:t>
      </w:r>
      <w:r w:rsidR="005B24C5" w:rsidRPr="00A2441D">
        <w:rPr>
          <w:lang w:val="en-US"/>
        </w:rPr>
        <w:t xml:space="preserve"> oral solution, on the basis that the average cost of the oral solution was ‘essentially equal’.</w:t>
      </w:r>
    </w:p>
    <w:p w14:paraId="6151AD6B" w14:textId="7A043F2E" w:rsidR="00C51B78" w:rsidRPr="00C51B78" w:rsidRDefault="00765220" w:rsidP="00B069CA">
      <w:pPr>
        <w:pStyle w:val="Caption"/>
        <w:rPr>
          <w:bCs w:val="0"/>
        </w:rPr>
      </w:pPr>
      <w:r>
        <w:t xml:space="preserve">Table </w:t>
      </w:r>
      <w:fldSimple w:instr=" SEQ Table \* ARABIC ">
        <w:r w:rsidR="006C1D0C">
          <w:rPr>
            <w:noProof/>
          </w:rPr>
          <w:t>6</w:t>
        </w:r>
      </w:fldSimple>
      <w:r w:rsidR="00C51B78" w:rsidRPr="00C51B78">
        <w:rPr>
          <w:bCs w:val="0"/>
        </w:rPr>
        <w:t xml:space="preserve">: </w:t>
      </w:r>
      <w:r w:rsidR="00C51B78">
        <w:rPr>
          <w:bCs w:val="0"/>
        </w:rPr>
        <w:t xml:space="preserve">Results of the cost-minimisation </w:t>
      </w:r>
      <w:r w:rsidR="006F0FC9">
        <w:rPr>
          <w:bCs w:val="0"/>
        </w:rPr>
        <w:t>approach</w:t>
      </w:r>
      <w:r w:rsidR="001D3338">
        <w:rPr>
          <w:bCs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2464"/>
        <w:gridCol w:w="2464"/>
        <w:gridCol w:w="2393"/>
      </w:tblGrid>
      <w:tr w:rsidR="00C51B78" w:rsidRPr="00383B78" w14:paraId="5D28CA8A" w14:textId="77777777" w:rsidTr="00C51B78">
        <w:tc>
          <w:tcPr>
            <w:tcW w:w="1696" w:type="dxa"/>
            <w:vMerge w:val="restart"/>
            <w:vAlign w:val="center"/>
          </w:tcPr>
          <w:p w14:paraId="104FCD52" w14:textId="77777777" w:rsidR="00C51B78" w:rsidRPr="00383B78" w:rsidRDefault="00C51B78" w:rsidP="00B069CA">
            <w:pPr>
              <w:pStyle w:val="In-tableHeading"/>
              <w:keepLines/>
            </w:pPr>
            <w:r>
              <w:t>Component</w:t>
            </w:r>
          </w:p>
        </w:tc>
        <w:tc>
          <w:tcPr>
            <w:tcW w:w="4928" w:type="dxa"/>
            <w:gridSpan w:val="2"/>
          </w:tcPr>
          <w:p w14:paraId="60847C08" w14:textId="77777777" w:rsidR="00C51B78" w:rsidRPr="00383B78" w:rsidRDefault="00C51B78" w:rsidP="00B069CA">
            <w:pPr>
              <w:pStyle w:val="In-tableHeading"/>
              <w:keepLines/>
              <w:jc w:val="center"/>
            </w:pPr>
            <w:r>
              <w:t>TOF</w:t>
            </w:r>
          </w:p>
        </w:tc>
        <w:tc>
          <w:tcPr>
            <w:tcW w:w="2393" w:type="dxa"/>
            <w:vMerge w:val="restart"/>
          </w:tcPr>
          <w:p w14:paraId="5597366A" w14:textId="77777777" w:rsidR="00C51B78" w:rsidRDefault="00C51B78" w:rsidP="00B069CA">
            <w:pPr>
              <w:pStyle w:val="In-tableHeading"/>
              <w:keepLines/>
              <w:jc w:val="center"/>
            </w:pPr>
            <w:r>
              <w:t>ADA</w:t>
            </w:r>
          </w:p>
          <w:p w14:paraId="250F75D9" w14:textId="77777777" w:rsidR="00C51B78" w:rsidRPr="00383B78" w:rsidRDefault="00C51B78" w:rsidP="00B069CA">
            <w:pPr>
              <w:pStyle w:val="In-tableHeading"/>
              <w:keepLines/>
              <w:jc w:val="center"/>
            </w:pPr>
            <w:r>
              <w:t>(20mg or 40mg)</w:t>
            </w:r>
          </w:p>
        </w:tc>
      </w:tr>
      <w:tr w:rsidR="00C51B78" w14:paraId="14724FB6" w14:textId="77777777" w:rsidTr="00C51B78">
        <w:tc>
          <w:tcPr>
            <w:tcW w:w="1696" w:type="dxa"/>
            <w:vMerge/>
          </w:tcPr>
          <w:p w14:paraId="00EEFFA1" w14:textId="77777777" w:rsidR="00C51B78" w:rsidRDefault="00C51B78" w:rsidP="00B069CA">
            <w:pPr>
              <w:pStyle w:val="TableText0"/>
              <w:keepLines/>
            </w:pPr>
          </w:p>
        </w:tc>
        <w:tc>
          <w:tcPr>
            <w:tcW w:w="2464" w:type="dxa"/>
            <w:vAlign w:val="center"/>
          </w:tcPr>
          <w:p w14:paraId="6BD181C0" w14:textId="6342A452" w:rsidR="00C51B78" w:rsidRPr="008A59DD" w:rsidRDefault="00C51B78" w:rsidP="00B069CA">
            <w:pPr>
              <w:pStyle w:val="TableText0"/>
              <w:keepLines/>
              <w:jc w:val="center"/>
              <w:rPr>
                <w:b/>
                <w:bCs w:val="0"/>
              </w:rPr>
            </w:pPr>
            <w:r w:rsidRPr="008A59DD">
              <w:rPr>
                <w:b/>
                <w:bCs w:val="0"/>
              </w:rPr>
              <w:t>1mg/</w:t>
            </w:r>
            <w:r w:rsidR="001C7680">
              <w:rPr>
                <w:b/>
                <w:bCs w:val="0"/>
              </w:rPr>
              <w:t>mL</w:t>
            </w:r>
            <w:r w:rsidRPr="008A59DD">
              <w:rPr>
                <w:b/>
                <w:bCs w:val="0"/>
              </w:rPr>
              <w:t xml:space="preserve"> oral solution</w:t>
            </w:r>
          </w:p>
        </w:tc>
        <w:tc>
          <w:tcPr>
            <w:tcW w:w="2464" w:type="dxa"/>
            <w:vAlign w:val="center"/>
          </w:tcPr>
          <w:p w14:paraId="5F6BA0C7" w14:textId="77777777" w:rsidR="00C51B78" w:rsidRPr="008A59DD" w:rsidRDefault="00C51B78" w:rsidP="00B069CA">
            <w:pPr>
              <w:pStyle w:val="TableText0"/>
              <w:keepLines/>
              <w:jc w:val="center"/>
              <w:rPr>
                <w:b/>
                <w:bCs w:val="0"/>
              </w:rPr>
            </w:pPr>
            <w:r w:rsidRPr="008A59DD">
              <w:rPr>
                <w:b/>
                <w:bCs w:val="0"/>
              </w:rPr>
              <w:t>5mg tablet</w:t>
            </w:r>
          </w:p>
        </w:tc>
        <w:tc>
          <w:tcPr>
            <w:tcW w:w="2393" w:type="dxa"/>
            <w:vMerge/>
          </w:tcPr>
          <w:p w14:paraId="3F03EB9A" w14:textId="77777777" w:rsidR="00C51B78" w:rsidRDefault="00C51B78" w:rsidP="00B069CA">
            <w:pPr>
              <w:pStyle w:val="TableText0"/>
              <w:keepLines/>
            </w:pPr>
          </w:p>
        </w:tc>
      </w:tr>
      <w:tr w:rsidR="00C51B78" w14:paraId="7EEABF9B" w14:textId="77777777" w:rsidTr="00C51B78">
        <w:tc>
          <w:tcPr>
            <w:tcW w:w="1696" w:type="dxa"/>
          </w:tcPr>
          <w:p w14:paraId="0068A7A7" w14:textId="77777777" w:rsidR="00C51B78" w:rsidRDefault="00C51B78" w:rsidP="00B069CA">
            <w:pPr>
              <w:pStyle w:val="TableText0"/>
              <w:keepLines/>
            </w:pPr>
            <w:r>
              <w:t>AEMP / pack</w:t>
            </w:r>
          </w:p>
        </w:tc>
        <w:tc>
          <w:tcPr>
            <w:tcW w:w="2464" w:type="dxa"/>
            <w:vAlign w:val="center"/>
          </w:tcPr>
          <w:p w14:paraId="49F45D6D" w14:textId="30C5F0DC" w:rsidR="00C51B78" w:rsidRPr="007773B7" w:rsidRDefault="00C51B78" w:rsidP="00B069CA">
            <w:pPr>
              <w:pStyle w:val="TableText0"/>
              <w:keepLines/>
              <w:jc w:val="center"/>
            </w:pPr>
            <w:r w:rsidRPr="007773B7">
              <w:t>$</w:t>
            </w:r>
            <w:r w:rsidR="00C81936" w:rsidRPr="00C81936">
              <w:rPr>
                <w:color w:val="000000"/>
                <w:shd w:val="solid" w:color="000000" w:fill="000000"/>
                <w14:textFill>
                  <w14:solidFill>
                    <w14:srgbClr w14:val="000000">
                      <w14:alpha w14:val="100000"/>
                    </w14:srgbClr>
                  </w14:solidFill>
                </w14:textFill>
              </w:rPr>
              <w:t>|</w:t>
            </w:r>
          </w:p>
        </w:tc>
        <w:tc>
          <w:tcPr>
            <w:tcW w:w="2464" w:type="dxa"/>
            <w:vAlign w:val="center"/>
          </w:tcPr>
          <w:p w14:paraId="3EB0FB70" w14:textId="70840464" w:rsidR="00C51B78" w:rsidRPr="007773B7" w:rsidRDefault="00C51B78" w:rsidP="00B069CA">
            <w:pPr>
              <w:pStyle w:val="TableText0"/>
              <w:keepLines/>
              <w:jc w:val="center"/>
            </w:pPr>
            <w:r w:rsidRPr="007773B7">
              <w:t>$</w:t>
            </w:r>
            <w:r w:rsidR="00C81936" w:rsidRPr="006C1D0C">
              <w:rPr>
                <w:rFonts w:hint="eastAsia"/>
                <w:color w:val="000000"/>
                <w:w w:val="15"/>
                <w:shd w:val="solid" w:color="000000" w:fill="000000"/>
                <w:fitText w:val="7" w:id="-1229277440"/>
                <w14:textFill>
                  <w14:solidFill>
                    <w14:srgbClr w14:val="000000">
                      <w14:alpha w14:val="100000"/>
                    </w14:srgbClr>
                  </w14:solidFill>
                </w14:textFill>
              </w:rPr>
              <w:t xml:space="preserve">　</w:t>
            </w:r>
            <w:r w:rsidR="00C81936" w:rsidRPr="006C1D0C">
              <w:rPr>
                <w:color w:val="000000"/>
                <w:w w:val="15"/>
                <w:shd w:val="solid" w:color="000000" w:fill="000000"/>
                <w:fitText w:val="7" w:id="-1229277440"/>
                <w14:textFill>
                  <w14:solidFill>
                    <w14:srgbClr w14:val="000000">
                      <w14:alpha w14:val="100000"/>
                    </w14:srgbClr>
                  </w14:solidFill>
                </w14:textFill>
              </w:rPr>
              <w:t>|</w:t>
            </w:r>
            <w:r w:rsidR="00C81936" w:rsidRPr="006C1D0C">
              <w:rPr>
                <w:rFonts w:hint="eastAsia"/>
                <w:color w:val="000000"/>
                <w:spacing w:val="-58"/>
                <w:w w:val="15"/>
                <w:shd w:val="solid" w:color="000000" w:fill="000000"/>
                <w:fitText w:val="7" w:id="-1229277440"/>
                <w14:textFill>
                  <w14:solidFill>
                    <w14:srgbClr w14:val="000000">
                      <w14:alpha w14:val="100000"/>
                    </w14:srgbClr>
                  </w14:solidFill>
                </w14:textFill>
              </w:rPr>
              <w:t xml:space="preserve">　</w:t>
            </w:r>
          </w:p>
        </w:tc>
        <w:tc>
          <w:tcPr>
            <w:tcW w:w="2393" w:type="dxa"/>
            <w:vAlign w:val="center"/>
          </w:tcPr>
          <w:p w14:paraId="26AABB93" w14:textId="57C77944" w:rsidR="00C51B78" w:rsidRDefault="00C51B78" w:rsidP="00B069CA">
            <w:pPr>
              <w:pStyle w:val="TableText0"/>
              <w:keepLines/>
              <w:jc w:val="center"/>
            </w:pPr>
            <w:r w:rsidRPr="008778B3">
              <w:t>$</w:t>
            </w:r>
            <w:r w:rsidR="00C81936" w:rsidRPr="00887495">
              <w:rPr>
                <w:rFonts w:hint="eastAsia"/>
                <w:color w:val="000000"/>
                <w:w w:val="15"/>
                <w:shd w:val="solid" w:color="000000" w:fill="000000"/>
                <w:fitText w:val="39" w:id="-1229277439"/>
                <w14:textFill>
                  <w14:solidFill>
                    <w14:srgbClr w14:val="000000">
                      <w14:alpha w14:val="100000"/>
                    </w14:srgbClr>
                  </w14:solidFill>
                </w14:textFill>
              </w:rPr>
              <w:t xml:space="preserve">　</w:t>
            </w:r>
            <w:r w:rsidR="00C81936" w:rsidRPr="00887495">
              <w:rPr>
                <w:color w:val="000000"/>
                <w:w w:val="15"/>
                <w:shd w:val="solid" w:color="000000" w:fill="000000"/>
                <w:fitText w:val="39" w:id="-1229277439"/>
                <w14:textFill>
                  <w14:solidFill>
                    <w14:srgbClr w14:val="000000">
                      <w14:alpha w14:val="100000"/>
                    </w14:srgbClr>
                  </w14:solidFill>
                </w14:textFill>
              </w:rPr>
              <w:t>|</w:t>
            </w:r>
            <w:r w:rsidR="00C81936" w:rsidRPr="00887495">
              <w:rPr>
                <w:rFonts w:hint="eastAsia"/>
                <w:color w:val="000000"/>
                <w:spacing w:val="-26"/>
                <w:w w:val="15"/>
                <w:shd w:val="solid" w:color="000000" w:fill="000000"/>
                <w:fitText w:val="39" w:id="-1229277439"/>
                <w14:textFill>
                  <w14:solidFill>
                    <w14:srgbClr w14:val="000000">
                      <w14:alpha w14:val="100000"/>
                    </w14:srgbClr>
                  </w14:solidFill>
                </w14:textFill>
              </w:rPr>
              <w:t xml:space="preserve">　</w:t>
            </w:r>
          </w:p>
        </w:tc>
      </w:tr>
      <w:tr w:rsidR="00C51B78" w14:paraId="17FD7E65" w14:textId="77777777" w:rsidTr="00C51B78">
        <w:tc>
          <w:tcPr>
            <w:tcW w:w="1696" w:type="dxa"/>
            <w:vAlign w:val="center"/>
          </w:tcPr>
          <w:p w14:paraId="0EC588E9" w14:textId="77777777" w:rsidR="00C51B78" w:rsidRDefault="00C51B78" w:rsidP="00B069CA">
            <w:pPr>
              <w:pStyle w:val="TableText0"/>
              <w:keepLines/>
            </w:pPr>
            <w:r>
              <w:t>Dose</w:t>
            </w:r>
          </w:p>
        </w:tc>
        <w:tc>
          <w:tcPr>
            <w:tcW w:w="2464" w:type="dxa"/>
          </w:tcPr>
          <w:p w14:paraId="4B21FFD3" w14:textId="77777777" w:rsidR="00C51B78" w:rsidRDefault="00C51B78" w:rsidP="00B069CA">
            <w:pPr>
              <w:pStyle w:val="TableText0"/>
              <w:keepLines/>
            </w:pPr>
            <w:r>
              <w:t>10 &lt;20 kg: 3.2 mg BD;</w:t>
            </w:r>
          </w:p>
          <w:p w14:paraId="72602FCB" w14:textId="77777777" w:rsidR="00C51B78" w:rsidRDefault="00C51B78" w:rsidP="00B069CA">
            <w:pPr>
              <w:pStyle w:val="TableText0"/>
              <w:keepLines/>
            </w:pPr>
            <w:r>
              <w:t>20 &lt;40 kg: 4 mg BD;</w:t>
            </w:r>
          </w:p>
          <w:p w14:paraId="6F167F65" w14:textId="77777777" w:rsidR="00C51B78" w:rsidRDefault="00C51B78" w:rsidP="00B069CA">
            <w:pPr>
              <w:pStyle w:val="TableText0"/>
              <w:keepLines/>
            </w:pPr>
            <w:r>
              <w:t>≥40 kg: 5 mg BD.</w:t>
            </w:r>
          </w:p>
        </w:tc>
        <w:tc>
          <w:tcPr>
            <w:tcW w:w="2464" w:type="dxa"/>
            <w:vAlign w:val="center"/>
          </w:tcPr>
          <w:p w14:paraId="4D22413F" w14:textId="77777777" w:rsidR="00C51B78" w:rsidRDefault="00C51B78" w:rsidP="00B069CA">
            <w:pPr>
              <w:pStyle w:val="TableText0"/>
              <w:keepLines/>
            </w:pPr>
            <w:r>
              <w:t>≥40 kg: 5 mg BD.</w:t>
            </w:r>
          </w:p>
        </w:tc>
        <w:tc>
          <w:tcPr>
            <w:tcW w:w="2393" w:type="dxa"/>
          </w:tcPr>
          <w:p w14:paraId="362DFBF5" w14:textId="77777777" w:rsidR="00C51B78" w:rsidRDefault="00C51B78" w:rsidP="00B069CA">
            <w:pPr>
              <w:pStyle w:val="TableText0"/>
              <w:keepLines/>
            </w:pPr>
            <w:r>
              <w:t>&lt;30 kg: 20 mg Q2W;</w:t>
            </w:r>
          </w:p>
          <w:p w14:paraId="1D27B954" w14:textId="77777777" w:rsidR="00C51B78" w:rsidRDefault="00C51B78" w:rsidP="00B069CA">
            <w:pPr>
              <w:pStyle w:val="TableText0"/>
              <w:keepLines/>
            </w:pPr>
            <w:r>
              <w:t>≥30 kg: 40 mg Q2W.</w:t>
            </w:r>
          </w:p>
        </w:tc>
      </w:tr>
      <w:tr w:rsidR="00C51B78" w14:paraId="360560CB" w14:textId="77777777" w:rsidTr="00C51B78">
        <w:tc>
          <w:tcPr>
            <w:tcW w:w="1696" w:type="dxa"/>
            <w:vAlign w:val="center"/>
          </w:tcPr>
          <w:p w14:paraId="72E6A8FA" w14:textId="77777777" w:rsidR="00C51B78" w:rsidRDefault="00C51B78" w:rsidP="00B069CA">
            <w:pPr>
              <w:pStyle w:val="TableText0"/>
              <w:keepLines/>
            </w:pPr>
            <w:r>
              <w:t>Quantity / pack</w:t>
            </w:r>
          </w:p>
        </w:tc>
        <w:tc>
          <w:tcPr>
            <w:tcW w:w="2464" w:type="dxa"/>
          </w:tcPr>
          <w:p w14:paraId="15ED792E" w14:textId="126244BC" w:rsidR="00C51B78" w:rsidRDefault="00C51B78" w:rsidP="00B069CA">
            <w:pPr>
              <w:pStyle w:val="TableText0"/>
              <w:keepLines/>
            </w:pPr>
            <w:r>
              <w:t>240 mg (240</w:t>
            </w:r>
            <w:r w:rsidR="001C7680">
              <w:t> mL</w:t>
            </w:r>
            <w:r>
              <w:t>) solution</w:t>
            </w:r>
          </w:p>
        </w:tc>
        <w:tc>
          <w:tcPr>
            <w:tcW w:w="2464" w:type="dxa"/>
          </w:tcPr>
          <w:p w14:paraId="524EA503" w14:textId="1609D1F7" w:rsidR="00C51B78" w:rsidRDefault="007D50B1" w:rsidP="00B069CA">
            <w:pPr>
              <w:pStyle w:val="TableText0"/>
              <w:keepLines/>
            </w:pPr>
            <w:r>
              <w:t>56</w:t>
            </w:r>
            <w:r w:rsidR="00C51B78">
              <w:t xml:space="preserve"> x 5 mg tablets</w:t>
            </w:r>
          </w:p>
        </w:tc>
        <w:tc>
          <w:tcPr>
            <w:tcW w:w="2393" w:type="dxa"/>
          </w:tcPr>
          <w:p w14:paraId="2E1D52FC" w14:textId="77777777" w:rsidR="00C51B78" w:rsidRDefault="00C51B78" w:rsidP="00B069CA">
            <w:pPr>
              <w:pStyle w:val="TableText0"/>
              <w:keepLines/>
            </w:pPr>
            <w:r>
              <w:t>2 x 20 mg or 40 mg injections</w:t>
            </w:r>
          </w:p>
        </w:tc>
      </w:tr>
      <w:tr w:rsidR="00C51B78" w:rsidRPr="00A94955" w14:paraId="0528537B" w14:textId="77777777" w:rsidTr="00C51B78">
        <w:tc>
          <w:tcPr>
            <w:tcW w:w="1696" w:type="dxa"/>
            <w:vAlign w:val="center"/>
          </w:tcPr>
          <w:p w14:paraId="075F1E05" w14:textId="77777777" w:rsidR="00C51B78" w:rsidRPr="00A94955" w:rsidRDefault="00C51B78" w:rsidP="00B069CA">
            <w:pPr>
              <w:pStyle w:val="TableText0"/>
              <w:keepLines/>
            </w:pPr>
            <w:r w:rsidRPr="00A94955">
              <w:t>Scripts / 2 years</w:t>
            </w:r>
          </w:p>
        </w:tc>
        <w:tc>
          <w:tcPr>
            <w:tcW w:w="2464" w:type="dxa"/>
          </w:tcPr>
          <w:p w14:paraId="670F6A39" w14:textId="77777777" w:rsidR="00C51B78" w:rsidRPr="00A94955" w:rsidRDefault="00C51B78" w:rsidP="00B069CA">
            <w:pPr>
              <w:pStyle w:val="TableText0"/>
              <w:keepLines/>
            </w:pPr>
            <w:r w:rsidRPr="00A94955">
              <w:t>Assumed average: 26</w:t>
            </w:r>
          </w:p>
          <w:p w14:paraId="556B06B0" w14:textId="77777777" w:rsidR="00C51B78" w:rsidRPr="00A94955" w:rsidRDefault="00C51B78" w:rsidP="007C309F">
            <w:pPr>
              <w:pStyle w:val="TableText0"/>
              <w:keepLines/>
              <w:numPr>
                <w:ilvl w:val="0"/>
                <w:numId w:val="8"/>
              </w:numPr>
              <w:ind w:left="261" w:hanging="176"/>
            </w:pPr>
            <w:r w:rsidRPr="00A94955">
              <w:t>10 &lt;20 kg: 19.5</w:t>
            </w:r>
            <w:r w:rsidRPr="00A94955">
              <w:rPr>
                <w:vertAlign w:val="superscript"/>
              </w:rPr>
              <w:t>a</w:t>
            </w:r>
          </w:p>
          <w:p w14:paraId="05EC830E" w14:textId="77777777" w:rsidR="00C51B78" w:rsidRPr="00A94955" w:rsidRDefault="00C51B78" w:rsidP="007C309F">
            <w:pPr>
              <w:pStyle w:val="TableText0"/>
              <w:keepLines/>
              <w:numPr>
                <w:ilvl w:val="0"/>
                <w:numId w:val="8"/>
              </w:numPr>
              <w:ind w:left="261" w:hanging="176"/>
            </w:pPr>
            <w:r w:rsidRPr="00A94955">
              <w:t>20 &lt;40 kg: 24.4</w:t>
            </w:r>
            <w:r w:rsidRPr="00A94955">
              <w:rPr>
                <w:vertAlign w:val="superscript"/>
              </w:rPr>
              <w:t>a</w:t>
            </w:r>
          </w:p>
          <w:p w14:paraId="5D6C5FE4" w14:textId="77777777" w:rsidR="00C51B78" w:rsidRPr="00A94955" w:rsidRDefault="00C51B78" w:rsidP="007C309F">
            <w:pPr>
              <w:pStyle w:val="TableText0"/>
              <w:keepLines/>
              <w:numPr>
                <w:ilvl w:val="0"/>
                <w:numId w:val="8"/>
              </w:numPr>
              <w:ind w:left="261" w:hanging="176"/>
            </w:pPr>
            <w:r w:rsidRPr="00A94955">
              <w:t>≥40 kg: 30.4</w:t>
            </w:r>
            <w:r w:rsidRPr="00A94955">
              <w:rPr>
                <w:vertAlign w:val="superscript"/>
              </w:rPr>
              <w:t>a</w:t>
            </w:r>
          </w:p>
        </w:tc>
        <w:tc>
          <w:tcPr>
            <w:tcW w:w="2464" w:type="dxa"/>
            <w:vAlign w:val="center"/>
          </w:tcPr>
          <w:p w14:paraId="21A78353" w14:textId="77777777" w:rsidR="00C51B78" w:rsidRPr="00A94955" w:rsidRDefault="00C51B78" w:rsidP="00B069CA">
            <w:pPr>
              <w:pStyle w:val="TableText0"/>
              <w:keepLines/>
              <w:jc w:val="center"/>
            </w:pPr>
            <w:r w:rsidRPr="00A94955">
              <w:t>26</w:t>
            </w:r>
          </w:p>
        </w:tc>
        <w:tc>
          <w:tcPr>
            <w:tcW w:w="2393" w:type="dxa"/>
            <w:vAlign w:val="center"/>
          </w:tcPr>
          <w:p w14:paraId="3265C44C" w14:textId="77777777" w:rsidR="00C51B78" w:rsidRPr="00A94955" w:rsidRDefault="00C51B78" w:rsidP="00B069CA">
            <w:pPr>
              <w:pStyle w:val="TableText0"/>
              <w:keepLines/>
              <w:jc w:val="center"/>
            </w:pPr>
            <w:r w:rsidRPr="00A94955">
              <w:t>26</w:t>
            </w:r>
          </w:p>
        </w:tc>
      </w:tr>
      <w:tr w:rsidR="00C51B78" w:rsidRPr="00A94955" w14:paraId="4FB6A349" w14:textId="77777777" w:rsidTr="00C51B78">
        <w:tc>
          <w:tcPr>
            <w:tcW w:w="1696" w:type="dxa"/>
            <w:vAlign w:val="center"/>
          </w:tcPr>
          <w:p w14:paraId="77174E2D" w14:textId="59AE46D7" w:rsidR="00C51B78" w:rsidRPr="00A94955" w:rsidRDefault="00C51B78" w:rsidP="00B069CA">
            <w:pPr>
              <w:pStyle w:val="TableText0"/>
              <w:keepLines/>
            </w:pPr>
            <w:r w:rsidRPr="00A94955">
              <w:t>Total cost / 2 years</w:t>
            </w:r>
            <w:r w:rsidR="00B419D7">
              <w:t xml:space="preserve"> ($)</w:t>
            </w:r>
          </w:p>
        </w:tc>
        <w:tc>
          <w:tcPr>
            <w:tcW w:w="2464" w:type="dxa"/>
          </w:tcPr>
          <w:p w14:paraId="541F12E7" w14:textId="77777777" w:rsidR="00C51B78" w:rsidRPr="007773B7" w:rsidRDefault="00C51B78" w:rsidP="00B069CA">
            <w:pPr>
              <w:pStyle w:val="TableText0"/>
              <w:keepLines/>
            </w:pPr>
            <w:r w:rsidRPr="007773B7">
              <w:t>Assumed average: $21,282.04</w:t>
            </w:r>
          </w:p>
          <w:p w14:paraId="4724F9D1" w14:textId="26F41EAE" w:rsidR="00C51B78" w:rsidRPr="007773B7" w:rsidRDefault="00C51B78" w:rsidP="007C309F">
            <w:pPr>
              <w:pStyle w:val="TableText0"/>
              <w:keepLines/>
              <w:numPr>
                <w:ilvl w:val="0"/>
                <w:numId w:val="8"/>
              </w:numPr>
              <w:ind w:left="261" w:hanging="176"/>
            </w:pPr>
            <w:r w:rsidRPr="007773B7">
              <w:t>10 &lt;20 kg: $</w:t>
            </w:r>
            <w:r w:rsidR="00C81936" w:rsidRPr="00C81936">
              <w:rPr>
                <w:color w:val="000000"/>
                <w:spacing w:val="42"/>
                <w:shd w:val="solid" w:color="000000" w:fill="000000"/>
                <w:fitText w:val="640" w:id="-1229277438"/>
                <w14:textFill>
                  <w14:solidFill>
                    <w14:srgbClr w14:val="000000">
                      <w14:alpha w14:val="100000"/>
                    </w14:srgbClr>
                  </w14:solidFill>
                </w14:textFill>
              </w:rPr>
              <w:t>|||||||</w:t>
            </w:r>
            <w:r w:rsidR="00C81936" w:rsidRPr="00C81936">
              <w:rPr>
                <w:color w:val="000000"/>
                <w:spacing w:val="2"/>
                <w:shd w:val="solid" w:color="000000" w:fill="000000"/>
                <w:fitText w:val="640" w:id="-1229277438"/>
                <w14:textFill>
                  <w14:solidFill>
                    <w14:srgbClr w14:val="000000">
                      <w14:alpha w14:val="100000"/>
                    </w14:srgbClr>
                  </w14:solidFill>
                </w14:textFill>
              </w:rPr>
              <w:t>|</w:t>
            </w:r>
            <w:r w:rsidRPr="007773B7">
              <w:rPr>
                <w:vertAlign w:val="superscript"/>
              </w:rPr>
              <w:t>a</w:t>
            </w:r>
          </w:p>
          <w:p w14:paraId="70908EDB" w14:textId="4CABDC0B" w:rsidR="00C51B78" w:rsidRPr="007773B7" w:rsidRDefault="00C51B78" w:rsidP="007C309F">
            <w:pPr>
              <w:pStyle w:val="TableText0"/>
              <w:keepLines/>
              <w:numPr>
                <w:ilvl w:val="0"/>
                <w:numId w:val="8"/>
              </w:numPr>
              <w:ind w:left="261" w:hanging="176"/>
            </w:pPr>
            <w:r w:rsidRPr="007773B7">
              <w:t>20 &lt;40 kg: $</w:t>
            </w:r>
            <w:r w:rsidR="00C81936" w:rsidRPr="00C81936">
              <w:rPr>
                <w:color w:val="000000"/>
                <w:spacing w:val="42"/>
                <w:shd w:val="solid" w:color="000000" w:fill="000000"/>
                <w:fitText w:val="640" w:id="-1229277437"/>
                <w14:textFill>
                  <w14:solidFill>
                    <w14:srgbClr w14:val="000000">
                      <w14:alpha w14:val="100000"/>
                    </w14:srgbClr>
                  </w14:solidFill>
                </w14:textFill>
              </w:rPr>
              <w:t>|||||||</w:t>
            </w:r>
            <w:r w:rsidR="00C81936" w:rsidRPr="00C81936">
              <w:rPr>
                <w:color w:val="000000"/>
                <w:spacing w:val="2"/>
                <w:shd w:val="solid" w:color="000000" w:fill="000000"/>
                <w:fitText w:val="640" w:id="-1229277437"/>
                <w14:textFill>
                  <w14:solidFill>
                    <w14:srgbClr w14:val="000000">
                      <w14:alpha w14:val="100000"/>
                    </w14:srgbClr>
                  </w14:solidFill>
                </w14:textFill>
              </w:rPr>
              <w:t>|</w:t>
            </w:r>
            <w:r w:rsidRPr="007773B7">
              <w:rPr>
                <w:vertAlign w:val="superscript"/>
              </w:rPr>
              <w:t>a</w:t>
            </w:r>
          </w:p>
          <w:p w14:paraId="74C54FC8" w14:textId="7E70A9DA" w:rsidR="00C51B78" w:rsidRPr="007773B7" w:rsidRDefault="00C51B78" w:rsidP="007C309F">
            <w:pPr>
              <w:pStyle w:val="TableText0"/>
              <w:keepLines/>
              <w:numPr>
                <w:ilvl w:val="0"/>
                <w:numId w:val="8"/>
              </w:numPr>
              <w:ind w:left="261" w:hanging="176"/>
            </w:pPr>
            <w:r w:rsidRPr="007773B7">
              <w:t>≥40 kg: $</w:t>
            </w:r>
            <w:r w:rsidR="00C81936" w:rsidRPr="00C81936">
              <w:rPr>
                <w:color w:val="000000"/>
                <w:spacing w:val="43"/>
                <w:shd w:val="solid" w:color="000000" w:fill="000000"/>
                <w:fitText w:val="647" w:id="-1229277436"/>
                <w14:textFill>
                  <w14:solidFill>
                    <w14:srgbClr w14:val="000000">
                      <w14:alpha w14:val="100000"/>
                    </w14:srgbClr>
                  </w14:solidFill>
                </w14:textFill>
              </w:rPr>
              <w:t>|||||||</w:t>
            </w:r>
            <w:r w:rsidR="00C81936" w:rsidRPr="00C81936">
              <w:rPr>
                <w:color w:val="000000"/>
                <w:spacing w:val="2"/>
                <w:shd w:val="solid" w:color="000000" w:fill="000000"/>
                <w:fitText w:val="647" w:id="-1229277436"/>
                <w14:textFill>
                  <w14:solidFill>
                    <w14:srgbClr w14:val="000000">
                      <w14:alpha w14:val="100000"/>
                    </w14:srgbClr>
                  </w14:solidFill>
                </w14:textFill>
              </w:rPr>
              <w:t>|</w:t>
            </w:r>
            <w:r w:rsidRPr="007773B7">
              <w:rPr>
                <w:vertAlign w:val="superscript"/>
              </w:rPr>
              <w:t>a</w:t>
            </w:r>
          </w:p>
        </w:tc>
        <w:tc>
          <w:tcPr>
            <w:tcW w:w="2464" w:type="dxa"/>
            <w:vAlign w:val="center"/>
          </w:tcPr>
          <w:p w14:paraId="50929EF8" w14:textId="539D119D" w:rsidR="00C51B78" w:rsidRPr="007773B7" w:rsidRDefault="00C51B78" w:rsidP="00B069CA">
            <w:pPr>
              <w:pStyle w:val="TableText0"/>
              <w:keepLines/>
              <w:jc w:val="center"/>
            </w:pPr>
            <w:r w:rsidRPr="007773B7">
              <w:t>$</w:t>
            </w:r>
            <w:r w:rsidR="00C81936" w:rsidRPr="006C1D0C">
              <w:rPr>
                <w:rFonts w:hint="eastAsia"/>
                <w:color w:val="000000"/>
                <w:w w:val="15"/>
                <w:shd w:val="solid" w:color="000000" w:fill="000000"/>
                <w:fitText w:val="7" w:id="-1229277435"/>
                <w14:textFill>
                  <w14:solidFill>
                    <w14:srgbClr w14:val="000000">
                      <w14:alpha w14:val="100000"/>
                    </w14:srgbClr>
                  </w14:solidFill>
                </w14:textFill>
              </w:rPr>
              <w:t xml:space="preserve">　</w:t>
            </w:r>
            <w:r w:rsidR="00C81936" w:rsidRPr="006C1D0C">
              <w:rPr>
                <w:color w:val="000000"/>
                <w:w w:val="15"/>
                <w:shd w:val="solid" w:color="000000" w:fill="000000"/>
                <w:fitText w:val="7" w:id="-1229277435"/>
                <w14:textFill>
                  <w14:solidFill>
                    <w14:srgbClr w14:val="000000">
                      <w14:alpha w14:val="100000"/>
                    </w14:srgbClr>
                  </w14:solidFill>
                </w14:textFill>
              </w:rPr>
              <w:t>|</w:t>
            </w:r>
            <w:r w:rsidR="00C81936" w:rsidRPr="006C1D0C">
              <w:rPr>
                <w:rFonts w:hint="eastAsia"/>
                <w:color w:val="000000"/>
                <w:spacing w:val="-58"/>
                <w:w w:val="15"/>
                <w:shd w:val="solid" w:color="000000" w:fill="000000"/>
                <w:fitText w:val="7" w:id="-1229277435"/>
                <w14:textFill>
                  <w14:solidFill>
                    <w14:srgbClr w14:val="000000">
                      <w14:alpha w14:val="100000"/>
                    </w14:srgbClr>
                  </w14:solidFill>
                </w14:textFill>
              </w:rPr>
              <w:t xml:space="preserve">　</w:t>
            </w:r>
          </w:p>
        </w:tc>
        <w:tc>
          <w:tcPr>
            <w:tcW w:w="2393" w:type="dxa"/>
            <w:vAlign w:val="center"/>
          </w:tcPr>
          <w:p w14:paraId="23E97EEA" w14:textId="72BCB8C7" w:rsidR="00C51B78" w:rsidRPr="007773B7" w:rsidRDefault="00C51B78" w:rsidP="00B069CA">
            <w:pPr>
              <w:pStyle w:val="TableText0"/>
              <w:keepLines/>
              <w:jc w:val="center"/>
            </w:pPr>
            <w:r w:rsidRPr="007773B7">
              <w:t>$</w:t>
            </w:r>
            <w:r w:rsidR="00C81936" w:rsidRPr="00887495">
              <w:rPr>
                <w:rFonts w:hint="eastAsia"/>
                <w:color w:val="000000"/>
                <w:w w:val="15"/>
                <w:shd w:val="solid" w:color="000000" w:fill="000000"/>
                <w:fitText w:val="39" w:id="-1229277434"/>
                <w14:textFill>
                  <w14:solidFill>
                    <w14:srgbClr w14:val="000000">
                      <w14:alpha w14:val="100000"/>
                    </w14:srgbClr>
                  </w14:solidFill>
                </w14:textFill>
              </w:rPr>
              <w:t xml:space="preserve">　</w:t>
            </w:r>
            <w:r w:rsidR="00C81936" w:rsidRPr="00887495">
              <w:rPr>
                <w:color w:val="000000"/>
                <w:w w:val="15"/>
                <w:shd w:val="solid" w:color="000000" w:fill="000000"/>
                <w:fitText w:val="39" w:id="-1229277434"/>
                <w14:textFill>
                  <w14:solidFill>
                    <w14:srgbClr w14:val="000000">
                      <w14:alpha w14:val="100000"/>
                    </w14:srgbClr>
                  </w14:solidFill>
                </w14:textFill>
              </w:rPr>
              <w:t>|</w:t>
            </w:r>
            <w:r w:rsidR="00C81936" w:rsidRPr="00887495">
              <w:rPr>
                <w:rFonts w:hint="eastAsia"/>
                <w:color w:val="000000"/>
                <w:spacing w:val="-26"/>
                <w:w w:val="15"/>
                <w:shd w:val="solid" w:color="000000" w:fill="000000"/>
                <w:fitText w:val="39" w:id="-1229277434"/>
                <w14:textFill>
                  <w14:solidFill>
                    <w14:srgbClr w14:val="000000">
                      <w14:alpha w14:val="100000"/>
                    </w14:srgbClr>
                  </w14:solidFill>
                </w14:textFill>
              </w:rPr>
              <w:t xml:space="preserve">　</w:t>
            </w:r>
          </w:p>
        </w:tc>
      </w:tr>
    </w:tbl>
    <w:p w14:paraId="2CA2FDEA" w14:textId="77777777" w:rsidR="00C51B78" w:rsidRPr="00A94955" w:rsidRDefault="00C51B78" w:rsidP="00B069CA">
      <w:pPr>
        <w:pStyle w:val="FooterTableFigure"/>
        <w:keepNext/>
        <w:keepLines/>
      </w:pPr>
      <w:r w:rsidRPr="00A94955">
        <w:t>Source: Tables 3.4 to 3.5, p92 of the submission.</w:t>
      </w:r>
    </w:p>
    <w:p w14:paraId="03F3BE0C" w14:textId="18A71D7B" w:rsidR="00C51B78" w:rsidRPr="00A94955" w:rsidRDefault="00C51B78" w:rsidP="00B069CA">
      <w:pPr>
        <w:pStyle w:val="FooterTableFigure"/>
        <w:keepNext/>
        <w:keepLines/>
      </w:pPr>
      <w:r w:rsidRPr="00A94955">
        <w:t>TOF=tofacitinib; ADA=adalimumab; AEMP=Australian ex-manufacturer price.</w:t>
      </w:r>
    </w:p>
    <w:p w14:paraId="38CE8323" w14:textId="14EDD4C2" w:rsidR="00C51B78" w:rsidRPr="00A94955" w:rsidRDefault="00C51B78" w:rsidP="00B069CA">
      <w:pPr>
        <w:pStyle w:val="FooterTableFigure"/>
        <w:keepNext/>
        <w:keepLines/>
        <w:rPr>
          <w:sz w:val="20"/>
        </w:rPr>
      </w:pPr>
      <w:r w:rsidRPr="00A94955">
        <w:rPr>
          <w:vertAlign w:val="superscript"/>
        </w:rPr>
        <w:t>a</w:t>
      </w:r>
      <w:r w:rsidRPr="00A94955">
        <w:rPr>
          <w:vertAlign w:val="superscript"/>
        </w:rPr>
        <w:tab/>
      </w:r>
      <w:r w:rsidRPr="00A94955">
        <w:t>estimates assume 52.18 weeks (or 365.25 days) per year rather than 52 assumed for the main analysis</w:t>
      </w:r>
    </w:p>
    <w:p w14:paraId="639E7FBB" w14:textId="6FFC3BDA" w:rsidR="00BC5745" w:rsidRPr="00A2441D" w:rsidRDefault="00BE4337" w:rsidP="00805E2D">
      <w:pPr>
        <w:pStyle w:val="3-BodyText"/>
        <w:rPr>
          <w:b/>
          <w:bCs/>
          <w:lang w:val="en-US"/>
        </w:rPr>
      </w:pPr>
      <w:r w:rsidRPr="00A94955">
        <w:t>As e</w:t>
      </w:r>
      <w:r w:rsidR="00D441B7" w:rsidRPr="00A94955">
        <w:t xml:space="preserve">ach script of the oral solution provides for between 24 days and 37.5 days depending on the dose (i.e. </w:t>
      </w:r>
      <w:r w:rsidR="00D441B7" w:rsidRPr="007773B7">
        <w:t>weight)</w:t>
      </w:r>
      <w:r w:rsidRPr="007773B7">
        <w:t xml:space="preserve">, </w:t>
      </w:r>
      <w:r w:rsidR="00D441B7" w:rsidRPr="007773B7">
        <w:t>the treatment cost over two years using the oral sol</w:t>
      </w:r>
      <w:r w:rsidR="00D57CB2" w:rsidRPr="007773B7">
        <w:t>u</w:t>
      </w:r>
      <w:r w:rsidR="00D441B7" w:rsidRPr="007773B7">
        <w:t>tion increases from approx. $</w:t>
      </w:r>
      <w:r w:rsidR="00C81936" w:rsidRPr="005C2766">
        <w:rPr>
          <w:color w:val="000000"/>
          <w:w w:val="33"/>
          <w:shd w:val="solid" w:color="000000" w:fill="000000"/>
          <w:fitText w:val="110" w:id="-1229277433"/>
          <w14:textFill>
            <w14:solidFill>
              <w14:srgbClr w14:val="000000">
                <w14:alpha w14:val="100000"/>
              </w14:srgbClr>
            </w14:solidFill>
          </w14:textFill>
        </w:rPr>
        <w:t xml:space="preserve">|  </w:t>
      </w:r>
      <w:r w:rsidR="00C81936" w:rsidRPr="005C2766">
        <w:rPr>
          <w:color w:val="000000"/>
          <w:spacing w:val="1"/>
          <w:w w:val="33"/>
          <w:shd w:val="solid" w:color="000000" w:fill="000000"/>
          <w:fitText w:val="110" w:id="-1229277433"/>
          <w14:textFill>
            <w14:solidFill>
              <w14:srgbClr w14:val="000000">
                <w14:alpha w14:val="100000"/>
              </w14:srgbClr>
            </w14:solidFill>
          </w14:textFill>
        </w:rPr>
        <w:t>|</w:t>
      </w:r>
      <w:r w:rsidR="00D441B7" w:rsidRPr="007773B7">
        <w:t>for patients 10 to &lt;20 kg to approx. $</w:t>
      </w:r>
      <w:r w:rsidR="00C81936" w:rsidRPr="005C2766">
        <w:rPr>
          <w:color w:val="000000"/>
          <w:w w:val="33"/>
          <w:shd w:val="solid" w:color="000000" w:fill="000000"/>
          <w:fitText w:val="111" w:id="-1229277432"/>
          <w14:textFill>
            <w14:solidFill>
              <w14:srgbClr w14:val="000000">
                <w14:alpha w14:val="100000"/>
              </w14:srgbClr>
            </w14:solidFill>
          </w14:textFill>
        </w:rPr>
        <w:t xml:space="preserve">|  </w:t>
      </w:r>
      <w:r w:rsidR="00C81936" w:rsidRPr="005C2766">
        <w:rPr>
          <w:color w:val="000000"/>
          <w:spacing w:val="2"/>
          <w:w w:val="33"/>
          <w:shd w:val="solid" w:color="000000" w:fill="000000"/>
          <w:fitText w:val="111" w:id="-1229277432"/>
          <w14:textFill>
            <w14:solidFill>
              <w14:srgbClr w14:val="000000">
                <w14:alpha w14:val="100000"/>
              </w14:srgbClr>
            </w14:solidFill>
          </w14:textFill>
        </w:rPr>
        <w:t>|</w:t>
      </w:r>
      <w:r w:rsidR="00D441B7" w:rsidRPr="007773B7">
        <w:t>for patients ≥40</w:t>
      </w:r>
      <w:r w:rsidR="004F434A" w:rsidRPr="007773B7">
        <w:t xml:space="preserve"> </w:t>
      </w:r>
      <w:r w:rsidR="00D441B7" w:rsidRPr="007773B7">
        <w:t xml:space="preserve">kg. Whether the cost of treatment with TOF using the oral solution would be ‘effectively equal’ to the </w:t>
      </w:r>
      <w:r w:rsidR="00FF15DB" w:rsidRPr="007773B7">
        <w:t>nominated comparator</w:t>
      </w:r>
      <w:r w:rsidR="00D441B7" w:rsidRPr="007773B7">
        <w:t xml:space="preserve"> </w:t>
      </w:r>
      <w:r w:rsidR="00764AC3" w:rsidRPr="007773B7">
        <w:t xml:space="preserve">(i.e. approx. </w:t>
      </w:r>
      <w:r w:rsidR="00AE4CDB" w:rsidRPr="007773B7">
        <w:t>$</w:t>
      </w:r>
      <w:r w:rsidR="00C81936" w:rsidRPr="005C2766">
        <w:rPr>
          <w:color w:val="000000"/>
          <w:w w:val="33"/>
          <w:shd w:val="solid" w:color="000000" w:fill="000000"/>
          <w:fitText w:val="111" w:id="-1229277431"/>
          <w14:textFill>
            <w14:solidFill>
              <w14:srgbClr w14:val="000000">
                <w14:alpha w14:val="100000"/>
              </w14:srgbClr>
            </w14:solidFill>
          </w14:textFill>
        </w:rPr>
        <w:t xml:space="preserve">|  </w:t>
      </w:r>
      <w:r w:rsidR="00C81936" w:rsidRPr="005C2766">
        <w:rPr>
          <w:color w:val="000000"/>
          <w:spacing w:val="2"/>
          <w:w w:val="33"/>
          <w:shd w:val="solid" w:color="000000" w:fill="000000"/>
          <w:fitText w:val="111" w:id="-1229277431"/>
          <w14:textFill>
            <w14:solidFill>
              <w14:srgbClr w14:val="000000">
                <w14:alpha w14:val="100000"/>
              </w14:srgbClr>
            </w14:solidFill>
          </w14:textFill>
        </w:rPr>
        <w:t>|</w:t>
      </w:r>
      <w:r w:rsidR="00764AC3" w:rsidRPr="00A94955">
        <w:t xml:space="preserve">) </w:t>
      </w:r>
      <w:r w:rsidR="00D441B7" w:rsidRPr="00A94955">
        <w:t>depends on the proportional use of each dose with the oral solution.</w:t>
      </w:r>
      <w:r w:rsidR="00FF15DB" w:rsidRPr="00A94955">
        <w:t xml:space="preserve"> </w:t>
      </w:r>
      <w:r w:rsidRPr="00A94955">
        <w:t xml:space="preserve">Based on the </w:t>
      </w:r>
      <w:r w:rsidR="00491ECB" w:rsidRPr="00A94955">
        <w:t xml:space="preserve">weight </w:t>
      </w:r>
      <w:r w:rsidRPr="00A94955">
        <w:t>distribution of patient</w:t>
      </w:r>
      <w:r w:rsidR="00491ECB" w:rsidRPr="00A94955">
        <w:t>s</w:t>
      </w:r>
      <w:r w:rsidRPr="00A94955">
        <w:t xml:space="preserve"> </w:t>
      </w:r>
      <w:r w:rsidR="00491ECB" w:rsidRPr="00A94955">
        <w:t>enrolled</w:t>
      </w:r>
      <w:r w:rsidRPr="00A94955">
        <w:t xml:space="preserve"> in PROPEL</w:t>
      </w:r>
      <w:r w:rsidR="00D1260F" w:rsidRPr="00A94955">
        <w:t xml:space="preserve">, </w:t>
      </w:r>
      <w:r w:rsidRPr="00A94955">
        <w:t>the average cost of treatment using the oral solution may be slightly higher than the nominated comparator at the requested AEMP (</w:t>
      </w:r>
      <w:r w:rsidRPr="007773B7">
        <w:t>approx. $</w:t>
      </w:r>
      <w:r w:rsidR="00C81936" w:rsidRPr="005C2766">
        <w:rPr>
          <w:color w:val="000000"/>
          <w:w w:val="33"/>
          <w:shd w:val="solid" w:color="000000" w:fill="000000"/>
          <w:fitText w:val="111" w:id="-1229277430"/>
          <w14:textFill>
            <w14:solidFill>
              <w14:srgbClr w14:val="000000">
                <w14:alpha w14:val="100000"/>
              </w14:srgbClr>
            </w14:solidFill>
          </w14:textFill>
        </w:rPr>
        <w:t xml:space="preserve">|  </w:t>
      </w:r>
      <w:r w:rsidR="00C81936" w:rsidRPr="005C2766">
        <w:rPr>
          <w:color w:val="000000"/>
          <w:spacing w:val="2"/>
          <w:w w:val="33"/>
          <w:shd w:val="solid" w:color="000000" w:fill="000000"/>
          <w:fitText w:val="111" w:id="-1229277430"/>
          <w14:textFill>
            <w14:solidFill>
              <w14:srgbClr w14:val="000000">
                <w14:alpha w14:val="100000"/>
              </w14:srgbClr>
            </w14:solidFill>
          </w14:textFill>
        </w:rPr>
        <w:t>|</w:t>
      </w:r>
      <w:r w:rsidRPr="007773B7">
        <w:t xml:space="preserve">). </w:t>
      </w:r>
      <w:r w:rsidR="00764AC3" w:rsidRPr="007773B7">
        <w:t>The</w:t>
      </w:r>
      <w:r w:rsidR="00764AC3" w:rsidRPr="00A94955">
        <w:t xml:space="preserve"> submission, however, implied</w:t>
      </w:r>
      <w:r w:rsidR="00764AC3" w:rsidRPr="00A2441D">
        <w:t xml:space="preserve"> that patients </w:t>
      </w:r>
      <w:r w:rsidR="00377816" w:rsidRPr="00A2441D">
        <w:t>weighing</w:t>
      </w:r>
      <w:r w:rsidRPr="00A2441D">
        <w:t xml:space="preserve"> </w:t>
      </w:r>
      <w:r w:rsidR="00FF15DB" w:rsidRPr="00A2441D">
        <w:t xml:space="preserve">≥40kg </w:t>
      </w:r>
      <w:r w:rsidR="00764AC3" w:rsidRPr="00A2441D">
        <w:t xml:space="preserve">would </w:t>
      </w:r>
      <w:r w:rsidR="00FF15DB" w:rsidRPr="00A2441D">
        <w:t xml:space="preserve">switch to the tablet formulation </w:t>
      </w:r>
      <w:r w:rsidR="00764AC3" w:rsidRPr="00A2441D">
        <w:t xml:space="preserve">in which case the </w:t>
      </w:r>
      <w:r w:rsidRPr="00A2441D">
        <w:t xml:space="preserve">average cost of the oral solution would be </w:t>
      </w:r>
      <w:r w:rsidR="00377816" w:rsidRPr="00A2441D">
        <w:t>less than ADA</w:t>
      </w:r>
      <w:r w:rsidRPr="00A2441D">
        <w:t>.</w:t>
      </w:r>
      <w:r w:rsidR="00BC5745" w:rsidRPr="00A2441D">
        <w:t xml:space="preserve"> </w:t>
      </w:r>
      <w:r w:rsidR="004A5EDA" w:rsidRPr="00F00DB9">
        <w:rPr>
          <w:iCs/>
        </w:rPr>
        <w:t>The PSCR state</w:t>
      </w:r>
      <w:r w:rsidR="00191C47" w:rsidRPr="00F00DB9">
        <w:rPr>
          <w:iCs/>
        </w:rPr>
        <w:t>d</w:t>
      </w:r>
      <w:r w:rsidR="004A5EDA" w:rsidRPr="00F00DB9">
        <w:rPr>
          <w:iCs/>
        </w:rPr>
        <w:t xml:space="preserve"> the submission did not assume 100% of patients ≥40 kg would swap to the 5</w:t>
      </w:r>
      <w:r w:rsidR="000D3617" w:rsidRPr="00F00DB9">
        <w:rPr>
          <w:iCs/>
        </w:rPr>
        <w:t xml:space="preserve"> </w:t>
      </w:r>
      <w:r w:rsidR="004A5EDA" w:rsidRPr="00F00DB9">
        <w:rPr>
          <w:iCs/>
        </w:rPr>
        <w:t xml:space="preserve">mg tablet </w:t>
      </w:r>
      <w:r w:rsidR="00191C47" w:rsidRPr="00F00DB9">
        <w:rPr>
          <w:iCs/>
        </w:rPr>
        <w:t>and</w:t>
      </w:r>
      <w:r w:rsidR="004A5EDA" w:rsidRPr="00F00DB9">
        <w:rPr>
          <w:iCs/>
        </w:rPr>
        <w:t xml:space="preserve"> provided various alternative assumptions and </w:t>
      </w:r>
      <w:r w:rsidR="00191C47" w:rsidRPr="00F00DB9">
        <w:rPr>
          <w:iCs/>
        </w:rPr>
        <w:t>provided an analysis indicating</w:t>
      </w:r>
      <w:r w:rsidR="004A5EDA" w:rsidRPr="00F00DB9">
        <w:rPr>
          <w:iCs/>
        </w:rPr>
        <w:t xml:space="preserve"> that &gt;60%</w:t>
      </w:r>
      <w:r w:rsidR="00191C47" w:rsidRPr="00F00DB9">
        <w:rPr>
          <w:iCs/>
        </w:rPr>
        <w:t xml:space="preserve"> of those patients</w:t>
      </w:r>
      <w:r w:rsidR="004A5EDA" w:rsidRPr="00F00DB9">
        <w:rPr>
          <w:iCs/>
        </w:rPr>
        <w:t xml:space="preserve"> would have to remain on the</w:t>
      </w:r>
      <w:r w:rsidR="00191C47" w:rsidRPr="00F00DB9">
        <w:rPr>
          <w:iCs/>
        </w:rPr>
        <w:t xml:space="preserve"> oral</w:t>
      </w:r>
      <w:r w:rsidR="004A5EDA" w:rsidRPr="00F00DB9">
        <w:rPr>
          <w:iCs/>
        </w:rPr>
        <w:t xml:space="preserve"> solution before the cost was greater than the 5</w:t>
      </w:r>
      <w:r w:rsidR="000D3617" w:rsidRPr="00F00DB9">
        <w:rPr>
          <w:iCs/>
        </w:rPr>
        <w:t xml:space="preserve"> </w:t>
      </w:r>
      <w:r w:rsidR="004A5EDA" w:rsidRPr="00F00DB9">
        <w:rPr>
          <w:iCs/>
        </w:rPr>
        <w:t xml:space="preserve">mg tablet. </w:t>
      </w:r>
      <w:r w:rsidR="00191C47" w:rsidRPr="00F00DB9">
        <w:rPr>
          <w:iCs/>
        </w:rPr>
        <w:t>The PSCR also stated</w:t>
      </w:r>
      <w:r w:rsidR="004A5EDA" w:rsidRPr="00F00DB9">
        <w:rPr>
          <w:iCs/>
        </w:rPr>
        <w:t xml:space="preserve"> key opinion leaders estimate</w:t>
      </w:r>
      <w:r w:rsidR="000D3617" w:rsidRPr="00F00DB9">
        <w:rPr>
          <w:iCs/>
        </w:rPr>
        <w:t>d</w:t>
      </w:r>
      <w:r w:rsidR="004A5EDA" w:rsidRPr="00F00DB9">
        <w:rPr>
          <w:iCs/>
        </w:rPr>
        <w:t xml:space="preserve"> 10-25% of patients ≥40 kg would remain on the solution.</w:t>
      </w:r>
    </w:p>
    <w:p w14:paraId="3E5CC15C" w14:textId="26FAF723" w:rsidR="00ED287F" w:rsidRPr="00191C47" w:rsidRDefault="00ED287F" w:rsidP="006C291A">
      <w:pPr>
        <w:pStyle w:val="3-BodyText"/>
        <w:rPr>
          <w:b/>
          <w:bCs/>
          <w:lang w:val="en-US"/>
        </w:rPr>
      </w:pPr>
      <w:r w:rsidRPr="00A2441D">
        <w:t>Alternatively,</w:t>
      </w:r>
      <w:r w:rsidR="00BC5745" w:rsidRPr="00A2441D">
        <w:t xml:space="preserve"> </w:t>
      </w:r>
      <w:r w:rsidR="000D3617" w:rsidRPr="00F00DB9">
        <w:rPr>
          <w:iCs/>
        </w:rPr>
        <w:t>the evaluation considered</w:t>
      </w:r>
      <w:r w:rsidR="000D3617">
        <w:t xml:space="preserve"> </w:t>
      </w:r>
      <w:r w:rsidR="00BC5745" w:rsidRPr="00A2441D">
        <w:t xml:space="preserve">it may be appropriate to </w:t>
      </w:r>
      <w:r w:rsidR="006C291A" w:rsidRPr="00A2441D">
        <w:t>price</w:t>
      </w:r>
      <w:r w:rsidR="00BC5745" w:rsidRPr="00A2441D">
        <w:t xml:space="preserve"> </w:t>
      </w:r>
      <w:r w:rsidRPr="00A2441D">
        <w:t>th</w:t>
      </w:r>
      <w:r w:rsidR="00321F91" w:rsidRPr="00A2441D">
        <w:t xml:space="preserve">e oral solution on a </w:t>
      </w:r>
      <w:r w:rsidR="006C291A" w:rsidRPr="00A2441D">
        <w:t>cost</w:t>
      </w:r>
      <w:r w:rsidR="00321F91" w:rsidRPr="00A2441D">
        <w:t xml:space="preserve"> per mg basis to the tablet</w:t>
      </w:r>
      <w:r w:rsidR="00BC5745" w:rsidRPr="00A2441D">
        <w:t>,</w:t>
      </w:r>
      <w:r w:rsidR="00321F91" w:rsidRPr="00A2441D">
        <w:t xml:space="preserve"> </w:t>
      </w:r>
      <w:r w:rsidR="00BC5745" w:rsidRPr="00A2441D">
        <w:t xml:space="preserve">to ensure that the cost of treatment </w:t>
      </w:r>
      <w:r w:rsidR="003F5A9A" w:rsidRPr="00A2441D">
        <w:t xml:space="preserve">with the oral solution does not exceed the cost of treatment with the tablet. </w:t>
      </w:r>
    </w:p>
    <w:p w14:paraId="71739029" w14:textId="6F70ACAA" w:rsidR="00191C47" w:rsidRPr="00191C47" w:rsidRDefault="00191C47" w:rsidP="006C291A">
      <w:pPr>
        <w:pStyle w:val="3-BodyText"/>
        <w:rPr>
          <w:b/>
          <w:bCs/>
          <w:lang w:val="en-US"/>
        </w:rPr>
      </w:pPr>
      <w:r w:rsidRPr="00F00DB9">
        <w:rPr>
          <w:iCs/>
        </w:rPr>
        <w:t xml:space="preserve">The ESC considered the proposed pricing approach in the submission for the oral liquid was likely to be reasonable and considered there was a low risk the extent of use of the oral liquid in the </w:t>
      </w:r>
      <w:r w:rsidRPr="00F00DB9">
        <w:rPr>
          <w:rFonts w:cstheme="minorHAnsi"/>
          <w:iCs/>
        </w:rPr>
        <w:t>≥</w:t>
      </w:r>
      <w:r w:rsidRPr="00F00DB9">
        <w:rPr>
          <w:iCs/>
        </w:rPr>
        <w:t>40kg population would lead to it being more costly than TOF tablets.</w:t>
      </w:r>
    </w:p>
    <w:p w14:paraId="472842D7" w14:textId="00F30F8E" w:rsidR="00C25D9C" w:rsidRPr="00D04AA0" w:rsidRDefault="00A20D8A" w:rsidP="00D1260F">
      <w:pPr>
        <w:pStyle w:val="4-SubsectionHeading"/>
        <w:rPr>
          <w:iCs/>
        </w:rPr>
      </w:pPr>
      <w:bookmarkStart w:id="36" w:name="_Toc22897646"/>
      <w:bookmarkStart w:id="37" w:name="_Toc121477781"/>
      <w:r w:rsidRPr="00D04AA0">
        <w:rPr>
          <w:iCs/>
        </w:rPr>
        <w:t xml:space="preserve">Drug </w:t>
      </w:r>
      <w:r w:rsidR="00C25D9C" w:rsidRPr="00D04AA0">
        <w:rPr>
          <w:iCs/>
        </w:rPr>
        <w:t>cost/patient/year</w:t>
      </w:r>
      <w:bookmarkEnd w:id="36"/>
      <w:bookmarkEnd w:id="37"/>
    </w:p>
    <w:p w14:paraId="3DBFE151" w14:textId="4CDB979E" w:rsidR="00494207" w:rsidRPr="001D5B1E" w:rsidRDefault="001D5B1E" w:rsidP="00FF4B3B">
      <w:pPr>
        <w:pStyle w:val="3-BodyText"/>
        <w:rPr>
          <w:snapToGrid/>
          <w:lang w:val="en-US"/>
        </w:rPr>
      </w:pPr>
      <w:bookmarkStart w:id="38" w:name="_Hlk107307804"/>
      <w:r>
        <w:t xml:space="preserve">Based on the proposed effective </w:t>
      </w:r>
      <w:r w:rsidR="00FA568B">
        <w:t>price (</w:t>
      </w:r>
      <w:r>
        <w:t>DPMQ</w:t>
      </w:r>
      <w:r w:rsidR="00FA568B">
        <w:t>= $</w:t>
      </w:r>
      <w:r w:rsidR="00F46153" w:rsidRPr="005C2766">
        <w:rPr>
          <w:color w:val="000000"/>
          <w:w w:val="56"/>
          <w:shd w:val="solid" w:color="000000" w:fill="000000"/>
          <w:fitText w:val="804" w:id="-1236607998"/>
          <w14:textFill>
            <w14:solidFill>
              <w14:srgbClr w14:val="000000">
                <w14:alpha w14:val="100000"/>
              </w14:srgbClr>
            </w14:solidFill>
          </w14:textFill>
        </w:rPr>
        <w:t>||||||  ||||||</w:t>
      </w:r>
      <w:r w:rsidR="00FA568B">
        <w:t>)</w:t>
      </w:r>
      <w:r>
        <w:t xml:space="preserve">, the </w:t>
      </w:r>
      <w:r w:rsidR="00FA568B">
        <w:t xml:space="preserve">annual </w:t>
      </w:r>
      <w:r>
        <w:t xml:space="preserve">drug cost of TOF </w:t>
      </w:r>
      <w:r w:rsidR="00FF4B3B">
        <w:t xml:space="preserve">5 mg tablets </w:t>
      </w:r>
      <w:r>
        <w:t>is $</w:t>
      </w:r>
      <w:r w:rsidR="00F46153" w:rsidRPr="005C2766">
        <w:rPr>
          <w:color w:val="000000"/>
          <w:w w:val="21"/>
          <w:shd w:val="solid" w:color="000000" w:fill="000000"/>
          <w:fitText w:val="71" w:id="-1236607997"/>
          <w14:textFill>
            <w14:solidFill>
              <w14:srgbClr w14:val="000000">
                <w14:alpha w14:val="100000"/>
              </w14:srgbClr>
            </w14:solidFill>
          </w14:textFill>
        </w:rPr>
        <w:t xml:space="preserve">|  </w:t>
      </w:r>
      <w:r w:rsidR="00F46153" w:rsidRPr="005C2766">
        <w:rPr>
          <w:color w:val="000000"/>
          <w:spacing w:val="1"/>
          <w:w w:val="21"/>
          <w:shd w:val="solid" w:color="000000" w:fill="000000"/>
          <w:fitText w:val="71" w:id="-1236607997"/>
          <w14:textFill>
            <w14:solidFill>
              <w14:srgbClr w14:val="000000">
                <w14:alpha w14:val="100000"/>
              </w14:srgbClr>
            </w14:solidFill>
          </w14:textFill>
        </w:rPr>
        <w:t>|</w:t>
      </w:r>
      <w:r w:rsidR="00FF4B3B">
        <w:t xml:space="preserve">and the annual drug cost of TOF 1 mg per </w:t>
      </w:r>
      <w:r w:rsidR="001C7680">
        <w:t>mL</w:t>
      </w:r>
      <w:r w:rsidR="00FF4B3B">
        <w:t xml:space="preserve"> oral solution is $</w:t>
      </w:r>
      <w:r w:rsidR="00F46153" w:rsidRPr="005C2766">
        <w:rPr>
          <w:color w:val="000000"/>
          <w:w w:val="21"/>
          <w:shd w:val="solid" w:color="000000" w:fill="000000"/>
          <w:fitText w:val="72" w:id="-1236607996"/>
          <w14:textFill>
            <w14:solidFill>
              <w14:srgbClr w14:val="000000">
                <w14:alpha w14:val="100000"/>
              </w14:srgbClr>
            </w14:solidFill>
          </w14:textFill>
        </w:rPr>
        <w:t xml:space="preserve">|  </w:t>
      </w:r>
      <w:r w:rsidR="00F46153" w:rsidRPr="005C2766">
        <w:rPr>
          <w:color w:val="000000"/>
          <w:spacing w:val="2"/>
          <w:w w:val="21"/>
          <w:shd w:val="solid" w:color="000000" w:fill="000000"/>
          <w:fitText w:val="72" w:id="-1236607996"/>
          <w14:textFill>
            <w14:solidFill>
              <w14:srgbClr w14:val="000000">
                <w14:alpha w14:val="100000"/>
              </w14:srgbClr>
            </w14:solidFill>
          </w14:textFill>
        </w:rPr>
        <w:t>|</w:t>
      </w:r>
      <w:r w:rsidR="00FF4B3B">
        <w:t>to $</w:t>
      </w:r>
      <w:r w:rsidR="00F46153" w:rsidRPr="005C2766">
        <w:rPr>
          <w:color w:val="000000"/>
          <w:w w:val="21"/>
          <w:shd w:val="solid" w:color="000000" w:fill="000000"/>
          <w:fitText w:val="72" w:id="-1236607995"/>
          <w14:textFill>
            <w14:solidFill>
              <w14:srgbClr w14:val="000000">
                <w14:alpha w14:val="100000"/>
              </w14:srgbClr>
            </w14:solidFill>
          </w14:textFill>
        </w:rPr>
        <w:t>|  |</w:t>
      </w:r>
      <w:r w:rsidR="00FF4B3B">
        <w:t>depending on weight.</w:t>
      </w:r>
    </w:p>
    <w:p w14:paraId="268768EF" w14:textId="3626F292" w:rsidR="00B60939" w:rsidRPr="00D04AA0" w:rsidRDefault="00B60939" w:rsidP="002B05A1">
      <w:pPr>
        <w:pStyle w:val="4-SubsectionHeading"/>
        <w:rPr>
          <w:iCs/>
        </w:rPr>
      </w:pPr>
      <w:bookmarkStart w:id="39" w:name="_Toc22897647"/>
      <w:bookmarkStart w:id="40" w:name="_Toc121477782"/>
      <w:bookmarkEnd w:id="38"/>
      <w:r w:rsidRPr="00D04AA0">
        <w:rPr>
          <w:iCs/>
        </w:rPr>
        <w:t>Estimated PBS usage &amp; financial implications</w:t>
      </w:r>
      <w:bookmarkEnd w:id="39"/>
      <w:bookmarkEnd w:id="40"/>
    </w:p>
    <w:p w14:paraId="2BCB7DFB" w14:textId="2F1BF8B9" w:rsidR="004A1806" w:rsidRPr="00632CBF" w:rsidRDefault="00C25D9C" w:rsidP="00DC4DA8">
      <w:pPr>
        <w:pStyle w:val="3-BodyText"/>
      </w:pPr>
      <w:r w:rsidRPr="00632CBF">
        <w:t>This submission</w:t>
      </w:r>
      <w:r w:rsidR="007252C3">
        <w:t xml:space="preserve"> was not</w:t>
      </w:r>
      <w:r w:rsidR="00D23D11" w:rsidRPr="00F661F5">
        <w:t xml:space="preserve"> </w:t>
      </w:r>
      <w:r w:rsidRPr="00F661F5">
        <w:t>considered</w:t>
      </w:r>
      <w:r w:rsidRPr="00632CBF">
        <w:t xml:space="preserve"> by DUSC.</w:t>
      </w:r>
    </w:p>
    <w:p w14:paraId="04B31D2D" w14:textId="6448E636" w:rsidR="0072416F" w:rsidRPr="00764B04" w:rsidRDefault="004A1806" w:rsidP="00E437A1">
      <w:pPr>
        <w:pStyle w:val="3-BodyText"/>
      </w:pPr>
      <w:r w:rsidRPr="004A1806">
        <w:t>The submission estimated the financial implicatio</w:t>
      </w:r>
      <w:r>
        <w:t>ns of the proposed listing using a market share approach, assuming that TOF will substitute for current bDMARDs</w:t>
      </w:r>
      <w:r w:rsidR="00E437A1">
        <w:t>/tsDMARDs</w:t>
      </w:r>
      <w:r>
        <w:t xml:space="preserve"> listed on the PBS for JIA (ADA, ETN and TOC). In addition, the submission assumed above-trend market growth given TOF would be the first oral treatment for patients and separately costed the treatment of </w:t>
      </w:r>
      <w:r w:rsidR="00B419D7">
        <w:t>&lt;500</w:t>
      </w:r>
      <w:r>
        <w:t xml:space="preserve"> grandfather patients expected to enrol in a Patient </w:t>
      </w:r>
      <w:r w:rsidRPr="00076D2D">
        <w:t>Familiarisation Program.</w:t>
      </w:r>
      <w:r w:rsidR="004F434A">
        <w:t xml:space="preserve"> </w:t>
      </w:r>
      <w:r w:rsidR="00E16AD8" w:rsidRPr="00076D2D">
        <w:fldChar w:fldCharType="begin"/>
      </w:r>
      <w:r w:rsidR="00E16AD8" w:rsidRPr="00076D2D">
        <w:instrText xml:space="preserve"> REF _Ref104805262 \h  \* MERGEFORMAT </w:instrText>
      </w:r>
      <w:r w:rsidR="00E16AD8" w:rsidRPr="00076D2D">
        <w:fldChar w:fldCharType="separate"/>
      </w:r>
      <w:r w:rsidR="006C1D0C">
        <w:t>Table 7</w:t>
      </w:r>
      <w:r w:rsidR="00E16AD8" w:rsidRPr="00076D2D">
        <w:fldChar w:fldCharType="end"/>
      </w:r>
      <w:r w:rsidR="00E16AD8" w:rsidRPr="00076D2D">
        <w:t xml:space="preserve"> </w:t>
      </w:r>
      <w:r w:rsidR="004658B5" w:rsidRPr="00076D2D">
        <w:t>outlining the key inputs relied on in the financial estimates.</w:t>
      </w:r>
    </w:p>
    <w:p w14:paraId="3393BCE7" w14:textId="4612C663" w:rsidR="00E42F73" w:rsidRDefault="00E16AD8" w:rsidP="003624C8">
      <w:pPr>
        <w:pStyle w:val="Caption"/>
        <w:rPr>
          <w:rStyle w:val="CommentReference"/>
          <w:b/>
          <w:szCs w:val="24"/>
        </w:rPr>
      </w:pPr>
      <w:bookmarkStart w:id="41" w:name="_Ref104805262"/>
      <w:r>
        <w:t xml:space="preserve">Table </w:t>
      </w:r>
      <w:fldSimple w:instr=" SEQ Table \* ARABIC ">
        <w:r w:rsidR="006C1D0C">
          <w:rPr>
            <w:noProof/>
          </w:rPr>
          <w:t>7</w:t>
        </w:r>
      </w:fldSimple>
      <w:bookmarkEnd w:id="41"/>
      <w:r>
        <w:t>:</w:t>
      </w:r>
      <w:r w:rsidR="00E42F73"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2207"/>
        <w:gridCol w:w="3039"/>
        <w:gridCol w:w="2642"/>
      </w:tblGrid>
      <w:tr w:rsidR="00764B04" w:rsidRPr="00A2441D" w14:paraId="4FE92F34" w14:textId="77777777" w:rsidTr="005C2766">
        <w:trPr>
          <w:tblHeader/>
        </w:trPr>
        <w:tc>
          <w:tcPr>
            <w:tcW w:w="626" w:type="pct"/>
            <w:vAlign w:val="center"/>
          </w:tcPr>
          <w:p w14:paraId="41B4F6F9" w14:textId="77777777" w:rsidR="00764B04" w:rsidRPr="00A2441D" w:rsidRDefault="00764B04" w:rsidP="003624C8">
            <w:pPr>
              <w:pStyle w:val="In-tableHeading"/>
              <w:jc w:val="center"/>
            </w:pPr>
            <w:r w:rsidRPr="00A2441D">
              <w:t>Data</w:t>
            </w:r>
          </w:p>
        </w:tc>
        <w:tc>
          <w:tcPr>
            <w:tcW w:w="1224" w:type="pct"/>
            <w:vAlign w:val="center"/>
          </w:tcPr>
          <w:p w14:paraId="5673861F" w14:textId="77777777" w:rsidR="00764B04" w:rsidRPr="00A2441D" w:rsidRDefault="00764B04" w:rsidP="003624C8">
            <w:pPr>
              <w:pStyle w:val="In-tableHeading"/>
              <w:jc w:val="center"/>
            </w:pPr>
            <w:r w:rsidRPr="00A2441D">
              <w:t>Value</w:t>
            </w:r>
          </w:p>
        </w:tc>
        <w:tc>
          <w:tcPr>
            <w:tcW w:w="1685" w:type="pct"/>
            <w:vAlign w:val="center"/>
          </w:tcPr>
          <w:p w14:paraId="28ED4109" w14:textId="77777777" w:rsidR="00764B04" w:rsidRPr="00A2441D" w:rsidRDefault="00764B04" w:rsidP="003624C8">
            <w:pPr>
              <w:pStyle w:val="In-tableHeading"/>
              <w:jc w:val="center"/>
            </w:pPr>
            <w:r w:rsidRPr="00A2441D">
              <w:t>Source</w:t>
            </w:r>
          </w:p>
        </w:tc>
        <w:tc>
          <w:tcPr>
            <w:tcW w:w="1466" w:type="pct"/>
            <w:vAlign w:val="center"/>
          </w:tcPr>
          <w:p w14:paraId="30E4ADB8" w14:textId="77777777" w:rsidR="00764B04" w:rsidRPr="00A2441D" w:rsidRDefault="00764B04" w:rsidP="003624C8">
            <w:pPr>
              <w:pStyle w:val="In-tableHeading"/>
              <w:jc w:val="center"/>
            </w:pPr>
            <w:r w:rsidRPr="00A2441D">
              <w:t>Comment</w:t>
            </w:r>
          </w:p>
        </w:tc>
      </w:tr>
      <w:tr w:rsidR="00764B04" w:rsidRPr="00A2441D" w14:paraId="7A7B5F13" w14:textId="77777777" w:rsidTr="00613965">
        <w:tc>
          <w:tcPr>
            <w:tcW w:w="5000" w:type="pct"/>
            <w:gridSpan w:val="4"/>
            <w:vAlign w:val="center"/>
          </w:tcPr>
          <w:p w14:paraId="3FC4C30B" w14:textId="77777777" w:rsidR="00764B04" w:rsidRPr="00A2441D" w:rsidRDefault="00764B04" w:rsidP="003624C8">
            <w:pPr>
              <w:pStyle w:val="In-tableHeading"/>
            </w:pPr>
            <w:r w:rsidRPr="00A2441D">
              <w:t>Eligible population</w:t>
            </w:r>
          </w:p>
        </w:tc>
      </w:tr>
      <w:tr w:rsidR="00764B04" w:rsidRPr="00A2441D" w14:paraId="37F22430" w14:textId="77777777" w:rsidTr="005C2766">
        <w:tc>
          <w:tcPr>
            <w:tcW w:w="626" w:type="pct"/>
            <w:vAlign w:val="center"/>
          </w:tcPr>
          <w:p w14:paraId="69FB5330" w14:textId="439DBEB3" w:rsidR="00764B04" w:rsidRPr="00A2441D" w:rsidRDefault="00764B04" w:rsidP="003624C8">
            <w:pPr>
              <w:pStyle w:val="TableText0"/>
            </w:pPr>
            <w:r w:rsidRPr="00A2441D">
              <w:t>bDMARD</w:t>
            </w:r>
            <w:r w:rsidR="00E437A1" w:rsidRPr="00A2441D">
              <w:t>/ tsDMARD</w:t>
            </w:r>
            <w:r w:rsidRPr="00A2441D">
              <w:t xml:space="preserve"> scripts, Year 0</w:t>
            </w:r>
          </w:p>
        </w:tc>
        <w:tc>
          <w:tcPr>
            <w:tcW w:w="1224" w:type="pct"/>
            <w:vAlign w:val="center"/>
          </w:tcPr>
          <w:p w14:paraId="69B338DE" w14:textId="77777777" w:rsidR="00764B04" w:rsidRPr="00A2441D" w:rsidRDefault="00764B04" w:rsidP="003624C8">
            <w:pPr>
              <w:pStyle w:val="TableText0"/>
            </w:pPr>
            <w:r w:rsidRPr="00A2441D">
              <w:t>Ref (2021): 7005</w:t>
            </w:r>
          </w:p>
          <w:p w14:paraId="1B999416" w14:textId="77777777" w:rsidR="00764B04" w:rsidRPr="00A2441D" w:rsidRDefault="00764B04" w:rsidP="007C309F">
            <w:pPr>
              <w:pStyle w:val="TableText0"/>
              <w:numPr>
                <w:ilvl w:val="0"/>
                <w:numId w:val="9"/>
              </w:numPr>
              <w:ind w:left="142" w:hanging="152"/>
            </w:pPr>
            <w:r w:rsidRPr="00A2441D">
              <w:t>ADA 40mg: 3812</w:t>
            </w:r>
          </w:p>
          <w:p w14:paraId="6DD2D7FF" w14:textId="77777777" w:rsidR="00764B04" w:rsidRPr="00A2441D" w:rsidRDefault="00764B04" w:rsidP="007C309F">
            <w:pPr>
              <w:pStyle w:val="TableText0"/>
              <w:numPr>
                <w:ilvl w:val="0"/>
                <w:numId w:val="9"/>
              </w:numPr>
              <w:ind w:left="142" w:hanging="152"/>
            </w:pPr>
            <w:r w:rsidRPr="00A2441D">
              <w:t>ADA 20mg: 255</w:t>
            </w:r>
          </w:p>
          <w:p w14:paraId="4CB540D4" w14:textId="77777777" w:rsidR="00764B04" w:rsidRPr="00A2441D" w:rsidRDefault="00764B04" w:rsidP="007C309F">
            <w:pPr>
              <w:pStyle w:val="TableText0"/>
              <w:numPr>
                <w:ilvl w:val="0"/>
                <w:numId w:val="9"/>
              </w:numPr>
              <w:ind w:left="142" w:hanging="152"/>
            </w:pPr>
            <w:r w:rsidRPr="00A2441D">
              <w:t>ETN 50mg: 1158</w:t>
            </w:r>
          </w:p>
          <w:p w14:paraId="6084F422" w14:textId="77777777" w:rsidR="00764B04" w:rsidRPr="00A2441D" w:rsidRDefault="00764B04" w:rsidP="007C309F">
            <w:pPr>
              <w:pStyle w:val="TableText0"/>
              <w:numPr>
                <w:ilvl w:val="0"/>
                <w:numId w:val="9"/>
              </w:numPr>
              <w:ind w:left="142" w:hanging="152"/>
            </w:pPr>
            <w:r w:rsidRPr="00A2441D">
              <w:t>ETN 25mg: 976</w:t>
            </w:r>
          </w:p>
          <w:p w14:paraId="6796A480" w14:textId="77777777" w:rsidR="00764B04" w:rsidRPr="00A2441D" w:rsidRDefault="00764B04" w:rsidP="007C309F">
            <w:pPr>
              <w:pStyle w:val="TableText0"/>
              <w:numPr>
                <w:ilvl w:val="0"/>
                <w:numId w:val="9"/>
              </w:numPr>
              <w:ind w:left="142" w:hanging="152"/>
            </w:pPr>
            <w:r w:rsidRPr="00A2441D">
              <w:t>TOC IV 80mg: 166</w:t>
            </w:r>
          </w:p>
          <w:p w14:paraId="1931AEC6" w14:textId="77777777" w:rsidR="00764B04" w:rsidRPr="00A2441D" w:rsidRDefault="00764B04" w:rsidP="007C309F">
            <w:pPr>
              <w:pStyle w:val="TableText0"/>
              <w:numPr>
                <w:ilvl w:val="0"/>
                <w:numId w:val="9"/>
              </w:numPr>
              <w:ind w:left="142" w:hanging="152"/>
            </w:pPr>
            <w:r w:rsidRPr="00A2441D">
              <w:t>TOC IV 200mg: 125</w:t>
            </w:r>
          </w:p>
          <w:p w14:paraId="220AA777" w14:textId="77777777" w:rsidR="00764B04" w:rsidRPr="00A2441D" w:rsidRDefault="00764B04" w:rsidP="007C309F">
            <w:pPr>
              <w:pStyle w:val="TableText0"/>
              <w:numPr>
                <w:ilvl w:val="0"/>
                <w:numId w:val="9"/>
              </w:numPr>
              <w:ind w:left="142" w:hanging="152"/>
            </w:pPr>
            <w:r w:rsidRPr="00A2441D">
              <w:t>TOC IV 400mg: 172</w:t>
            </w:r>
          </w:p>
          <w:p w14:paraId="0DC7494A" w14:textId="0D765136" w:rsidR="00764B04" w:rsidRPr="00A2441D" w:rsidRDefault="00764B04" w:rsidP="007C309F">
            <w:pPr>
              <w:pStyle w:val="TableText0"/>
              <w:numPr>
                <w:ilvl w:val="0"/>
                <w:numId w:val="9"/>
              </w:numPr>
              <w:ind w:left="142" w:hanging="152"/>
            </w:pPr>
            <w:r w:rsidRPr="00A2441D">
              <w:t xml:space="preserve">TOC </w:t>
            </w:r>
            <w:r w:rsidR="00012AA7" w:rsidRPr="00A2441D">
              <w:t xml:space="preserve">SC </w:t>
            </w:r>
            <w:r w:rsidRPr="00A2441D">
              <w:t>162mg[a]: 124</w:t>
            </w:r>
          </w:p>
          <w:p w14:paraId="3153532E" w14:textId="638994A3" w:rsidR="00764B04" w:rsidRPr="00A2441D" w:rsidRDefault="00764B04" w:rsidP="007C309F">
            <w:pPr>
              <w:pStyle w:val="TableText0"/>
              <w:numPr>
                <w:ilvl w:val="0"/>
                <w:numId w:val="9"/>
              </w:numPr>
              <w:ind w:left="142" w:hanging="152"/>
            </w:pPr>
            <w:r w:rsidRPr="00A2441D">
              <w:t xml:space="preserve">TOC </w:t>
            </w:r>
            <w:r w:rsidR="00012AA7" w:rsidRPr="00A2441D">
              <w:t xml:space="preserve">SC </w:t>
            </w:r>
            <w:r w:rsidRPr="00A2441D">
              <w:t>162</w:t>
            </w:r>
            <w:r w:rsidR="00F46153">
              <w:t>mg</w:t>
            </w:r>
            <w:r w:rsidRPr="00A2441D">
              <w:t>[b]: 217</w:t>
            </w:r>
          </w:p>
        </w:tc>
        <w:tc>
          <w:tcPr>
            <w:tcW w:w="1685" w:type="pct"/>
            <w:vAlign w:val="center"/>
          </w:tcPr>
          <w:p w14:paraId="486F65AE" w14:textId="5C39DA29" w:rsidR="00764B04" w:rsidRPr="00A2441D" w:rsidRDefault="00764B04" w:rsidP="003624C8">
            <w:pPr>
              <w:pStyle w:val="TableText0"/>
            </w:pPr>
            <w:r w:rsidRPr="00A2441D">
              <w:t>Script numbers sourced from Medicare Australia statistics; to simplify the model, the submission pooled item numbers with the same DPMQs, similar strength and similar treatment phase.</w:t>
            </w:r>
            <w:r w:rsidR="00AD54F2" w:rsidRPr="00A2441D">
              <w:t xml:space="preserve"> Item numbers for TOC 162</w:t>
            </w:r>
            <w:r w:rsidR="007252C3">
              <w:t xml:space="preserve"> </w:t>
            </w:r>
            <w:r w:rsidR="00AD54F2" w:rsidRPr="00A2441D">
              <w:t>mg [a] capture scripts for initial &amp; continuing treatment, whereas TOC 162mg [b] capture scripts for continuing treatment only.</w:t>
            </w:r>
          </w:p>
        </w:tc>
        <w:tc>
          <w:tcPr>
            <w:tcW w:w="1466" w:type="pct"/>
            <w:vAlign w:val="center"/>
          </w:tcPr>
          <w:p w14:paraId="749CA1A5" w14:textId="61A469A5" w:rsidR="00764B04" w:rsidRPr="00A2441D" w:rsidRDefault="00764B04" w:rsidP="003624C8">
            <w:pPr>
              <w:pStyle w:val="TableText0"/>
            </w:pPr>
            <w:r w:rsidRPr="00A2441D">
              <w:t>Reasonable. The submission attempted to standardise script numbers through script equivalence to TOF in a later step (see below).</w:t>
            </w:r>
          </w:p>
        </w:tc>
      </w:tr>
      <w:tr w:rsidR="00764B04" w:rsidRPr="00A2441D" w14:paraId="2EF05971" w14:textId="77777777" w:rsidTr="005C2766">
        <w:tc>
          <w:tcPr>
            <w:tcW w:w="626" w:type="pct"/>
            <w:vAlign w:val="center"/>
          </w:tcPr>
          <w:p w14:paraId="5F6318FB" w14:textId="2452728F" w:rsidR="00764B04" w:rsidRPr="00A2441D" w:rsidRDefault="00764B04" w:rsidP="003624C8">
            <w:pPr>
              <w:pStyle w:val="TableText0"/>
            </w:pPr>
            <w:r w:rsidRPr="00A2441D">
              <w:t>bDMARD</w:t>
            </w:r>
            <w:r w:rsidR="00E437A1" w:rsidRPr="00A2441D">
              <w:t>/ tsDMARD</w:t>
            </w:r>
            <w:r w:rsidRPr="00A2441D">
              <w:t xml:space="preserve"> scripts, market growth by drug without TOF %</w:t>
            </w:r>
          </w:p>
        </w:tc>
        <w:tc>
          <w:tcPr>
            <w:tcW w:w="1224" w:type="pc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
              <w:gridCol w:w="382"/>
              <w:gridCol w:w="609"/>
              <w:gridCol w:w="864"/>
            </w:tblGrid>
            <w:tr w:rsidR="00764B04" w:rsidRPr="00A2441D" w14:paraId="6D15635A" w14:textId="77777777" w:rsidTr="00B67320">
              <w:tc>
                <w:tcPr>
                  <w:tcW w:w="277" w:type="dxa"/>
                </w:tcPr>
                <w:p w14:paraId="77C24353" w14:textId="77777777" w:rsidR="00764B04" w:rsidRPr="00A2441D" w:rsidRDefault="00764B04" w:rsidP="003624C8">
                  <w:pPr>
                    <w:pStyle w:val="TableText0"/>
                    <w:rPr>
                      <w:sz w:val="18"/>
                      <w:szCs w:val="18"/>
                    </w:rPr>
                  </w:pPr>
                </w:p>
              </w:tc>
              <w:tc>
                <w:tcPr>
                  <w:tcW w:w="391" w:type="dxa"/>
                </w:tcPr>
                <w:p w14:paraId="729DC7CD" w14:textId="77777777" w:rsidR="00764B04" w:rsidRPr="00A2441D" w:rsidRDefault="00764B04" w:rsidP="003624C8">
                  <w:pPr>
                    <w:pStyle w:val="TableText0"/>
                    <w:rPr>
                      <w:sz w:val="18"/>
                      <w:szCs w:val="18"/>
                    </w:rPr>
                  </w:pPr>
                  <w:r w:rsidRPr="00A2441D">
                    <w:rPr>
                      <w:sz w:val="18"/>
                      <w:szCs w:val="18"/>
                    </w:rPr>
                    <w:t>ADA</w:t>
                  </w:r>
                </w:p>
              </w:tc>
              <w:tc>
                <w:tcPr>
                  <w:tcW w:w="531" w:type="dxa"/>
                </w:tcPr>
                <w:p w14:paraId="2A06FF08" w14:textId="77777777" w:rsidR="00764B04" w:rsidRPr="00A2441D" w:rsidRDefault="00764B04" w:rsidP="003624C8">
                  <w:pPr>
                    <w:pStyle w:val="TableText0"/>
                    <w:rPr>
                      <w:sz w:val="18"/>
                      <w:szCs w:val="18"/>
                    </w:rPr>
                  </w:pPr>
                  <w:r w:rsidRPr="00A2441D">
                    <w:rPr>
                      <w:sz w:val="18"/>
                      <w:szCs w:val="18"/>
                    </w:rPr>
                    <w:t>ETN</w:t>
                  </w:r>
                </w:p>
              </w:tc>
              <w:tc>
                <w:tcPr>
                  <w:tcW w:w="963" w:type="dxa"/>
                </w:tcPr>
                <w:p w14:paraId="69729D9C" w14:textId="77777777" w:rsidR="00764B04" w:rsidRPr="00A2441D" w:rsidRDefault="00764B04" w:rsidP="003624C8">
                  <w:pPr>
                    <w:pStyle w:val="TableText0"/>
                    <w:rPr>
                      <w:sz w:val="18"/>
                      <w:szCs w:val="18"/>
                    </w:rPr>
                  </w:pPr>
                  <w:r w:rsidRPr="00A2441D">
                    <w:rPr>
                      <w:sz w:val="18"/>
                      <w:szCs w:val="18"/>
                    </w:rPr>
                    <w:t>TOC</w:t>
                  </w:r>
                </w:p>
              </w:tc>
            </w:tr>
            <w:tr w:rsidR="00764B04" w:rsidRPr="00A2441D" w14:paraId="52BB0CB9" w14:textId="77777777" w:rsidTr="00B67320">
              <w:tc>
                <w:tcPr>
                  <w:tcW w:w="277" w:type="dxa"/>
                </w:tcPr>
                <w:p w14:paraId="6891734C" w14:textId="77777777" w:rsidR="00764B04" w:rsidRPr="00A2441D" w:rsidRDefault="00764B04" w:rsidP="003624C8">
                  <w:pPr>
                    <w:pStyle w:val="TableText0"/>
                    <w:rPr>
                      <w:sz w:val="18"/>
                      <w:szCs w:val="18"/>
                    </w:rPr>
                  </w:pPr>
                  <w:r w:rsidRPr="00A2441D">
                    <w:rPr>
                      <w:sz w:val="18"/>
                      <w:szCs w:val="18"/>
                    </w:rPr>
                    <w:t>Yr1</w:t>
                  </w:r>
                </w:p>
              </w:tc>
              <w:tc>
                <w:tcPr>
                  <w:tcW w:w="391" w:type="dxa"/>
                </w:tcPr>
                <w:p w14:paraId="2F011156" w14:textId="7AC48027" w:rsidR="00764B04" w:rsidRPr="00B419D7"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993"/>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993"/>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993"/>
                      <w14:textFill>
                        <w14:solidFill>
                          <w14:srgbClr w14:val="000000">
                            <w14:alpha w14:val="100000"/>
                          </w14:srgbClr>
                        </w14:solidFill>
                      </w14:textFill>
                    </w:rPr>
                    <w:t xml:space="preserve">　</w:t>
                  </w:r>
                  <w:r w:rsidR="00B67320">
                    <w:rPr>
                      <w:vertAlign w:val="superscript"/>
                    </w:rPr>
                    <w:t>1</w:t>
                  </w:r>
                </w:p>
              </w:tc>
              <w:tc>
                <w:tcPr>
                  <w:tcW w:w="531" w:type="dxa"/>
                </w:tcPr>
                <w:p w14:paraId="5702EB34" w14:textId="78616D7B" w:rsidR="00764B04" w:rsidRPr="00A2441D" w:rsidRDefault="00764B04" w:rsidP="003624C8">
                  <w:pPr>
                    <w:pStyle w:val="TableText0"/>
                    <w:rPr>
                      <w:sz w:val="18"/>
                      <w:szCs w:val="18"/>
                    </w:rPr>
                  </w:pPr>
                  <w:r w:rsidRPr="00A2441D">
                    <w:rPr>
                      <w:sz w:val="18"/>
                      <w:szCs w:val="18"/>
                    </w:rPr>
                    <w:t>-</w:t>
                  </w:r>
                  <w:r w:rsidR="00F46153" w:rsidRPr="00F46153">
                    <w:rPr>
                      <w:rFonts w:hint="eastAsia"/>
                      <w:color w:val="000000"/>
                      <w:w w:val="35"/>
                      <w:sz w:val="18"/>
                      <w:szCs w:val="18"/>
                      <w:shd w:val="solid" w:color="000000" w:fill="000000"/>
                      <w:fitText w:val="142" w:id="-1236607991"/>
                      <w14:textFill>
                        <w14:solidFill>
                          <w14:srgbClr w14:val="000000">
                            <w14:alpha w14:val="100000"/>
                          </w14:srgbClr>
                        </w14:solidFill>
                      </w14:textFill>
                    </w:rPr>
                    <w:t xml:space="preserve">　</w:t>
                  </w:r>
                  <w:r w:rsidR="00F46153" w:rsidRPr="00F46153">
                    <w:rPr>
                      <w:color w:val="000000"/>
                      <w:w w:val="35"/>
                      <w:sz w:val="18"/>
                      <w:szCs w:val="18"/>
                      <w:shd w:val="solid" w:color="000000" w:fill="000000"/>
                      <w:fitText w:val="142" w:id="-1236607991"/>
                      <w14:textFill>
                        <w14:solidFill>
                          <w14:srgbClr w14:val="000000">
                            <w14:alpha w14:val="100000"/>
                          </w14:srgbClr>
                        </w14:solidFill>
                      </w14:textFill>
                    </w:rPr>
                    <w:t>|</w:t>
                  </w:r>
                  <w:r w:rsidR="00F46153" w:rsidRPr="00F46153">
                    <w:rPr>
                      <w:rFonts w:hint="eastAsia"/>
                      <w:color w:val="000000"/>
                      <w:spacing w:val="4"/>
                      <w:w w:val="35"/>
                      <w:sz w:val="18"/>
                      <w:szCs w:val="18"/>
                      <w:shd w:val="solid" w:color="000000" w:fill="000000"/>
                      <w:fitText w:val="142" w:id="-1236607991"/>
                      <w14:textFill>
                        <w14:solidFill>
                          <w14:srgbClr w14:val="000000">
                            <w14:alpha w14:val="100000"/>
                          </w14:srgbClr>
                        </w14:solidFill>
                      </w14:textFill>
                    </w:rPr>
                    <w:t xml:space="preserve">　</w:t>
                  </w:r>
                  <w:r w:rsidR="00B67320">
                    <w:rPr>
                      <w:vertAlign w:val="superscript"/>
                    </w:rPr>
                    <w:t>1</w:t>
                  </w:r>
                </w:p>
              </w:tc>
              <w:tc>
                <w:tcPr>
                  <w:tcW w:w="963" w:type="dxa"/>
                </w:tcPr>
                <w:p w14:paraId="2606175D" w14:textId="0F85BA4F" w:rsidR="00764B04" w:rsidRPr="00A2441D" w:rsidRDefault="00764B04" w:rsidP="003624C8">
                  <w:pPr>
                    <w:pStyle w:val="TableText0"/>
                    <w:rPr>
                      <w:sz w:val="18"/>
                      <w:szCs w:val="18"/>
                    </w:rPr>
                  </w:pPr>
                  <w:r w:rsidRPr="00A2441D">
                    <w:rPr>
                      <w:sz w:val="18"/>
                      <w:szCs w:val="18"/>
                    </w:rPr>
                    <w:t>-</w:t>
                  </w:r>
                  <w:r w:rsidR="00F46153" w:rsidRPr="00F46153">
                    <w:rPr>
                      <w:rFonts w:hint="eastAsia"/>
                      <w:color w:val="000000"/>
                      <w:w w:val="35"/>
                      <w:sz w:val="18"/>
                      <w:szCs w:val="18"/>
                      <w:shd w:val="solid" w:color="000000" w:fill="000000"/>
                      <w:fitText w:val="142" w:id="-1236607989"/>
                      <w14:textFill>
                        <w14:solidFill>
                          <w14:srgbClr w14:val="000000">
                            <w14:alpha w14:val="100000"/>
                          </w14:srgbClr>
                        </w14:solidFill>
                      </w14:textFill>
                    </w:rPr>
                    <w:t xml:space="preserve">　</w:t>
                  </w:r>
                  <w:r w:rsidR="00F46153" w:rsidRPr="00F46153">
                    <w:rPr>
                      <w:color w:val="000000"/>
                      <w:w w:val="35"/>
                      <w:sz w:val="18"/>
                      <w:szCs w:val="18"/>
                      <w:shd w:val="solid" w:color="000000" w:fill="000000"/>
                      <w:fitText w:val="142" w:id="-1236607989"/>
                      <w14:textFill>
                        <w14:solidFill>
                          <w14:srgbClr w14:val="000000">
                            <w14:alpha w14:val="100000"/>
                          </w14:srgbClr>
                        </w14:solidFill>
                      </w14:textFill>
                    </w:rPr>
                    <w:t>|</w:t>
                  </w:r>
                  <w:r w:rsidR="00F46153" w:rsidRPr="00F46153">
                    <w:rPr>
                      <w:rFonts w:hint="eastAsia"/>
                      <w:color w:val="000000"/>
                      <w:spacing w:val="4"/>
                      <w:w w:val="35"/>
                      <w:sz w:val="18"/>
                      <w:szCs w:val="18"/>
                      <w:shd w:val="solid" w:color="000000" w:fill="000000"/>
                      <w:fitText w:val="142" w:id="-1236607989"/>
                      <w14:textFill>
                        <w14:solidFill>
                          <w14:srgbClr w14:val="000000">
                            <w14:alpha w14:val="100000"/>
                          </w14:srgbClr>
                        </w14:solidFill>
                      </w14:textFill>
                    </w:rPr>
                    <w:t xml:space="preserve">　</w:t>
                  </w:r>
                  <w:r w:rsidR="00B67320">
                    <w:rPr>
                      <w:vertAlign w:val="superscript"/>
                    </w:rPr>
                    <w:t>1</w:t>
                  </w:r>
                </w:p>
              </w:tc>
            </w:tr>
            <w:tr w:rsidR="00764B04" w:rsidRPr="00A2441D" w14:paraId="0D64B1A1" w14:textId="77777777" w:rsidTr="00B67320">
              <w:tc>
                <w:tcPr>
                  <w:tcW w:w="277" w:type="dxa"/>
                </w:tcPr>
                <w:p w14:paraId="6CE3E90D" w14:textId="77777777" w:rsidR="00764B04" w:rsidRPr="00A2441D" w:rsidRDefault="00764B04" w:rsidP="003624C8">
                  <w:pPr>
                    <w:pStyle w:val="TableText0"/>
                    <w:rPr>
                      <w:sz w:val="18"/>
                      <w:szCs w:val="18"/>
                    </w:rPr>
                  </w:pPr>
                  <w:r w:rsidRPr="00A2441D">
                    <w:rPr>
                      <w:sz w:val="18"/>
                      <w:szCs w:val="18"/>
                    </w:rPr>
                    <w:t>Yr2</w:t>
                  </w:r>
                </w:p>
              </w:tc>
              <w:tc>
                <w:tcPr>
                  <w:tcW w:w="391" w:type="dxa"/>
                </w:tcPr>
                <w:p w14:paraId="7E707B60" w14:textId="3A5D125E" w:rsidR="00764B04" w:rsidRPr="00B419D7"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987"/>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987"/>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987"/>
                      <w14:textFill>
                        <w14:solidFill>
                          <w14:srgbClr w14:val="000000">
                            <w14:alpha w14:val="100000"/>
                          </w14:srgbClr>
                        </w14:solidFill>
                      </w14:textFill>
                    </w:rPr>
                    <w:t xml:space="preserve">　</w:t>
                  </w:r>
                  <w:r w:rsidR="00B67320">
                    <w:rPr>
                      <w:vertAlign w:val="superscript"/>
                    </w:rPr>
                    <w:t>1</w:t>
                  </w:r>
                </w:p>
              </w:tc>
              <w:tc>
                <w:tcPr>
                  <w:tcW w:w="531" w:type="dxa"/>
                </w:tcPr>
                <w:p w14:paraId="3C3A0231" w14:textId="1784294E" w:rsidR="00764B04" w:rsidRPr="00A2441D" w:rsidRDefault="00764B04" w:rsidP="003624C8">
                  <w:pPr>
                    <w:pStyle w:val="TableText0"/>
                    <w:rPr>
                      <w:sz w:val="18"/>
                      <w:szCs w:val="18"/>
                    </w:rPr>
                  </w:pPr>
                  <w:r w:rsidRPr="00A2441D">
                    <w:rPr>
                      <w:sz w:val="18"/>
                      <w:szCs w:val="18"/>
                    </w:rPr>
                    <w:t>-</w:t>
                  </w:r>
                  <w:r w:rsidR="00F46153" w:rsidRPr="00F46153">
                    <w:rPr>
                      <w:rFonts w:hint="eastAsia"/>
                      <w:color w:val="000000"/>
                      <w:w w:val="35"/>
                      <w:sz w:val="18"/>
                      <w:szCs w:val="18"/>
                      <w:shd w:val="solid" w:color="000000" w:fill="000000"/>
                      <w:fitText w:val="142" w:id="-1236607985"/>
                      <w14:textFill>
                        <w14:solidFill>
                          <w14:srgbClr w14:val="000000">
                            <w14:alpha w14:val="100000"/>
                          </w14:srgbClr>
                        </w14:solidFill>
                      </w14:textFill>
                    </w:rPr>
                    <w:t xml:space="preserve">　</w:t>
                  </w:r>
                  <w:r w:rsidR="00F46153" w:rsidRPr="00F46153">
                    <w:rPr>
                      <w:color w:val="000000"/>
                      <w:w w:val="35"/>
                      <w:sz w:val="18"/>
                      <w:szCs w:val="18"/>
                      <w:shd w:val="solid" w:color="000000" w:fill="000000"/>
                      <w:fitText w:val="142" w:id="-1236607985"/>
                      <w14:textFill>
                        <w14:solidFill>
                          <w14:srgbClr w14:val="000000">
                            <w14:alpha w14:val="100000"/>
                          </w14:srgbClr>
                        </w14:solidFill>
                      </w14:textFill>
                    </w:rPr>
                    <w:t>|</w:t>
                  </w:r>
                  <w:r w:rsidR="00F46153" w:rsidRPr="00F46153">
                    <w:rPr>
                      <w:rFonts w:hint="eastAsia"/>
                      <w:color w:val="000000"/>
                      <w:spacing w:val="4"/>
                      <w:w w:val="35"/>
                      <w:sz w:val="18"/>
                      <w:szCs w:val="18"/>
                      <w:shd w:val="solid" w:color="000000" w:fill="000000"/>
                      <w:fitText w:val="142" w:id="-1236607985"/>
                      <w14:textFill>
                        <w14:solidFill>
                          <w14:srgbClr w14:val="000000">
                            <w14:alpha w14:val="100000"/>
                          </w14:srgbClr>
                        </w14:solidFill>
                      </w14:textFill>
                    </w:rPr>
                    <w:t xml:space="preserve">　</w:t>
                  </w:r>
                  <w:r w:rsidR="00B67320">
                    <w:rPr>
                      <w:vertAlign w:val="superscript"/>
                    </w:rPr>
                    <w:t>1</w:t>
                  </w:r>
                </w:p>
              </w:tc>
              <w:tc>
                <w:tcPr>
                  <w:tcW w:w="963" w:type="dxa"/>
                </w:tcPr>
                <w:p w14:paraId="1872F66F" w14:textId="35AF1B4B" w:rsidR="00764B04" w:rsidRPr="00A2441D" w:rsidRDefault="00764B04" w:rsidP="003624C8">
                  <w:pPr>
                    <w:pStyle w:val="TableText0"/>
                    <w:rPr>
                      <w:sz w:val="18"/>
                      <w:szCs w:val="18"/>
                    </w:rPr>
                  </w:pPr>
                  <w:r w:rsidRPr="00A2441D">
                    <w:rPr>
                      <w:sz w:val="18"/>
                      <w:szCs w:val="18"/>
                    </w:rPr>
                    <w:t>-</w:t>
                  </w:r>
                  <w:r w:rsidR="00F46153" w:rsidRPr="00F46153">
                    <w:rPr>
                      <w:rFonts w:hint="eastAsia"/>
                      <w:color w:val="000000"/>
                      <w:w w:val="35"/>
                      <w:sz w:val="18"/>
                      <w:szCs w:val="18"/>
                      <w:shd w:val="solid" w:color="000000" w:fill="000000"/>
                      <w:fitText w:val="142" w:id="-1236608000"/>
                      <w14:textFill>
                        <w14:solidFill>
                          <w14:srgbClr w14:val="000000">
                            <w14:alpha w14:val="100000"/>
                          </w14:srgbClr>
                        </w14:solidFill>
                      </w14:textFill>
                    </w:rPr>
                    <w:t xml:space="preserve">　</w:t>
                  </w:r>
                  <w:r w:rsidR="00F46153" w:rsidRPr="00F46153">
                    <w:rPr>
                      <w:color w:val="000000"/>
                      <w:w w:val="35"/>
                      <w:sz w:val="18"/>
                      <w:szCs w:val="18"/>
                      <w:shd w:val="solid" w:color="000000" w:fill="000000"/>
                      <w:fitText w:val="142" w:id="-1236608000"/>
                      <w14:textFill>
                        <w14:solidFill>
                          <w14:srgbClr w14:val="000000">
                            <w14:alpha w14:val="100000"/>
                          </w14:srgbClr>
                        </w14:solidFill>
                      </w14:textFill>
                    </w:rPr>
                    <w:t>|</w:t>
                  </w:r>
                  <w:r w:rsidR="00F46153" w:rsidRPr="00F46153">
                    <w:rPr>
                      <w:rFonts w:hint="eastAsia"/>
                      <w:color w:val="000000"/>
                      <w:spacing w:val="4"/>
                      <w:w w:val="35"/>
                      <w:sz w:val="18"/>
                      <w:szCs w:val="18"/>
                      <w:shd w:val="solid" w:color="000000" w:fill="000000"/>
                      <w:fitText w:val="142" w:id="-1236608000"/>
                      <w14:textFill>
                        <w14:solidFill>
                          <w14:srgbClr w14:val="000000">
                            <w14:alpha w14:val="100000"/>
                          </w14:srgbClr>
                        </w14:solidFill>
                      </w14:textFill>
                    </w:rPr>
                    <w:t xml:space="preserve">　</w:t>
                  </w:r>
                  <w:r w:rsidR="00B67320">
                    <w:rPr>
                      <w:vertAlign w:val="superscript"/>
                    </w:rPr>
                    <w:t>1</w:t>
                  </w:r>
                </w:p>
              </w:tc>
            </w:tr>
            <w:tr w:rsidR="00764B04" w:rsidRPr="00A2441D" w14:paraId="46616181" w14:textId="77777777" w:rsidTr="00B67320">
              <w:tc>
                <w:tcPr>
                  <w:tcW w:w="277" w:type="dxa"/>
                </w:tcPr>
                <w:p w14:paraId="6AFF34E5" w14:textId="77777777" w:rsidR="00764B04" w:rsidRPr="00A2441D" w:rsidRDefault="00764B04" w:rsidP="003624C8">
                  <w:pPr>
                    <w:pStyle w:val="TableText0"/>
                    <w:rPr>
                      <w:sz w:val="18"/>
                      <w:szCs w:val="18"/>
                    </w:rPr>
                  </w:pPr>
                  <w:r w:rsidRPr="00A2441D">
                    <w:rPr>
                      <w:sz w:val="18"/>
                      <w:szCs w:val="18"/>
                    </w:rPr>
                    <w:t>Yr3</w:t>
                  </w:r>
                </w:p>
              </w:tc>
              <w:tc>
                <w:tcPr>
                  <w:tcW w:w="391" w:type="dxa"/>
                </w:tcPr>
                <w:p w14:paraId="5B9D1300" w14:textId="3ED7377B" w:rsidR="00764B04" w:rsidRPr="00B419D7"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998"/>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998"/>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998"/>
                      <w14:textFill>
                        <w14:solidFill>
                          <w14:srgbClr w14:val="000000">
                            <w14:alpha w14:val="100000"/>
                          </w14:srgbClr>
                        </w14:solidFill>
                      </w14:textFill>
                    </w:rPr>
                    <w:t xml:space="preserve">　</w:t>
                  </w:r>
                  <w:r w:rsidR="00B67320">
                    <w:rPr>
                      <w:vertAlign w:val="superscript"/>
                    </w:rPr>
                    <w:t>1</w:t>
                  </w:r>
                </w:p>
              </w:tc>
              <w:tc>
                <w:tcPr>
                  <w:tcW w:w="531" w:type="dxa"/>
                </w:tcPr>
                <w:p w14:paraId="33EED0BA" w14:textId="0F4663FF" w:rsidR="00764B04" w:rsidRPr="00A2441D" w:rsidRDefault="00F46153" w:rsidP="003624C8">
                  <w:pPr>
                    <w:pStyle w:val="TableText0"/>
                    <w:rPr>
                      <w:sz w:val="18"/>
                      <w:szCs w:val="18"/>
                    </w:rPr>
                  </w:pPr>
                  <w:r w:rsidRPr="00F46153">
                    <w:rPr>
                      <w:rFonts w:hint="eastAsia"/>
                      <w:color w:val="000000"/>
                      <w:w w:val="35"/>
                      <w:sz w:val="18"/>
                      <w:szCs w:val="18"/>
                      <w:shd w:val="solid" w:color="000000" w:fill="000000"/>
                      <w:fitText w:val="142" w:id="-1236607996"/>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996"/>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996"/>
                      <w14:textFill>
                        <w14:solidFill>
                          <w14:srgbClr w14:val="000000">
                            <w14:alpha w14:val="100000"/>
                          </w14:srgbClr>
                        </w14:solidFill>
                      </w14:textFill>
                    </w:rPr>
                    <w:t xml:space="preserve">　</w:t>
                  </w:r>
                  <w:r w:rsidR="00B67320">
                    <w:rPr>
                      <w:vertAlign w:val="superscript"/>
                    </w:rPr>
                    <w:t>1</w:t>
                  </w:r>
                </w:p>
              </w:tc>
              <w:tc>
                <w:tcPr>
                  <w:tcW w:w="963" w:type="dxa"/>
                </w:tcPr>
                <w:p w14:paraId="6BCA2E5C" w14:textId="27E86B52" w:rsidR="00764B04" w:rsidRPr="00A2441D" w:rsidRDefault="00F46153" w:rsidP="003624C8">
                  <w:pPr>
                    <w:pStyle w:val="TableText0"/>
                    <w:rPr>
                      <w:sz w:val="18"/>
                      <w:szCs w:val="18"/>
                    </w:rPr>
                  </w:pPr>
                  <w:r w:rsidRPr="00F46153">
                    <w:rPr>
                      <w:rFonts w:hint="eastAsia"/>
                      <w:color w:val="000000"/>
                      <w:w w:val="35"/>
                      <w:sz w:val="18"/>
                      <w:szCs w:val="18"/>
                      <w:shd w:val="solid" w:color="000000" w:fill="000000"/>
                      <w:fitText w:val="142" w:id="-1236607994"/>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994"/>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994"/>
                      <w14:textFill>
                        <w14:solidFill>
                          <w14:srgbClr w14:val="000000">
                            <w14:alpha w14:val="100000"/>
                          </w14:srgbClr>
                        </w14:solidFill>
                      </w14:textFill>
                    </w:rPr>
                    <w:t xml:space="preserve">　</w:t>
                  </w:r>
                  <w:r w:rsidR="00B67320">
                    <w:rPr>
                      <w:vertAlign w:val="superscript"/>
                    </w:rPr>
                    <w:t>1</w:t>
                  </w:r>
                </w:p>
              </w:tc>
            </w:tr>
            <w:tr w:rsidR="00764B04" w:rsidRPr="00A2441D" w14:paraId="5424631C" w14:textId="77777777" w:rsidTr="00B67320">
              <w:tc>
                <w:tcPr>
                  <w:tcW w:w="277" w:type="dxa"/>
                </w:tcPr>
                <w:p w14:paraId="20E662DD" w14:textId="77777777" w:rsidR="00764B04" w:rsidRPr="00A2441D" w:rsidRDefault="00764B04" w:rsidP="003624C8">
                  <w:pPr>
                    <w:pStyle w:val="TableText0"/>
                    <w:rPr>
                      <w:sz w:val="18"/>
                      <w:szCs w:val="18"/>
                    </w:rPr>
                  </w:pPr>
                  <w:r w:rsidRPr="00A2441D">
                    <w:rPr>
                      <w:sz w:val="18"/>
                      <w:szCs w:val="18"/>
                    </w:rPr>
                    <w:t>Yr4</w:t>
                  </w:r>
                </w:p>
              </w:tc>
              <w:tc>
                <w:tcPr>
                  <w:tcW w:w="391" w:type="dxa"/>
                </w:tcPr>
                <w:p w14:paraId="416B7953" w14:textId="7A6A13B9" w:rsidR="00764B04" w:rsidRPr="00B419D7"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992"/>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992"/>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992"/>
                      <w14:textFill>
                        <w14:solidFill>
                          <w14:srgbClr w14:val="000000">
                            <w14:alpha w14:val="100000"/>
                          </w14:srgbClr>
                        </w14:solidFill>
                      </w14:textFill>
                    </w:rPr>
                    <w:t xml:space="preserve">　</w:t>
                  </w:r>
                  <w:r w:rsidR="00B67320">
                    <w:rPr>
                      <w:vertAlign w:val="superscript"/>
                    </w:rPr>
                    <w:t>1</w:t>
                  </w:r>
                </w:p>
              </w:tc>
              <w:tc>
                <w:tcPr>
                  <w:tcW w:w="531" w:type="dxa"/>
                </w:tcPr>
                <w:p w14:paraId="531A321A" w14:textId="23CB1703" w:rsidR="00764B04" w:rsidRPr="00A2441D" w:rsidRDefault="00764B04" w:rsidP="003624C8">
                  <w:pPr>
                    <w:pStyle w:val="TableText0"/>
                    <w:rPr>
                      <w:sz w:val="18"/>
                      <w:szCs w:val="18"/>
                    </w:rPr>
                  </w:pPr>
                  <w:r w:rsidRPr="00A2441D">
                    <w:rPr>
                      <w:sz w:val="18"/>
                      <w:szCs w:val="18"/>
                    </w:rPr>
                    <w:t>-</w:t>
                  </w:r>
                  <w:r w:rsidR="00F46153" w:rsidRPr="00F46153">
                    <w:rPr>
                      <w:rFonts w:hint="eastAsia"/>
                      <w:color w:val="000000"/>
                      <w:w w:val="35"/>
                      <w:sz w:val="18"/>
                      <w:szCs w:val="18"/>
                      <w:shd w:val="solid" w:color="000000" w:fill="000000"/>
                      <w:fitText w:val="142" w:id="-1236607990"/>
                      <w14:textFill>
                        <w14:solidFill>
                          <w14:srgbClr w14:val="000000">
                            <w14:alpha w14:val="100000"/>
                          </w14:srgbClr>
                        </w14:solidFill>
                      </w14:textFill>
                    </w:rPr>
                    <w:t xml:space="preserve">　</w:t>
                  </w:r>
                  <w:r w:rsidR="00F46153" w:rsidRPr="00F46153">
                    <w:rPr>
                      <w:color w:val="000000"/>
                      <w:w w:val="35"/>
                      <w:sz w:val="18"/>
                      <w:szCs w:val="18"/>
                      <w:shd w:val="solid" w:color="000000" w:fill="000000"/>
                      <w:fitText w:val="142" w:id="-1236607990"/>
                      <w14:textFill>
                        <w14:solidFill>
                          <w14:srgbClr w14:val="000000">
                            <w14:alpha w14:val="100000"/>
                          </w14:srgbClr>
                        </w14:solidFill>
                      </w14:textFill>
                    </w:rPr>
                    <w:t>|</w:t>
                  </w:r>
                  <w:r w:rsidR="00F46153" w:rsidRPr="00F46153">
                    <w:rPr>
                      <w:rFonts w:hint="eastAsia"/>
                      <w:color w:val="000000"/>
                      <w:spacing w:val="4"/>
                      <w:w w:val="35"/>
                      <w:sz w:val="18"/>
                      <w:szCs w:val="18"/>
                      <w:shd w:val="solid" w:color="000000" w:fill="000000"/>
                      <w:fitText w:val="142" w:id="-1236607990"/>
                      <w14:textFill>
                        <w14:solidFill>
                          <w14:srgbClr w14:val="000000">
                            <w14:alpha w14:val="100000"/>
                          </w14:srgbClr>
                        </w14:solidFill>
                      </w14:textFill>
                    </w:rPr>
                    <w:t xml:space="preserve">　</w:t>
                  </w:r>
                  <w:r w:rsidR="00B67320">
                    <w:rPr>
                      <w:vertAlign w:val="superscript"/>
                    </w:rPr>
                    <w:t>1</w:t>
                  </w:r>
                </w:p>
              </w:tc>
              <w:tc>
                <w:tcPr>
                  <w:tcW w:w="963" w:type="dxa"/>
                </w:tcPr>
                <w:p w14:paraId="2F00FE31" w14:textId="7EB80F25" w:rsidR="00764B04" w:rsidRPr="00A2441D" w:rsidRDefault="00764B04" w:rsidP="003624C8">
                  <w:pPr>
                    <w:pStyle w:val="TableText0"/>
                    <w:rPr>
                      <w:sz w:val="18"/>
                      <w:szCs w:val="18"/>
                    </w:rPr>
                  </w:pPr>
                  <w:r w:rsidRPr="00A2441D">
                    <w:rPr>
                      <w:sz w:val="18"/>
                      <w:szCs w:val="18"/>
                    </w:rPr>
                    <w:t>-</w:t>
                  </w:r>
                  <w:r w:rsidR="00F46153" w:rsidRPr="00F46153">
                    <w:rPr>
                      <w:rFonts w:hint="eastAsia"/>
                      <w:color w:val="000000"/>
                      <w:w w:val="35"/>
                      <w:sz w:val="18"/>
                      <w:szCs w:val="18"/>
                      <w:shd w:val="solid" w:color="000000" w:fill="000000"/>
                      <w:fitText w:val="142" w:id="-1236607988"/>
                      <w14:textFill>
                        <w14:solidFill>
                          <w14:srgbClr w14:val="000000">
                            <w14:alpha w14:val="100000"/>
                          </w14:srgbClr>
                        </w14:solidFill>
                      </w14:textFill>
                    </w:rPr>
                    <w:t xml:space="preserve">　</w:t>
                  </w:r>
                  <w:r w:rsidR="00F46153" w:rsidRPr="00F46153">
                    <w:rPr>
                      <w:color w:val="000000"/>
                      <w:w w:val="35"/>
                      <w:sz w:val="18"/>
                      <w:szCs w:val="18"/>
                      <w:shd w:val="solid" w:color="000000" w:fill="000000"/>
                      <w:fitText w:val="142" w:id="-1236607988"/>
                      <w14:textFill>
                        <w14:solidFill>
                          <w14:srgbClr w14:val="000000">
                            <w14:alpha w14:val="100000"/>
                          </w14:srgbClr>
                        </w14:solidFill>
                      </w14:textFill>
                    </w:rPr>
                    <w:t>|</w:t>
                  </w:r>
                  <w:r w:rsidR="00F46153" w:rsidRPr="00F46153">
                    <w:rPr>
                      <w:rFonts w:hint="eastAsia"/>
                      <w:color w:val="000000"/>
                      <w:spacing w:val="4"/>
                      <w:w w:val="35"/>
                      <w:sz w:val="18"/>
                      <w:szCs w:val="18"/>
                      <w:shd w:val="solid" w:color="000000" w:fill="000000"/>
                      <w:fitText w:val="142" w:id="-1236607988"/>
                      <w14:textFill>
                        <w14:solidFill>
                          <w14:srgbClr w14:val="000000">
                            <w14:alpha w14:val="100000"/>
                          </w14:srgbClr>
                        </w14:solidFill>
                      </w14:textFill>
                    </w:rPr>
                    <w:t xml:space="preserve">　</w:t>
                  </w:r>
                  <w:r w:rsidR="00B67320">
                    <w:rPr>
                      <w:vertAlign w:val="superscript"/>
                    </w:rPr>
                    <w:t>1</w:t>
                  </w:r>
                </w:p>
              </w:tc>
            </w:tr>
            <w:tr w:rsidR="00764B04" w:rsidRPr="00A2441D" w14:paraId="02FF8B79" w14:textId="77777777" w:rsidTr="00B67320">
              <w:tc>
                <w:tcPr>
                  <w:tcW w:w="277" w:type="dxa"/>
                </w:tcPr>
                <w:p w14:paraId="12FB03B0" w14:textId="77777777" w:rsidR="00764B04" w:rsidRPr="00A2441D" w:rsidRDefault="00764B04" w:rsidP="003624C8">
                  <w:pPr>
                    <w:pStyle w:val="TableText0"/>
                    <w:rPr>
                      <w:sz w:val="18"/>
                      <w:szCs w:val="18"/>
                    </w:rPr>
                  </w:pPr>
                  <w:r w:rsidRPr="00A2441D">
                    <w:rPr>
                      <w:sz w:val="18"/>
                      <w:szCs w:val="18"/>
                    </w:rPr>
                    <w:t>Yr5</w:t>
                  </w:r>
                </w:p>
              </w:tc>
              <w:tc>
                <w:tcPr>
                  <w:tcW w:w="391" w:type="dxa"/>
                </w:tcPr>
                <w:p w14:paraId="42C93A99" w14:textId="280F3119" w:rsidR="00764B04" w:rsidRPr="00B419D7"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986"/>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986"/>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986"/>
                      <w14:textFill>
                        <w14:solidFill>
                          <w14:srgbClr w14:val="000000">
                            <w14:alpha w14:val="100000"/>
                          </w14:srgbClr>
                        </w14:solidFill>
                      </w14:textFill>
                    </w:rPr>
                    <w:t xml:space="preserve">　</w:t>
                  </w:r>
                  <w:r w:rsidR="00B67320">
                    <w:rPr>
                      <w:vertAlign w:val="superscript"/>
                    </w:rPr>
                    <w:t>1</w:t>
                  </w:r>
                </w:p>
              </w:tc>
              <w:tc>
                <w:tcPr>
                  <w:tcW w:w="531" w:type="dxa"/>
                </w:tcPr>
                <w:p w14:paraId="3CD9DA3F" w14:textId="3D1BF10D" w:rsidR="00764B04" w:rsidRPr="00A2441D" w:rsidRDefault="00764B04" w:rsidP="003624C8">
                  <w:pPr>
                    <w:pStyle w:val="TableText0"/>
                    <w:rPr>
                      <w:sz w:val="18"/>
                      <w:szCs w:val="18"/>
                    </w:rPr>
                  </w:pPr>
                  <w:r w:rsidRPr="00A2441D">
                    <w:rPr>
                      <w:sz w:val="18"/>
                      <w:szCs w:val="18"/>
                    </w:rPr>
                    <w:t>-</w:t>
                  </w:r>
                  <w:r w:rsidR="00F46153" w:rsidRPr="00F46153">
                    <w:rPr>
                      <w:rFonts w:hint="eastAsia"/>
                      <w:color w:val="000000"/>
                      <w:w w:val="35"/>
                      <w:sz w:val="18"/>
                      <w:szCs w:val="18"/>
                      <w:shd w:val="solid" w:color="000000" w:fill="000000"/>
                      <w:fitText w:val="142" w:id="-1236607984"/>
                      <w14:textFill>
                        <w14:solidFill>
                          <w14:srgbClr w14:val="000000">
                            <w14:alpha w14:val="100000"/>
                          </w14:srgbClr>
                        </w14:solidFill>
                      </w14:textFill>
                    </w:rPr>
                    <w:t xml:space="preserve">　</w:t>
                  </w:r>
                  <w:r w:rsidR="00F46153" w:rsidRPr="00F46153">
                    <w:rPr>
                      <w:color w:val="000000"/>
                      <w:w w:val="35"/>
                      <w:sz w:val="18"/>
                      <w:szCs w:val="18"/>
                      <w:shd w:val="solid" w:color="000000" w:fill="000000"/>
                      <w:fitText w:val="142" w:id="-1236607984"/>
                      <w14:textFill>
                        <w14:solidFill>
                          <w14:srgbClr w14:val="000000">
                            <w14:alpha w14:val="100000"/>
                          </w14:srgbClr>
                        </w14:solidFill>
                      </w14:textFill>
                    </w:rPr>
                    <w:t>|</w:t>
                  </w:r>
                  <w:r w:rsidR="00F46153" w:rsidRPr="00F46153">
                    <w:rPr>
                      <w:rFonts w:hint="eastAsia"/>
                      <w:color w:val="000000"/>
                      <w:spacing w:val="4"/>
                      <w:w w:val="35"/>
                      <w:sz w:val="18"/>
                      <w:szCs w:val="18"/>
                      <w:shd w:val="solid" w:color="000000" w:fill="000000"/>
                      <w:fitText w:val="142" w:id="-1236607984"/>
                      <w14:textFill>
                        <w14:solidFill>
                          <w14:srgbClr w14:val="000000">
                            <w14:alpha w14:val="100000"/>
                          </w14:srgbClr>
                        </w14:solidFill>
                      </w14:textFill>
                    </w:rPr>
                    <w:t xml:space="preserve">　</w:t>
                  </w:r>
                  <w:r w:rsidR="00B67320">
                    <w:rPr>
                      <w:vertAlign w:val="superscript"/>
                    </w:rPr>
                    <w:t>1</w:t>
                  </w:r>
                </w:p>
              </w:tc>
              <w:tc>
                <w:tcPr>
                  <w:tcW w:w="963" w:type="dxa"/>
                </w:tcPr>
                <w:p w14:paraId="0C96747D" w14:textId="7D8E2614" w:rsidR="00764B04" w:rsidRPr="00A2441D" w:rsidRDefault="00764B04" w:rsidP="003624C8">
                  <w:pPr>
                    <w:pStyle w:val="TableText0"/>
                    <w:rPr>
                      <w:sz w:val="18"/>
                      <w:szCs w:val="18"/>
                    </w:rPr>
                  </w:pPr>
                  <w:r w:rsidRPr="00A2441D">
                    <w:rPr>
                      <w:sz w:val="18"/>
                      <w:szCs w:val="18"/>
                    </w:rPr>
                    <w:t>-</w:t>
                  </w:r>
                  <w:r w:rsidR="00F46153" w:rsidRPr="00F46153">
                    <w:rPr>
                      <w:rFonts w:hint="eastAsia"/>
                      <w:color w:val="000000"/>
                      <w:w w:val="35"/>
                      <w:sz w:val="18"/>
                      <w:szCs w:val="18"/>
                      <w:shd w:val="solid" w:color="000000" w:fill="000000"/>
                      <w:fitText w:val="142" w:id="-1236607999"/>
                      <w14:textFill>
                        <w14:solidFill>
                          <w14:srgbClr w14:val="000000">
                            <w14:alpha w14:val="100000"/>
                          </w14:srgbClr>
                        </w14:solidFill>
                      </w14:textFill>
                    </w:rPr>
                    <w:t xml:space="preserve">　</w:t>
                  </w:r>
                  <w:r w:rsidR="00F46153" w:rsidRPr="00F46153">
                    <w:rPr>
                      <w:color w:val="000000"/>
                      <w:w w:val="35"/>
                      <w:sz w:val="18"/>
                      <w:szCs w:val="18"/>
                      <w:shd w:val="solid" w:color="000000" w:fill="000000"/>
                      <w:fitText w:val="142" w:id="-1236607999"/>
                      <w14:textFill>
                        <w14:solidFill>
                          <w14:srgbClr w14:val="000000">
                            <w14:alpha w14:val="100000"/>
                          </w14:srgbClr>
                        </w14:solidFill>
                      </w14:textFill>
                    </w:rPr>
                    <w:t>|</w:t>
                  </w:r>
                  <w:r w:rsidR="00F46153" w:rsidRPr="00F46153">
                    <w:rPr>
                      <w:rFonts w:hint="eastAsia"/>
                      <w:color w:val="000000"/>
                      <w:spacing w:val="4"/>
                      <w:w w:val="35"/>
                      <w:sz w:val="18"/>
                      <w:szCs w:val="18"/>
                      <w:shd w:val="solid" w:color="000000" w:fill="000000"/>
                      <w:fitText w:val="142" w:id="-1236607999"/>
                      <w14:textFill>
                        <w14:solidFill>
                          <w14:srgbClr w14:val="000000">
                            <w14:alpha w14:val="100000"/>
                          </w14:srgbClr>
                        </w14:solidFill>
                      </w14:textFill>
                    </w:rPr>
                    <w:t xml:space="preserve">　</w:t>
                  </w:r>
                  <w:r w:rsidR="00B67320">
                    <w:rPr>
                      <w:vertAlign w:val="superscript"/>
                    </w:rPr>
                    <w:t>1</w:t>
                  </w:r>
                </w:p>
              </w:tc>
            </w:tr>
            <w:tr w:rsidR="00764B04" w:rsidRPr="00A2441D" w14:paraId="0C04C1EE" w14:textId="77777777" w:rsidTr="00B67320">
              <w:tc>
                <w:tcPr>
                  <w:tcW w:w="277" w:type="dxa"/>
                </w:tcPr>
                <w:p w14:paraId="20964CF1" w14:textId="77777777" w:rsidR="00764B04" w:rsidRPr="00A2441D" w:rsidRDefault="00764B04" w:rsidP="003624C8">
                  <w:pPr>
                    <w:pStyle w:val="TableText0"/>
                    <w:rPr>
                      <w:sz w:val="18"/>
                      <w:szCs w:val="18"/>
                    </w:rPr>
                  </w:pPr>
                  <w:r w:rsidRPr="00A2441D">
                    <w:rPr>
                      <w:sz w:val="18"/>
                      <w:szCs w:val="18"/>
                    </w:rPr>
                    <w:t>Yr6</w:t>
                  </w:r>
                </w:p>
              </w:tc>
              <w:tc>
                <w:tcPr>
                  <w:tcW w:w="391" w:type="dxa"/>
                </w:tcPr>
                <w:p w14:paraId="411284EE" w14:textId="688D31B4" w:rsidR="00764B04" w:rsidRPr="00B419D7" w:rsidRDefault="00F46153" w:rsidP="003624C8">
                  <w:pPr>
                    <w:pStyle w:val="TableText0"/>
                    <w:rPr>
                      <w:sz w:val="18"/>
                      <w:szCs w:val="18"/>
                      <w:highlight w:val="darkGray"/>
                    </w:rPr>
                  </w:pPr>
                  <w:r w:rsidRPr="00F46153">
                    <w:rPr>
                      <w:rFonts w:hint="eastAsia"/>
                      <w:color w:val="000000"/>
                      <w:w w:val="15"/>
                      <w:sz w:val="18"/>
                      <w:szCs w:val="18"/>
                      <w:shd w:val="solid" w:color="000000" w:fill="000000"/>
                      <w:fitText w:val="42" w:id="-1236607997"/>
                      <w14:textFill>
                        <w14:solidFill>
                          <w14:srgbClr w14:val="000000">
                            <w14:alpha w14:val="100000"/>
                          </w14:srgbClr>
                        </w14:solidFill>
                      </w14:textFill>
                    </w:rPr>
                    <w:t xml:space="preserve">　</w:t>
                  </w:r>
                  <w:r w:rsidRPr="00F46153">
                    <w:rPr>
                      <w:color w:val="000000"/>
                      <w:w w:val="15"/>
                      <w:sz w:val="18"/>
                      <w:szCs w:val="18"/>
                      <w:shd w:val="solid" w:color="000000" w:fill="000000"/>
                      <w:fitText w:val="42" w:id="-1236607997"/>
                      <w14:textFill>
                        <w14:solidFill>
                          <w14:srgbClr w14:val="000000">
                            <w14:alpha w14:val="100000"/>
                          </w14:srgbClr>
                        </w14:solidFill>
                      </w14:textFill>
                    </w:rPr>
                    <w:t>|</w:t>
                  </w:r>
                  <w:r w:rsidRPr="00F46153">
                    <w:rPr>
                      <w:rFonts w:hint="eastAsia"/>
                      <w:color w:val="000000"/>
                      <w:spacing w:val="-25"/>
                      <w:w w:val="15"/>
                      <w:sz w:val="18"/>
                      <w:szCs w:val="18"/>
                      <w:shd w:val="solid" w:color="000000" w:fill="000000"/>
                      <w:fitText w:val="42" w:id="-1236607997"/>
                      <w14:textFill>
                        <w14:solidFill>
                          <w14:srgbClr w14:val="000000">
                            <w14:alpha w14:val="100000"/>
                          </w14:srgbClr>
                        </w14:solidFill>
                      </w14:textFill>
                    </w:rPr>
                    <w:t xml:space="preserve">　</w:t>
                  </w:r>
                  <w:r w:rsidR="00B67320">
                    <w:rPr>
                      <w:vertAlign w:val="superscript"/>
                    </w:rPr>
                    <w:t>1</w:t>
                  </w:r>
                </w:p>
              </w:tc>
              <w:tc>
                <w:tcPr>
                  <w:tcW w:w="531" w:type="dxa"/>
                </w:tcPr>
                <w:p w14:paraId="7E8284F6" w14:textId="63A333EA" w:rsidR="00764B04" w:rsidRPr="00A2441D" w:rsidRDefault="00764B04" w:rsidP="003624C8">
                  <w:pPr>
                    <w:pStyle w:val="TableText0"/>
                    <w:rPr>
                      <w:sz w:val="18"/>
                      <w:szCs w:val="18"/>
                    </w:rPr>
                  </w:pPr>
                  <w:r w:rsidRPr="00A2441D">
                    <w:rPr>
                      <w:sz w:val="18"/>
                      <w:szCs w:val="18"/>
                    </w:rPr>
                    <w:t>-</w:t>
                  </w:r>
                  <w:r w:rsidR="00F46153" w:rsidRPr="00F46153">
                    <w:rPr>
                      <w:color w:val="000000"/>
                      <w:spacing w:val="50"/>
                      <w:sz w:val="18"/>
                      <w:szCs w:val="18"/>
                      <w:shd w:val="solid" w:color="000000" w:fill="000000"/>
                      <w:fitText w:val="491" w:id="-1236607996"/>
                      <w14:textFill>
                        <w14:solidFill>
                          <w14:srgbClr w14:val="000000">
                            <w14:alpha w14:val="100000"/>
                          </w14:srgbClr>
                        </w14:solidFill>
                      </w14:textFill>
                    </w:rPr>
                    <w:t>|||||</w:t>
                  </w:r>
                  <w:r w:rsidR="00F46153" w:rsidRPr="00F46153">
                    <w:rPr>
                      <w:color w:val="000000"/>
                      <w:spacing w:val="13"/>
                      <w:sz w:val="18"/>
                      <w:szCs w:val="18"/>
                      <w:shd w:val="solid" w:color="000000" w:fill="000000"/>
                      <w:fitText w:val="491" w:id="-1236607996"/>
                      <w14:textFill>
                        <w14:solidFill>
                          <w14:srgbClr w14:val="000000">
                            <w14:alpha w14:val="100000"/>
                          </w14:srgbClr>
                        </w14:solidFill>
                      </w14:textFill>
                    </w:rPr>
                    <w:t>|</w:t>
                  </w:r>
                  <w:r w:rsidR="00B67320">
                    <w:rPr>
                      <w:vertAlign w:val="superscript"/>
                    </w:rPr>
                    <w:t>1</w:t>
                  </w:r>
                </w:p>
              </w:tc>
              <w:tc>
                <w:tcPr>
                  <w:tcW w:w="963" w:type="dxa"/>
                </w:tcPr>
                <w:p w14:paraId="7033BDC9" w14:textId="1DD21F1A" w:rsidR="00764B04" w:rsidRPr="00A2441D" w:rsidRDefault="00764B04" w:rsidP="003624C8">
                  <w:pPr>
                    <w:pStyle w:val="TableText0"/>
                    <w:rPr>
                      <w:sz w:val="18"/>
                      <w:szCs w:val="18"/>
                    </w:rPr>
                  </w:pPr>
                  <w:r w:rsidRPr="00A2441D">
                    <w:rPr>
                      <w:sz w:val="18"/>
                      <w:szCs w:val="18"/>
                    </w:rPr>
                    <w:t>-</w:t>
                  </w:r>
                  <w:r w:rsidR="00F46153" w:rsidRPr="00F46153">
                    <w:rPr>
                      <w:color w:val="000000"/>
                      <w:spacing w:val="50"/>
                      <w:sz w:val="18"/>
                      <w:szCs w:val="18"/>
                      <w:shd w:val="solid" w:color="000000" w:fill="000000"/>
                      <w:fitText w:val="491" w:id="-1236607995"/>
                      <w14:textFill>
                        <w14:solidFill>
                          <w14:srgbClr w14:val="000000">
                            <w14:alpha w14:val="100000"/>
                          </w14:srgbClr>
                        </w14:solidFill>
                      </w14:textFill>
                    </w:rPr>
                    <w:t>|||||</w:t>
                  </w:r>
                  <w:r w:rsidR="00F46153" w:rsidRPr="00F46153">
                    <w:rPr>
                      <w:color w:val="000000"/>
                      <w:spacing w:val="13"/>
                      <w:sz w:val="18"/>
                      <w:szCs w:val="18"/>
                      <w:shd w:val="solid" w:color="000000" w:fill="000000"/>
                      <w:fitText w:val="491" w:id="-1236607995"/>
                      <w14:textFill>
                        <w14:solidFill>
                          <w14:srgbClr w14:val="000000">
                            <w14:alpha w14:val="100000"/>
                          </w14:srgbClr>
                        </w14:solidFill>
                      </w14:textFill>
                    </w:rPr>
                    <w:t>|</w:t>
                  </w:r>
                  <w:r w:rsidR="00B67320">
                    <w:rPr>
                      <w:vertAlign w:val="superscript"/>
                    </w:rPr>
                    <w:t>1</w:t>
                  </w:r>
                </w:p>
              </w:tc>
            </w:tr>
          </w:tbl>
          <w:p w14:paraId="2D908F52" w14:textId="77777777" w:rsidR="00764B04" w:rsidRPr="00A2441D" w:rsidRDefault="00764B04" w:rsidP="003624C8">
            <w:pPr>
              <w:pStyle w:val="TableText0"/>
            </w:pPr>
          </w:p>
        </w:tc>
        <w:tc>
          <w:tcPr>
            <w:tcW w:w="1685" w:type="pct"/>
            <w:vAlign w:val="center"/>
          </w:tcPr>
          <w:p w14:paraId="1DD6F7AF" w14:textId="47A09E36" w:rsidR="00764B04" w:rsidRPr="00A2441D" w:rsidRDefault="00764B04" w:rsidP="003624C8">
            <w:pPr>
              <w:pStyle w:val="TableText0"/>
            </w:pPr>
            <w:r w:rsidRPr="00A2441D">
              <w:t>Script numbers sourced from Medicare Australia statistics. Linear extrapolation of scripts from 2018 to 2021, estimated separately for each bDMARD</w:t>
            </w:r>
            <w:r w:rsidR="00741D32" w:rsidRPr="00A2441D">
              <w:t>/tsDMARD</w:t>
            </w:r>
            <w:r w:rsidRPr="00A2441D">
              <w:t xml:space="preserve">. Growth rate in Yr1 refers to change from 2021 to 2023. Overall growth rate for the market is approximately </w:t>
            </w:r>
            <w:r w:rsidR="00F46153" w:rsidRPr="00F46153">
              <w:rPr>
                <w:color w:val="000000"/>
                <w:spacing w:val="28"/>
                <w:shd w:val="solid" w:color="000000" w:fill="000000"/>
                <w:fitText w:val="541" w:id="-1236607994"/>
                <w14:textFill>
                  <w14:solidFill>
                    <w14:srgbClr w14:val="000000">
                      <w14:alpha w14:val="100000"/>
                    </w14:srgbClr>
                  </w14:solidFill>
                </w14:textFill>
              </w:rPr>
              <w:t>|||||||</w:t>
            </w:r>
            <w:r w:rsidR="00F46153" w:rsidRPr="00F46153">
              <w:rPr>
                <w:color w:val="000000"/>
                <w:spacing w:val="5"/>
                <w:shd w:val="solid" w:color="000000" w:fill="000000"/>
                <w:fitText w:val="541" w:id="-1236607994"/>
                <w14:textFill>
                  <w14:solidFill>
                    <w14:srgbClr w14:val="000000">
                      <w14:alpha w14:val="100000"/>
                    </w14:srgbClr>
                  </w14:solidFill>
                </w14:textFill>
              </w:rPr>
              <w:t>|</w:t>
            </w:r>
            <w:r w:rsidRPr="003D2E6D">
              <w:t>-</w:t>
            </w:r>
            <w:r w:rsidR="00F46153" w:rsidRPr="00F46153">
              <w:rPr>
                <w:color w:val="000000"/>
                <w:spacing w:val="29"/>
                <w:shd w:val="solid" w:color="000000" w:fill="000000"/>
                <w:fitText w:val="549" w:id="-1236607993"/>
                <w14:textFill>
                  <w14:solidFill>
                    <w14:srgbClr w14:val="000000">
                      <w14:alpha w14:val="100000"/>
                    </w14:srgbClr>
                  </w14:solidFill>
                </w14:textFill>
              </w:rPr>
              <w:t>|||||||</w:t>
            </w:r>
            <w:r w:rsidR="00F46153" w:rsidRPr="00F46153">
              <w:rPr>
                <w:color w:val="000000"/>
                <w:spacing w:val="6"/>
                <w:shd w:val="solid" w:color="000000" w:fill="000000"/>
                <w:fitText w:val="549" w:id="-1236607993"/>
                <w14:textFill>
                  <w14:solidFill>
                    <w14:srgbClr w14:val="000000">
                      <w14:alpha w14:val="100000"/>
                    </w14:srgbClr>
                  </w14:solidFill>
                </w14:textFill>
              </w:rPr>
              <w:t>|</w:t>
            </w:r>
            <w:r w:rsidRPr="00A2441D">
              <w:t>% per year.</w:t>
            </w:r>
          </w:p>
        </w:tc>
        <w:tc>
          <w:tcPr>
            <w:tcW w:w="1466" w:type="pct"/>
            <w:vAlign w:val="center"/>
          </w:tcPr>
          <w:p w14:paraId="5AE8C592" w14:textId="3C7ED634" w:rsidR="00764B04" w:rsidRPr="00A2441D" w:rsidRDefault="00764B04" w:rsidP="003624C8">
            <w:pPr>
              <w:pStyle w:val="TableText0"/>
            </w:pPr>
            <w:r w:rsidRPr="00A2441D">
              <w:t>Assumed linear change of individual bDMARDs</w:t>
            </w:r>
            <w:r w:rsidR="00741D32" w:rsidRPr="00A2441D">
              <w:t>/tsDMARD</w:t>
            </w:r>
            <w:r w:rsidRPr="00A2441D">
              <w:t xml:space="preserve"> implies a very large market share for ADA in Yr6 (</w:t>
            </w:r>
            <w:r w:rsidR="00F46153" w:rsidRPr="00F46153">
              <w:rPr>
                <w:color w:val="000000"/>
                <w:spacing w:val="28"/>
                <w:shd w:val="solid" w:color="000000" w:fill="000000"/>
                <w:fitText w:val="541" w:id="-1236607992"/>
                <w14:textFill>
                  <w14:solidFill>
                    <w14:srgbClr w14:val="000000">
                      <w14:alpha w14:val="100000"/>
                    </w14:srgbClr>
                  </w14:solidFill>
                </w14:textFill>
              </w:rPr>
              <w:t>|||||||</w:t>
            </w:r>
            <w:r w:rsidR="00F46153" w:rsidRPr="00F46153">
              <w:rPr>
                <w:color w:val="000000"/>
                <w:spacing w:val="5"/>
                <w:shd w:val="solid" w:color="000000" w:fill="000000"/>
                <w:fitText w:val="541" w:id="-1236607992"/>
                <w14:textFill>
                  <w14:solidFill>
                    <w14:srgbClr w14:val="000000">
                      <w14:alpha w14:val="100000"/>
                    </w14:srgbClr>
                  </w14:solidFill>
                </w14:textFill>
              </w:rPr>
              <w:t>|</w:t>
            </w:r>
            <w:r w:rsidRPr="00A2441D">
              <w:t xml:space="preserve">%), which may not be </w:t>
            </w:r>
            <w:r w:rsidR="00AD0105">
              <w:t>reasonable</w:t>
            </w:r>
          </w:p>
        </w:tc>
      </w:tr>
      <w:tr w:rsidR="00764B04" w:rsidRPr="00A2441D" w14:paraId="65538B96" w14:textId="77777777" w:rsidTr="005C2766">
        <w:tc>
          <w:tcPr>
            <w:tcW w:w="626" w:type="pct"/>
            <w:vAlign w:val="center"/>
          </w:tcPr>
          <w:p w14:paraId="678E33B1" w14:textId="77777777" w:rsidR="00764B04" w:rsidRPr="00A2441D" w:rsidRDefault="00764B04" w:rsidP="003624C8">
            <w:pPr>
              <w:pStyle w:val="TableText0"/>
            </w:pPr>
            <w:r w:rsidRPr="00A2441D">
              <w:t>TOF scripts, market share % (ignoring addition market growth)</w:t>
            </w:r>
          </w:p>
        </w:tc>
        <w:tc>
          <w:tcPr>
            <w:tcW w:w="1224" w:type="pct"/>
            <w:vAlign w:val="center"/>
          </w:tcPr>
          <w:p w14:paraId="55620E2D" w14:textId="07B9B687" w:rsidR="00764B04" w:rsidRPr="00A2441D" w:rsidRDefault="00764B04" w:rsidP="003624C8">
            <w:pPr>
              <w:pStyle w:val="TableText0"/>
            </w:pPr>
            <w:r w:rsidRPr="00A2441D">
              <w:t xml:space="preserve">Yr1: </w:t>
            </w:r>
            <w:r w:rsidR="00F46153" w:rsidRPr="00F46153">
              <w:rPr>
                <w:color w:val="000000"/>
                <w:spacing w:val="28"/>
                <w:shd w:val="solid" w:color="000000" w:fill="000000"/>
                <w:fitText w:val="541" w:id="-1236607991"/>
                <w14:textFill>
                  <w14:solidFill>
                    <w14:srgbClr w14:val="000000">
                      <w14:alpha w14:val="100000"/>
                    </w14:srgbClr>
                  </w14:solidFill>
                </w14:textFill>
              </w:rPr>
              <w:t>|||||||</w:t>
            </w:r>
            <w:r w:rsidR="00F46153" w:rsidRPr="00F46153">
              <w:rPr>
                <w:color w:val="000000"/>
                <w:spacing w:val="5"/>
                <w:shd w:val="solid" w:color="000000" w:fill="000000"/>
                <w:fitText w:val="541" w:id="-1236607991"/>
                <w14:textFill>
                  <w14:solidFill>
                    <w14:srgbClr w14:val="000000">
                      <w14:alpha w14:val="100000"/>
                    </w14:srgbClr>
                  </w14:solidFill>
                </w14:textFill>
              </w:rPr>
              <w:t>|</w:t>
            </w:r>
            <w:r w:rsidR="00B67320">
              <w:rPr>
                <w:vertAlign w:val="superscript"/>
              </w:rPr>
              <w:t>1</w:t>
            </w:r>
          </w:p>
          <w:p w14:paraId="2DC6BE5F" w14:textId="08BE2A9F" w:rsidR="00764B04" w:rsidRPr="00A2441D" w:rsidRDefault="00764B04" w:rsidP="003624C8">
            <w:pPr>
              <w:pStyle w:val="TableText0"/>
            </w:pPr>
            <w:r w:rsidRPr="00A2441D">
              <w:t xml:space="preserve">Yr2: </w:t>
            </w:r>
            <w:r w:rsidR="00F46153" w:rsidRPr="00F46153">
              <w:rPr>
                <w:color w:val="000000"/>
                <w:spacing w:val="28"/>
                <w:shd w:val="solid" w:color="000000" w:fill="000000"/>
                <w:fitText w:val="541" w:id="-1236607990"/>
                <w14:textFill>
                  <w14:solidFill>
                    <w14:srgbClr w14:val="000000">
                      <w14:alpha w14:val="100000"/>
                    </w14:srgbClr>
                  </w14:solidFill>
                </w14:textFill>
              </w:rPr>
              <w:t>|||||||</w:t>
            </w:r>
            <w:r w:rsidR="00F46153" w:rsidRPr="00F46153">
              <w:rPr>
                <w:color w:val="000000"/>
                <w:spacing w:val="5"/>
                <w:shd w:val="solid" w:color="000000" w:fill="000000"/>
                <w:fitText w:val="541" w:id="-1236607990"/>
                <w14:textFill>
                  <w14:solidFill>
                    <w14:srgbClr w14:val="000000">
                      <w14:alpha w14:val="100000"/>
                    </w14:srgbClr>
                  </w14:solidFill>
                </w14:textFill>
              </w:rPr>
              <w:t>|</w:t>
            </w:r>
            <w:r w:rsidR="00B67320">
              <w:rPr>
                <w:vertAlign w:val="superscript"/>
              </w:rPr>
              <w:t>1</w:t>
            </w:r>
          </w:p>
          <w:p w14:paraId="3C821D2D" w14:textId="288ED016" w:rsidR="00764B04" w:rsidRPr="00A2441D" w:rsidRDefault="00764B04" w:rsidP="003624C8">
            <w:pPr>
              <w:pStyle w:val="TableText0"/>
            </w:pPr>
            <w:r w:rsidRPr="00A2441D">
              <w:t xml:space="preserve">Yr3-6: </w:t>
            </w:r>
            <w:r w:rsidR="00F46153" w:rsidRPr="00F46153">
              <w:rPr>
                <w:color w:val="000000"/>
                <w:spacing w:val="29"/>
                <w:shd w:val="solid" w:color="000000" w:fill="000000"/>
                <w:fitText w:val="549" w:id="-1236607989"/>
                <w14:textFill>
                  <w14:solidFill>
                    <w14:srgbClr w14:val="000000">
                      <w14:alpha w14:val="100000"/>
                    </w14:srgbClr>
                  </w14:solidFill>
                </w14:textFill>
              </w:rPr>
              <w:t>|||||||</w:t>
            </w:r>
            <w:r w:rsidR="00F46153" w:rsidRPr="00F46153">
              <w:rPr>
                <w:color w:val="000000"/>
                <w:spacing w:val="6"/>
                <w:shd w:val="solid" w:color="000000" w:fill="000000"/>
                <w:fitText w:val="549" w:id="-1236607989"/>
                <w14:textFill>
                  <w14:solidFill>
                    <w14:srgbClr w14:val="000000">
                      <w14:alpha w14:val="100000"/>
                    </w14:srgbClr>
                  </w14:solidFill>
                </w14:textFill>
              </w:rPr>
              <w:t>|</w:t>
            </w:r>
            <w:r w:rsidR="00B67320">
              <w:rPr>
                <w:vertAlign w:val="superscript"/>
              </w:rPr>
              <w:t>1</w:t>
            </w:r>
            <w:r w:rsidRPr="00A2441D">
              <w:t>/year</w:t>
            </w:r>
          </w:p>
        </w:tc>
        <w:tc>
          <w:tcPr>
            <w:tcW w:w="1685" w:type="pct"/>
            <w:vAlign w:val="center"/>
          </w:tcPr>
          <w:p w14:paraId="66A618F1" w14:textId="24C7B048" w:rsidR="00764B04" w:rsidRPr="00A2441D" w:rsidRDefault="00764B04" w:rsidP="003624C8">
            <w:pPr>
              <w:pStyle w:val="TableText0"/>
            </w:pPr>
            <w:r w:rsidRPr="00A2441D">
              <w:t>Assumption. The submission stated that i</w:t>
            </w:r>
            <w:r w:rsidR="00F726F5" w:rsidRPr="00A2441D">
              <w:t>t</w:t>
            </w:r>
            <w:r w:rsidRPr="00A2441D">
              <w:t xml:space="preserve"> was reasonable to assum</w:t>
            </w:r>
            <w:r w:rsidR="00A20D8A" w:rsidRPr="00A2441D">
              <w:t>e</w:t>
            </w:r>
            <w:r w:rsidRPr="00A2441D">
              <w:t xml:space="preserve"> TOF </w:t>
            </w:r>
            <w:r w:rsidR="00A20D8A" w:rsidRPr="00A2441D">
              <w:t>would</w:t>
            </w:r>
            <w:r w:rsidRPr="00A2441D">
              <w:t xml:space="preserve"> </w:t>
            </w:r>
            <w:r w:rsidR="00DC22F5" w:rsidRPr="00A2441D">
              <w:t xml:space="preserve">only replace a relatively small proportion of the market given there are already three </w:t>
            </w:r>
            <w:r w:rsidR="00A20D8A" w:rsidRPr="00A2441D">
              <w:t>alternative bDMARDs</w:t>
            </w:r>
            <w:r w:rsidR="00741D32" w:rsidRPr="00A2441D">
              <w:t>/tsDMARDs</w:t>
            </w:r>
            <w:r w:rsidR="00DC22F5" w:rsidRPr="00A2441D">
              <w:t xml:space="preserve"> on the PBS</w:t>
            </w:r>
            <w:r w:rsidR="00A20D8A" w:rsidRPr="00A2441D">
              <w:t>.</w:t>
            </w:r>
          </w:p>
        </w:tc>
        <w:tc>
          <w:tcPr>
            <w:tcW w:w="1466" w:type="pct"/>
            <w:vAlign w:val="center"/>
          </w:tcPr>
          <w:p w14:paraId="0D17CE57" w14:textId="77777777" w:rsidR="00764B04" w:rsidRPr="00A2441D" w:rsidRDefault="00764B04" w:rsidP="003624C8">
            <w:pPr>
              <w:pStyle w:val="TableText0"/>
            </w:pPr>
            <w:r w:rsidRPr="00A2441D">
              <w:t>May be a potential underestimate given TOF would be the fourth treatment option for patients and first oral therapy.</w:t>
            </w:r>
          </w:p>
        </w:tc>
      </w:tr>
      <w:tr w:rsidR="00764B04" w:rsidRPr="00A2441D" w14:paraId="513D1EA3" w14:textId="77777777" w:rsidTr="005C2766">
        <w:tc>
          <w:tcPr>
            <w:tcW w:w="626" w:type="pct"/>
            <w:vAlign w:val="center"/>
          </w:tcPr>
          <w:p w14:paraId="511EEB3C" w14:textId="77777777" w:rsidR="00764B04" w:rsidRPr="00A2441D" w:rsidRDefault="00764B04" w:rsidP="003624C8">
            <w:pPr>
              <w:pStyle w:val="TableText0"/>
            </w:pPr>
            <w:r w:rsidRPr="00A2441D">
              <w:t>TOF proportional substitution rates %</w:t>
            </w:r>
          </w:p>
        </w:tc>
        <w:tc>
          <w:tcPr>
            <w:tcW w:w="1224" w:type="pc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1"/>
              <w:gridCol w:w="472"/>
              <w:gridCol w:w="609"/>
              <w:gridCol w:w="609"/>
            </w:tblGrid>
            <w:tr w:rsidR="00764B04" w:rsidRPr="00A2441D" w14:paraId="0A4B65DB" w14:textId="77777777" w:rsidTr="00DC4DA8">
              <w:tc>
                <w:tcPr>
                  <w:tcW w:w="515" w:type="dxa"/>
                </w:tcPr>
                <w:p w14:paraId="2A332C4C" w14:textId="77777777" w:rsidR="00764B04" w:rsidRPr="00A2441D" w:rsidRDefault="00764B04" w:rsidP="003624C8">
                  <w:pPr>
                    <w:pStyle w:val="TableText0"/>
                    <w:rPr>
                      <w:sz w:val="18"/>
                      <w:szCs w:val="18"/>
                    </w:rPr>
                  </w:pPr>
                </w:p>
              </w:tc>
              <w:tc>
                <w:tcPr>
                  <w:tcW w:w="515" w:type="dxa"/>
                </w:tcPr>
                <w:p w14:paraId="08372EBD" w14:textId="77777777" w:rsidR="00764B04" w:rsidRPr="00A2441D" w:rsidRDefault="00764B04" w:rsidP="003624C8">
                  <w:pPr>
                    <w:pStyle w:val="TableText0"/>
                    <w:rPr>
                      <w:sz w:val="18"/>
                      <w:szCs w:val="18"/>
                    </w:rPr>
                  </w:pPr>
                  <w:r w:rsidRPr="00A2441D">
                    <w:rPr>
                      <w:sz w:val="18"/>
                      <w:szCs w:val="18"/>
                    </w:rPr>
                    <w:t>ADA</w:t>
                  </w:r>
                </w:p>
              </w:tc>
              <w:tc>
                <w:tcPr>
                  <w:tcW w:w="515" w:type="dxa"/>
                </w:tcPr>
                <w:p w14:paraId="4808B4F1" w14:textId="77777777" w:rsidR="00764B04" w:rsidRPr="00A2441D" w:rsidRDefault="00764B04" w:rsidP="003624C8">
                  <w:pPr>
                    <w:pStyle w:val="TableText0"/>
                    <w:rPr>
                      <w:sz w:val="18"/>
                      <w:szCs w:val="18"/>
                    </w:rPr>
                  </w:pPr>
                  <w:r w:rsidRPr="00A2441D">
                    <w:rPr>
                      <w:sz w:val="18"/>
                      <w:szCs w:val="18"/>
                    </w:rPr>
                    <w:t>ETN</w:t>
                  </w:r>
                </w:p>
              </w:tc>
              <w:tc>
                <w:tcPr>
                  <w:tcW w:w="515" w:type="dxa"/>
                </w:tcPr>
                <w:p w14:paraId="111268CE" w14:textId="77777777" w:rsidR="00764B04" w:rsidRPr="00A2441D" w:rsidRDefault="00764B04" w:rsidP="003624C8">
                  <w:pPr>
                    <w:pStyle w:val="TableText0"/>
                    <w:rPr>
                      <w:sz w:val="18"/>
                      <w:szCs w:val="18"/>
                    </w:rPr>
                  </w:pPr>
                  <w:r w:rsidRPr="00A2441D">
                    <w:rPr>
                      <w:sz w:val="18"/>
                      <w:szCs w:val="18"/>
                    </w:rPr>
                    <w:t>TOC</w:t>
                  </w:r>
                </w:p>
              </w:tc>
            </w:tr>
            <w:tr w:rsidR="00764B04" w:rsidRPr="00A2441D" w14:paraId="7B5590A8" w14:textId="77777777" w:rsidTr="00DC4DA8">
              <w:tc>
                <w:tcPr>
                  <w:tcW w:w="515" w:type="dxa"/>
                </w:tcPr>
                <w:p w14:paraId="098F2CD2" w14:textId="77777777" w:rsidR="00764B04" w:rsidRPr="00A2441D" w:rsidRDefault="00764B04" w:rsidP="003624C8">
                  <w:pPr>
                    <w:pStyle w:val="TableText0"/>
                    <w:rPr>
                      <w:sz w:val="18"/>
                      <w:szCs w:val="18"/>
                    </w:rPr>
                  </w:pPr>
                  <w:r w:rsidRPr="00A2441D">
                    <w:rPr>
                      <w:sz w:val="18"/>
                      <w:szCs w:val="18"/>
                    </w:rPr>
                    <w:t>Yr1</w:t>
                  </w:r>
                </w:p>
              </w:tc>
              <w:tc>
                <w:tcPr>
                  <w:tcW w:w="515" w:type="dxa"/>
                </w:tcPr>
                <w:p w14:paraId="54B738D9" w14:textId="374EA81D"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44"/>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44"/>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44"/>
                      <w14:textFill>
                        <w14:solidFill>
                          <w14:srgbClr w14:val="000000">
                            <w14:alpha w14:val="100000"/>
                          </w14:srgbClr>
                        </w14:solidFill>
                      </w14:textFill>
                    </w:rPr>
                    <w:t xml:space="preserve">　</w:t>
                  </w:r>
                  <w:r w:rsidR="00B67320">
                    <w:rPr>
                      <w:vertAlign w:val="superscript"/>
                    </w:rPr>
                    <w:t>1</w:t>
                  </w:r>
                </w:p>
              </w:tc>
              <w:tc>
                <w:tcPr>
                  <w:tcW w:w="515" w:type="dxa"/>
                </w:tcPr>
                <w:p w14:paraId="140CBE64" w14:textId="66D5310B"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42"/>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42"/>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42"/>
                      <w14:textFill>
                        <w14:solidFill>
                          <w14:srgbClr w14:val="000000">
                            <w14:alpha w14:val="100000"/>
                          </w14:srgbClr>
                        </w14:solidFill>
                      </w14:textFill>
                    </w:rPr>
                    <w:t xml:space="preserve">　</w:t>
                  </w:r>
                  <w:r w:rsidR="00B67320">
                    <w:rPr>
                      <w:vertAlign w:val="superscript"/>
                    </w:rPr>
                    <w:t>1</w:t>
                  </w:r>
                </w:p>
              </w:tc>
              <w:tc>
                <w:tcPr>
                  <w:tcW w:w="515" w:type="dxa"/>
                </w:tcPr>
                <w:p w14:paraId="47F0C8D6" w14:textId="17FE9CE7"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40"/>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40"/>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40"/>
                      <w14:textFill>
                        <w14:solidFill>
                          <w14:srgbClr w14:val="000000">
                            <w14:alpha w14:val="100000"/>
                          </w14:srgbClr>
                        </w14:solidFill>
                      </w14:textFill>
                    </w:rPr>
                    <w:t xml:space="preserve">　</w:t>
                  </w:r>
                  <w:r w:rsidR="00B67320">
                    <w:rPr>
                      <w:vertAlign w:val="superscript"/>
                    </w:rPr>
                    <w:t>1</w:t>
                  </w:r>
                </w:p>
              </w:tc>
            </w:tr>
            <w:tr w:rsidR="00764B04" w:rsidRPr="00A2441D" w14:paraId="03F520CD" w14:textId="77777777" w:rsidTr="00DC4DA8">
              <w:tc>
                <w:tcPr>
                  <w:tcW w:w="515" w:type="dxa"/>
                </w:tcPr>
                <w:p w14:paraId="1C9B71D9" w14:textId="77777777" w:rsidR="00764B04" w:rsidRPr="00A2441D" w:rsidRDefault="00764B04" w:rsidP="003624C8">
                  <w:pPr>
                    <w:pStyle w:val="TableText0"/>
                    <w:rPr>
                      <w:sz w:val="18"/>
                      <w:szCs w:val="18"/>
                    </w:rPr>
                  </w:pPr>
                  <w:r w:rsidRPr="00A2441D">
                    <w:rPr>
                      <w:sz w:val="18"/>
                      <w:szCs w:val="18"/>
                    </w:rPr>
                    <w:t>Yr2</w:t>
                  </w:r>
                </w:p>
              </w:tc>
              <w:tc>
                <w:tcPr>
                  <w:tcW w:w="515" w:type="dxa"/>
                </w:tcPr>
                <w:p w14:paraId="126B4C34" w14:textId="6FB2A4FA"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8"/>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8"/>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8"/>
                      <w14:textFill>
                        <w14:solidFill>
                          <w14:srgbClr w14:val="000000">
                            <w14:alpha w14:val="100000"/>
                          </w14:srgbClr>
                        </w14:solidFill>
                      </w14:textFill>
                    </w:rPr>
                    <w:t xml:space="preserve">　</w:t>
                  </w:r>
                  <w:r w:rsidR="00B67320">
                    <w:rPr>
                      <w:vertAlign w:val="superscript"/>
                    </w:rPr>
                    <w:t>1</w:t>
                  </w:r>
                </w:p>
              </w:tc>
              <w:tc>
                <w:tcPr>
                  <w:tcW w:w="515" w:type="dxa"/>
                </w:tcPr>
                <w:p w14:paraId="39572D79" w14:textId="01C68673"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6"/>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6"/>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6"/>
                      <w14:textFill>
                        <w14:solidFill>
                          <w14:srgbClr w14:val="000000">
                            <w14:alpha w14:val="100000"/>
                          </w14:srgbClr>
                        </w14:solidFill>
                      </w14:textFill>
                    </w:rPr>
                    <w:t xml:space="preserve">　</w:t>
                  </w:r>
                  <w:r w:rsidR="00B67320">
                    <w:rPr>
                      <w:vertAlign w:val="superscript"/>
                    </w:rPr>
                    <w:t>1</w:t>
                  </w:r>
                </w:p>
              </w:tc>
              <w:tc>
                <w:tcPr>
                  <w:tcW w:w="515" w:type="dxa"/>
                </w:tcPr>
                <w:p w14:paraId="607858D7" w14:textId="7B7F17D5"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4"/>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4"/>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4"/>
                      <w14:textFill>
                        <w14:solidFill>
                          <w14:srgbClr w14:val="000000">
                            <w14:alpha w14:val="100000"/>
                          </w14:srgbClr>
                        </w14:solidFill>
                      </w14:textFill>
                    </w:rPr>
                    <w:t xml:space="preserve">　</w:t>
                  </w:r>
                  <w:r w:rsidR="00B67320">
                    <w:rPr>
                      <w:vertAlign w:val="superscript"/>
                    </w:rPr>
                    <w:t>1</w:t>
                  </w:r>
                </w:p>
              </w:tc>
            </w:tr>
            <w:tr w:rsidR="00764B04" w:rsidRPr="00A2441D" w14:paraId="4D626C4A" w14:textId="77777777" w:rsidTr="00DC4DA8">
              <w:tc>
                <w:tcPr>
                  <w:tcW w:w="515" w:type="dxa"/>
                </w:tcPr>
                <w:p w14:paraId="6DF81324" w14:textId="77777777" w:rsidR="00764B04" w:rsidRPr="00A2441D" w:rsidRDefault="00764B04" w:rsidP="003624C8">
                  <w:pPr>
                    <w:pStyle w:val="TableText0"/>
                    <w:rPr>
                      <w:sz w:val="18"/>
                      <w:szCs w:val="18"/>
                    </w:rPr>
                  </w:pPr>
                  <w:r w:rsidRPr="00A2441D">
                    <w:rPr>
                      <w:sz w:val="18"/>
                      <w:szCs w:val="18"/>
                    </w:rPr>
                    <w:t>Yr3</w:t>
                  </w:r>
                </w:p>
              </w:tc>
              <w:tc>
                <w:tcPr>
                  <w:tcW w:w="515" w:type="dxa"/>
                </w:tcPr>
                <w:p w14:paraId="61032E88" w14:textId="066411F0"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2"/>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2"/>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2"/>
                      <w14:textFill>
                        <w14:solidFill>
                          <w14:srgbClr w14:val="000000">
                            <w14:alpha w14:val="100000"/>
                          </w14:srgbClr>
                        </w14:solidFill>
                      </w14:textFill>
                    </w:rPr>
                    <w:t xml:space="preserve">　</w:t>
                  </w:r>
                  <w:r w:rsidR="00B67320">
                    <w:rPr>
                      <w:vertAlign w:val="superscript"/>
                    </w:rPr>
                    <w:t>1</w:t>
                  </w:r>
                </w:p>
              </w:tc>
              <w:tc>
                <w:tcPr>
                  <w:tcW w:w="515" w:type="dxa"/>
                </w:tcPr>
                <w:p w14:paraId="521D0B52" w14:textId="42609AE9"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0"/>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0"/>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0"/>
                      <w14:textFill>
                        <w14:solidFill>
                          <w14:srgbClr w14:val="000000">
                            <w14:alpha w14:val="100000"/>
                          </w14:srgbClr>
                        </w14:solidFill>
                      </w14:textFill>
                    </w:rPr>
                    <w:t xml:space="preserve">　</w:t>
                  </w:r>
                  <w:r w:rsidR="00B67320">
                    <w:rPr>
                      <w:vertAlign w:val="superscript"/>
                    </w:rPr>
                    <w:t>1</w:t>
                  </w:r>
                </w:p>
              </w:tc>
              <w:tc>
                <w:tcPr>
                  <w:tcW w:w="515" w:type="dxa"/>
                </w:tcPr>
                <w:p w14:paraId="3F48228E" w14:textId="1F4A96B5"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28"/>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28"/>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28"/>
                      <w14:textFill>
                        <w14:solidFill>
                          <w14:srgbClr w14:val="000000">
                            <w14:alpha w14:val="100000"/>
                          </w14:srgbClr>
                        </w14:solidFill>
                      </w14:textFill>
                    </w:rPr>
                    <w:t xml:space="preserve">　</w:t>
                  </w:r>
                  <w:r w:rsidR="00B67320">
                    <w:rPr>
                      <w:vertAlign w:val="superscript"/>
                    </w:rPr>
                    <w:t>1</w:t>
                  </w:r>
                </w:p>
              </w:tc>
            </w:tr>
            <w:tr w:rsidR="00764B04" w:rsidRPr="00A2441D" w14:paraId="44918550" w14:textId="77777777" w:rsidTr="00DC4DA8">
              <w:tc>
                <w:tcPr>
                  <w:tcW w:w="515" w:type="dxa"/>
                </w:tcPr>
                <w:p w14:paraId="53E13064" w14:textId="77777777" w:rsidR="00764B04" w:rsidRPr="00A2441D" w:rsidRDefault="00764B04" w:rsidP="003624C8">
                  <w:pPr>
                    <w:pStyle w:val="TableText0"/>
                    <w:rPr>
                      <w:sz w:val="18"/>
                      <w:szCs w:val="18"/>
                    </w:rPr>
                  </w:pPr>
                  <w:r w:rsidRPr="00A2441D">
                    <w:rPr>
                      <w:sz w:val="18"/>
                      <w:szCs w:val="18"/>
                    </w:rPr>
                    <w:t>Yr4</w:t>
                  </w:r>
                </w:p>
              </w:tc>
              <w:tc>
                <w:tcPr>
                  <w:tcW w:w="515" w:type="dxa"/>
                </w:tcPr>
                <w:p w14:paraId="010A608C" w14:textId="10C9EBC4"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43"/>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43"/>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43"/>
                      <w14:textFill>
                        <w14:solidFill>
                          <w14:srgbClr w14:val="000000">
                            <w14:alpha w14:val="100000"/>
                          </w14:srgbClr>
                        </w14:solidFill>
                      </w14:textFill>
                    </w:rPr>
                    <w:t xml:space="preserve">　</w:t>
                  </w:r>
                  <w:r w:rsidR="00B67320">
                    <w:rPr>
                      <w:vertAlign w:val="superscript"/>
                    </w:rPr>
                    <w:t>1</w:t>
                  </w:r>
                </w:p>
              </w:tc>
              <w:tc>
                <w:tcPr>
                  <w:tcW w:w="515" w:type="dxa"/>
                </w:tcPr>
                <w:p w14:paraId="062683C6" w14:textId="560B040E"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41"/>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41"/>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41"/>
                      <w14:textFill>
                        <w14:solidFill>
                          <w14:srgbClr w14:val="000000">
                            <w14:alpha w14:val="100000"/>
                          </w14:srgbClr>
                        </w14:solidFill>
                      </w14:textFill>
                    </w:rPr>
                    <w:t xml:space="preserve">　</w:t>
                  </w:r>
                  <w:r w:rsidR="00B67320">
                    <w:rPr>
                      <w:vertAlign w:val="superscript"/>
                    </w:rPr>
                    <w:t>1</w:t>
                  </w:r>
                </w:p>
              </w:tc>
              <w:tc>
                <w:tcPr>
                  <w:tcW w:w="515" w:type="dxa"/>
                </w:tcPr>
                <w:p w14:paraId="0E99FD27" w14:textId="7E7DF10D"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9"/>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9"/>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9"/>
                      <w14:textFill>
                        <w14:solidFill>
                          <w14:srgbClr w14:val="000000">
                            <w14:alpha w14:val="100000"/>
                          </w14:srgbClr>
                        </w14:solidFill>
                      </w14:textFill>
                    </w:rPr>
                    <w:t xml:space="preserve">　</w:t>
                  </w:r>
                  <w:r w:rsidR="00B67320">
                    <w:rPr>
                      <w:vertAlign w:val="superscript"/>
                    </w:rPr>
                    <w:t>1</w:t>
                  </w:r>
                </w:p>
              </w:tc>
            </w:tr>
            <w:tr w:rsidR="00764B04" w:rsidRPr="00A2441D" w14:paraId="406C01D9" w14:textId="77777777" w:rsidTr="00DC4DA8">
              <w:tc>
                <w:tcPr>
                  <w:tcW w:w="515" w:type="dxa"/>
                </w:tcPr>
                <w:p w14:paraId="1DB414DA" w14:textId="77777777" w:rsidR="00764B04" w:rsidRPr="00A2441D" w:rsidRDefault="00764B04" w:rsidP="003624C8">
                  <w:pPr>
                    <w:pStyle w:val="TableText0"/>
                    <w:rPr>
                      <w:sz w:val="18"/>
                      <w:szCs w:val="18"/>
                    </w:rPr>
                  </w:pPr>
                  <w:r w:rsidRPr="00A2441D">
                    <w:rPr>
                      <w:sz w:val="18"/>
                      <w:szCs w:val="18"/>
                    </w:rPr>
                    <w:t>Yr5</w:t>
                  </w:r>
                </w:p>
              </w:tc>
              <w:tc>
                <w:tcPr>
                  <w:tcW w:w="515" w:type="dxa"/>
                </w:tcPr>
                <w:p w14:paraId="2090C37E" w14:textId="5AED224E"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7"/>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7"/>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7"/>
                      <w14:textFill>
                        <w14:solidFill>
                          <w14:srgbClr w14:val="000000">
                            <w14:alpha w14:val="100000"/>
                          </w14:srgbClr>
                        </w14:solidFill>
                      </w14:textFill>
                    </w:rPr>
                    <w:t xml:space="preserve">　</w:t>
                  </w:r>
                  <w:r w:rsidR="00B67320">
                    <w:rPr>
                      <w:vertAlign w:val="superscript"/>
                    </w:rPr>
                    <w:t>1</w:t>
                  </w:r>
                </w:p>
              </w:tc>
              <w:tc>
                <w:tcPr>
                  <w:tcW w:w="515" w:type="dxa"/>
                </w:tcPr>
                <w:p w14:paraId="6CA87982" w14:textId="32D9BD80"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5"/>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5"/>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5"/>
                      <w14:textFill>
                        <w14:solidFill>
                          <w14:srgbClr w14:val="000000">
                            <w14:alpha w14:val="100000"/>
                          </w14:srgbClr>
                        </w14:solidFill>
                      </w14:textFill>
                    </w:rPr>
                    <w:t xml:space="preserve">　</w:t>
                  </w:r>
                  <w:r w:rsidR="00B67320">
                    <w:rPr>
                      <w:vertAlign w:val="superscript"/>
                    </w:rPr>
                    <w:t>1</w:t>
                  </w:r>
                </w:p>
              </w:tc>
              <w:tc>
                <w:tcPr>
                  <w:tcW w:w="515" w:type="dxa"/>
                </w:tcPr>
                <w:p w14:paraId="164A6E09" w14:textId="1E5E7815" w:rsidR="00764B04" w:rsidRPr="008778B3" w:rsidRDefault="00F46153" w:rsidP="003624C8">
                  <w:pPr>
                    <w:pStyle w:val="TableText0"/>
                    <w:rPr>
                      <w:sz w:val="18"/>
                      <w:szCs w:val="18"/>
                      <w:highlight w:val="darkGray"/>
                    </w:rPr>
                  </w:pPr>
                  <w:r w:rsidRPr="00F46153">
                    <w:rPr>
                      <w:rFonts w:hint="eastAsia"/>
                      <w:color w:val="000000"/>
                      <w:w w:val="35"/>
                      <w:sz w:val="18"/>
                      <w:szCs w:val="18"/>
                      <w:shd w:val="solid" w:color="000000" w:fill="000000"/>
                      <w:fitText w:val="142" w:id="-1236607733"/>
                      <w14:textFill>
                        <w14:solidFill>
                          <w14:srgbClr w14:val="000000">
                            <w14:alpha w14:val="100000"/>
                          </w14:srgbClr>
                        </w14:solidFill>
                      </w14:textFill>
                    </w:rPr>
                    <w:t xml:space="preserve">　</w:t>
                  </w:r>
                  <w:r w:rsidRPr="00F46153">
                    <w:rPr>
                      <w:color w:val="000000"/>
                      <w:w w:val="35"/>
                      <w:sz w:val="18"/>
                      <w:szCs w:val="18"/>
                      <w:shd w:val="solid" w:color="000000" w:fill="000000"/>
                      <w:fitText w:val="142" w:id="-1236607733"/>
                      <w14:textFill>
                        <w14:solidFill>
                          <w14:srgbClr w14:val="000000">
                            <w14:alpha w14:val="100000"/>
                          </w14:srgbClr>
                        </w14:solidFill>
                      </w14:textFill>
                    </w:rPr>
                    <w:t>|</w:t>
                  </w:r>
                  <w:r w:rsidRPr="00F46153">
                    <w:rPr>
                      <w:rFonts w:hint="eastAsia"/>
                      <w:color w:val="000000"/>
                      <w:spacing w:val="4"/>
                      <w:w w:val="35"/>
                      <w:sz w:val="18"/>
                      <w:szCs w:val="18"/>
                      <w:shd w:val="solid" w:color="000000" w:fill="000000"/>
                      <w:fitText w:val="142" w:id="-1236607733"/>
                      <w14:textFill>
                        <w14:solidFill>
                          <w14:srgbClr w14:val="000000">
                            <w14:alpha w14:val="100000"/>
                          </w14:srgbClr>
                        </w14:solidFill>
                      </w14:textFill>
                    </w:rPr>
                    <w:t xml:space="preserve">　</w:t>
                  </w:r>
                  <w:r w:rsidR="00B67320">
                    <w:rPr>
                      <w:vertAlign w:val="superscript"/>
                    </w:rPr>
                    <w:t>1</w:t>
                  </w:r>
                </w:p>
              </w:tc>
            </w:tr>
            <w:tr w:rsidR="00764B04" w:rsidRPr="00A2441D" w14:paraId="4B65A0F4" w14:textId="77777777" w:rsidTr="00DC4DA8">
              <w:tc>
                <w:tcPr>
                  <w:tcW w:w="515" w:type="dxa"/>
                </w:tcPr>
                <w:p w14:paraId="0A8FAC9D" w14:textId="77777777" w:rsidR="00764B04" w:rsidRPr="00A2441D" w:rsidRDefault="00764B04" w:rsidP="003624C8">
                  <w:pPr>
                    <w:pStyle w:val="TableText0"/>
                    <w:rPr>
                      <w:sz w:val="18"/>
                      <w:szCs w:val="18"/>
                    </w:rPr>
                  </w:pPr>
                  <w:r w:rsidRPr="00A2441D">
                    <w:rPr>
                      <w:sz w:val="18"/>
                      <w:szCs w:val="18"/>
                    </w:rPr>
                    <w:t>Yr6</w:t>
                  </w:r>
                </w:p>
              </w:tc>
              <w:tc>
                <w:tcPr>
                  <w:tcW w:w="515" w:type="dxa"/>
                </w:tcPr>
                <w:p w14:paraId="44DDC127" w14:textId="072BD09C" w:rsidR="00764B04" w:rsidRPr="008778B3" w:rsidRDefault="00F46153" w:rsidP="003624C8">
                  <w:pPr>
                    <w:pStyle w:val="TableText0"/>
                    <w:rPr>
                      <w:sz w:val="18"/>
                      <w:szCs w:val="18"/>
                      <w:highlight w:val="darkGray"/>
                    </w:rPr>
                  </w:pPr>
                  <w:r w:rsidRPr="00F46153">
                    <w:rPr>
                      <w:rFonts w:hint="eastAsia"/>
                      <w:color w:val="000000"/>
                      <w:w w:val="15"/>
                      <w:sz w:val="18"/>
                      <w:szCs w:val="18"/>
                      <w:shd w:val="solid" w:color="000000" w:fill="000000"/>
                      <w:fitText w:val="42" w:id="-1236607731"/>
                      <w14:textFill>
                        <w14:solidFill>
                          <w14:srgbClr w14:val="000000">
                            <w14:alpha w14:val="100000"/>
                          </w14:srgbClr>
                        </w14:solidFill>
                      </w14:textFill>
                    </w:rPr>
                    <w:t xml:space="preserve">　</w:t>
                  </w:r>
                  <w:r w:rsidRPr="00F46153">
                    <w:rPr>
                      <w:color w:val="000000"/>
                      <w:w w:val="15"/>
                      <w:sz w:val="18"/>
                      <w:szCs w:val="18"/>
                      <w:shd w:val="solid" w:color="000000" w:fill="000000"/>
                      <w:fitText w:val="42" w:id="-1236607731"/>
                      <w14:textFill>
                        <w14:solidFill>
                          <w14:srgbClr w14:val="000000">
                            <w14:alpha w14:val="100000"/>
                          </w14:srgbClr>
                        </w14:solidFill>
                      </w14:textFill>
                    </w:rPr>
                    <w:t>|</w:t>
                  </w:r>
                  <w:r w:rsidRPr="00F46153">
                    <w:rPr>
                      <w:rFonts w:hint="eastAsia"/>
                      <w:color w:val="000000"/>
                      <w:spacing w:val="-25"/>
                      <w:w w:val="15"/>
                      <w:sz w:val="18"/>
                      <w:szCs w:val="18"/>
                      <w:shd w:val="solid" w:color="000000" w:fill="000000"/>
                      <w:fitText w:val="42" w:id="-1236607731"/>
                      <w14:textFill>
                        <w14:solidFill>
                          <w14:srgbClr w14:val="000000">
                            <w14:alpha w14:val="100000"/>
                          </w14:srgbClr>
                        </w14:solidFill>
                      </w14:textFill>
                    </w:rPr>
                    <w:t xml:space="preserve">　</w:t>
                  </w:r>
                  <w:r w:rsidR="00B67320">
                    <w:rPr>
                      <w:vertAlign w:val="superscript"/>
                    </w:rPr>
                    <w:t>1</w:t>
                  </w:r>
                </w:p>
              </w:tc>
              <w:tc>
                <w:tcPr>
                  <w:tcW w:w="515" w:type="dxa"/>
                </w:tcPr>
                <w:p w14:paraId="0A47BEE7" w14:textId="7232F88D" w:rsidR="00764B04" w:rsidRPr="008778B3" w:rsidRDefault="00F46153" w:rsidP="003624C8">
                  <w:pPr>
                    <w:pStyle w:val="TableText0"/>
                    <w:rPr>
                      <w:sz w:val="18"/>
                      <w:szCs w:val="18"/>
                      <w:highlight w:val="darkGray"/>
                    </w:rPr>
                  </w:pPr>
                  <w:r w:rsidRPr="00F46153">
                    <w:rPr>
                      <w:color w:val="000000"/>
                      <w:spacing w:val="50"/>
                      <w:sz w:val="18"/>
                      <w:szCs w:val="18"/>
                      <w:shd w:val="solid" w:color="000000" w:fill="000000"/>
                      <w:fitText w:val="491" w:id="-1236607730"/>
                      <w14:textFill>
                        <w14:solidFill>
                          <w14:srgbClr w14:val="000000">
                            <w14:alpha w14:val="100000"/>
                          </w14:srgbClr>
                        </w14:solidFill>
                      </w14:textFill>
                    </w:rPr>
                    <w:t>|||||</w:t>
                  </w:r>
                  <w:r w:rsidRPr="00F46153">
                    <w:rPr>
                      <w:color w:val="000000"/>
                      <w:spacing w:val="13"/>
                      <w:sz w:val="18"/>
                      <w:szCs w:val="18"/>
                      <w:shd w:val="solid" w:color="000000" w:fill="000000"/>
                      <w:fitText w:val="491" w:id="-1236607730"/>
                      <w14:textFill>
                        <w14:solidFill>
                          <w14:srgbClr w14:val="000000">
                            <w14:alpha w14:val="100000"/>
                          </w14:srgbClr>
                        </w14:solidFill>
                      </w14:textFill>
                    </w:rPr>
                    <w:t>|</w:t>
                  </w:r>
                  <w:r w:rsidR="00B67320">
                    <w:rPr>
                      <w:vertAlign w:val="superscript"/>
                    </w:rPr>
                    <w:t>1</w:t>
                  </w:r>
                </w:p>
              </w:tc>
              <w:tc>
                <w:tcPr>
                  <w:tcW w:w="515" w:type="dxa"/>
                </w:tcPr>
                <w:p w14:paraId="7D734D33" w14:textId="06FFFFD9" w:rsidR="00764B04" w:rsidRPr="008778B3" w:rsidRDefault="00F46153" w:rsidP="003624C8">
                  <w:pPr>
                    <w:pStyle w:val="TableText0"/>
                    <w:rPr>
                      <w:sz w:val="18"/>
                      <w:szCs w:val="18"/>
                      <w:highlight w:val="darkGray"/>
                    </w:rPr>
                  </w:pPr>
                  <w:r w:rsidRPr="00F46153">
                    <w:rPr>
                      <w:color w:val="000000"/>
                      <w:spacing w:val="50"/>
                      <w:sz w:val="18"/>
                      <w:szCs w:val="18"/>
                      <w:shd w:val="solid" w:color="000000" w:fill="000000"/>
                      <w:fitText w:val="491" w:id="-1236607729"/>
                      <w14:textFill>
                        <w14:solidFill>
                          <w14:srgbClr w14:val="000000">
                            <w14:alpha w14:val="100000"/>
                          </w14:srgbClr>
                        </w14:solidFill>
                      </w14:textFill>
                    </w:rPr>
                    <w:t>|||||</w:t>
                  </w:r>
                  <w:r w:rsidRPr="00F46153">
                    <w:rPr>
                      <w:color w:val="000000"/>
                      <w:spacing w:val="13"/>
                      <w:sz w:val="18"/>
                      <w:szCs w:val="18"/>
                      <w:shd w:val="solid" w:color="000000" w:fill="000000"/>
                      <w:fitText w:val="491" w:id="-1236607729"/>
                      <w14:textFill>
                        <w14:solidFill>
                          <w14:srgbClr w14:val="000000">
                            <w14:alpha w14:val="100000"/>
                          </w14:srgbClr>
                        </w14:solidFill>
                      </w14:textFill>
                    </w:rPr>
                    <w:t>|</w:t>
                  </w:r>
                  <w:r w:rsidR="00B67320">
                    <w:rPr>
                      <w:vertAlign w:val="superscript"/>
                    </w:rPr>
                    <w:t>1</w:t>
                  </w:r>
                </w:p>
              </w:tc>
            </w:tr>
          </w:tbl>
          <w:p w14:paraId="14DC7B32" w14:textId="77777777" w:rsidR="00764B04" w:rsidRPr="00A2441D" w:rsidRDefault="00764B04" w:rsidP="003624C8">
            <w:pPr>
              <w:pStyle w:val="TableText0"/>
            </w:pPr>
          </w:p>
        </w:tc>
        <w:tc>
          <w:tcPr>
            <w:tcW w:w="1685" w:type="pct"/>
            <w:vAlign w:val="center"/>
          </w:tcPr>
          <w:p w14:paraId="696EFCBC" w14:textId="638BE1FC" w:rsidR="00764B04" w:rsidRPr="00A2441D" w:rsidRDefault="00764B04" w:rsidP="003624C8">
            <w:pPr>
              <w:pStyle w:val="TableText0"/>
            </w:pPr>
            <w:r w:rsidRPr="00A2441D">
              <w:t xml:space="preserve">Assumption. The submission assumed a relative substitution rate of </w:t>
            </w:r>
            <w:r w:rsidR="00F46153" w:rsidRPr="00F46153">
              <w:rPr>
                <w:color w:val="000000"/>
                <w:spacing w:val="28"/>
                <w:shd w:val="solid" w:color="000000" w:fill="000000"/>
                <w:fitText w:val="541" w:id="-1236607728"/>
                <w14:textFill>
                  <w14:solidFill>
                    <w14:srgbClr w14:val="000000">
                      <w14:alpha w14:val="100000"/>
                    </w14:srgbClr>
                  </w14:solidFill>
                </w14:textFill>
              </w:rPr>
              <w:t>|||||||</w:t>
            </w:r>
            <w:r w:rsidR="00F46153" w:rsidRPr="00F46153">
              <w:rPr>
                <w:color w:val="000000"/>
                <w:spacing w:val="5"/>
                <w:shd w:val="solid" w:color="000000" w:fill="000000"/>
                <w:fitText w:val="541" w:id="-1236607728"/>
                <w14:textFill>
                  <w14:solidFill>
                    <w14:srgbClr w14:val="000000">
                      <w14:alpha w14:val="100000"/>
                    </w14:srgbClr>
                  </w14:solidFill>
                </w14:textFill>
              </w:rPr>
              <w:t>|</w:t>
            </w:r>
            <w:r w:rsidRPr="00A2441D">
              <w:t xml:space="preserve">% from ADA, </w:t>
            </w:r>
            <w:r w:rsidR="00F46153" w:rsidRPr="00F46153">
              <w:rPr>
                <w:color w:val="000000"/>
                <w:spacing w:val="28"/>
                <w:shd w:val="solid" w:color="000000" w:fill="000000"/>
                <w:fitText w:val="541" w:id="-1236607744"/>
                <w14:textFill>
                  <w14:solidFill>
                    <w14:srgbClr w14:val="000000">
                      <w14:alpha w14:val="100000"/>
                    </w14:srgbClr>
                  </w14:solidFill>
                </w14:textFill>
              </w:rPr>
              <w:t>|||||||</w:t>
            </w:r>
            <w:r w:rsidR="00F46153" w:rsidRPr="00F46153">
              <w:rPr>
                <w:color w:val="000000"/>
                <w:spacing w:val="5"/>
                <w:shd w:val="solid" w:color="000000" w:fill="000000"/>
                <w:fitText w:val="541" w:id="-1236607744"/>
                <w14:textFill>
                  <w14:solidFill>
                    <w14:srgbClr w14:val="000000">
                      <w14:alpha w14:val="100000"/>
                    </w14:srgbClr>
                  </w14:solidFill>
                </w14:textFill>
              </w:rPr>
              <w:t>|</w:t>
            </w:r>
            <w:r w:rsidRPr="00A2441D">
              <w:t xml:space="preserve">% from ETN and </w:t>
            </w:r>
            <w:r w:rsidR="00F46153" w:rsidRPr="00F46153">
              <w:rPr>
                <w:color w:val="000000"/>
                <w:spacing w:val="28"/>
                <w:shd w:val="solid" w:color="000000" w:fill="000000"/>
                <w:fitText w:val="541" w:id="-1236607743"/>
                <w14:textFill>
                  <w14:solidFill>
                    <w14:srgbClr w14:val="000000">
                      <w14:alpha w14:val="100000"/>
                    </w14:srgbClr>
                  </w14:solidFill>
                </w14:textFill>
              </w:rPr>
              <w:t>|||||||</w:t>
            </w:r>
            <w:r w:rsidR="00F46153" w:rsidRPr="00F46153">
              <w:rPr>
                <w:color w:val="000000"/>
                <w:spacing w:val="5"/>
                <w:shd w:val="solid" w:color="000000" w:fill="000000"/>
                <w:fitText w:val="541" w:id="-1236607743"/>
                <w14:textFill>
                  <w14:solidFill>
                    <w14:srgbClr w14:val="000000">
                      <w14:alpha w14:val="100000"/>
                    </w14:srgbClr>
                  </w14:solidFill>
                </w14:textFill>
              </w:rPr>
              <w:t>|</w:t>
            </w:r>
            <w:r w:rsidRPr="00A2441D">
              <w:t>% from TOC reflecting the approximate current market share of each bDMARD</w:t>
            </w:r>
            <w:r w:rsidR="00741D32" w:rsidRPr="00A2441D">
              <w:t>/tsDMARD</w:t>
            </w:r>
            <w:r w:rsidRPr="00A2441D">
              <w:t>. The estimated proportional substitution rates correspond to the projected script numbers of bDMARDs</w:t>
            </w:r>
            <w:r w:rsidR="00741D32" w:rsidRPr="00A2441D">
              <w:t>/tsDMARDs</w:t>
            </w:r>
            <w:r w:rsidRPr="00A2441D">
              <w:t xml:space="preserve"> and the assumed market share of TOF.</w:t>
            </w:r>
          </w:p>
        </w:tc>
        <w:tc>
          <w:tcPr>
            <w:tcW w:w="1466" w:type="pct"/>
            <w:vAlign w:val="center"/>
          </w:tcPr>
          <w:p w14:paraId="61E2B4C0" w14:textId="3769BB97" w:rsidR="00764B04" w:rsidRPr="00A2441D" w:rsidRDefault="00764B04" w:rsidP="003624C8">
            <w:pPr>
              <w:pStyle w:val="TableText0"/>
            </w:pPr>
            <w:r w:rsidRPr="00A2441D">
              <w:t>The estimated proportional substitution rates do not account for differences in script relativities between TOF and the other bDMARDs</w:t>
            </w:r>
            <w:r w:rsidR="00741D32" w:rsidRPr="00A2441D">
              <w:t>/tsDMARDs</w:t>
            </w:r>
            <w:r w:rsidRPr="00A2441D">
              <w:t xml:space="preserve">, but this error </w:t>
            </w:r>
            <w:r w:rsidR="0062164E" w:rsidRPr="00A2441D">
              <w:t>wa</w:t>
            </w:r>
            <w:r w:rsidRPr="00A2441D">
              <w:t xml:space="preserve">s relatively minor given most script relativities are 1:1. </w:t>
            </w:r>
          </w:p>
        </w:tc>
      </w:tr>
      <w:tr w:rsidR="00764B04" w:rsidRPr="00A2441D" w14:paraId="6EC93BBC" w14:textId="77777777" w:rsidTr="005C2766">
        <w:tc>
          <w:tcPr>
            <w:tcW w:w="626" w:type="pct"/>
            <w:vAlign w:val="center"/>
          </w:tcPr>
          <w:p w14:paraId="30CD3AD8" w14:textId="77777777" w:rsidR="00764B04" w:rsidRPr="00A2441D" w:rsidRDefault="00764B04" w:rsidP="00DC4DA8">
            <w:pPr>
              <w:pStyle w:val="TableText0"/>
              <w:keepNext w:val="0"/>
            </w:pPr>
            <w:r w:rsidRPr="00A2441D">
              <w:t>Script relativities</w:t>
            </w:r>
          </w:p>
        </w:tc>
        <w:tc>
          <w:tcPr>
            <w:tcW w:w="1224" w:type="pct"/>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5"/>
              <w:gridCol w:w="573"/>
              <w:gridCol w:w="573"/>
            </w:tblGrid>
            <w:tr w:rsidR="00764B04" w:rsidRPr="00A2441D" w14:paraId="41518506" w14:textId="77777777" w:rsidTr="00012AA7">
              <w:tc>
                <w:tcPr>
                  <w:tcW w:w="2905" w:type="pct"/>
                </w:tcPr>
                <w:p w14:paraId="4C572BF6" w14:textId="77777777" w:rsidR="00764B04" w:rsidRPr="00A2441D" w:rsidRDefault="00764B04" w:rsidP="00DC4DA8">
                  <w:pPr>
                    <w:pStyle w:val="TableText0"/>
                    <w:keepNext w:val="0"/>
                    <w:rPr>
                      <w:sz w:val="18"/>
                      <w:szCs w:val="18"/>
                    </w:rPr>
                  </w:pPr>
                </w:p>
              </w:tc>
              <w:tc>
                <w:tcPr>
                  <w:tcW w:w="757" w:type="pct"/>
                  <w:vAlign w:val="center"/>
                </w:tcPr>
                <w:p w14:paraId="473E5EBF" w14:textId="77777777" w:rsidR="00764B04" w:rsidRPr="00A2441D" w:rsidRDefault="00764B04" w:rsidP="00DC4DA8">
                  <w:pPr>
                    <w:pStyle w:val="TableText0"/>
                    <w:keepNext w:val="0"/>
                    <w:jc w:val="center"/>
                    <w:rPr>
                      <w:sz w:val="18"/>
                      <w:szCs w:val="18"/>
                    </w:rPr>
                  </w:pPr>
                  <w:r w:rsidRPr="00A2441D">
                    <w:rPr>
                      <w:sz w:val="18"/>
                      <w:szCs w:val="18"/>
                    </w:rPr>
                    <w:t>TOF tablet</w:t>
                  </w:r>
                </w:p>
              </w:tc>
              <w:tc>
                <w:tcPr>
                  <w:tcW w:w="1338" w:type="pct"/>
                  <w:vAlign w:val="center"/>
                </w:tcPr>
                <w:p w14:paraId="3EC5B22F" w14:textId="77777777" w:rsidR="00764B04" w:rsidRPr="00A2441D" w:rsidRDefault="00764B04" w:rsidP="00DC4DA8">
                  <w:pPr>
                    <w:pStyle w:val="TableText0"/>
                    <w:keepNext w:val="0"/>
                    <w:jc w:val="center"/>
                    <w:rPr>
                      <w:sz w:val="18"/>
                      <w:szCs w:val="18"/>
                    </w:rPr>
                  </w:pPr>
                  <w:r w:rsidRPr="00A2441D">
                    <w:rPr>
                      <w:sz w:val="18"/>
                      <w:szCs w:val="18"/>
                    </w:rPr>
                    <w:t>TOF solution</w:t>
                  </w:r>
                </w:p>
              </w:tc>
            </w:tr>
            <w:tr w:rsidR="00764B04" w:rsidRPr="00A2441D" w14:paraId="1BBDF4E7" w14:textId="77777777" w:rsidTr="00012AA7">
              <w:tc>
                <w:tcPr>
                  <w:tcW w:w="2905" w:type="pct"/>
                  <w:vAlign w:val="center"/>
                </w:tcPr>
                <w:p w14:paraId="6F6909C0" w14:textId="77777777" w:rsidR="00764B04" w:rsidRPr="00A2441D" w:rsidRDefault="00764B04" w:rsidP="00DC4DA8">
                  <w:pPr>
                    <w:pStyle w:val="TableText0"/>
                    <w:keepNext w:val="0"/>
                    <w:rPr>
                      <w:sz w:val="18"/>
                      <w:szCs w:val="18"/>
                    </w:rPr>
                  </w:pPr>
                  <w:r w:rsidRPr="00A2441D">
                    <w:rPr>
                      <w:sz w:val="18"/>
                      <w:szCs w:val="18"/>
                    </w:rPr>
                    <w:t>ADA 40mg</w:t>
                  </w:r>
                </w:p>
              </w:tc>
              <w:tc>
                <w:tcPr>
                  <w:tcW w:w="757" w:type="pct"/>
                  <w:vAlign w:val="center"/>
                </w:tcPr>
                <w:p w14:paraId="2BA7EB09" w14:textId="77777777" w:rsidR="00764B04" w:rsidRPr="00A2441D" w:rsidRDefault="00764B04" w:rsidP="00DC4DA8">
                  <w:pPr>
                    <w:pStyle w:val="TableText0"/>
                    <w:keepNext w:val="0"/>
                    <w:jc w:val="center"/>
                    <w:rPr>
                      <w:sz w:val="18"/>
                      <w:szCs w:val="18"/>
                    </w:rPr>
                  </w:pPr>
                  <w:r w:rsidRPr="00A2441D">
                    <w:rPr>
                      <w:sz w:val="18"/>
                      <w:szCs w:val="18"/>
                    </w:rPr>
                    <w:t>1:1 (62.5%)</w:t>
                  </w:r>
                </w:p>
              </w:tc>
              <w:tc>
                <w:tcPr>
                  <w:tcW w:w="1338" w:type="pct"/>
                  <w:vAlign w:val="center"/>
                </w:tcPr>
                <w:p w14:paraId="63F07B7A" w14:textId="77777777" w:rsidR="00764B04" w:rsidRPr="00A2441D" w:rsidRDefault="00764B04" w:rsidP="00DC4DA8">
                  <w:pPr>
                    <w:pStyle w:val="TableText0"/>
                    <w:keepNext w:val="0"/>
                    <w:jc w:val="center"/>
                    <w:rPr>
                      <w:sz w:val="18"/>
                      <w:szCs w:val="18"/>
                    </w:rPr>
                  </w:pPr>
                  <w:r w:rsidRPr="00A2441D">
                    <w:rPr>
                      <w:sz w:val="18"/>
                      <w:szCs w:val="18"/>
                    </w:rPr>
                    <w:t>1:1 (37.5%)</w:t>
                  </w:r>
                </w:p>
              </w:tc>
            </w:tr>
            <w:tr w:rsidR="00764B04" w:rsidRPr="00A2441D" w14:paraId="10C4DB2F" w14:textId="77777777" w:rsidTr="00012AA7">
              <w:tc>
                <w:tcPr>
                  <w:tcW w:w="2905" w:type="pct"/>
                  <w:vAlign w:val="center"/>
                </w:tcPr>
                <w:p w14:paraId="616905E0" w14:textId="77777777" w:rsidR="00764B04" w:rsidRPr="00A2441D" w:rsidRDefault="00764B04" w:rsidP="00DC4DA8">
                  <w:pPr>
                    <w:pStyle w:val="TableText0"/>
                    <w:keepNext w:val="0"/>
                    <w:rPr>
                      <w:sz w:val="18"/>
                      <w:szCs w:val="18"/>
                    </w:rPr>
                  </w:pPr>
                  <w:r w:rsidRPr="00A2441D">
                    <w:rPr>
                      <w:sz w:val="18"/>
                      <w:szCs w:val="18"/>
                    </w:rPr>
                    <w:t>ADA 20mg</w:t>
                  </w:r>
                </w:p>
              </w:tc>
              <w:tc>
                <w:tcPr>
                  <w:tcW w:w="757" w:type="pct"/>
                  <w:vAlign w:val="center"/>
                </w:tcPr>
                <w:p w14:paraId="151358EA" w14:textId="77777777" w:rsidR="00764B04" w:rsidRPr="00A2441D" w:rsidRDefault="00764B04" w:rsidP="00DC4DA8">
                  <w:pPr>
                    <w:pStyle w:val="TableText0"/>
                    <w:keepNext w:val="0"/>
                    <w:jc w:val="center"/>
                    <w:rPr>
                      <w:sz w:val="18"/>
                      <w:szCs w:val="18"/>
                    </w:rPr>
                  </w:pPr>
                  <w:r w:rsidRPr="00A2441D">
                    <w:rPr>
                      <w:sz w:val="18"/>
                      <w:szCs w:val="18"/>
                    </w:rPr>
                    <w:t>-</w:t>
                  </w:r>
                </w:p>
              </w:tc>
              <w:tc>
                <w:tcPr>
                  <w:tcW w:w="1338" w:type="pct"/>
                  <w:vAlign w:val="center"/>
                </w:tcPr>
                <w:p w14:paraId="2246CA1F" w14:textId="77777777" w:rsidR="00764B04" w:rsidRPr="00A2441D" w:rsidRDefault="00764B04" w:rsidP="00DC4DA8">
                  <w:pPr>
                    <w:pStyle w:val="TableText0"/>
                    <w:keepNext w:val="0"/>
                    <w:jc w:val="center"/>
                    <w:rPr>
                      <w:sz w:val="18"/>
                      <w:szCs w:val="18"/>
                    </w:rPr>
                  </w:pPr>
                  <w:r w:rsidRPr="00A2441D">
                    <w:rPr>
                      <w:sz w:val="18"/>
                      <w:szCs w:val="18"/>
                    </w:rPr>
                    <w:t>1:1</w:t>
                  </w:r>
                </w:p>
              </w:tc>
            </w:tr>
            <w:tr w:rsidR="00764B04" w:rsidRPr="00A2441D" w14:paraId="1C44D484" w14:textId="77777777" w:rsidTr="00012AA7">
              <w:tc>
                <w:tcPr>
                  <w:tcW w:w="2905" w:type="pct"/>
                  <w:vAlign w:val="center"/>
                </w:tcPr>
                <w:p w14:paraId="6B195E55" w14:textId="77777777" w:rsidR="00764B04" w:rsidRPr="00A2441D" w:rsidRDefault="00764B04" w:rsidP="00DC4DA8">
                  <w:pPr>
                    <w:pStyle w:val="TableText0"/>
                    <w:keepNext w:val="0"/>
                    <w:rPr>
                      <w:sz w:val="18"/>
                      <w:szCs w:val="18"/>
                    </w:rPr>
                  </w:pPr>
                  <w:r w:rsidRPr="00A2441D">
                    <w:rPr>
                      <w:sz w:val="18"/>
                      <w:szCs w:val="18"/>
                    </w:rPr>
                    <w:t>ETN 50mg</w:t>
                  </w:r>
                </w:p>
              </w:tc>
              <w:tc>
                <w:tcPr>
                  <w:tcW w:w="757" w:type="pct"/>
                  <w:vAlign w:val="center"/>
                </w:tcPr>
                <w:p w14:paraId="4744CEED" w14:textId="77777777" w:rsidR="00764B04" w:rsidRPr="00A2441D" w:rsidRDefault="00764B04" w:rsidP="00DC4DA8">
                  <w:pPr>
                    <w:pStyle w:val="TableText0"/>
                    <w:keepNext w:val="0"/>
                    <w:jc w:val="center"/>
                    <w:rPr>
                      <w:sz w:val="18"/>
                      <w:szCs w:val="18"/>
                    </w:rPr>
                  </w:pPr>
                  <w:r w:rsidRPr="00A2441D">
                    <w:rPr>
                      <w:sz w:val="18"/>
                      <w:szCs w:val="18"/>
                    </w:rPr>
                    <w:t>1:1</w:t>
                  </w:r>
                </w:p>
              </w:tc>
              <w:tc>
                <w:tcPr>
                  <w:tcW w:w="1338" w:type="pct"/>
                  <w:vAlign w:val="center"/>
                </w:tcPr>
                <w:p w14:paraId="35C3313D" w14:textId="77777777" w:rsidR="00764B04" w:rsidRPr="00A2441D" w:rsidRDefault="00764B04" w:rsidP="00DC4DA8">
                  <w:pPr>
                    <w:pStyle w:val="TableText0"/>
                    <w:keepNext w:val="0"/>
                    <w:jc w:val="center"/>
                    <w:rPr>
                      <w:sz w:val="18"/>
                      <w:szCs w:val="18"/>
                    </w:rPr>
                  </w:pPr>
                  <w:r w:rsidRPr="00A2441D">
                    <w:rPr>
                      <w:sz w:val="18"/>
                      <w:szCs w:val="18"/>
                    </w:rPr>
                    <w:t>-</w:t>
                  </w:r>
                </w:p>
              </w:tc>
            </w:tr>
            <w:tr w:rsidR="00764B04" w:rsidRPr="00A2441D" w14:paraId="0BF5E1A4" w14:textId="77777777" w:rsidTr="00012AA7">
              <w:tc>
                <w:tcPr>
                  <w:tcW w:w="2905" w:type="pct"/>
                  <w:vAlign w:val="center"/>
                </w:tcPr>
                <w:p w14:paraId="1799A040" w14:textId="77777777" w:rsidR="00764B04" w:rsidRPr="00A2441D" w:rsidRDefault="00764B04" w:rsidP="00DC4DA8">
                  <w:pPr>
                    <w:pStyle w:val="TableText0"/>
                    <w:keepNext w:val="0"/>
                    <w:rPr>
                      <w:sz w:val="18"/>
                      <w:szCs w:val="18"/>
                    </w:rPr>
                  </w:pPr>
                  <w:r w:rsidRPr="00A2441D">
                    <w:rPr>
                      <w:sz w:val="18"/>
                      <w:szCs w:val="18"/>
                    </w:rPr>
                    <w:t>ETN 25mg</w:t>
                  </w:r>
                </w:p>
              </w:tc>
              <w:tc>
                <w:tcPr>
                  <w:tcW w:w="757" w:type="pct"/>
                  <w:vAlign w:val="center"/>
                </w:tcPr>
                <w:p w14:paraId="7BA577FC" w14:textId="77777777" w:rsidR="00764B04" w:rsidRPr="00A2441D" w:rsidRDefault="00764B04" w:rsidP="00DC4DA8">
                  <w:pPr>
                    <w:pStyle w:val="TableText0"/>
                    <w:keepNext w:val="0"/>
                    <w:jc w:val="center"/>
                    <w:rPr>
                      <w:sz w:val="18"/>
                      <w:szCs w:val="18"/>
                    </w:rPr>
                  </w:pPr>
                  <w:r w:rsidRPr="00A2441D">
                    <w:rPr>
                      <w:sz w:val="18"/>
                      <w:szCs w:val="18"/>
                    </w:rPr>
                    <w:t>-</w:t>
                  </w:r>
                </w:p>
              </w:tc>
              <w:tc>
                <w:tcPr>
                  <w:tcW w:w="1338" w:type="pct"/>
                  <w:vAlign w:val="center"/>
                </w:tcPr>
                <w:p w14:paraId="15F8FC5B" w14:textId="77777777" w:rsidR="00764B04" w:rsidRPr="00A2441D" w:rsidRDefault="00764B04" w:rsidP="00DC4DA8">
                  <w:pPr>
                    <w:pStyle w:val="TableText0"/>
                    <w:keepNext w:val="0"/>
                    <w:jc w:val="center"/>
                    <w:rPr>
                      <w:sz w:val="18"/>
                      <w:szCs w:val="18"/>
                    </w:rPr>
                  </w:pPr>
                  <w:r w:rsidRPr="00A2441D">
                    <w:rPr>
                      <w:sz w:val="18"/>
                      <w:szCs w:val="18"/>
                    </w:rPr>
                    <w:t>1:1</w:t>
                  </w:r>
                </w:p>
              </w:tc>
            </w:tr>
            <w:tr w:rsidR="00764B04" w:rsidRPr="00A2441D" w14:paraId="705026FC" w14:textId="77777777" w:rsidTr="00012AA7">
              <w:tc>
                <w:tcPr>
                  <w:tcW w:w="2905" w:type="pct"/>
                  <w:vAlign w:val="center"/>
                </w:tcPr>
                <w:p w14:paraId="72DDF4FE" w14:textId="30C460B8" w:rsidR="00764B04" w:rsidRPr="00A2441D" w:rsidRDefault="00764B04" w:rsidP="00DC4DA8">
                  <w:pPr>
                    <w:pStyle w:val="TableText0"/>
                    <w:keepNext w:val="0"/>
                    <w:rPr>
                      <w:sz w:val="18"/>
                      <w:szCs w:val="18"/>
                    </w:rPr>
                  </w:pPr>
                  <w:r w:rsidRPr="00A2441D">
                    <w:rPr>
                      <w:sz w:val="18"/>
                      <w:szCs w:val="18"/>
                    </w:rPr>
                    <w:t>TOC</w:t>
                  </w:r>
                  <w:r w:rsidR="00012AA7" w:rsidRPr="00A2441D">
                    <w:rPr>
                      <w:sz w:val="18"/>
                      <w:szCs w:val="18"/>
                    </w:rPr>
                    <w:t xml:space="preserve"> IV</w:t>
                  </w:r>
                  <w:r w:rsidRPr="00A2441D">
                    <w:rPr>
                      <w:sz w:val="18"/>
                      <w:szCs w:val="18"/>
                    </w:rPr>
                    <w:t xml:space="preserve"> 80mg</w:t>
                  </w:r>
                </w:p>
              </w:tc>
              <w:tc>
                <w:tcPr>
                  <w:tcW w:w="757" w:type="pct"/>
                  <w:vAlign w:val="center"/>
                </w:tcPr>
                <w:p w14:paraId="480C98C1" w14:textId="77777777" w:rsidR="00764B04" w:rsidRPr="00A2441D" w:rsidRDefault="00764B04" w:rsidP="00DC4DA8">
                  <w:pPr>
                    <w:pStyle w:val="TableText0"/>
                    <w:keepNext w:val="0"/>
                    <w:jc w:val="center"/>
                    <w:rPr>
                      <w:sz w:val="18"/>
                      <w:szCs w:val="18"/>
                    </w:rPr>
                  </w:pPr>
                  <w:r w:rsidRPr="00A2441D">
                    <w:rPr>
                      <w:sz w:val="18"/>
                      <w:szCs w:val="18"/>
                    </w:rPr>
                    <w:t>-</w:t>
                  </w:r>
                </w:p>
              </w:tc>
              <w:tc>
                <w:tcPr>
                  <w:tcW w:w="1338" w:type="pct"/>
                  <w:vAlign w:val="center"/>
                </w:tcPr>
                <w:p w14:paraId="264CEDEB" w14:textId="77777777" w:rsidR="00764B04" w:rsidRPr="00A2441D" w:rsidRDefault="00764B04" w:rsidP="00DC4DA8">
                  <w:pPr>
                    <w:pStyle w:val="TableText0"/>
                    <w:keepNext w:val="0"/>
                    <w:jc w:val="center"/>
                    <w:rPr>
                      <w:sz w:val="18"/>
                      <w:szCs w:val="18"/>
                    </w:rPr>
                  </w:pPr>
                  <w:r w:rsidRPr="00A2441D">
                    <w:rPr>
                      <w:sz w:val="18"/>
                      <w:szCs w:val="18"/>
                    </w:rPr>
                    <w:t>1:1</w:t>
                  </w:r>
                </w:p>
              </w:tc>
            </w:tr>
            <w:tr w:rsidR="00764B04" w:rsidRPr="00A2441D" w14:paraId="55C4BBCE" w14:textId="77777777" w:rsidTr="00012AA7">
              <w:tc>
                <w:tcPr>
                  <w:tcW w:w="2905" w:type="pct"/>
                  <w:vAlign w:val="center"/>
                </w:tcPr>
                <w:p w14:paraId="4DF490D9" w14:textId="2B7215A2" w:rsidR="00764B04" w:rsidRPr="00A2441D" w:rsidRDefault="00764B04" w:rsidP="00DC4DA8">
                  <w:pPr>
                    <w:pStyle w:val="TableText0"/>
                    <w:keepNext w:val="0"/>
                    <w:rPr>
                      <w:sz w:val="18"/>
                      <w:szCs w:val="18"/>
                    </w:rPr>
                  </w:pPr>
                  <w:r w:rsidRPr="00A2441D">
                    <w:rPr>
                      <w:sz w:val="18"/>
                      <w:szCs w:val="18"/>
                    </w:rPr>
                    <w:t xml:space="preserve">TOC </w:t>
                  </w:r>
                  <w:r w:rsidR="00012AA7" w:rsidRPr="00A2441D">
                    <w:rPr>
                      <w:sz w:val="18"/>
                      <w:szCs w:val="18"/>
                    </w:rPr>
                    <w:t xml:space="preserve">IV </w:t>
                  </w:r>
                  <w:r w:rsidRPr="00A2441D">
                    <w:rPr>
                      <w:sz w:val="18"/>
                      <w:szCs w:val="18"/>
                    </w:rPr>
                    <w:t>200mg</w:t>
                  </w:r>
                </w:p>
              </w:tc>
              <w:tc>
                <w:tcPr>
                  <w:tcW w:w="757" w:type="pct"/>
                  <w:vAlign w:val="center"/>
                </w:tcPr>
                <w:p w14:paraId="3A65C60D" w14:textId="77777777" w:rsidR="00764B04" w:rsidRPr="00A2441D" w:rsidRDefault="00764B04" w:rsidP="00DC4DA8">
                  <w:pPr>
                    <w:pStyle w:val="TableText0"/>
                    <w:keepNext w:val="0"/>
                    <w:jc w:val="center"/>
                    <w:rPr>
                      <w:sz w:val="18"/>
                      <w:szCs w:val="18"/>
                    </w:rPr>
                  </w:pPr>
                  <w:r w:rsidRPr="00A2441D">
                    <w:rPr>
                      <w:sz w:val="18"/>
                      <w:szCs w:val="18"/>
                    </w:rPr>
                    <w:t>-</w:t>
                  </w:r>
                </w:p>
              </w:tc>
              <w:tc>
                <w:tcPr>
                  <w:tcW w:w="1338" w:type="pct"/>
                  <w:vAlign w:val="center"/>
                </w:tcPr>
                <w:p w14:paraId="6D6BA5CE" w14:textId="77777777" w:rsidR="00764B04" w:rsidRPr="00A2441D" w:rsidRDefault="00764B04" w:rsidP="00DC4DA8">
                  <w:pPr>
                    <w:pStyle w:val="TableText0"/>
                    <w:keepNext w:val="0"/>
                    <w:jc w:val="center"/>
                    <w:rPr>
                      <w:sz w:val="18"/>
                      <w:szCs w:val="18"/>
                    </w:rPr>
                  </w:pPr>
                  <w:r w:rsidRPr="00A2441D">
                    <w:rPr>
                      <w:sz w:val="18"/>
                      <w:szCs w:val="18"/>
                    </w:rPr>
                    <w:t>1:1</w:t>
                  </w:r>
                </w:p>
              </w:tc>
            </w:tr>
            <w:tr w:rsidR="00764B04" w:rsidRPr="00A2441D" w14:paraId="519F576F" w14:textId="77777777" w:rsidTr="00012AA7">
              <w:tc>
                <w:tcPr>
                  <w:tcW w:w="2905" w:type="pct"/>
                  <w:vAlign w:val="center"/>
                </w:tcPr>
                <w:p w14:paraId="7765C44B" w14:textId="44C084B6" w:rsidR="00764B04" w:rsidRPr="00A2441D" w:rsidRDefault="00764B04" w:rsidP="00DC4DA8">
                  <w:pPr>
                    <w:pStyle w:val="TableText0"/>
                    <w:keepNext w:val="0"/>
                    <w:rPr>
                      <w:sz w:val="18"/>
                      <w:szCs w:val="18"/>
                    </w:rPr>
                  </w:pPr>
                  <w:r w:rsidRPr="00A2441D">
                    <w:rPr>
                      <w:sz w:val="18"/>
                      <w:szCs w:val="18"/>
                    </w:rPr>
                    <w:t xml:space="preserve">TOC </w:t>
                  </w:r>
                  <w:r w:rsidR="00012AA7" w:rsidRPr="00A2441D">
                    <w:rPr>
                      <w:sz w:val="18"/>
                      <w:szCs w:val="18"/>
                    </w:rPr>
                    <w:t xml:space="preserve">IV </w:t>
                  </w:r>
                  <w:r w:rsidRPr="00A2441D">
                    <w:rPr>
                      <w:sz w:val="18"/>
                      <w:szCs w:val="18"/>
                    </w:rPr>
                    <w:t>400mg</w:t>
                  </w:r>
                </w:p>
              </w:tc>
              <w:tc>
                <w:tcPr>
                  <w:tcW w:w="757" w:type="pct"/>
                  <w:vAlign w:val="center"/>
                </w:tcPr>
                <w:p w14:paraId="1628781F" w14:textId="77777777" w:rsidR="00764B04" w:rsidRPr="00A2441D" w:rsidRDefault="00764B04" w:rsidP="00DC4DA8">
                  <w:pPr>
                    <w:pStyle w:val="TableText0"/>
                    <w:keepNext w:val="0"/>
                    <w:jc w:val="center"/>
                    <w:rPr>
                      <w:sz w:val="18"/>
                      <w:szCs w:val="18"/>
                    </w:rPr>
                  </w:pPr>
                  <w:r w:rsidRPr="00A2441D">
                    <w:rPr>
                      <w:sz w:val="18"/>
                      <w:szCs w:val="18"/>
                    </w:rPr>
                    <w:t>1:1</w:t>
                  </w:r>
                </w:p>
              </w:tc>
              <w:tc>
                <w:tcPr>
                  <w:tcW w:w="1338" w:type="pct"/>
                  <w:vAlign w:val="center"/>
                </w:tcPr>
                <w:p w14:paraId="2994EEF1" w14:textId="77777777" w:rsidR="00764B04" w:rsidRPr="00A2441D" w:rsidRDefault="00764B04" w:rsidP="00DC4DA8">
                  <w:pPr>
                    <w:pStyle w:val="TableText0"/>
                    <w:keepNext w:val="0"/>
                    <w:jc w:val="center"/>
                    <w:rPr>
                      <w:sz w:val="18"/>
                      <w:szCs w:val="18"/>
                    </w:rPr>
                  </w:pPr>
                  <w:r w:rsidRPr="00A2441D">
                    <w:rPr>
                      <w:sz w:val="18"/>
                      <w:szCs w:val="18"/>
                    </w:rPr>
                    <w:t>-</w:t>
                  </w:r>
                </w:p>
              </w:tc>
            </w:tr>
            <w:tr w:rsidR="00764B04" w:rsidRPr="00A2441D" w14:paraId="41C073A5" w14:textId="77777777" w:rsidTr="00012AA7">
              <w:tc>
                <w:tcPr>
                  <w:tcW w:w="2905" w:type="pct"/>
                  <w:vAlign w:val="center"/>
                </w:tcPr>
                <w:p w14:paraId="68EA2CE4" w14:textId="0691C59F" w:rsidR="00764B04" w:rsidRPr="00A2441D" w:rsidRDefault="00764B04" w:rsidP="00DC4DA8">
                  <w:pPr>
                    <w:pStyle w:val="TableText0"/>
                    <w:keepNext w:val="0"/>
                    <w:rPr>
                      <w:sz w:val="18"/>
                      <w:szCs w:val="18"/>
                    </w:rPr>
                  </w:pPr>
                  <w:r w:rsidRPr="00A2441D">
                    <w:rPr>
                      <w:sz w:val="18"/>
                      <w:szCs w:val="18"/>
                    </w:rPr>
                    <w:t xml:space="preserve">TOC </w:t>
                  </w:r>
                  <w:r w:rsidR="00012AA7" w:rsidRPr="00A2441D">
                    <w:rPr>
                      <w:sz w:val="18"/>
                      <w:szCs w:val="18"/>
                    </w:rPr>
                    <w:t xml:space="preserve">SC </w:t>
                  </w:r>
                  <w:r w:rsidRPr="00A2441D">
                    <w:rPr>
                      <w:sz w:val="18"/>
                      <w:szCs w:val="18"/>
                    </w:rPr>
                    <w:t>162mg[a]</w:t>
                  </w:r>
                </w:p>
              </w:tc>
              <w:tc>
                <w:tcPr>
                  <w:tcW w:w="757" w:type="pct"/>
                  <w:vAlign w:val="center"/>
                </w:tcPr>
                <w:p w14:paraId="7AC9126C" w14:textId="77777777" w:rsidR="00764B04" w:rsidRPr="00A2441D" w:rsidRDefault="00764B04" w:rsidP="00DC4DA8">
                  <w:pPr>
                    <w:pStyle w:val="TableText0"/>
                    <w:keepNext w:val="0"/>
                    <w:jc w:val="center"/>
                    <w:rPr>
                      <w:sz w:val="18"/>
                      <w:szCs w:val="18"/>
                    </w:rPr>
                  </w:pPr>
                  <w:r w:rsidRPr="00A2441D">
                    <w:rPr>
                      <w:sz w:val="18"/>
                      <w:szCs w:val="18"/>
                    </w:rPr>
                    <w:t>1:2</w:t>
                  </w:r>
                </w:p>
                <w:p w14:paraId="0ED4B325" w14:textId="77777777" w:rsidR="00764B04" w:rsidRPr="00A2441D" w:rsidRDefault="00764B04" w:rsidP="00DC4DA8">
                  <w:pPr>
                    <w:pStyle w:val="TableText0"/>
                    <w:keepNext w:val="0"/>
                    <w:jc w:val="center"/>
                    <w:rPr>
                      <w:sz w:val="18"/>
                      <w:szCs w:val="18"/>
                    </w:rPr>
                  </w:pPr>
                  <w:r w:rsidRPr="00A2441D">
                    <w:rPr>
                      <w:sz w:val="18"/>
                      <w:szCs w:val="18"/>
                    </w:rPr>
                    <w:t>(100%)</w:t>
                  </w:r>
                </w:p>
              </w:tc>
              <w:tc>
                <w:tcPr>
                  <w:tcW w:w="1338" w:type="pct"/>
                  <w:vAlign w:val="center"/>
                </w:tcPr>
                <w:p w14:paraId="10E95A4D" w14:textId="77777777" w:rsidR="00764B04" w:rsidRPr="00A2441D" w:rsidRDefault="00764B04" w:rsidP="00DC4DA8">
                  <w:pPr>
                    <w:pStyle w:val="TableText0"/>
                    <w:keepNext w:val="0"/>
                    <w:jc w:val="center"/>
                    <w:rPr>
                      <w:sz w:val="18"/>
                      <w:szCs w:val="18"/>
                    </w:rPr>
                  </w:pPr>
                  <w:r w:rsidRPr="00A2441D">
                    <w:rPr>
                      <w:sz w:val="18"/>
                      <w:szCs w:val="18"/>
                    </w:rPr>
                    <w:t>1:3</w:t>
                  </w:r>
                </w:p>
                <w:p w14:paraId="6339F6DD" w14:textId="77777777" w:rsidR="00764B04" w:rsidRPr="00A2441D" w:rsidRDefault="00764B04" w:rsidP="00DC4DA8">
                  <w:pPr>
                    <w:pStyle w:val="TableText0"/>
                    <w:keepNext w:val="0"/>
                    <w:jc w:val="center"/>
                    <w:rPr>
                      <w:sz w:val="18"/>
                      <w:szCs w:val="18"/>
                    </w:rPr>
                  </w:pPr>
                  <w:r w:rsidRPr="00A2441D">
                    <w:rPr>
                      <w:sz w:val="18"/>
                      <w:szCs w:val="18"/>
                    </w:rPr>
                    <w:t>(100%)</w:t>
                  </w:r>
                </w:p>
              </w:tc>
            </w:tr>
            <w:tr w:rsidR="00764B04" w:rsidRPr="00A2441D" w14:paraId="0A280E1A" w14:textId="77777777" w:rsidTr="00012AA7">
              <w:tc>
                <w:tcPr>
                  <w:tcW w:w="2905" w:type="pct"/>
                  <w:vAlign w:val="center"/>
                </w:tcPr>
                <w:p w14:paraId="0F216859" w14:textId="7AE77B43" w:rsidR="00764B04" w:rsidRPr="00A2441D" w:rsidRDefault="00764B04" w:rsidP="00DC4DA8">
                  <w:pPr>
                    <w:pStyle w:val="TableText0"/>
                    <w:keepNext w:val="0"/>
                    <w:rPr>
                      <w:sz w:val="18"/>
                      <w:szCs w:val="18"/>
                    </w:rPr>
                  </w:pPr>
                  <w:r w:rsidRPr="00A2441D">
                    <w:rPr>
                      <w:sz w:val="18"/>
                      <w:szCs w:val="18"/>
                    </w:rPr>
                    <w:t xml:space="preserve">TOC </w:t>
                  </w:r>
                  <w:r w:rsidR="00012AA7" w:rsidRPr="00A2441D">
                    <w:rPr>
                      <w:sz w:val="18"/>
                      <w:szCs w:val="18"/>
                    </w:rPr>
                    <w:t xml:space="preserve">SC </w:t>
                  </w:r>
                  <w:r w:rsidRPr="00A2441D">
                    <w:rPr>
                      <w:sz w:val="18"/>
                      <w:szCs w:val="18"/>
                    </w:rPr>
                    <w:t>162mg[b]</w:t>
                  </w:r>
                </w:p>
              </w:tc>
              <w:tc>
                <w:tcPr>
                  <w:tcW w:w="757" w:type="pct"/>
                  <w:vAlign w:val="center"/>
                </w:tcPr>
                <w:p w14:paraId="0FACC4EC" w14:textId="77777777" w:rsidR="00764B04" w:rsidRPr="00A2441D" w:rsidRDefault="00764B04" w:rsidP="00DC4DA8">
                  <w:pPr>
                    <w:pStyle w:val="TableText0"/>
                    <w:keepNext w:val="0"/>
                    <w:jc w:val="center"/>
                    <w:rPr>
                      <w:sz w:val="18"/>
                      <w:szCs w:val="18"/>
                    </w:rPr>
                  </w:pPr>
                  <w:r w:rsidRPr="00A2441D">
                    <w:rPr>
                      <w:sz w:val="18"/>
                      <w:szCs w:val="18"/>
                    </w:rPr>
                    <w:t>1:2</w:t>
                  </w:r>
                </w:p>
                <w:p w14:paraId="720B5A1D" w14:textId="77777777" w:rsidR="00764B04" w:rsidRPr="00A2441D" w:rsidRDefault="00764B04" w:rsidP="00DC4DA8">
                  <w:pPr>
                    <w:pStyle w:val="TableText0"/>
                    <w:keepNext w:val="0"/>
                    <w:jc w:val="center"/>
                    <w:rPr>
                      <w:sz w:val="18"/>
                      <w:szCs w:val="18"/>
                    </w:rPr>
                  </w:pPr>
                  <w:r w:rsidRPr="00A2441D">
                    <w:rPr>
                      <w:sz w:val="18"/>
                      <w:szCs w:val="18"/>
                    </w:rPr>
                    <w:t>(100%)</w:t>
                  </w:r>
                </w:p>
              </w:tc>
              <w:tc>
                <w:tcPr>
                  <w:tcW w:w="1338" w:type="pct"/>
                  <w:vAlign w:val="center"/>
                </w:tcPr>
                <w:p w14:paraId="388CF635" w14:textId="77777777" w:rsidR="00764B04" w:rsidRPr="00A2441D" w:rsidRDefault="00764B04" w:rsidP="00DC4DA8">
                  <w:pPr>
                    <w:pStyle w:val="TableText0"/>
                    <w:keepNext w:val="0"/>
                    <w:jc w:val="center"/>
                    <w:rPr>
                      <w:sz w:val="18"/>
                      <w:szCs w:val="18"/>
                    </w:rPr>
                  </w:pPr>
                  <w:r w:rsidRPr="00A2441D">
                    <w:rPr>
                      <w:sz w:val="18"/>
                      <w:szCs w:val="18"/>
                    </w:rPr>
                    <w:t>1:3</w:t>
                  </w:r>
                </w:p>
                <w:p w14:paraId="12CE29D8" w14:textId="77777777" w:rsidR="00764B04" w:rsidRPr="00A2441D" w:rsidRDefault="00764B04" w:rsidP="00DC4DA8">
                  <w:pPr>
                    <w:pStyle w:val="TableText0"/>
                    <w:keepNext w:val="0"/>
                    <w:jc w:val="center"/>
                    <w:rPr>
                      <w:sz w:val="18"/>
                      <w:szCs w:val="18"/>
                    </w:rPr>
                  </w:pPr>
                  <w:r w:rsidRPr="00A2441D">
                    <w:rPr>
                      <w:sz w:val="18"/>
                      <w:szCs w:val="18"/>
                    </w:rPr>
                    <w:t>(100%)</w:t>
                  </w:r>
                </w:p>
              </w:tc>
            </w:tr>
          </w:tbl>
          <w:p w14:paraId="3DB1ABA0" w14:textId="77777777" w:rsidR="00764B04" w:rsidRPr="00A2441D" w:rsidRDefault="00764B04" w:rsidP="00DC4DA8">
            <w:pPr>
              <w:pStyle w:val="TableText0"/>
              <w:keepNext w:val="0"/>
            </w:pPr>
          </w:p>
        </w:tc>
        <w:tc>
          <w:tcPr>
            <w:tcW w:w="1685" w:type="pct"/>
            <w:vAlign w:val="center"/>
          </w:tcPr>
          <w:p w14:paraId="6411EB18" w14:textId="77777777" w:rsidR="00764B04" w:rsidRPr="00A2441D" w:rsidRDefault="00764B04" w:rsidP="00DC4DA8">
            <w:pPr>
              <w:pStyle w:val="TableText0"/>
              <w:keepNext w:val="0"/>
            </w:pPr>
            <w:r w:rsidRPr="00A2441D">
              <w:t>Calculated based on recommended dosing regimens and duration of treatment provided by each script of treatment. The submission assumed:</w:t>
            </w:r>
          </w:p>
          <w:p w14:paraId="1E74ECFC" w14:textId="77777777" w:rsidR="00764B04" w:rsidRPr="00A2441D" w:rsidRDefault="00764B04" w:rsidP="007C309F">
            <w:pPr>
              <w:pStyle w:val="TableText0"/>
              <w:keepNext w:val="0"/>
              <w:numPr>
                <w:ilvl w:val="0"/>
                <w:numId w:val="11"/>
              </w:numPr>
              <w:ind w:left="340" w:hanging="238"/>
            </w:pPr>
            <w:r w:rsidRPr="00A2441D">
              <w:t>One script of TOF (tablets or oral solution) provided 28 days of treatment;</w:t>
            </w:r>
          </w:p>
          <w:p w14:paraId="06B43D4B" w14:textId="77777777" w:rsidR="00764B04" w:rsidRPr="00A2441D" w:rsidRDefault="00764B04" w:rsidP="007C309F">
            <w:pPr>
              <w:pStyle w:val="TableText0"/>
              <w:keepNext w:val="0"/>
              <w:numPr>
                <w:ilvl w:val="0"/>
                <w:numId w:val="11"/>
              </w:numPr>
              <w:ind w:left="340" w:hanging="238"/>
            </w:pPr>
            <w:r w:rsidRPr="00A2441D">
              <w:t>Each script of TOC represented one patient.</w:t>
            </w:r>
          </w:p>
          <w:p w14:paraId="4BA00D22" w14:textId="77777777" w:rsidR="00764B04" w:rsidRPr="00A2441D" w:rsidRDefault="00764B04" w:rsidP="007C309F">
            <w:pPr>
              <w:pStyle w:val="TableText0"/>
              <w:keepNext w:val="0"/>
              <w:numPr>
                <w:ilvl w:val="0"/>
                <w:numId w:val="11"/>
              </w:numPr>
              <w:ind w:left="340" w:hanging="238"/>
            </w:pPr>
            <w:r w:rsidRPr="00A2441D">
              <w:t>TOF tablets and oral solution would substitute for different formulations, depending on likely weight of patient.</w:t>
            </w:r>
          </w:p>
          <w:p w14:paraId="5624B59B" w14:textId="32733049" w:rsidR="00764B04" w:rsidRPr="00A2441D" w:rsidRDefault="00764B04" w:rsidP="00DC4DA8">
            <w:pPr>
              <w:pStyle w:val="TableText0"/>
              <w:keepNext w:val="0"/>
            </w:pPr>
            <w:r w:rsidRPr="00A2441D">
              <w:t>To provide a breakdown for initial and continuing scripts, it was assumed that 62.5% of scripts are used for initiation treatment (with the exception of TOC 162</w:t>
            </w:r>
            <w:r w:rsidR="007252C3">
              <w:t xml:space="preserve"> </w:t>
            </w:r>
            <w:r w:rsidRPr="00A2441D">
              <w:t>mg[b], where 0% are initiation scripts).</w:t>
            </w:r>
          </w:p>
        </w:tc>
        <w:tc>
          <w:tcPr>
            <w:tcW w:w="1466" w:type="pct"/>
            <w:vAlign w:val="center"/>
          </w:tcPr>
          <w:p w14:paraId="530D9E13" w14:textId="11040506" w:rsidR="002F3FD2" w:rsidRPr="00A2441D" w:rsidRDefault="00764B04" w:rsidP="002F3FD2">
            <w:pPr>
              <w:pStyle w:val="TableText0"/>
              <w:keepNext w:val="0"/>
            </w:pPr>
            <w:r w:rsidRPr="00A2441D">
              <w:t>The</w:t>
            </w:r>
            <w:r w:rsidR="00AE4CDB" w:rsidRPr="00A2441D">
              <w:t xml:space="preserve"> </w:t>
            </w:r>
            <w:r w:rsidRPr="00A2441D">
              <w:t xml:space="preserve">estimated script relativities </w:t>
            </w:r>
            <w:r w:rsidR="0062164E" w:rsidRPr="00A2441D">
              <w:t>we</w:t>
            </w:r>
            <w:r w:rsidRPr="00A2441D">
              <w:t>re poorly justified and several errors were identified</w:t>
            </w:r>
            <w:r w:rsidR="002F3FD2" w:rsidRPr="00A2441D">
              <w:t>. For example:</w:t>
            </w:r>
          </w:p>
          <w:p w14:paraId="1B584105" w14:textId="4DD38E25" w:rsidR="002F3FD2" w:rsidRPr="00A2441D" w:rsidRDefault="002F3FD2" w:rsidP="007C309F">
            <w:pPr>
              <w:pStyle w:val="TableText0"/>
              <w:keepNext w:val="0"/>
              <w:numPr>
                <w:ilvl w:val="0"/>
                <w:numId w:val="10"/>
              </w:numPr>
              <w:ind w:left="232" w:hanging="204"/>
            </w:pPr>
            <w:r w:rsidRPr="00A2441D">
              <w:t>T</w:t>
            </w:r>
            <w:r w:rsidR="00576C16" w:rsidRPr="00A2441D">
              <w:t xml:space="preserve">he </w:t>
            </w:r>
            <w:r w:rsidRPr="00A2441D">
              <w:t xml:space="preserve">submission calculated script relativities </w:t>
            </w:r>
            <w:r w:rsidR="00576C16" w:rsidRPr="00A2441D">
              <w:t>assum</w:t>
            </w:r>
            <w:r w:rsidRPr="00A2441D">
              <w:t>ing</w:t>
            </w:r>
            <w:r w:rsidR="00576C16" w:rsidRPr="00A2441D">
              <w:t xml:space="preserve"> patients</w:t>
            </w:r>
            <w:r w:rsidRPr="00A2441D">
              <w:t xml:space="preserve"> ≥40 kg</w:t>
            </w:r>
            <w:r w:rsidR="00576C16" w:rsidRPr="00A2441D">
              <w:t xml:space="preserve"> </w:t>
            </w:r>
            <w:r w:rsidRPr="00A2441D">
              <w:t xml:space="preserve">would use TOF oral tablet and patients &lt;40 kg </w:t>
            </w:r>
            <w:r w:rsidR="00AD54F2" w:rsidRPr="00A2441D">
              <w:t xml:space="preserve">() </w:t>
            </w:r>
            <w:r w:rsidRPr="00A2441D">
              <w:t>would use TOF oral solution, but assumed TOF oral solution only provides 28 days of treatment for patients &lt;40 kg</w:t>
            </w:r>
            <w:r w:rsidR="00AD54F2" w:rsidRPr="00A2441D">
              <w:t xml:space="preserve"> (rather than ≥28 days in practice)</w:t>
            </w:r>
            <w:r w:rsidRPr="00A2441D">
              <w:t>.</w:t>
            </w:r>
          </w:p>
          <w:p w14:paraId="5A7567BE" w14:textId="7F4C0911" w:rsidR="00764B04" w:rsidRPr="00A2441D" w:rsidRDefault="00764B04" w:rsidP="007C309F">
            <w:pPr>
              <w:pStyle w:val="TableText0"/>
              <w:keepNext w:val="0"/>
              <w:numPr>
                <w:ilvl w:val="0"/>
                <w:numId w:val="10"/>
              </w:numPr>
              <w:ind w:left="232" w:hanging="204"/>
            </w:pPr>
            <w:r w:rsidRPr="00A2441D">
              <w:t>Patients may need more than one script of TOC per IV administration depending on their weight, therefore the script relativity is likely 1:&gt;1</w:t>
            </w:r>
          </w:p>
          <w:p w14:paraId="6519B8FD" w14:textId="08102EC0" w:rsidR="00764B04" w:rsidRPr="00A2441D" w:rsidRDefault="00764B04" w:rsidP="007C309F">
            <w:pPr>
              <w:pStyle w:val="TableText0"/>
              <w:keepNext w:val="0"/>
              <w:numPr>
                <w:ilvl w:val="0"/>
                <w:numId w:val="10"/>
              </w:numPr>
              <w:ind w:left="232" w:hanging="204"/>
            </w:pPr>
            <w:r w:rsidRPr="00A2441D">
              <w:t>ETN 25</w:t>
            </w:r>
            <w:r w:rsidR="007252C3">
              <w:t xml:space="preserve"> </w:t>
            </w:r>
            <w:r w:rsidRPr="00A2441D">
              <w:t>mg is dose</w:t>
            </w:r>
            <w:r w:rsidR="00AE4CDB" w:rsidRPr="00A2441D">
              <w:t>d</w:t>
            </w:r>
            <w:r w:rsidRPr="00A2441D">
              <w:t xml:space="preserve"> twice a week (rather than once a week), therefore the script relativity should be 1:2.</w:t>
            </w:r>
          </w:p>
          <w:p w14:paraId="26DAC15D" w14:textId="37AA2E0E" w:rsidR="00764B04" w:rsidRPr="00A2441D" w:rsidRDefault="00764B04" w:rsidP="007C309F">
            <w:pPr>
              <w:pStyle w:val="TableText0"/>
              <w:keepNext w:val="0"/>
              <w:numPr>
                <w:ilvl w:val="0"/>
                <w:numId w:val="10"/>
              </w:numPr>
              <w:ind w:left="232" w:hanging="204"/>
            </w:pPr>
            <w:r w:rsidRPr="00A2441D">
              <w:t>The submission double count</w:t>
            </w:r>
            <w:r w:rsidR="00AE4CDB" w:rsidRPr="00A2441D">
              <w:t>ed</w:t>
            </w:r>
            <w:r w:rsidRPr="00A2441D">
              <w:t xml:space="preserve"> TOF scripts substituting </w:t>
            </w:r>
            <w:r w:rsidR="00AE4CDB" w:rsidRPr="00A2441D">
              <w:t xml:space="preserve">for </w:t>
            </w:r>
            <w:r w:rsidRPr="00A2441D">
              <w:t>TOC 162</w:t>
            </w:r>
            <w:r w:rsidR="007252C3">
              <w:t xml:space="preserve"> </w:t>
            </w:r>
            <w:r w:rsidRPr="00A2441D">
              <w:t>mg scripts.</w:t>
            </w:r>
          </w:p>
          <w:p w14:paraId="3138E580" w14:textId="6FDE2123" w:rsidR="00764B04" w:rsidRPr="00A2441D" w:rsidRDefault="00764B04" w:rsidP="007C309F">
            <w:pPr>
              <w:pStyle w:val="TableText0"/>
              <w:keepNext w:val="0"/>
              <w:numPr>
                <w:ilvl w:val="0"/>
                <w:numId w:val="10"/>
              </w:numPr>
              <w:ind w:left="232" w:hanging="204"/>
            </w:pPr>
            <w:r w:rsidRPr="00A2441D">
              <w:t>The submission assume</w:t>
            </w:r>
            <w:r w:rsidR="00AE4CDB" w:rsidRPr="00A2441D">
              <w:t>d</w:t>
            </w:r>
            <w:r w:rsidRPr="00A2441D">
              <w:t xml:space="preserve"> TOF solution will substitute ADA 40</w:t>
            </w:r>
            <w:r w:rsidR="007252C3">
              <w:t xml:space="preserve"> </w:t>
            </w:r>
            <w:r w:rsidRPr="00A2441D">
              <w:t xml:space="preserve">mg for initial treatment and TOF tablets will substitute ADA 40mg for continuing treatment. </w:t>
            </w:r>
          </w:p>
        </w:tc>
      </w:tr>
      <w:tr w:rsidR="00764B04" w:rsidRPr="00A2441D" w14:paraId="2A55D1A6" w14:textId="77777777" w:rsidTr="005C2766">
        <w:tc>
          <w:tcPr>
            <w:tcW w:w="626" w:type="pct"/>
            <w:vAlign w:val="center"/>
          </w:tcPr>
          <w:p w14:paraId="39058C24" w14:textId="77777777" w:rsidR="00764B04" w:rsidRPr="00A2441D" w:rsidRDefault="00764B04" w:rsidP="00DC4DA8">
            <w:pPr>
              <w:pStyle w:val="TableText0"/>
              <w:keepNext w:val="0"/>
            </w:pPr>
            <w:r w:rsidRPr="00A2441D">
              <w:t>Grandfather patients</w:t>
            </w:r>
          </w:p>
        </w:tc>
        <w:tc>
          <w:tcPr>
            <w:tcW w:w="1224" w:type="pct"/>
            <w:vAlign w:val="center"/>
          </w:tcPr>
          <w:p w14:paraId="24DE09D6" w14:textId="77777777" w:rsidR="00764B04" w:rsidRPr="00A2441D" w:rsidRDefault="00764B04" w:rsidP="00DC4DA8">
            <w:pPr>
              <w:pStyle w:val="TableText0"/>
              <w:keepNext w:val="0"/>
            </w:pPr>
            <w:r w:rsidRPr="00A2441D">
              <w:t>Initial treatment (2 scripts)</w:t>
            </w:r>
          </w:p>
          <w:p w14:paraId="752C1887" w14:textId="401C156F" w:rsidR="00764B04" w:rsidRPr="00A2441D" w:rsidRDefault="00764B04" w:rsidP="007C309F">
            <w:pPr>
              <w:pStyle w:val="TableText0"/>
              <w:keepNext w:val="0"/>
              <w:numPr>
                <w:ilvl w:val="0"/>
                <w:numId w:val="12"/>
              </w:numPr>
              <w:ind w:left="256" w:hanging="181"/>
            </w:pPr>
            <w:r w:rsidRPr="00A2441D">
              <w:t xml:space="preserve">Yr1: </w:t>
            </w:r>
            <w:r w:rsidR="00F46153" w:rsidRPr="007B6D9F">
              <w:rPr>
                <w:color w:val="000000"/>
                <w:spacing w:val="42"/>
                <w:shd w:val="solid" w:color="000000" w:fill="000000"/>
                <w:fitText w:val="466" w:id="-1236607742"/>
                <w14:textFill>
                  <w14:solidFill>
                    <w14:srgbClr w14:val="000000">
                      <w14:alpha w14:val="100000"/>
                    </w14:srgbClr>
                  </w14:solidFill>
                </w14:textFill>
              </w:rPr>
              <w:t>|||||</w:t>
            </w:r>
            <w:r w:rsidR="00F46153" w:rsidRPr="007B6D9F">
              <w:rPr>
                <w:color w:val="000000"/>
                <w:spacing w:val="1"/>
                <w:shd w:val="solid" w:color="000000" w:fill="000000"/>
                <w:fitText w:val="466" w:id="-1236607742"/>
                <w14:textFill>
                  <w14:solidFill>
                    <w14:srgbClr w14:val="000000">
                      <w14:alpha w14:val="100000"/>
                    </w14:srgbClr>
                  </w14:solidFill>
                </w14:textFill>
              </w:rPr>
              <w:t>|</w:t>
            </w:r>
            <w:r w:rsidR="007773B7">
              <w:rPr>
                <w:vertAlign w:val="superscript"/>
              </w:rPr>
              <w:t>1</w:t>
            </w:r>
            <w:r w:rsidRPr="00A2441D">
              <w:t xml:space="preserve"> patients</w:t>
            </w:r>
          </w:p>
          <w:p w14:paraId="37B5DF51" w14:textId="77777777" w:rsidR="00764B04" w:rsidRPr="00A2441D" w:rsidRDefault="00764B04" w:rsidP="00DC4DA8">
            <w:pPr>
              <w:pStyle w:val="TableText0"/>
              <w:keepNext w:val="0"/>
            </w:pPr>
            <w:r w:rsidRPr="00A2441D">
              <w:t>Continuing treatment (13.04 scripts/year for TOF tablet; 12 scripts/year for TOF solution)</w:t>
            </w:r>
          </w:p>
          <w:p w14:paraId="5744EC08" w14:textId="55764D3C" w:rsidR="00764B04" w:rsidRPr="00A2441D" w:rsidRDefault="00764B04" w:rsidP="007C309F">
            <w:pPr>
              <w:pStyle w:val="TableText0"/>
              <w:keepNext w:val="0"/>
              <w:numPr>
                <w:ilvl w:val="0"/>
                <w:numId w:val="12"/>
              </w:numPr>
              <w:ind w:left="256" w:hanging="181"/>
            </w:pPr>
            <w:r w:rsidRPr="00A2441D">
              <w:t xml:space="preserve">Yr1: </w:t>
            </w:r>
            <w:r w:rsidR="00F46153" w:rsidRPr="007B6D9F">
              <w:rPr>
                <w:color w:val="000000"/>
                <w:spacing w:val="42"/>
                <w:shd w:val="solid" w:color="000000" w:fill="000000"/>
                <w:fitText w:val="466" w:id="-1236607741"/>
                <w14:textFill>
                  <w14:solidFill>
                    <w14:srgbClr w14:val="000000">
                      <w14:alpha w14:val="100000"/>
                    </w14:srgbClr>
                  </w14:solidFill>
                </w14:textFill>
              </w:rPr>
              <w:t>|||||</w:t>
            </w:r>
            <w:r w:rsidR="00F46153" w:rsidRPr="007B6D9F">
              <w:rPr>
                <w:color w:val="000000"/>
                <w:spacing w:val="1"/>
                <w:shd w:val="solid" w:color="000000" w:fill="000000"/>
                <w:fitText w:val="466" w:id="-1236607741"/>
                <w14:textFill>
                  <w14:solidFill>
                    <w14:srgbClr w14:val="000000">
                      <w14:alpha w14:val="100000"/>
                    </w14:srgbClr>
                  </w14:solidFill>
                </w14:textFill>
              </w:rPr>
              <w:t>|</w:t>
            </w:r>
            <w:r w:rsidR="007773B7">
              <w:rPr>
                <w:vertAlign w:val="superscript"/>
              </w:rPr>
              <w:t>1</w:t>
            </w:r>
          </w:p>
          <w:p w14:paraId="0A1FE54C" w14:textId="5EA3205A" w:rsidR="00764B04" w:rsidRPr="00A2441D" w:rsidRDefault="00764B04" w:rsidP="007C309F">
            <w:pPr>
              <w:pStyle w:val="TableText0"/>
              <w:keepNext w:val="0"/>
              <w:numPr>
                <w:ilvl w:val="0"/>
                <w:numId w:val="12"/>
              </w:numPr>
              <w:ind w:left="256" w:hanging="181"/>
            </w:pPr>
            <w:r w:rsidRPr="00A2441D">
              <w:t xml:space="preserve">Yr2: </w:t>
            </w:r>
            <w:r w:rsidR="00F46153" w:rsidRPr="007B6D9F">
              <w:rPr>
                <w:color w:val="000000"/>
                <w:spacing w:val="42"/>
                <w:shd w:val="solid" w:color="000000" w:fill="000000"/>
                <w:fitText w:val="466" w:id="-1236607740"/>
                <w14:textFill>
                  <w14:solidFill>
                    <w14:srgbClr w14:val="000000">
                      <w14:alpha w14:val="100000"/>
                    </w14:srgbClr>
                  </w14:solidFill>
                </w14:textFill>
              </w:rPr>
              <w:t>|||||</w:t>
            </w:r>
            <w:r w:rsidR="00F46153" w:rsidRPr="007B6D9F">
              <w:rPr>
                <w:color w:val="000000"/>
                <w:spacing w:val="1"/>
                <w:shd w:val="solid" w:color="000000" w:fill="000000"/>
                <w:fitText w:val="466" w:id="-1236607740"/>
                <w14:textFill>
                  <w14:solidFill>
                    <w14:srgbClr w14:val="000000">
                      <w14:alpha w14:val="100000"/>
                    </w14:srgbClr>
                  </w14:solidFill>
                </w14:textFill>
              </w:rPr>
              <w:t>|</w:t>
            </w:r>
            <w:r w:rsidR="007773B7">
              <w:rPr>
                <w:vertAlign w:val="superscript"/>
              </w:rPr>
              <w:t>1</w:t>
            </w:r>
          </w:p>
          <w:p w14:paraId="04AC47CA" w14:textId="239C0284" w:rsidR="00764B04" w:rsidRPr="00A2441D" w:rsidRDefault="00764B04" w:rsidP="007C309F">
            <w:pPr>
              <w:pStyle w:val="TableText0"/>
              <w:keepNext w:val="0"/>
              <w:numPr>
                <w:ilvl w:val="0"/>
                <w:numId w:val="12"/>
              </w:numPr>
              <w:ind w:left="256" w:hanging="181"/>
            </w:pPr>
            <w:r w:rsidRPr="00A2441D">
              <w:t xml:space="preserve">Yr3: </w:t>
            </w:r>
            <w:r w:rsidR="00F46153" w:rsidRPr="007B6D9F">
              <w:rPr>
                <w:color w:val="000000"/>
                <w:spacing w:val="42"/>
                <w:shd w:val="solid" w:color="000000" w:fill="000000"/>
                <w:fitText w:val="466" w:id="-1236607739"/>
                <w14:textFill>
                  <w14:solidFill>
                    <w14:srgbClr w14:val="000000">
                      <w14:alpha w14:val="100000"/>
                    </w14:srgbClr>
                  </w14:solidFill>
                </w14:textFill>
              </w:rPr>
              <w:t>|||||</w:t>
            </w:r>
            <w:r w:rsidR="00F46153" w:rsidRPr="007B6D9F">
              <w:rPr>
                <w:color w:val="000000"/>
                <w:spacing w:val="1"/>
                <w:shd w:val="solid" w:color="000000" w:fill="000000"/>
                <w:fitText w:val="466" w:id="-1236607739"/>
                <w14:textFill>
                  <w14:solidFill>
                    <w14:srgbClr w14:val="000000">
                      <w14:alpha w14:val="100000"/>
                    </w14:srgbClr>
                  </w14:solidFill>
                </w14:textFill>
              </w:rPr>
              <w:t>|</w:t>
            </w:r>
            <w:r w:rsidR="007773B7">
              <w:rPr>
                <w:vertAlign w:val="superscript"/>
              </w:rPr>
              <w:t>1</w:t>
            </w:r>
          </w:p>
          <w:p w14:paraId="604AC62E" w14:textId="687F082F" w:rsidR="00764B04" w:rsidRPr="00A2441D" w:rsidRDefault="00764B04" w:rsidP="007C309F">
            <w:pPr>
              <w:pStyle w:val="TableText0"/>
              <w:keepNext w:val="0"/>
              <w:numPr>
                <w:ilvl w:val="0"/>
                <w:numId w:val="12"/>
              </w:numPr>
              <w:ind w:left="256" w:hanging="181"/>
            </w:pPr>
            <w:r w:rsidRPr="00A2441D">
              <w:t xml:space="preserve">Yr4: </w:t>
            </w:r>
            <w:r w:rsidR="00F46153" w:rsidRPr="007B6D9F">
              <w:rPr>
                <w:color w:val="000000"/>
                <w:spacing w:val="42"/>
                <w:shd w:val="solid" w:color="000000" w:fill="000000"/>
                <w:fitText w:val="466" w:id="-1236607738"/>
                <w14:textFill>
                  <w14:solidFill>
                    <w14:srgbClr w14:val="000000">
                      <w14:alpha w14:val="100000"/>
                    </w14:srgbClr>
                  </w14:solidFill>
                </w14:textFill>
              </w:rPr>
              <w:t>|||||</w:t>
            </w:r>
            <w:r w:rsidR="00F46153" w:rsidRPr="007B6D9F">
              <w:rPr>
                <w:color w:val="000000"/>
                <w:spacing w:val="1"/>
                <w:shd w:val="solid" w:color="000000" w:fill="000000"/>
                <w:fitText w:val="466" w:id="-1236607738"/>
                <w14:textFill>
                  <w14:solidFill>
                    <w14:srgbClr w14:val="000000">
                      <w14:alpha w14:val="100000"/>
                    </w14:srgbClr>
                  </w14:solidFill>
                </w14:textFill>
              </w:rPr>
              <w:t>|</w:t>
            </w:r>
            <w:r w:rsidR="007773B7">
              <w:rPr>
                <w:vertAlign w:val="superscript"/>
              </w:rPr>
              <w:t>1</w:t>
            </w:r>
          </w:p>
          <w:p w14:paraId="2FA1BC96" w14:textId="35971FC0" w:rsidR="00764B04" w:rsidRPr="00A2441D" w:rsidRDefault="00764B04" w:rsidP="007C309F">
            <w:pPr>
              <w:pStyle w:val="TableText0"/>
              <w:keepNext w:val="0"/>
              <w:numPr>
                <w:ilvl w:val="0"/>
                <w:numId w:val="12"/>
              </w:numPr>
              <w:ind w:left="256" w:hanging="181"/>
            </w:pPr>
            <w:r w:rsidRPr="00A2441D">
              <w:t xml:space="preserve">Yr5: </w:t>
            </w:r>
            <w:r w:rsidR="00F46153" w:rsidRPr="007B6D9F">
              <w:rPr>
                <w:color w:val="000000"/>
                <w:spacing w:val="42"/>
                <w:shd w:val="solid" w:color="000000" w:fill="000000"/>
                <w:fitText w:val="466" w:id="-1236607737"/>
                <w14:textFill>
                  <w14:solidFill>
                    <w14:srgbClr w14:val="000000">
                      <w14:alpha w14:val="100000"/>
                    </w14:srgbClr>
                  </w14:solidFill>
                </w14:textFill>
              </w:rPr>
              <w:t>|||||</w:t>
            </w:r>
            <w:r w:rsidR="00F46153" w:rsidRPr="007B6D9F">
              <w:rPr>
                <w:color w:val="000000"/>
                <w:spacing w:val="1"/>
                <w:shd w:val="solid" w:color="000000" w:fill="000000"/>
                <w:fitText w:val="466" w:id="-1236607737"/>
                <w14:textFill>
                  <w14:solidFill>
                    <w14:srgbClr w14:val="000000">
                      <w14:alpha w14:val="100000"/>
                    </w14:srgbClr>
                  </w14:solidFill>
                </w14:textFill>
              </w:rPr>
              <w:t>|</w:t>
            </w:r>
            <w:r w:rsidR="007773B7">
              <w:rPr>
                <w:vertAlign w:val="superscript"/>
              </w:rPr>
              <w:t>1</w:t>
            </w:r>
          </w:p>
          <w:p w14:paraId="6ACC9337" w14:textId="3AB7B76B" w:rsidR="00764B04" w:rsidRPr="00A2441D" w:rsidRDefault="00764B04" w:rsidP="007C309F">
            <w:pPr>
              <w:pStyle w:val="TableText0"/>
              <w:keepNext w:val="0"/>
              <w:numPr>
                <w:ilvl w:val="0"/>
                <w:numId w:val="12"/>
              </w:numPr>
              <w:ind w:left="256" w:hanging="181"/>
            </w:pPr>
            <w:r w:rsidRPr="00A2441D">
              <w:t xml:space="preserve">Yr6: </w:t>
            </w:r>
            <w:r w:rsidR="00F46153" w:rsidRPr="007B6D9F">
              <w:rPr>
                <w:color w:val="000000"/>
                <w:spacing w:val="42"/>
                <w:shd w:val="solid" w:color="000000" w:fill="000000"/>
                <w:fitText w:val="466" w:id="-1236607736"/>
                <w14:textFill>
                  <w14:solidFill>
                    <w14:srgbClr w14:val="000000">
                      <w14:alpha w14:val="100000"/>
                    </w14:srgbClr>
                  </w14:solidFill>
                </w14:textFill>
              </w:rPr>
              <w:t>|||||</w:t>
            </w:r>
            <w:r w:rsidR="00F46153" w:rsidRPr="007B6D9F">
              <w:rPr>
                <w:color w:val="000000"/>
                <w:spacing w:val="1"/>
                <w:shd w:val="solid" w:color="000000" w:fill="000000"/>
                <w:fitText w:val="466" w:id="-1236607736"/>
                <w14:textFill>
                  <w14:solidFill>
                    <w14:srgbClr w14:val="000000">
                      <w14:alpha w14:val="100000"/>
                    </w14:srgbClr>
                  </w14:solidFill>
                </w14:textFill>
              </w:rPr>
              <w:t>|</w:t>
            </w:r>
            <w:r w:rsidR="007773B7">
              <w:rPr>
                <w:vertAlign w:val="superscript"/>
              </w:rPr>
              <w:t>1</w:t>
            </w:r>
          </w:p>
        </w:tc>
        <w:tc>
          <w:tcPr>
            <w:tcW w:w="1685" w:type="pct"/>
            <w:vAlign w:val="center"/>
          </w:tcPr>
          <w:p w14:paraId="4538A52F" w14:textId="1A672869" w:rsidR="00764B04" w:rsidRPr="00A2441D" w:rsidRDefault="00764B04" w:rsidP="00DC4DA8">
            <w:pPr>
              <w:pStyle w:val="TableText0"/>
              <w:keepNext w:val="0"/>
            </w:pPr>
            <w:r w:rsidRPr="00A2441D">
              <w:t xml:space="preserve">The submission stated the estimates include </w:t>
            </w:r>
            <w:r w:rsidR="00F46153" w:rsidRPr="007B6D9F">
              <w:rPr>
                <w:color w:val="000000"/>
                <w:spacing w:val="29"/>
                <w:shd w:val="solid" w:color="000000" w:fill="000000"/>
                <w:fitText w:val="550" w:id="-1236607735"/>
                <w14:textFill>
                  <w14:solidFill>
                    <w14:srgbClr w14:val="000000">
                      <w14:alpha w14:val="100000"/>
                    </w14:srgbClr>
                  </w14:solidFill>
                </w14:textFill>
              </w:rPr>
              <w:t>|||||||</w:t>
            </w:r>
            <w:r w:rsidR="00F46153" w:rsidRPr="007B6D9F">
              <w:rPr>
                <w:color w:val="000000"/>
                <w:spacing w:val="7"/>
                <w:shd w:val="solid" w:color="000000" w:fill="000000"/>
                <w:fitText w:val="550" w:id="-1236607735"/>
                <w14:textFill>
                  <w14:solidFill>
                    <w14:srgbClr w14:val="000000">
                      <w14:alpha w14:val="100000"/>
                    </w14:srgbClr>
                  </w14:solidFill>
                </w14:textFill>
              </w:rPr>
              <w:t>|</w:t>
            </w:r>
            <w:r w:rsidR="007773B7">
              <w:rPr>
                <w:vertAlign w:val="superscript"/>
              </w:rPr>
              <w:t>1</w:t>
            </w:r>
            <w:r w:rsidRPr="00A2441D">
              <w:t xml:space="preserve"> grandfather patients who may receive TOF in the sponsor’s planned patient familiarisation scheme prior to PBS listing. The submission assumed 59.1% of patients would use TOF tablets and 40.9% TOF oral solution. To calculate the proportion continuing treatment, the submission assumed 83.3% of patients would meet the continuation criteria each year.</w:t>
            </w:r>
          </w:p>
        </w:tc>
        <w:tc>
          <w:tcPr>
            <w:tcW w:w="1466" w:type="pct"/>
            <w:vAlign w:val="center"/>
          </w:tcPr>
          <w:p w14:paraId="2925CDD3" w14:textId="6110CD72" w:rsidR="00764B04" w:rsidRPr="00A2441D" w:rsidRDefault="00764B04" w:rsidP="00764B04">
            <w:pPr>
              <w:pStyle w:val="TableText0"/>
              <w:keepNext w:val="0"/>
            </w:pPr>
            <w:r w:rsidRPr="00A2441D">
              <w:t xml:space="preserve">The submission may be double counting the </w:t>
            </w:r>
            <w:r w:rsidR="00F46153" w:rsidRPr="007B6D9F">
              <w:rPr>
                <w:color w:val="000000"/>
                <w:spacing w:val="29"/>
                <w:shd w:val="solid" w:color="000000" w:fill="000000"/>
                <w:fitText w:val="549" w:id="-1236607734"/>
                <w14:textFill>
                  <w14:solidFill>
                    <w14:srgbClr w14:val="000000">
                      <w14:alpha w14:val="100000"/>
                    </w14:srgbClr>
                  </w14:solidFill>
                </w14:textFill>
              </w:rPr>
              <w:t>|||||||</w:t>
            </w:r>
            <w:r w:rsidR="00F46153" w:rsidRPr="007B6D9F">
              <w:rPr>
                <w:color w:val="000000"/>
                <w:spacing w:val="6"/>
                <w:shd w:val="solid" w:color="000000" w:fill="000000"/>
                <w:fitText w:val="549" w:id="-1236607734"/>
                <w14:textFill>
                  <w14:solidFill>
                    <w14:srgbClr w14:val="000000">
                      <w14:alpha w14:val="100000"/>
                    </w14:srgbClr>
                  </w14:solidFill>
                </w14:textFill>
              </w:rPr>
              <w:t>|</w:t>
            </w:r>
            <w:r w:rsidR="007773B7">
              <w:rPr>
                <w:vertAlign w:val="superscript"/>
              </w:rPr>
              <w:t>1</w:t>
            </w:r>
            <w:r w:rsidRPr="00A2441D">
              <w:t xml:space="preserve"> grandfather patients in the analysis given the historical prescription data likely capture</w:t>
            </w:r>
            <w:r w:rsidR="0062164E" w:rsidRPr="00A2441D">
              <w:t>d</w:t>
            </w:r>
            <w:r w:rsidRPr="00A2441D">
              <w:t xml:space="preserve"> these patients and the submission account</w:t>
            </w:r>
            <w:r w:rsidR="0062164E" w:rsidRPr="00A2441D">
              <w:t>ed</w:t>
            </w:r>
            <w:r w:rsidRPr="00A2441D">
              <w:t xml:space="preserve"> for additional market growth due to TOF separately (see below). The assumed scripts/year and continuation rate were unclear/ unverified.</w:t>
            </w:r>
          </w:p>
        </w:tc>
      </w:tr>
      <w:tr w:rsidR="00764B04" w:rsidRPr="00A2441D" w14:paraId="2B70FBE9" w14:textId="77777777" w:rsidTr="005C2766">
        <w:tc>
          <w:tcPr>
            <w:tcW w:w="626" w:type="pct"/>
            <w:vAlign w:val="center"/>
          </w:tcPr>
          <w:p w14:paraId="39589769" w14:textId="77777777" w:rsidR="00764B04" w:rsidRPr="00A2441D" w:rsidRDefault="00764B04" w:rsidP="00DC4DA8">
            <w:pPr>
              <w:pStyle w:val="TableText0"/>
              <w:keepNext w:val="0"/>
            </w:pPr>
            <w:r w:rsidRPr="00A2441D">
              <w:t>Market growth due to TOF, scripts</w:t>
            </w:r>
          </w:p>
        </w:tc>
        <w:tc>
          <w:tcPr>
            <w:tcW w:w="1224" w:type="pct"/>
            <w:vAlign w:val="center"/>
          </w:tcPr>
          <w:p w14:paraId="16B56346" w14:textId="582BBCD2" w:rsidR="00764B04" w:rsidRPr="00A2441D" w:rsidRDefault="00764B04" w:rsidP="00DC4DA8">
            <w:pPr>
              <w:pStyle w:val="TableText0"/>
              <w:keepNext w:val="0"/>
            </w:pPr>
            <w:r w:rsidRPr="00A2441D">
              <w:t xml:space="preserve">Yr1: </w:t>
            </w:r>
            <w:r w:rsidR="00F46153" w:rsidRPr="007B6D9F">
              <w:rPr>
                <w:color w:val="000000"/>
                <w:spacing w:val="28"/>
                <w:shd w:val="solid" w:color="000000" w:fill="000000"/>
                <w:fitText w:val="541" w:id="-1236607733"/>
                <w14:textFill>
                  <w14:solidFill>
                    <w14:srgbClr w14:val="000000">
                      <w14:alpha w14:val="100000"/>
                    </w14:srgbClr>
                  </w14:solidFill>
                </w14:textFill>
              </w:rPr>
              <w:t>|||||||</w:t>
            </w:r>
            <w:r w:rsidR="00F46153" w:rsidRPr="007B6D9F">
              <w:rPr>
                <w:color w:val="000000"/>
                <w:spacing w:val="5"/>
                <w:shd w:val="solid" w:color="000000" w:fill="000000"/>
                <w:fitText w:val="541" w:id="-1236607733"/>
                <w14:textFill>
                  <w14:solidFill>
                    <w14:srgbClr w14:val="000000">
                      <w14:alpha w14:val="100000"/>
                    </w14:srgbClr>
                  </w14:solidFill>
                </w14:textFill>
              </w:rPr>
              <w:t>|</w:t>
            </w:r>
            <w:r w:rsidRPr="00A2441D">
              <w:t xml:space="preserve">% </w:t>
            </w:r>
            <w:r w:rsidRPr="005B0CB3">
              <w:t>(</w:t>
            </w:r>
            <w:r w:rsidR="007B6D9F" w:rsidRPr="007B6D9F">
              <w:rPr>
                <w:color w:val="000000"/>
                <w:spacing w:val="45"/>
                <w:shd w:val="solid" w:color="000000" w:fill="000000"/>
                <w:fitText w:val="330" w:id="-1227629056"/>
                <w14:textFill>
                  <w14:solidFill>
                    <w14:srgbClr w14:val="000000">
                      <w14:alpha w14:val="100000"/>
                    </w14:srgbClr>
                  </w14:solidFill>
                </w14:textFill>
              </w:rPr>
              <w:t>|||</w:t>
            </w:r>
            <w:r w:rsidR="007B6D9F" w:rsidRPr="007B6D9F">
              <w:rPr>
                <w:color w:val="000000"/>
                <w:spacing w:val="15"/>
                <w:shd w:val="solid" w:color="000000" w:fill="000000"/>
                <w:fitText w:val="330" w:id="-1227629056"/>
                <w14:textFill>
                  <w14:solidFill>
                    <w14:srgbClr w14:val="000000">
                      <w14:alpha w14:val="100000"/>
                    </w14:srgbClr>
                  </w14:solidFill>
                </w14:textFill>
              </w:rPr>
              <w:t>|</w:t>
            </w:r>
            <w:r w:rsidRPr="005B0CB3">
              <w:t>pts</w:t>
            </w:r>
            <w:r w:rsidRPr="00A2441D">
              <w:t xml:space="preserve"> * 13 TOF scripts)</w:t>
            </w:r>
          </w:p>
          <w:p w14:paraId="47AE3CE3" w14:textId="254FF842" w:rsidR="00764B04" w:rsidRPr="00A2441D" w:rsidRDefault="00764B04" w:rsidP="00DC4DA8">
            <w:pPr>
              <w:pStyle w:val="TableText0"/>
              <w:keepNext w:val="0"/>
            </w:pPr>
            <w:r w:rsidRPr="00A2441D">
              <w:t xml:space="preserve">Yr2-6: </w:t>
            </w:r>
            <w:r w:rsidR="00F46153" w:rsidRPr="007B6D9F">
              <w:rPr>
                <w:color w:val="000000"/>
                <w:spacing w:val="29"/>
                <w:shd w:val="solid" w:color="000000" w:fill="000000"/>
                <w:fitText w:val="549" w:id="-1236607732"/>
                <w14:textFill>
                  <w14:solidFill>
                    <w14:srgbClr w14:val="000000">
                      <w14:alpha w14:val="100000"/>
                    </w14:srgbClr>
                  </w14:solidFill>
                </w14:textFill>
              </w:rPr>
              <w:t>|||||||</w:t>
            </w:r>
            <w:r w:rsidR="00F46153" w:rsidRPr="007B6D9F">
              <w:rPr>
                <w:color w:val="000000"/>
                <w:spacing w:val="6"/>
                <w:shd w:val="solid" w:color="000000" w:fill="000000"/>
                <w:fitText w:val="549" w:id="-1236607732"/>
                <w14:textFill>
                  <w14:solidFill>
                    <w14:srgbClr w14:val="000000">
                      <w14:alpha w14:val="100000"/>
                    </w14:srgbClr>
                  </w14:solidFill>
                </w14:textFill>
              </w:rPr>
              <w:t>|</w:t>
            </w:r>
            <w:r w:rsidRPr="00A2441D">
              <w:t>%/year (</w:t>
            </w:r>
            <w:r w:rsidR="007B6D9F" w:rsidRPr="007B6D9F">
              <w:rPr>
                <w:color w:val="000000"/>
                <w:spacing w:val="45"/>
                <w:shd w:val="solid" w:color="000000" w:fill="000000"/>
                <w:fitText w:val="330" w:id="-1227629055"/>
                <w14:textFill>
                  <w14:solidFill>
                    <w14:srgbClr w14:val="000000">
                      <w14:alpha w14:val="100000"/>
                    </w14:srgbClr>
                  </w14:solidFill>
                </w14:textFill>
              </w:rPr>
              <w:t>|||</w:t>
            </w:r>
            <w:r w:rsidR="007B6D9F" w:rsidRPr="007B6D9F">
              <w:rPr>
                <w:color w:val="000000"/>
                <w:spacing w:val="15"/>
                <w:shd w:val="solid" w:color="000000" w:fill="000000"/>
                <w:fitText w:val="330" w:id="-1227629055"/>
                <w14:textFill>
                  <w14:solidFill>
                    <w14:srgbClr w14:val="000000">
                      <w14:alpha w14:val="100000"/>
                    </w14:srgbClr>
                  </w14:solidFill>
                </w14:textFill>
              </w:rPr>
              <w:t>|</w:t>
            </w:r>
            <w:r w:rsidRPr="00A2441D">
              <w:t>pts * 13 TOF scripts)</w:t>
            </w:r>
          </w:p>
        </w:tc>
        <w:tc>
          <w:tcPr>
            <w:tcW w:w="1685" w:type="pct"/>
            <w:vAlign w:val="center"/>
          </w:tcPr>
          <w:p w14:paraId="02629CBF" w14:textId="00B6193B" w:rsidR="00764B04" w:rsidRPr="00A2441D" w:rsidRDefault="00764B04" w:rsidP="00DC4DA8">
            <w:pPr>
              <w:pStyle w:val="TableText0"/>
              <w:keepNext w:val="0"/>
            </w:pPr>
            <w:r w:rsidRPr="00A2441D">
              <w:t>The submission stated it was reasonable to assume some additional market growth given TOF would be the first oral therapy, but the number of currently untreated patients is likely small. The submission stated that the scripts and costs associated with additional patients were estimated separately in the excel spreadsheet due to ‘issues with the template.’</w:t>
            </w:r>
          </w:p>
        </w:tc>
        <w:tc>
          <w:tcPr>
            <w:tcW w:w="1466" w:type="pct"/>
            <w:vAlign w:val="center"/>
          </w:tcPr>
          <w:p w14:paraId="1C23FB6B" w14:textId="4CDC0C5D" w:rsidR="00764B04" w:rsidRPr="00A2441D" w:rsidRDefault="00764B04" w:rsidP="00562B3C">
            <w:pPr>
              <w:pStyle w:val="TableText0"/>
              <w:keepNext w:val="0"/>
            </w:pPr>
            <w:r w:rsidRPr="00A2441D">
              <w:t xml:space="preserve">Potential underestimate as a much higher proportion of potentially eligible patients may currently go untreated due to needle aversion. </w:t>
            </w:r>
            <w:r w:rsidR="00562B3C" w:rsidRPr="00A2441D">
              <w:t>T</w:t>
            </w:r>
            <w:r w:rsidRPr="00A2441D">
              <w:t>he calculations a</w:t>
            </w:r>
            <w:r w:rsidR="00562B3C" w:rsidRPr="00A2441D">
              <w:t xml:space="preserve">lso </w:t>
            </w:r>
            <w:r w:rsidRPr="00A2441D">
              <w:t xml:space="preserve">do not account for different script relativities, </w:t>
            </w:r>
            <w:r w:rsidR="00562B3C" w:rsidRPr="00A2441D">
              <w:t>which assumes</w:t>
            </w:r>
            <w:r w:rsidRPr="00A2441D">
              <w:t xml:space="preserve"> 1 </w:t>
            </w:r>
            <w:r w:rsidR="00562B3C" w:rsidRPr="00A2441D">
              <w:t>bDMARD</w:t>
            </w:r>
            <w:r w:rsidR="00741D32" w:rsidRPr="00A2441D">
              <w:t>/tsDMARD</w:t>
            </w:r>
            <w:r w:rsidR="00562B3C" w:rsidRPr="00A2441D">
              <w:t xml:space="preserve"> </w:t>
            </w:r>
            <w:r w:rsidRPr="00A2441D">
              <w:t xml:space="preserve">script </w:t>
            </w:r>
            <w:r w:rsidR="00562B3C" w:rsidRPr="00A2441D">
              <w:t xml:space="preserve">= </w:t>
            </w:r>
            <w:r w:rsidRPr="00A2441D">
              <w:t>1 script of TOF.</w:t>
            </w:r>
          </w:p>
        </w:tc>
      </w:tr>
      <w:tr w:rsidR="00764B04" w:rsidRPr="00A2441D" w14:paraId="2B91A01D" w14:textId="77777777" w:rsidTr="005C2766">
        <w:tc>
          <w:tcPr>
            <w:tcW w:w="626" w:type="pct"/>
            <w:vAlign w:val="center"/>
          </w:tcPr>
          <w:p w14:paraId="24EC9596" w14:textId="77777777" w:rsidR="00764B04" w:rsidRPr="00A2441D" w:rsidRDefault="00764B04" w:rsidP="00DC4DA8">
            <w:pPr>
              <w:pStyle w:val="TableText0"/>
              <w:keepNext w:val="0"/>
            </w:pPr>
            <w:r w:rsidRPr="00A2441D">
              <w:t>TOF DPMQ</w:t>
            </w:r>
          </w:p>
        </w:tc>
        <w:tc>
          <w:tcPr>
            <w:tcW w:w="1224" w:type="pct"/>
            <w:vAlign w:val="center"/>
          </w:tcPr>
          <w:p w14:paraId="23335C28" w14:textId="45BA3BA7" w:rsidR="00764B04" w:rsidRPr="00A2441D" w:rsidRDefault="00764B04" w:rsidP="00DC4DA8">
            <w:pPr>
              <w:pStyle w:val="TableText0"/>
              <w:keepNext w:val="0"/>
            </w:pPr>
            <w:r w:rsidRPr="00A2441D">
              <w:t>5mg tablet: $</w:t>
            </w:r>
            <w:r w:rsidR="00F46153" w:rsidRPr="007B6D9F">
              <w:rPr>
                <w:color w:val="000000"/>
                <w:spacing w:val="29"/>
                <w:shd w:val="solid" w:color="000000" w:fill="000000"/>
                <w:fitText w:val="550" w:id="-1236607731"/>
                <w14:textFill>
                  <w14:solidFill>
                    <w14:srgbClr w14:val="000000">
                      <w14:alpha w14:val="100000"/>
                    </w14:srgbClr>
                  </w14:solidFill>
                </w14:textFill>
              </w:rPr>
              <w:t>|||||||</w:t>
            </w:r>
            <w:r w:rsidR="00F46153" w:rsidRPr="007B6D9F">
              <w:rPr>
                <w:color w:val="000000"/>
                <w:spacing w:val="7"/>
                <w:shd w:val="solid" w:color="000000" w:fill="000000"/>
                <w:fitText w:val="550" w:id="-1236607731"/>
                <w14:textFill>
                  <w14:solidFill>
                    <w14:srgbClr w14:val="000000">
                      <w14:alpha w14:val="100000"/>
                    </w14:srgbClr>
                  </w14:solidFill>
                </w14:textFill>
              </w:rPr>
              <w:t>|</w:t>
            </w:r>
          </w:p>
          <w:p w14:paraId="04633B02" w14:textId="3E78A5E3" w:rsidR="00764B04" w:rsidRPr="00A2441D" w:rsidRDefault="00764B04" w:rsidP="00DC4DA8">
            <w:pPr>
              <w:pStyle w:val="TableText0"/>
              <w:keepNext w:val="0"/>
            </w:pPr>
            <w:r w:rsidRPr="00A2441D">
              <w:t>1mg/</w:t>
            </w:r>
            <w:r w:rsidR="001C7680">
              <w:t>mL</w:t>
            </w:r>
            <w:r w:rsidRPr="00A2441D">
              <w:t xml:space="preserve"> solution: $</w:t>
            </w:r>
            <w:r w:rsidR="00F46153" w:rsidRPr="007B6D9F">
              <w:rPr>
                <w:color w:val="000000"/>
                <w:spacing w:val="28"/>
                <w:shd w:val="solid" w:color="000000" w:fill="000000"/>
                <w:fitText w:val="541" w:id="-1236607730"/>
                <w14:textFill>
                  <w14:solidFill>
                    <w14:srgbClr w14:val="000000">
                      <w14:alpha w14:val="100000"/>
                    </w14:srgbClr>
                  </w14:solidFill>
                </w14:textFill>
              </w:rPr>
              <w:t>|||||||</w:t>
            </w:r>
            <w:r w:rsidR="00F46153" w:rsidRPr="007B6D9F">
              <w:rPr>
                <w:color w:val="000000"/>
                <w:spacing w:val="5"/>
                <w:shd w:val="solid" w:color="000000" w:fill="000000"/>
                <w:fitText w:val="541" w:id="-1236607730"/>
                <w14:textFill>
                  <w14:solidFill>
                    <w14:srgbClr w14:val="000000">
                      <w14:alpha w14:val="100000"/>
                    </w14:srgbClr>
                  </w14:solidFill>
                </w14:textFill>
              </w:rPr>
              <w:t>|</w:t>
            </w:r>
          </w:p>
        </w:tc>
        <w:tc>
          <w:tcPr>
            <w:tcW w:w="1685" w:type="pct"/>
            <w:vAlign w:val="center"/>
          </w:tcPr>
          <w:p w14:paraId="6DDB7259" w14:textId="77777777" w:rsidR="00764B04" w:rsidRPr="00A2441D" w:rsidRDefault="00764B04" w:rsidP="00DC4DA8">
            <w:pPr>
              <w:pStyle w:val="TableText0"/>
              <w:keepNext w:val="0"/>
            </w:pPr>
            <w:r w:rsidRPr="00A2441D">
              <w:t>Requested effective price</w:t>
            </w:r>
          </w:p>
        </w:tc>
        <w:tc>
          <w:tcPr>
            <w:tcW w:w="1466" w:type="pct"/>
            <w:vAlign w:val="center"/>
          </w:tcPr>
          <w:p w14:paraId="16BEAA22" w14:textId="1D8B5F98" w:rsidR="00764B04" w:rsidRPr="00A2441D" w:rsidRDefault="00012AA7" w:rsidP="00012AA7">
            <w:pPr>
              <w:pStyle w:val="TableText0"/>
              <w:keepNext w:val="0"/>
            </w:pPr>
            <w:r w:rsidRPr="00A2441D">
              <w:t xml:space="preserve"> </w:t>
            </w:r>
          </w:p>
        </w:tc>
      </w:tr>
      <w:tr w:rsidR="00764B04" w:rsidRPr="00A2441D" w14:paraId="3E4D713C" w14:textId="77777777" w:rsidTr="005C2766">
        <w:tc>
          <w:tcPr>
            <w:tcW w:w="626" w:type="pct"/>
            <w:vAlign w:val="center"/>
          </w:tcPr>
          <w:p w14:paraId="0CB83023" w14:textId="19EE7899" w:rsidR="00764B04" w:rsidRPr="00A2441D" w:rsidRDefault="00764B04" w:rsidP="00DC4DA8">
            <w:pPr>
              <w:pStyle w:val="TableText0"/>
              <w:keepNext w:val="0"/>
            </w:pPr>
            <w:r w:rsidRPr="00A2441D">
              <w:t>bDMARD</w:t>
            </w:r>
            <w:r w:rsidR="00E437A1" w:rsidRPr="00A2441D">
              <w:t>/ tsDMARD</w:t>
            </w:r>
            <w:r w:rsidRPr="00A2441D">
              <w:t xml:space="preserve"> DPMQs</w:t>
            </w:r>
          </w:p>
        </w:tc>
        <w:tc>
          <w:tcPr>
            <w:tcW w:w="1224" w:type="pct"/>
            <w:vAlign w:val="center"/>
          </w:tcPr>
          <w:p w14:paraId="111B59A7" w14:textId="29C892BE" w:rsidR="00764B04" w:rsidRPr="00A2441D" w:rsidRDefault="00764B04" w:rsidP="00DC4DA8">
            <w:pPr>
              <w:pStyle w:val="TableText0"/>
              <w:keepNext w:val="0"/>
            </w:pPr>
            <w:r w:rsidRPr="00A2441D">
              <w:t>ADA 40mg: $830.57</w:t>
            </w:r>
          </w:p>
          <w:p w14:paraId="614B1237" w14:textId="0EB25081" w:rsidR="00764B04" w:rsidRPr="00A2441D" w:rsidRDefault="00764B04" w:rsidP="00DC4DA8">
            <w:pPr>
              <w:pStyle w:val="TableText0"/>
              <w:keepNext w:val="0"/>
            </w:pPr>
            <w:r w:rsidRPr="00A2441D">
              <w:t>ADA 20mg: $830.57</w:t>
            </w:r>
          </w:p>
          <w:p w14:paraId="1806AAD0" w14:textId="69C7114B" w:rsidR="00764B04" w:rsidRPr="00A2441D" w:rsidRDefault="00764B04" w:rsidP="00DC4DA8">
            <w:pPr>
              <w:pStyle w:val="TableText0"/>
              <w:keepNext w:val="0"/>
            </w:pPr>
            <w:r w:rsidRPr="00A2441D">
              <w:t>ETN 50mg: $952.71</w:t>
            </w:r>
          </w:p>
          <w:p w14:paraId="52D3B771" w14:textId="14EF5F70" w:rsidR="00764B04" w:rsidRPr="00A2441D" w:rsidRDefault="00764B04" w:rsidP="00DC4DA8">
            <w:pPr>
              <w:pStyle w:val="TableText0"/>
              <w:keepNext w:val="0"/>
            </w:pPr>
            <w:r w:rsidRPr="00A2441D">
              <w:t>ETN 25mg: $477.52</w:t>
            </w:r>
          </w:p>
          <w:p w14:paraId="1F3147A3" w14:textId="3E2D0276" w:rsidR="00764B04" w:rsidRPr="00A2441D" w:rsidRDefault="00764B04" w:rsidP="00DC4DA8">
            <w:pPr>
              <w:pStyle w:val="TableText0"/>
              <w:keepNext w:val="0"/>
            </w:pPr>
            <w:r w:rsidRPr="00A2441D">
              <w:t>TOC IV 80mg: $85.69</w:t>
            </w:r>
          </w:p>
          <w:p w14:paraId="40960D09" w14:textId="5FC43A3D" w:rsidR="00764B04" w:rsidRPr="00A2441D" w:rsidRDefault="00764B04" w:rsidP="00DC4DA8">
            <w:pPr>
              <w:pStyle w:val="TableText0"/>
              <w:keepNext w:val="0"/>
            </w:pPr>
            <w:r w:rsidRPr="00A2441D">
              <w:t>TOC IV 200mg: $208.46</w:t>
            </w:r>
          </w:p>
          <w:p w14:paraId="577EDD6C" w14:textId="05FB1A0B" w:rsidR="00764B04" w:rsidRPr="00A2441D" w:rsidRDefault="00764B04" w:rsidP="00DC4DA8">
            <w:pPr>
              <w:pStyle w:val="TableText0"/>
              <w:keepNext w:val="0"/>
            </w:pPr>
            <w:r w:rsidRPr="00A2441D">
              <w:t>TOC IV 400mg: $412.52</w:t>
            </w:r>
          </w:p>
          <w:p w14:paraId="39015931" w14:textId="10740861" w:rsidR="00764B04" w:rsidRPr="00A2441D" w:rsidRDefault="00764B04" w:rsidP="00DC4DA8">
            <w:pPr>
              <w:pStyle w:val="TableText0"/>
              <w:keepNext w:val="0"/>
            </w:pPr>
            <w:r w:rsidRPr="00A2441D">
              <w:t xml:space="preserve">TOC </w:t>
            </w:r>
            <w:r w:rsidR="00012AA7" w:rsidRPr="00A2441D">
              <w:t xml:space="preserve">SC </w:t>
            </w:r>
            <w:r w:rsidRPr="00A2441D">
              <w:t xml:space="preserve">162mg: </w:t>
            </w:r>
            <w:r w:rsidR="00012AA7" w:rsidRPr="00A2441D">
              <w:t>$</w:t>
            </w:r>
            <w:r w:rsidRPr="00A2441D">
              <w:t>811.89</w:t>
            </w:r>
          </w:p>
        </w:tc>
        <w:tc>
          <w:tcPr>
            <w:tcW w:w="1685" w:type="pct"/>
            <w:vAlign w:val="center"/>
          </w:tcPr>
          <w:p w14:paraId="03C7884B" w14:textId="77777777" w:rsidR="00764B04" w:rsidRPr="00A2441D" w:rsidRDefault="00764B04" w:rsidP="00DC4DA8">
            <w:pPr>
              <w:pStyle w:val="TableText0"/>
              <w:keepNext w:val="0"/>
            </w:pPr>
            <w:r w:rsidRPr="00A2441D">
              <w:t xml:space="preserve">Published DPMQ for corresponding item numbers (see above). The submission estimated a single weighted DPMQ for the S100 listing for ADA, ETN and TOC IV, assuming 70:30 split between public and private prices. </w:t>
            </w:r>
          </w:p>
        </w:tc>
        <w:tc>
          <w:tcPr>
            <w:tcW w:w="1466" w:type="pct"/>
            <w:vAlign w:val="center"/>
          </w:tcPr>
          <w:p w14:paraId="18C45068" w14:textId="06DF1A05" w:rsidR="00764B04" w:rsidRPr="00A2441D" w:rsidRDefault="00764B04" w:rsidP="00DC4DA8">
            <w:pPr>
              <w:pStyle w:val="TableText0"/>
              <w:keepNext w:val="0"/>
            </w:pPr>
            <w:r w:rsidRPr="00A2441D">
              <w:t>Consistent with current published DPMQs. The submission stated that ADA, ETN and TOC are all F2 and do not have effective prices, but it was unknown whether there were indication specific prices.</w:t>
            </w:r>
          </w:p>
        </w:tc>
      </w:tr>
      <w:tr w:rsidR="00764B04" w:rsidRPr="00A2441D" w14:paraId="3D3E3CA2" w14:textId="77777777" w:rsidTr="005C2766">
        <w:tc>
          <w:tcPr>
            <w:tcW w:w="626" w:type="pct"/>
            <w:vAlign w:val="center"/>
          </w:tcPr>
          <w:p w14:paraId="5A10D63C" w14:textId="77777777" w:rsidR="00764B04" w:rsidRPr="00A2441D" w:rsidRDefault="00764B04" w:rsidP="00DC4DA8">
            <w:pPr>
              <w:pStyle w:val="TableText0"/>
              <w:keepNext w:val="0"/>
            </w:pPr>
            <w:r w:rsidRPr="00A2441D">
              <w:t>MBS costs</w:t>
            </w:r>
          </w:p>
        </w:tc>
        <w:tc>
          <w:tcPr>
            <w:tcW w:w="1224" w:type="pct"/>
            <w:vAlign w:val="center"/>
          </w:tcPr>
          <w:p w14:paraId="52F7B208" w14:textId="77777777" w:rsidR="00764B04" w:rsidRPr="00A2441D" w:rsidRDefault="00764B04" w:rsidP="00DC4DA8">
            <w:pPr>
              <w:pStyle w:val="TableText0"/>
              <w:keepNext w:val="0"/>
            </w:pPr>
            <w:r w:rsidRPr="00A2441D">
              <w:t>TOC IV (80mg, 200mg, 400mg): $103.55 per script for administration</w:t>
            </w:r>
          </w:p>
        </w:tc>
        <w:tc>
          <w:tcPr>
            <w:tcW w:w="1685" w:type="pct"/>
            <w:vAlign w:val="center"/>
          </w:tcPr>
          <w:p w14:paraId="0375CEE0" w14:textId="77777777" w:rsidR="00764B04" w:rsidRPr="00A2441D" w:rsidRDefault="00764B04" w:rsidP="00DC4DA8">
            <w:pPr>
              <w:pStyle w:val="TableText0"/>
              <w:keepNext w:val="0"/>
            </w:pPr>
            <w:r w:rsidRPr="00A2441D">
              <w:t>MBS item number 14245</w:t>
            </w:r>
          </w:p>
        </w:tc>
        <w:tc>
          <w:tcPr>
            <w:tcW w:w="1466" w:type="pct"/>
            <w:vAlign w:val="center"/>
          </w:tcPr>
          <w:p w14:paraId="598E256A" w14:textId="77777777" w:rsidR="00764B04" w:rsidRPr="00A2441D" w:rsidRDefault="00764B04" w:rsidP="00DC4DA8">
            <w:pPr>
              <w:pStyle w:val="TableText0"/>
              <w:keepNext w:val="0"/>
            </w:pPr>
            <w:r w:rsidRPr="00A2441D">
              <w:t>Reasonable, though there may be more than one script per administration.</w:t>
            </w:r>
          </w:p>
        </w:tc>
      </w:tr>
    </w:tbl>
    <w:p w14:paraId="10053F37" w14:textId="77777777" w:rsidR="00632CBF" w:rsidRPr="00632CBF" w:rsidRDefault="00632CBF" w:rsidP="00632CBF">
      <w:pPr>
        <w:pStyle w:val="FooterTableFigure"/>
      </w:pPr>
      <w:r w:rsidRPr="00632CBF">
        <w:t>Source: pp97-113 of the submission.</w:t>
      </w:r>
    </w:p>
    <w:p w14:paraId="3456CF5D" w14:textId="74C0F81C" w:rsidR="00632CBF" w:rsidRDefault="00632CBF" w:rsidP="00741D32">
      <w:pPr>
        <w:pStyle w:val="FooterTableFigure"/>
      </w:pPr>
      <w:r w:rsidRPr="00632CBF">
        <w:t>ADA=adalimumab; ETN=etanercept; TOF=tofacitinib; TOC=tocilizumab; IV=intravenous; bDMARD= biological disease modifying anti-rheumatic drugs</w:t>
      </w:r>
      <w:r w:rsidR="00741D32">
        <w:t>; ts</w:t>
      </w:r>
      <w:r w:rsidR="00741D32" w:rsidRPr="00632CBF">
        <w:t xml:space="preserve">DMARD= </w:t>
      </w:r>
      <w:r w:rsidR="00741D32">
        <w:t>targeted synthetic</w:t>
      </w:r>
      <w:r w:rsidR="00741D32" w:rsidRPr="00632CBF">
        <w:t xml:space="preserve"> disease modifying anti-rheumatic drugs</w:t>
      </w:r>
      <w:r w:rsidR="0062164E">
        <w:t>.</w:t>
      </w:r>
    </w:p>
    <w:p w14:paraId="29FB3000" w14:textId="14A04C50" w:rsidR="007773B7" w:rsidRPr="003F6C4A" w:rsidRDefault="007773B7" w:rsidP="00741D32">
      <w:pPr>
        <w:pStyle w:val="FooterTableFigure"/>
        <w:rPr>
          <w:i/>
          <w:iCs/>
        </w:rPr>
      </w:pPr>
      <w:r w:rsidRPr="003F6C4A">
        <w:rPr>
          <w:i/>
          <w:iCs/>
        </w:rPr>
        <w:t>The redacted values correspond to the following ranges:</w:t>
      </w:r>
    </w:p>
    <w:p w14:paraId="649C4498" w14:textId="4261115A" w:rsidR="007773B7" w:rsidRPr="003F6C4A" w:rsidRDefault="007773B7" w:rsidP="00741D32">
      <w:pPr>
        <w:pStyle w:val="FooterTableFigure"/>
        <w:rPr>
          <w:i/>
          <w:iCs/>
        </w:rPr>
      </w:pPr>
      <w:r w:rsidRPr="003F6C4A">
        <w:rPr>
          <w:i/>
          <w:iCs/>
          <w:vertAlign w:val="superscript"/>
        </w:rPr>
        <w:t>1</w:t>
      </w:r>
      <w:r w:rsidRPr="003F6C4A">
        <w:rPr>
          <w:i/>
          <w:iCs/>
        </w:rPr>
        <w:t xml:space="preserve"> &lt;500</w:t>
      </w:r>
    </w:p>
    <w:p w14:paraId="26FB6670" w14:textId="7A603998" w:rsidR="00B505C8" w:rsidRPr="00076D2D" w:rsidRDefault="00E16AD8" w:rsidP="00076D2D">
      <w:pPr>
        <w:pStyle w:val="3-BodyText"/>
      </w:pPr>
      <w:r w:rsidRPr="00076D2D">
        <w:fldChar w:fldCharType="begin"/>
      </w:r>
      <w:r w:rsidRPr="00076D2D">
        <w:instrText xml:space="preserve"> REF _Ref104805295 \h  \* MERGEFORMAT </w:instrText>
      </w:r>
      <w:r w:rsidRPr="00076D2D">
        <w:fldChar w:fldCharType="separate"/>
      </w:r>
      <w:r w:rsidR="006C1D0C">
        <w:t>Table 8</w:t>
      </w:r>
      <w:r w:rsidRPr="00076D2D">
        <w:fldChar w:fldCharType="end"/>
      </w:r>
      <w:r w:rsidR="00076D2D" w:rsidRPr="00076D2D">
        <w:t xml:space="preserve"> presents the estimated script numbers and costs to the PBS for the proposed listing of TOF for the severe active JIA.</w:t>
      </w:r>
    </w:p>
    <w:p w14:paraId="38EC053C" w14:textId="5BF11DC5" w:rsidR="00C25D9C" w:rsidRDefault="00E16AD8" w:rsidP="00E16AD8">
      <w:pPr>
        <w:pStyle w:val="Caption"/>
        <w:rPr>
          <w:rStyle w:val="CommentReference"/>
          <w:b/>
          <w:szCs w:val="24"/>
        </w:rPr>
      </w:pPr>
      <w:bookmarkStart w:id="42" w:name="_Ref104805295"/>
      <w:r>
        <w:t xml:space="preserve">Table </w:t>
      </w:r>
      <w:fldSimple w:instr=" SEQ Table \* ARABIC ">
        <w:r w:rsidR="006C1D0C">
          <w:rPr>
            <w:noProof/>
          </w:rPr>
          <w:t>8</w:t>
        </w:r>
      </w:fldSimple>
      <w:bookmarkEnd w:id="42"/>
      <w:r>
        <w:t>:</w:t>
      </w:r>
      <w:r w:rsidR="002A2F50" w:rsidRPr="00606FBA">
        <w:rPr>
          <w:rStyle w:val="CommentReference"/>
          <w:b/>
          <w:szCs w:val="24"/>
        </w:rPr>
        <w:t xml:space="preserve"> Estimated use and financial implications</w:t>
      </w:r>
    </w:p>
    <w:tbl>
      <w:tblPr>
        <w:tblW w:w="5106" w:type="pct"/>
        <w:tblLayout w:type="fixed"/>
        <w:tblCellMar>
          <w:left w:w="28" w:type="dxa"/>
          <w:right w:w="28" w:type="dxa"/>
        </w:tblCellMar>
        <w:tblLook w:val="04A0" w:firstRow="1" w:lastRow="0" w:firstColumn="1" w:lastColumn="0" w:noHBand="0" w:noVBand="1"/>
      </w:tblPr>
      <w:tblGrid>
        <w:gridCol w:w="3264"/>
        <w:gridCol w:w="960"/>
        <w:gridCol w:w="959"/>
        <w:gridCol w:w="959"/>
        <w:gridCol w:w="959"/>
        <w:gridCol w:w="1114"/>
        <w:gridCol w:w="993"/>
      </w:tblGrid>
      <w:tr w:rsidR="00AB189B" w:rsidRPr="002F72B3" w14:paraId="24F7D366" w14:textId="77777777" w:rsidTr="00EB52EA">
        <w:trPr>
          <w:trHeight w:val="70"/>
        </w:trPr>
        <w:tc>
          <w:tcPr>
            <w:tcW w:w="1772" w:type="pct"/>
            <w:tcBorders>
              <w:top w:val="single" w:sz="4" w:space="0" w:color="auto"/>
              <w:left w:val="single" w:sz="4" w:space="0" w:color="auto"/>
              <w:bottom w:val="single" w:sz="4" w:space="0" w:color="auto"/>
              <w:right w:val="single" w:sz="4" w:space="0" w:color="auto"/>
            </w:tcBorders>
          </w:tcPr>
          <w:p w14:paraId="2131754C" w14:textId="77777777" w:rsidR="00AB189B" w:rsidRPr="002F72B3" w:rsidRDefault="00AB189B" w:rsidP="00EB52EA">
            <w:pPr>
              <w:pStyle w:val="TableFigureHeading"/>
              <w:keepNext w:val="0"/>
              <w:rPr>
                <w:szCs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16DA893" w14:textId="77777777" w:rsidR="00AB189B" w:rsidRPr="002F72B3" w:rsidRDefault="00AB189B" w:rsidP="00EB52EA">
            <w:pPr>
              <w:pStyle w:val="TableFigureHeading"/>
              <w:keepNext w:val="0"/>
              <w:jc w:val="center"/>
              <w:rPr>
                <w:szCs w:val="20"/>
              </w:rPr>
            </w:pPr>
            <w:r w:rsidRPr="002F72B3">
              <w:rPr>
                <w:szCs w:val="20"/>
              </w:rPr>
              <w:t>Year 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6E8B936" w14:textId="77777777" w:rsidR="00AB189B" w:rsidRPr="002F72B3" w:rsidRDefault="00AB189B" w:rsidP="00EB52EA">
            <w:pPr>
              <w:pStyle w:val="TableFigureHeading"/>
              <w:keepNext w:val="0"/>
              <w:jc w:val="center"/>
              <w:rPr>
                <w:szCs w:val="20"/>
              </w:rPr>
            </w:pPr>
            <w:r w:rsidRPr="002F72B3">
              <w:rPr>
                <w:szCs w:val="20"/>
              </w:rPr>
              <w:t>Year 2</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9163419" w14:textId="77777777" w:rsidR="00AB189B" w:rsidRPr="002F72B3" w:rsidRDefault="00AB189B" w:rsidP="00EB52EA">
            <w:pPr>
              <w:pStyle w:val="TableFigureHeading"/>
              <w:keepNext w:val="0"/>
              <w:jc w:val="center"/>
              <w:rPr>
                <w:szCs w:val="20"/>
              </w:rPr>
            </w:pPr>
            <w:r w:rsidRPr="002F72B3">
              <w:rPr>
                <w:szCs w:val="20"/>
              </w:rPr>
              <w:t>Year 3</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3D95C1B" w14:textId="77777777" w:rsidR="00AB189B" w:rsidRPr="002F72B3" w:rsidRDefault="00AB189B" w:rsidP="00EB52EA">
            <w:pPr>
              <w:pStyle w:val="TableFigureHeading"/>
              <w:keepNext w:val="0"/>
              <w:jc w:val="center"/>
              <w:rPr>
                <w:szCs w:val="20"/>
              </w:rPr>
            </w:pPr>
            <w:r w:rsidRPr="002F72B3">
              <w:rPr>
                <w:szCs w:val="20"/>
              </w:rPr>
              <w:t>Year 4</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34AF340D" w14:textId="77777777" w:rsidR="00AB189B" w:rsidRPr="002F72B3" w:rsidRDefault="00AB189B" w:rsidP="00EB52EA">
            <w:pPr>
              <w:pStyle w:val="TableFigureHeading"/>
              <w:keepNext w:val="0"/>
              <w:jc w:val="center"/>
              <w:rPr>
                <w:szCs w:val="20"/>
              </w:rPr>
            </w:pPr>
            <w:r w:rsidRPr="002F72B3">
              <w:rPr>
                <w:szCs w:val="20"/>
              </w:rPr>
              <w:t>Year 5</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06CB20F" w14:textId="77777777" w:rsidR="00AB189B" w:rsidRPr="002F72B3" w:rsidRDefault="00AB189B" w:rsidP="00EB52EA">
            <w:pPr>
              <w:pStyle w:val="TableFigureHeading"/>
              <w:keepNext w:val="0"/>
              <w:jc w:val="center"/>
              <w:rPr>
                <w:szCs w:val="20"/>
              </w:rPr>
            </w:pPr>
            <w:r w:rsidRPr="002F72B3">
              <w:rPr>
                <w:szCs w:val="20"/>
              </w:rPr>
              <w:t>Year 6</w:t>
            </w:r>
          </w:p>
        </w:tc>
      </w:tr>
      <w:tr w:rsidR="00AB189B" w:rsidRPr="002F72B3" w14:paraId="0AE37279" w14:textId="77777777" w:rsidTr="00EB52EA">
        <w:trPr>
          <w:trHeight w:val="7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275C3C0" w14:textId="77777777" w:rsidR="00AB189B" w:rsidRPr="0000219B" w:rsidRDefault="00AB189B" w:rsidP="00EB52EA">
            <w:pPr>
              <w:pStyle w:val="TableFigureHeading"/>
              <w:keepNext w:val="0"/>
              <w:rPr>
                <w:szCs w:val="20"/>
              </w:rPr>
            </w:pPr>
            <w:r w:rsidRPr="0000219B">
              <w:rPr>
                <w:szCs w:val="20"/>
              </w:rPr>
              <w:t xml:space="preserve">Estimated </w:t>
            </w:r>
            <w:r>
              <w:rPr>
                <w:szCs w:val="20"/>
              </w:rPr>
              <w:t xml:space="preserve">bDMARD/ tsDMARD </w:t>
            </w:r>
            <w:r w:rsidRPr="0000219B">
              <w:rPr>
                <w:szCs w:val="20"/>
              </w:rPr>
              <w:t>market without TOF</w:t>
            </w:r>
          </w:p>
        </w:tc>
      </w:tr>
      <w:tr w:rsidR="00AB189B" w:rsidRPr="002F72B3" w14:paraId="7AB16281" w14:textId="77777777" w:rsidTr="00EB52EA">
        <w:trPr>
          <w:trHeight w:val="70"/>
        </w:trPr>
        <w:tc>
          <w:tcPr>
            <w:tcW w:w="1772" w:type="pct"/>
            <w:tcBorders>
              <w:left w:val="single" w:sz="4" w:space="0" w:color="auto"/>
              <w:bottom w:val="nil"/>
              <w:right w:val="single" w:sz="4" w:space="0" w:color="auto"/>
            </w:tcBorders>
          </w:tcPr>
          <w:p w14:paraId="52AB37A4" w14:textId="77777777" w:rsidR="00AB189B" w:rsidRPr="00076D2D" w:rsidRDefault="00AB189B" w:rsidP="00EB52EA">
            <w:pPr>
              <w:pStyle w:val="TableFigureHeading"/>
              <w:keepNext w:val="0"/>
              <w:rPr>
                <w:szCs w:val="20"/>
              </w:rPr>
            </w:pPr>
            <w:r w:rsidRPr="00076D2D">
              <w:rPr>
                <w:szCs w:val="20"/>
              </w:rPr>
              <w:t>bDMARD scripts</w:t>
            </w:r>
          </w:p>
        </w:tc>
        <w:tc>
          <w:tcPr>
            <w:tcW w:w="521" w:type="pct"/>
            <w:tcBorders>
              <w:left w:val="single" w:sz="4" w:space="0" w:color="auto"/>
              <w:bottom w:val="nil"/>
              <w:right w:val="single" w:sz="4" w:space="0" w:color="auto"/>
            </w:tcBorders>
            <w:shd w:val="clear" w:color="auto" w:fill="auto"/>
            <w:vAlign w:val="center"/>
          </w:tcPr>
          <w:p w14:paraId="0D826473" w14:textId="349990DD" w:rsidR="00AB189B" w:rsidRPr="00AB189B" w:rsidRDefault="00AB189B" w:rsidP="00EB52EA">
            <w:pPr>
              <w:pStyle w:val="TableText0"/>
              <w:keepNext w:val="0"/>
              <w:jc w:val="center"/>
              <w:rPr>
                <w:bCs w:val="0"/>
                <w:szCs w:val="20"/>
                <w:highlight w:val="darkGray"/>
              </w:rPr>
            </w:pPr>
            <w:r w:rsidRPr="007B6D9F">
              <w:rPr>
                <w:bCs w:val="0"/>
                <w:color w:val="000000"/>
                <w:spacing w:val="32"/>
                <w:szCs w:val="20"/>
                <w:shd w:val="solid" w:color="000000" w:fill="000000"/>
                <w:fitText w:val="569" w:id="-1229265664"/>
                <w14:textFill>
                  <w14:solidFill>
                    <w14:srgbClr w14:val="000000">
                      <w14:alpha w14:val="100000"/>
                    </w14:srgbClr>
                  </w14:solidFill>
                </w14:textFill>
              </w:rPr>
              <w:t>|||||||</w:t>
            </w:r>
            <w:r w:rsidRPr="007B6D9F">
              <w:rPr>
                <w:bCs w:val="0"/>
                <w:color w:val="000000"/>
                <w:spacing w:val="5"/>
                <w:szCs w:val="20"/>
                <w:shd w:val="solid" w:color="000000" w:fill="000000"/>
                <w:fitText w:val="569" w:id="-1229265664"/>
                <w14:textFill>
                  <w14:solidFill>
                    <w14:srgbClr w14:val="000000">
                      <w14:alpha w14:val="100000"/>
                    </w14:srgbClr>
                  </w14:solidFill>
                </w14:textFill>
              </w:rPr>
              <w:t>|</w:t>
            </w:r>
            <w:r w:rsidRPr="00AB189B">
              <w:rPr>
                <w:bCs w:val="0"/>
                <w:szCs w:val="20"/>
                <w:vertAlign w:val="superscript"/>
              </w:rPr>
              <w:t>1</w:t>
            </w:r>
          </w:p>
        </w:tc>
        <w:tc>
          <w:tcPr>
            <w:tcW w:w="521" w:type="pct"/>
            <w:tcBorders>
              <w:left w:val="single" w:sz="4" w:space="0" w:color="auto"/>
              <w:bottom w:val="nil"/>
              <w:right w:val="single" w:sz="4" w:space="0" w:color="auto"/>
            </w:tcBorders>
            <w:shd w:val="clear" w:color="auto" w:fill="auto"/>
            <w:vAlign w:val="center"/>
          </w:tcPr>
          <w:p w14:paraId="5E544965" w14:textId="235B3A26"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63"/>
                <w14:textFill>
                  <w14:solidFill>
                    <w14:srgbClr w14:val="000000">
                      <w14:alpha w14:val="100000"/>
                    </w14:srgbClr>
                  </w14:solidFill>
                </w14:textFill>
              </w:rPr>
              <w:t>|||||||</w:t>
            </w:r>
            <w:r w:rsidRPr="007B6D9F">
              <w:rPr>
                <w:bCs w:val="0"/>
                <w:color w:val="000000"/>
                <w:spacing w:val="5"/>
                <w:szCs w:val="20"/>
                <w:shd w:val="solid" w:color="000000" w:fill="000000"/>
                <w:fitText w:val="562" w:id="-1229265663"/>
                <w14:textFill>
                  <w14:solidFill>
                    <w14:srgbClr w14:val="000000">
                      <w14:alpha w14:val="100000"/>
                    </w14:srgbClr>
                  </w14:solidFill>
                </w14:textFill>
              </w:rPr>
              <w:t>|</w:t>
            </w:r>
            <w:r w:rsidRPr="00AB189B">
              <w:rPr>
                <w:bCs w:val="0"/>
                <w:szCs w:val="20"/>
                <w:vertAlign w:val="superscript"/>
              </w:rPr>
              <w:t>1</w:t>
            </w:r>
          </w:p>
        </w:tc>
        <w:tc>
          <w:tcPr>
            <w:tcW w:w="521" w:type="pct"/>
            <w:tcBorders>
              <w:left w:val="single" w:sz="4" w:space="0" w:color="auto"/>
              <w:bottom w:val="nil"/>
              <w:right w:val="single" w:sz="4" w:space="0" w:color="auto"/>
            </w:tcBorders>
            <w:shd w:val="clear" w:color="auto" w:fill="auto"/>
            <w:vAlign w:val="center"/>
          </w:tcPr>
          <w:p w14:paraId="62909BAE" w14:textId="316E34DE"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62"/>
                <w14:textFill>
                  <w14:solidFill>
                    <w14:srgbClr w14:val="000000">
                      <w14:alpha w14:val="100000"/>
                    </w14:srgbClr>
                  </w14:solidFill>
                </w14:textFill>
              </w:rPr>
              <w:t>|||||||</w:t>
            </w:r>
            <w:r w:rsidRPr="007B6D9F">
              <w:rPr>
                <w:bCs w:val="0"/>
                <w:color w:val="000000"/>
                <w:spacing w:val="5"/>
                <w:szCs w:val="20"/>
                <w:shd w:val="solid" w:color="000000" w:fill="000000"/>
                <w:fitText w:val="562" w:id="-1229265662"/>
                <w14:textFill>
                  <w14:solidFill>
                    <w14:srgbClr w14:val="000000">
                      <w14:alpha w14:val="100000"/>
                    </w14:srgbClr>
                  </w14:solidFill>
                </w14:textFill>
              </w:rPr>
              <w:t>|</w:t>
            </w:r>
            <w:r w:rsidRPr="00AB189B">
              <w:rPr>
                <w:bCs w:val="0"/>
                <w:szCs w:val="20"/>
                <w:vertAlign w:val="superscript"/>
              </w:rPr>
              <w:t>1</w:t>
            </w:r>
          </w:p>
        </w:tc>
        <w:tc>
          <w:tcPr>
            <w:tcW w:w="521" w:type="pct"/>
            <w:tcBorders>
              <w:left w:val="single" w:sz="4" w:space="0" w:color="auto"/>
              <w:bottom w:val="nil"/>
              <w:right w:val="single" w:sz="4" w:space="0" w:color="auto"/>
            </w:tcBorders>
            <w:shd w:val="clear" w:color="auto" w:fill="auto"/>
            <w:vAlign w:val="center"/>
          </w:tcPr>
          <w:p w14:paraId="60B142F1" w14:textId="63F897A5"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61"/>
                <w14:textFill>
                  <w14:solidFill>
                    <w14:srgbClr w14:val="000000">
                      <w14:alpha w14:val="100000"/>
                    </w14:srgbClr>
                  </w14:solidFill>
                </w14:textFill>
              </w:rPr>
              <w:t>|||||||</w:t>
            </w:r>
            <w:r w:rsidRPr="007B6D9F">
              <w:rPr>
                <w:bCs w:val="0"/>
                <w:color w:val="000000"/>
                <w:spacing w:val="5"/>
                <w:szCs w:val="20"/>
                <w:shd w:val="solid" w:color="000000" w:fill="000000"/>
                <w:fitText w:val="562" w:id="-1229265661"/>
                <w14:textFill>
                  <w14:solidFill>
                    <w14:srgbClr w14:val="000000">
                      <w14:alpha w14:val="100000"/>
                    </w14:srgbClr>
                  </w14:solidFill>
                </w14:textFill>
              </w:rPr>
              <w:t>|</w:t>
            </w:r>
            <w:r w:rsidRPr="00AB189B">
              <w:rPr>
                <w:bCs w:val="0"/>
                <w:szCs w:val="20"/>
                <w:vertAlign w:val="superscript"/>
              </w:rPr>
              <w:t>1</w:t>
            </w:r>
          </w:p>
        </w:tc>
        <w:tc>
          <w:tcPr>
            <w:tcW w:w="605" w:type="pct"/>
            <w:tcBorders>
              <w:left w:val="single" w:sz="4" w:space="0" w:color="auto"/>
              <w:bottom w:val="nil"/>
              <w:right w:val="single" w:sz="4" w:space="0" w:color="auto"/>
            </w:tcBorders>
            <w:shd w:val="clear" w:color="auto" w:fill="auto"/>
            <w:vAlign w:val="center"/>
          </w:tcPr>
          <w:p w14:paraId="0B620480" w14:textId="3BECA8C0" w:rsidR="00AB189B" w:rsidRPr="00AB189B" w:rsidRDefault="00AB189B" w:rsidP="00EB52EA">
            <w:pPr>
              <w:pStyle w:val="TableText0"/>
              <w:keepNext w:val="0"/>
              <w:jc w:val="center"/>
              <w:rPr>
                <w:bCs w:val="0"/>
                <w:szCs w:val="20"/>
                <w:highlight w:val="darkGray"/>
                <w:vertAlign w:val="superscript"/>
              </w:rPr>
            </w:pPr>
            <w:r w:rsidRPr="007B6D9F">
              <w:rPr>
                <w:bCs w:val="0"/>
                <w:color w:val="000000"/>
                <w:spacing w:val="27"/>
                <w:szCs w:val="20"/>
                <w:shd w:val="solid" w:color="000000" w:fill="000000"/>
                <w:fitText w:val="670" w:id="-1229265660"/>
                <w14:textFill>
                  <w14:solidFill>
                    <w14:srgbClr w14:val="000000">
                      <w14:alpha w14:val="100000"/>
                    </w14:srgbClr>
                  </w14:solidFill>
                </w14:textFill>
              </w:rPr>
              <w:t>|||||||||</w:t>
            </w:r>
            <w:r w:rsidRPr="007B6D9F">
              <w:rPr>
                <w:bCs w:val="0"/>
                <w:color w:val="000000"/>
                <w:spacing w:val="2"/>
                <w:szCs w:val="20"/>
                <w:shd w:val="solid" w:color="000000" w:fill="000000"/>
                <w:fitText w:val="670" w:id="-1229265660"/>
                <w14:textFill>
                  <w14:solidFill>
                    <w14:srgbClr w14:val="000000">
                      <w14:alpha w14:val="100000"/>
                    </w14:srgbClr>
                  </w14:solidFill>
                </w14:textFill>
              </w:rPr>
              <w:t>|</w:t>
            </w:r>
            <w:r w:rsidRPr="00AB189B">
              <w:rPr>
                <w:bCs w:val="0"/>
                <w:iCs/>
                <w:sz w:val="18"/>
                <w:szCs w:val="22"/>
                <w:vertAlign w:val="superscript"/>
              </w:rPr>
              <w:t>6</w:t>
            </w:r>
          </w:p>
        </w:tc>
        <w:tc>
          <w:tcPr>
            <w:tcW w:w="538" w:type="pct"/>
            <w:tcBorders>
              <w:left w:val="single" w:sz="4" w:space="0" w:color="auto"/>
              <w:bottom w:val="nil"/>
              <w:right w:val="single" w:sz="4" w:space="0" w:color="auto"/>
            </w:tcBorders>
            <w:shd w:val="clear" w:color="auto" w:fill="auto"/>
            <w:vAlign w:val="center"/>
          </w:tcPr>
          <w:p w14:paraId="4A535A06" w14:textId="05A9DABF" w:rsidR="00AB189B" w:rsidRPr="00AB189B" w:rsidRDefault="00AB189B" w:rsidP="00EB52EA">
            <w:pPr>
              <w:pStyle w:val="TableText0"/>
              <w:keepNext w:val="0"/>
              <w:jc w:val="center"/>
              <w:rPr>
                <w:bCs w:val="0"/>
                <w:szCs w:val="20"/>
                <w:highlight w:val="darkGray"/>
              </w:rPr>
            </w:pPr>
            <w:r w:rsidRPr="008152E0">
              <w:rPr>
                <w:bCs w:val="0"/>
                <w:color w:val="000000"/>
                <w:spacing w:val="33"/>
                <w:szCs w:val="20"/>
                <w:shd w:val="solid" w:color="000000" w:fill="000000"/>
                <w:fitText w:val="723" w:id="-1229265659"/>
                <w14:textFill>
                  <w14:solidFill>
                    <w14:srgbClr w14:val="000000">
                      <w14:alpha w14:val="100000"/>
                    </w14:srgbClr>
                  </w14:solidFill>
                </w14:textFill>
              </w:rPr>
              <w:t>|||||||||</w:t>
            </w:r>
            <w:r w:rsidRPr="008152E0">
              <w:rPr>
                <w:bCs w:val="0"/>
                <w:color w:val="000000"/>
                <w:spacing w:val="1"/>
                <w:szCs w:val="20"/>
                <w:shd w:val="solid" w:color="000000" w:fill="000000"/>
                <w:fitText w:val="723" w:id="-1229265659"/>
                <w14:textFill>
                  <w14:solidFill>
                    <w14:srgbClr w14:val="000000">
                      <w14:alpha w14:val="100000"/>
                    </w14:srgbClr>
                  </w14:solidFill>
                </w14:textFill>
              </w:rPr>
              <w:t>|</w:t>
            </w:r>
            <w:r w:rsidRPr="00AB189B">
              <w:rPr>
                <w:bCs w:val="0"/>
                <w:iCs/>
                <w:sz w:val="18"/>
                <w:szCs w:val="22"/>
                <w:vertAlign w:val="superscript"/>
              </w:rPr>
              <w:t>6</w:t>
            </w:r>
          </w:p>
        </w:tc>
      </w:tr>
      <w:tr w:rsidR="00AB189B" w:rsidRPr="002F72B3" w14:paraId="37B451BF" w14:textId="77777777" w:rsidTr="00EB52EA">
        <w:trPr>
          <w:trHeight w:val="70"/>
        </w:trPr>
        <w:tc>
          <w:tcPr>
            <w:tcW w:w="1772" w:type="pct"/>
            <w:tcBorders>
              <w:top w:val="nil"/>
              <w:left w:val="single" w:sz="4" w:space="0" w:color="auto"/>
              <w:bottom w:val="single" w:sz="4" w:space="0" w:color="auto"/>
              <w:right w:val="single" w:sz="4" w:space="0" w:color="auto"/>
            </w:tcBorders>
          </w:tcPr>
          <w:p w14:paraId="021CF643" w14:textId="77777777" w:rsidR="00AB189B" w:rsidRPr="0000219B" w:rsidRDefault="00AB189B" w:rsidP="00EB52EA">
            <w:pPr>
              <w:pStyle w:val="TableFigureHeading"/>
              <w:keepNext w:val="0"/>
              <w:rPr>
                <w:szCs w:val="20"/>
              </w:rPr>
            </w:pPr>
            <w:r w:rsidRPr="0000219B">
              <w:rPr>
                <w:szCs w:val="20"/>
              </w:rPr>
              <w:t>bDMARDs, net cost PBS/RPBS</w:t>
            </w:r>
          </w:p>
        </w:tc>
        <w:tc>
          <w:tcPr>
            <w:tcW w:w="521" w:type="pct"/>
            <w:tcBorders>
              <w:top w:val="nil"/>
              <w:left w:val="single" w:sz="4" w:space="0" w:color="auto"/>
              <w:bottom w:val="single" w:sz="4" w:space="0" w:color="auto"/>
              <w:right w:val="single" w:sz="4" w:space="0" w:color="auto"/>
            </w:tcBorders>
            <w:shd w:val="clear" w:color="auto" w:fill="auto"/>
          </w:tcPr>
          <w:p w14:paraId="2C202482" w14:textId="60AE9C3A" w:rsidR="00AB189B" w:rsidRPr="00AB189B" w:rsidRDefault="00AB189B" w:rsidP="00EB52EA">
            <w:pPr>
              <w:pStyle w:val="TableText0"/>
              <w:keepNext w:val="0"/>
              <w:jc w:val="center"/>
              <w:rPr>
                <w:bCs w:val="0"/>
                <w:szCs w:val="20"/>
              </w:rPr>
            </w:pPr>
            <w:r w:rsidRPr="007B6D9F">
              <w:rPr>
                <w:bCs w:val="0"/>
                <w:color w:val="000000"/>
                <w:spacing w:val="32"/>
                <w:szCs w:val="20"/>
                <w:shd w:val="solid" w:color="000000" w:fill="000000"/>
                <w:fitText w:val="569" w:id="-1229265658"/>
                <w14:textFill>
                  <w14:solidFill>
                    <w14:srgbClr w14:val="000000">
                      <w14:alpha w14:val="100000"/>
                    </w14:srgbClr>
                  </w14:solidFill>
                </w14:textFill>
              </w:rPr>
              <w:t>|||||||</w:t>
            </w:r>
            <w:r w:rsidRPr="007B6D9F">
              <w:rPr>
                <w:bCs w:val="0"/>
                <w:color w:val="000000"/>
                <w:spacing w:val="5"/>
                <w:szCs w:val="20"/>
                <w:shd w:val="solid" w:color="000000" w:fill="000000"/>
                <w:fitText w:val="569" w:id="-1229265658"/>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shd w:val="clear" w:color="auto" w:fill="auto"/>
          </w:tcPr>
          <w:p w14:paraId="68256399" w14:textId="6F79D275"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657"/>
                <w14:textFill>
                  <w14:solidFill>
                    <w14:srgbClr w14:val="000000">
                      <w14:alpha w14:val="100000"/>
                    </w14:srgbClr>
                  </w14:solidFill>
                </w14:textFill>
              </w:rPr>
              <w:t>|||||||</w:t>
            </w:r>
            <w:r w:rsidRPr="007B6D9F">
              <w:rPr>
                <w:bCs w:val="0"/>
                <w:color w:val="000000"/>
                <w:spacing w:val="5"/>
                <w:szCs w:val="20"/>
                <w:shd w:val="solid" w:color="000000" w:fill="000000"/>
                <w:fitText w:val="562" w:id="-1229265657"/>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shd w:val="clear" w:color="auto" w:fill="auto"/>
          </w:tcPr>
          <w:p w14:paraId="7D6AC34A" w14:textId="6E6C30D4"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656"/>
                <w14:textFill>
                  <w14:solidFill>
                    <w14:srgbClr w14:val="000000">
                      <w14:alpha w14:val="100000"/>
                    </w14:srgbClr>
                  </w14:solidFill>
                </w14:textFill>
              </w:rPr>
              <w:t>|||||||</w:t>
            </w:r>
            <w:r w:rsidRPr="007B6D9F">
              <w:rPr>
                <w:bCs w:val="0"/>
                <w:color w:val="000000"/>
                <w:spacing w:val="5"/>
                <w:szCs w:val="20"/>
                <w:shd w:val="solid" w:color="000000" w:fill="000000"/>
                <w:fitText w:val="562" w:id="-1229265656"/>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shd w:val="clear" w:color="auto" w:fill="auto"/>
          </w:tcPr>
          <w:p w14:paraId="03D2DE81" w14:textId="25BEC97D"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655"/>
                <w14:textFill>
                  <w14:solidFill>
                    <w14:srgbClr w14:val="000000">
                      <w14:alpha w14:val="100000"/>
                    </w14:srgbClr>
                  </w14:solidFill>
                </w14:textFill>
              </w:rPr>
              <w:t>|||||||</w:t>
            </w:r>
            <w:r w:rsidRPr="007B6D9F">
              <w:rPr>
                <w:bCs w:val="0"/>
                <w:color w:val="000000"/>
                <w:spacing w:val="5"/>
                <w:szCs w:val="20"/>
                <w:shd w:val="solid" w:color="000000" w:fill="000000"/>
                <w:fitText w:val="562" w:id="-1229265655"/>
                <w14:textFill>
                  <w14:solidFill>
                    <w14:srgbClr w14:val="000000">
                      <w14:alpha w14:val="100000"/>
                    </w14:srgbClr>
                  </w14:solidFill>
                </w14:textFill>
              </w:rPr>
              <w:t>|</w:t>
            </w:r>
            <w:r w:rsidRPr="00AB189B">
              <w:rPr>
                <w:bCs w:val="0"/>
                <w:szCs w:val="20"/>
                <w:vertAlign w:val="superscript"/>
              </w:rPr>
              <w:t>2</w:t>
            </w:r>
          </w:p>
        </w:tc>
        <w:tc>
          <w:tcPr>
            <w:tcW w:w="605" w:type="pct"/>
            <w:tcBorders>
              <w:top w:val="nil"/>
              <w:left w:val="single" w:sz="4" w:space="0" w:color="auto"/>
              <w:bottom w:val="single" w:sz="4" w:space="0" w:color="auto"/>
              <w:right w:val="single" w:sz="4" w:space="0" w:color="auto"/>
            </w:tcBorders>
            <w:shd w:val="clear" w:color="auto" w:fill="auto"/>
          </w:tcPr>
          <w:p w14:paraId="4BAEAEA3" w14:textId="5734EBD6" w:rsidR="00AB189B" w:rsidRPr="00AB189B" w:rsidRDefault="00AB189B" w:rsidP="00EB52EA">
            <w:pPr>
              <w:pStyle w:val="TableText0"/>
              <w:keepNext w:val="0"/>
              <w:jc w:val="center"/>
              <w:rPr>
                <w:bCs w:val="0"/>
                <w:szCs w:val="20"/>
              </w:rPr>
            </w:pPr>
            <w:r w:rsidRPr="007B6D9F">
              <w:rPr>
                <w:bCs w:val="0"/>
                <w:color w:val="000000"/>
                <w:spacing w:val="27"/>
                <w:szCs w:val="20"/>
                <w:shd w:val="solid" w:color="000000" w:fill="000000"/>
                <w:fitText w:val="670" w:id="-1229265654"/>
                <w14:textFill>
                  <w14:solidFill>
                    <w14:srgbClr w14:val="000000">
                      <w14:alpha w14:val="100000"/>
                    </w14:srgbClr>
                  </w14:solidFill>
                </w14:textFill>
              </w:rPr>
              <w:t>|||||||||</w:t>
            </w:r>
            <w:r w:rsidRPr="007B6D9F">
              <w:rPr>
                <w:bCs w:val="0"/>
                <w:color w:val="000000"/>
                <w:spacing w:val="2"/>
                <w:szCs w:val="20"/>
                <w:shd w:val="solid" w:color="000000" w:fill="000000"/>
                <w:fitText w:val="670" w:id="-1229265654"/>
                <w14:textFill>
                  <w14:solidFill>
                    <w14:srgbClr w14:val="000000">
                      <w14:alpha w14:val="100000"/>
                    </w14:srgbClr>
                  </w14:solidFill>
                </w14:textFill>
              </w:rPr>
              <w:t>|</w:t>
            </w:r>
            <w:r w:rsidRPr="00AB189B">
              <w:rPr>
                <w:bCs w:val="0"/>
                <w:szCs w:val="20"/>
                <w:vertAlign w:val="superscript"/>
              </w:rPr>
              <w:t>2</w:t>
            </w:r>
          </w:p>
        </w:tc>
        <w:tc>
          <w:tcPr>
            <w:tcW w:w="538" w:type="pct"/>
            <w:tcBorders>
              <w:top w:val="nil"/>
              <w:left w:val="single" w:sz="4" w:space="0" w:color="auto"/>
              <w:bottom w:val="single" w:sz="4" w:space="0" w:color="auto"/>
              <w:right w:val="single" w:sz="4" w:space="0" w:color="auto"/>
            </w:tcBorders>
            <w:shd w:val="clear" w:color="auto" w:fill="auto"/>
          </w:tcPr>
          <w:p w14:paraId="076E90C4" w14:textId="7B53BB7A" w:rsidR="00AB189B" w:rsidRPr="00AB189B" w:rsidRDefault="00AB189B" w:rsidP="00EB52EA">
            <w:pPr>
              <w:pStyle w:val="TableText0"/>
              <w:keepNext w:val="0"/>
              <w:jc w:val="center"/>
              <w:rPr>
                <w:bCs w:val="0"/>
                <w:szCs w:val="20"/>
              </w:rPr>
            </w:pPr>
            <w:r w:rsidRPr="008152E0">
              <w:rPr>
                <w:bCs w:val="0"/>
                <w:color w:val="000000"/>
                <w:spacing w:val="33"/>
                <w:szCs w:val="20"/>
                <w:shd w:val="solid" w:color="000000" w:fill="000000"/>
                <w:fitText w:val="723" w:id="-1229265653"/>
                <w14:textFill>
                  <w14:solidFill>
                    <w14:srgbClr w14:val="000000">
                      <w14:alpha w14:val="100000"/>
                    </w14:srgbClr>
                  </w14:solidFill>
                </w14:textFill>
              </w:rPr>
              <w:t>|||||||||</w:t>
            </w:r>
            <w:r w:rsidRPr="008152E0">
              <w:rPr>
                <w:bCs w:val="0"/>
                <w:color w:val="000000"/>
                <w:spacing w:val="1"/>
                <w:szCs w:val="20"/>
                <w:shd w:val="solid" w:color="000000" w:fill="000000"/>
                <w:fitText w:val="723" w:id="-1229265653"/>
                <w14:textFill>
                  <w14:solidFill>
                    <w14:srgbClr w14:val="000000">
                      <w14:alpha w14:val="100000"/>
                    </w14:srgbClr>
                  </w14:solidFill>
                </w14:textFill>
              </w:rPr>
              <w:t>|</w:t>
            </w:r>
            <w:r w:rsidRPr="00AB189B">
              <w:rPr>
                <w:bCs w:val="0"/>
                <w:szCs w:val="20"/>
                <w:vertAlign w:val="superscript"/>
              </w:rPr>
              <w:t>2</w:t>
            </w:r>
          </w:p>
        </w:tc>
      </w:tr>
      <w:tr w:rsidR="00AB189B" w:rsidRPr="002F72B3" w14:paraId="6AF90233" w14:textId="77777777" w:rsidTr="00EB52EA">
        <w:tc>
          <w:tcPr>
            <w:tcW w:w="5000" w:type="pct"/>
            <w:gridSpan w:val="7"/>
            <w:tcBorders>
              <w:top w:val="single" w:sz="4" w:space="0" w:color="auto"/>
              <w:left w:val="single" w:sz="4" w:space="0" w:color="auto"/>
              <w:bottom w:val="single" w:sz="4" w:space="0" w:color="auto"/>
              <w:right w:val="single" w:sz="4" w:space="0" w:color="auto"/>
            </w:tcBorders>
            <w:vAlign w:val="center"/>
          </w:tcPr>
          <w:p w14:paraId="1BB0DC1D" w14:textId="77777777" w:rsidR="00AB189B" w:rsidRPr="00AB189B" w:rsidRDefault="00AB189B" w:rsidP="00EB52EA">
            <w:pPr>
              <w:pStyle w:val="TableText0"/>
              <w:keepNext w:val="0"/>
              <w:rPr>
                <w:b/>
                <w:szCs w:val="20"/>
              </w:rPr>
            </w:pPr>
            <w:r w:rsidRPr="00AB189B">
              <w:rPr>
                <w:b/>
                <w:szCs w:val="20"/>
              </w:rPr>
              <w:t>Estimated use and financial impact of TOF</w:t>
            </w:r>
          </w:p>
        </w:tc>
      </w:tr>
      <w:tr w:rsidR="00AB189B" w:rsidRPr="002F72B3" w14:paraId="0BD61E09" w14:textId="77777777" w:rsidTr="00EB52EA">
        <w:tc>
          <w:tcPr>
            <w:tcW w:w="1772" w:type="pct"/>
            <w:tcBorders>
              <w:top w:val="single" w:sz="4" w:space="0" w:color="auto"/>
              <w:left w:val="single" w:sz="4" w:space="0" w:color="auto"/>
              <w:bottom w:val="nil"/>
              <w:right w:val="single" w:sz="4" w:space="0" w:color="auto"/>
            </w:tcBorders>
          </w:tcPr>
          <w:p w14:paraId="6DD64B2C" w14:textId="77777777" w:rsidR="00AB189B" w:rsidRPr="00ED200D" w:rsidRDefault="00AB189B" w:rsidP="00EB52EA">
            <w:pPr>
              <w:pStyle w:val="TableText0"/>
              <w:keepNext w:val="0"/>
              <w:rPr>
                <w:b/>
                <w:bCs w:val="0"/>
                <w:szCs w:val="20"/>
              </w:rPr>
            </w:pPr>
            <w:r w:rsidRPr="00ED200D">
              <w:rPr>
                <w:b/>
                <w:bCs w:val="0"/>
                <w:szCs w:val="20"/>
              </w:rPr>
              <w:t>TOF scripts</w:t>
            </w:r>
          </w:p>
        </w:tc>
        <w:tc>
          <w:tcPr>
            <w:tcW w:w="521" w:type="pct"/>
            <w:tcBorders>
              <w:top w:val="single" w:sz="4" w:space="0" w:color="auto"/>
              <w:left w:val="single" w:sz="4" w:space="0" w:color="auto"/>
              <w:bottom w:val="nil"/>
              <w:right w:val="single" w:sz="4" w:space="0" w:color="auto"/>
            </w:tcBorders>
            <w:vAlign w:val="center"/>
          </w:tcPr>
          <w:p w14:paraId="510EBF82" w14:textId="2DFCDF36" w:rsidR="00AB189B" w:rsidRPr="00AB189B" w:rsidRDefault="00AB189B" w:rsidP="00EB52EA">
            <w:pPr>
              <w:pStyle w:val="TableText0"/>
              <w:keepNext w:val="0"/>
              <w:jc w:val="center"/>
              <w:rPr>
                <w:bCs w:val="0"/>
                <w:szCs w:val="20"/>
                <w:highlight w:val="darkGray"/>
              </w:rPr>
            </w:pPr>
            <w:r w:rsidRPr="007B6D9F">
              <w:rPr>
                <w:bCs w:val="0"/>
                <w:color w:val="000000"/>
                <w:spacing w:val="32"/>
                <w:szCs w:val="20"/>
                <w:shd w:val="solid" w:color="000000" w:fill="000000"/>
                <w:fitText w:val="569" w:id="-1229265652"/>
                <w14:textFill>
                  <w14:solidFill>
                    <w14:srgbClr w14:val="000000">
                      <w14:alpha w14:val="100000"/>
                    </w14:srgbClr>
                  </w14:solidFill>
                </w14:textFill>
              </w:rPr>
              <w:t>|||||||</w:t>
            </w:r>
            <w:r w:rsidRPr="007B6D9F">
              <w:rPr>
                <w:bCs w:val="0"/>
                <w:color w:val="000000"/>
                <w:spacing w:val="5"/>
                <w:szCs w:val="20"/>
                <w:shd w:val="solid" w:color="000000" w:fill="000000"/>
                <w:fitText w:val="569" w:id="-1229265652"/>
                <w14:textFill>
                  <w14:solidFill>
                    <w14:srgbClr w14:val="000000">
                      <w14:alpha w14:val="100000"/>
                    </w14:srgbClr>
                  </w14:solidFill>
                </w14:textFill>
              </w:rPr>
              <w:t>|</w:t>
            </w:r>
            <w:r w:rsidRPr="00AB189B">
              <w:rPr>
                <w:bCs w:val="0"/>
                <w:szCs w:val="20"/>
                <w:vertAlign w:val="superscript"/>
              </w:rPr>
              <w:t>3</w:t>
            </w:r>
          </w:p>
        </w:tc>
        <w:tc>
          <w:tcPr>
            <w:tcW w:w="521" w:type="pct"/>
            <w:tcBorders>
              <w:top w:val="single" w:sz="4" w:space="0" w:color="auto"/>
              <w:left w:val="single" w:sz="4" w:space="0" w:color="auto"/>
              <w:bottom w:val="nil"/>
              <w:right w:val="single" w:sz="4" w:space="0" w:color="auto"/>
            </w:tcBorders>
            <w:vAlign w:val="center"/>
          </w:tcPr>
          <w:p w14:paraId="3DD5C70D" w14:textId="29870EAE"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51"/>
                <w14:textFill>
                  <w14:solidFill>
                    <w14:srgbClr w14:val="000000">
                      <w14:alpha w14:val="100000"/>
                    </w14:srgbClr>
                  </w14:solidFill>
                </w14:textFill>
              </w:rPr>
              <w:t>|||||||</w:t>
            </w:r>
            <w:r w:rsidRPr="007B6D9F">
              <w:rPr>
                <w:bCs w:val="0"/>
                <w:color w:val="000000"/>
                <w:spacing w:val="5"/>
                <w:szCs w:val="20"/>
                <w:shd w:val="solid" w:color="000000" w:fill="000000"/>
                <w:fitText w:val="562" w:id="-1229265651"/>
                <w14:textFill>
                  <w14:solidFill>
                    <w14:srgbClr w14:val="000000">
                      <w14:alpha w14:val="100000"/>
                    </w14:srgbClr>
                  </w14:solidFill>
                </w14:textFill>
              </w:rPr>
              <w:t>|</w:t>
            </w:r>
            <w:r w:rsidRPr="00AB189B">
              <w:rPr>
                <w:bCs w:val="0"/>
                <w:szCs w:val="20"/>
                <w:vertAlign w:val="superscript"/>
              </w:rPr>
              <w:t>3</w:t>
            </w:r>
          </w:p>
        </w:tc>
        <w:tc>
          <w:tcPr>
            <w:tcW w:w="521" w:type="pct"/>
            <w:tcBorders>
              <w:top w:val="single" w:sz="4" w:space="0" w:color="auto"/>
              <w:left w:val="single" w:sz="4" w:space="0" w:color="auto"/>
              <w:bottom w:val="nil"/>
              <w:right w:val="single" w:sz="4" w:space="0" w:color="auto"/>
            </w:tcBorders>
            <w:vAlign w:val="center"/>
          </w:tcPr>
          <w:p w14:paraId="4D421BFB" w14:textId="41262D6D"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50"/>
                <w14:textFill>
                  <w14:solidFill>
                    <w14:srgbClr w14:val="000000">
                      <w14:alpha w14:val="100000"/>
                    </w14:srgbClr>
                  </w14:solidFill>
                </w14:textFill>
              </w:rPr>
              <w:t>|||||||</w:t>
            </w:r>
            <w:r w:rsidRPr="007B6D9F">
              <w:rPr>
                <w:bCs w:val="0"/>
                <w:color w:val="000000"/>
                <w:spacing w:val="5"/>
                <w:szCs w:val="20"/>
                <w:shd w:val="solid" w:color="000000" w:fill="000000"/>
                <w:fitText w:val="562" w:id="-1229265650"/>
                <w14:textFill>
                  <w14:solidFill>
                    <w14:srgbClr w14:val="000000">
                      <w14:alpha w14:val="100000"/>
                    </w14:srgbClr>
                  </w14:solidFill>
                </w14:textFill>
              </w:rPr>
              <w:t>|</w:t>
            </w:r>
            <w:r w:rsidRPr="00AB189B">
              <w:rPr>
                <w:bCs w:val="0"/>
                <w:szCs w:val="20"/>
                <w:vertAlign w:val="superscript"/>
              </w:rPr>
              <w:t>3</w:t>
            </w:r>
          </w:p>
        </w:tc>
        <w:tc>
          <w:tcPr>
            <w:tcW w:w="521" w:type="pct"/>
            <w:tcBorders>
              <w:top w:val="single" w:sz="4" w:space="0" w:color="auto"/>
              <w:left w:val="single" w:sz="4" w:space="0" w:color="auto"/>
              <w:bottom w:val="nil"/>
              <w:right w:val="single" w:sz="4" w:space="0" w:color="auto"/>
            </w:tcBorders>
            <w:vAlign w:val="center"/>
          </w:tcPr>
          <w:p w14:paraId="7C38595A" w14:textId="473569A6"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49"/>
                <w14:textFill>
                  <w14:solidFill>
                    <w14:srgbClr w14:val="000000">
                      <w14:alpha w14:val="100000"/>
                    </w14:srgbClr>
                  </w14:solidFill>
                </w14:textFill>
              </w:rPr>
              <w:t>|||||||</w:t>
            </w:r>
            <w:r w:rsidRPr="007B6D9F">
              <w:rPr>
                <w:bCs w:val="0"/>
                <w:color w:val="000000"/>
                <w:spacing w:val="5"/>
                <w:szCs w:val="20"/>
                <w:shd w:val="solid" w:color="000000" w:fill="000000"/>
                <w:fitText w:val="562" w:id="-1229265649"/>
                <w14:textFill>
                  <w14:solidFill>
                    <w14:srgbClr w14:val="000000">
                      <w14:alpha w14:val="100000"/>
                    </w14:srgbClr>
                  </w14:solidFill>
                </w14:textFill>
              </w:rPr>
              <w:t>|</w:t>
            </w:r>
            <w:r w:rsidRPr="00AB189B">
              <w:rPr>
                <w:bCs w:val="0"/>
                <w:szCs w:val="20"/>
                <w:vertAlign w:val="superscript"/>
              </w:rPr>
              <w:t>3</w:t>
            </w:r>
          </w:p>
        </w:tc>
        <w:tc>
          <w:tcPr>
            <w:tcW w:w="605" w:type="pct"/>
            <w:tcBorders>
              <w:top w:val="single" w:sz="4" w:space="0" w:color="auto"/>
              <w:left w:val="single" w:sz="4" w:space="0" w:color="auto"/>
              <w:bottom w:val="nil"/>
              <w:right w:val="single" w:sz="4" w:space="0" w:color="auto"/>
            </w:tcBorders>
            <w:vAlign w:val="center"/>
          </w:tcPr>
          <w:p w14:paraId="18C8C47D" w14:textId="13163661" w:rsidR="00AB189B" w:rsidRPr="00AB189B" w:rsidRDefault="00AB189B" w:rsidP="00EB52EA">
            <w:pPr>
              <w:pStyle w:val="TableText0"/>
              <w:keepNext w:val="0"/>
              <w:jc w:val="center"/>
              <w:rPr>
                <w:bCs w:val="0"/>
                <w:szCs w:val="20"/>
                <w:highlight w:val="darkGray"/>
              </w:rPr>
            </w:pPr>
            <w:r w:rsidRPr="007B6D9F">
              <w:rPr>
                <w:bCs w:val="0"/>
                <w:color w:val="000000"/>
                <w:spacing w:val="27"/>
                <w:szCs w:val="20"/>
                <w:shd w:val="solid" w:color="000000" w:fill="000000"/>
                <w:fitText w:val="670" w:id="-1229265648"/>
                <w14:textFill>
                  <w14:solidFill>
                    <w14:srgbClr w14:val="000000">
                      <w14:alpha w14:val="100000"/>
                    </w14:srgbClr>
                  </w14:solidFill>
                </w14:textFill>
              </w:rPr>
              <w:t>|||||||||</w:t>
            </w:r>
            <w:r w:rsidRPr="007B6D9F">
              <w:rPr>
                <w:bCs w:val="0"/>
                <w:color w:val="000000"/>
                <w:spacing w:val="2"/>
                <w:szCs w:val="20"/>
                <w:shd w:val="solid" w:color="000000" w:fill="000000"/>
                <w:fitText w:val="670" w:id="-1229265648"/>
                <w14:textFill>
                  <w14:solidFill>
                    <w14:srgbClr w14:val="000000">
                      <w14:alpha w14:val="100000"/>
                    </w14:srgbClr>
                  </w14:solidFill>
                </w14:textFill>
              </w:rPr>
              <w:t>|</w:t>
            </w:r>
            <w:r w:rsidRPr="00AB189B">
              <w:rPr>
                <w:bCs w:val="0"/>
                <w:szCs w:val="20"/>
                <w:vertAlign w:val="superscript"/>
              </w:rPr>
              <w:t>3</w:t>
            </w:r>
          </w:p>
        </w:tc>
        <w:tc>
          <w:tcPr>
            <w:tcW w:w="538" w:type="pct"/>
            <w:tcBorders>
              <w:top w:val="single" w:sz="4" w:space="0" w:color="auto"/>
              <w:left w:val="single" w:sz="4" w:space="0" w:color="auto"/>
              <w:bottom w:val="nil"/>
              <w:right w:val="single" w:sz="4" w:space="0" w:color="auto"/>
            </w:tcBorders>
            <w:vAlign w:val="center"/>
          </w:tcPr>
          <w:p w14:paraId="6926AD60" w14:textId="3FC788BD" w:rsidR="00AB189B" w:rsidRPr="00AB189B" w:rsidRDefault="00AB189B" w:rsidP="00EB52EA">
            <w:pPr>
              <w:pStyle w:val="TableText0"/>
              <w:keepNext w:val="0"/>
              <w:jc w:val="center"/>
              <w:rPr>
                <w:bCs w:val="0"/>
                <w:szCs w:val="20"/>
                <w:highlight w:val="darkGray"/>
              </w:rPr>
            </w:pPr>
            <w:r w:rsidRPr="008152E0">
              <w:rPr>
                <w:bCs w:val="0"/>
                <w:color w:val="000000"/>
                <w:spacing w:val="33"/>
                <w:szCs w:val="20"/>
                <w:shd w:val="solid" w:color="000000" w:fill="000000"/>
                <w:fitText w:val="723" w:id="-1229265664"/>
                <w14:textFill>
                  <w14:solidFill>
                    <w14:srgbClr w14:val="000000">
                      <w14:alpha w14:val="100000"/>
                    </w14:srgbClr>
                  </w14:solidFill>
                </w14:textFill>
              </w:rPr>
              <w:t>|||||||||</w:t>
            </w:r>
            <w:r w:rsidRPr="008152E0">
              <w:rPr>
                <w:bCs w:val="0"/>
                <w:color w:val="000000"/>
                <w:spacing w:val="1"/>
                <w:szCs w:val="20"/>
                <w:shd w:val="solid" w:color="000000" w:fill="000000"/>
                <w:fitText w:val="723" w:id="-1229265664"/>
                <w14:textFill>
                  <w14:solidFill>
                    <w14:srgbClr w14:val="000000">
                      <w14:alpha w14:val="100000"/>
                    </w14:srgbClr>
                  </w14:solidFill>
                </w14:textFill>
              </w:rPr>
              <w:t>|</w:t>
            </w:r>
            <w:r w:rsidRPr="00AB189B">
              <w:rPr>
                <w:bCs w:val="0"/>
                <w:szCs w:val="20"/>
                <w:vertAlign w:val="superscript"/>
              </w:rPr>
              <w:t>3</w:t>
            </w:r>
          </w:p>
        </w:tc>
      </w:tr>
      <w:tr w:rsidR="00AB189B" w:rsidRPr="002F72B3" w14:paraId="47E77813" w14:textId="77777777" w:rsidTr="00EB52EA">
        <w:tc>
          <w:tcPr>
            <w:tcW w:w="1772" w:type="pct"/>
            <w:tcBorders>
              <w:top w:val="nil"/>
              <w:left w:val="single" w:sz="4" w:space="0" w:color="auto"/>
              <w:bottom w:val="nil"/>
              <w:right w:val="single" w:sz="4" w:space="0" w:color="auto"/>
            </w:tcBorders>
          </w:tcPr>
          <w:p w14:paraId="304AF0CC" w14:textId="77777777" w:rsidR="00AB189B" w:rsidRPr="0062650E" w:rsidRDefault="00AB189B" w:rsidP="00EB52EA">
            <w:pPr>
              <w:pStyle w:val="TableText0"/>
              <w:keepNext w:val="0"/>
              <w:ind w:left="110"/>
              <w:rPr>
                <w:szCs w:val="20"/>
              </w:rPr>
            </w:pPr>
            <w:r>
              <w:rPr>
                <w:szCs w:val="20"/>
              </w:rPr>
              <w:t>TOF scripts, substitution of comparators</w:t>
            </w:r>
          </w:p>
        </w:tc>
        <w:tc>
          <w:tcPr>
            <w:tcW w:w="521" w:type="pct"/>
            <w:tcBorders>
              <w:top w:val="nil"/>
              <w:left w:val="single" w:sz="4" w:space="0" w:color="auto"/>
              <w:bottom w:val="nil"/>
              <w:right w:val="single" w:sz="4" w:space="0" w:color="auto"/>
            </w:tcBorders>
            <w:vAlign w:val="center"/>
          </w:tcPr>
          <w:p w14:paraId="46049E6C" w14:textId="7A333666" w:rsidR="00AB189B" w:rsidRPr="00AB189B" w:rsidRDefault="00AB189B" w:rsidP="00EB52EA">
            <w:pPr>
              <w:pStyle w:val="TableText0"/>
              <w:keepNext w:val="0"/>
              <w:jc w:val="center"/>
              <w:rPr>
                <w:bCs w:val="0"/>
                <w:szCs w:val="20"/>
                <w:highlight w:val="darkGray"/>
              </w:rPr>
            </w:pPr>
            <w:r w:rsidRPr="007B6D9F">
              <w:rPr>
                <w:bCs w:val="0"/>
                <w:color w:val="000000"/>
                <w:spacing w:val="32"/>
                <w:szCs w:val="20"/>
                <w:shd w:val="solid" w:color="000000" w:fill="000000"/>
                <w:fitText w:val="569" w:id="-1229265663"/>
                <w14:textFill>
                  <w14:solidFill>
                    <w14:srgbClr w14:val="000000">
                      <w14:alpha w14:val="100000"/>
                    </w14:srgbClr>
                  </w14:solidFill>
                </w14:textFill>
              </w:rPr>
              <w:t>|||||||</w:t>
            </w:r>
            <w:r w:rsidRPr="007B6D9F">
              <w:rPr>
                <w:bCs w:val="0"/>
                <w:color w:val="000000"/>
                <w:spacing w:val="5"/>
                <w:szCs w:val="20"/>
                <w:shd w:val="solid" w:color="000000" w:fill="000000"/>
                <w:fitText w:val="569" w:id="-1229265663"/>
                <w14:textFill>
                  <w14:solidFill>
                    <w14:srgbClr w14:val="000000">
                      <w14:alpha w14:val="100000"/>
                    </w14:srgbClr>
                  </w14:solidFill>
                </w14:textFill>
              </w:rPr>
              <w:t>|</w:t>
            </w:r>
            <w:r w:rsidRPr="00AB189B">
              <w:rPr>
                <w:bCs w:val="0"/>
                <w:szCs w:val="20"/>
                <w:vertAlign w:val="superscript"/>
              </w:rPr>
              <w:t>3</w:t>
            </w:r>
          </w:p>
        </w:tc>
        <w:tc>
          <w:tcPr>
            <w:tcW w:w="521" w:type="pct"/>
            <w:tcBorders>
              <w:top w:val="nil"/>
              <w:left w:val="single" w:sz="4" w:space="0" w:color="auto"/>
              <w:bottom w:val="nil"/>
              <w:right w:val="single" w:sz="4" w:space="0" w:color="auto"/>
            </w:tcBorders>
            <w:vAlign w:val="center"/>
          </w:tcPr>
          <w:p w14:paraId="3A3E66AF" w14:textId="15679F8C"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62"/>
                <w14:textFill>
                  <w14:solidFill>
                    <w14:srgbClr w14:val="000000">
                      <w14:alpha w14:val="100000"/>
                    </w14:srgbClr>
                  </w14:solidFill>
                </w14:textFill>
              </w:rPr>
              <w:t>|||||||</w:t>
            </w:r>
            <w:r w:rsidRPr="007B6D9F">
              <w:rPr>
                <w:bCs w:val="0"/>
                <w:color w:val="000000"/>
                <w:spacing w:val="5"/>
                <w:szCs w:val="20"/>
                <w:shd w:val="solid" w:color="000000" w:fill="000000"/>
                <w:fitText w:val="562" w:id="-1229265662"/>
                <w14:textFill>
                  <w14:solidFill>
                    <w14:srgbClr w14:val="000000">
                      <w14:alpha w14:val="100000"/>
                    </w14:srgbClr>
                  </w14:solidFill>
                </w14:textFill>
              </w:rPr>
              <w:t>|</w:t>
            </w:r>
            <w:r w:rsidRPr="00AB189B">
              <w:rPr>
                <w:bCs w:val="0"/>
                <w:szCs w:val="20"/>
                <w:vertAlign w:val="superscript"/>
              </w:rPr>
              <w:t>3</w:t>
            </w:r>
          </w:p>
        </w:tc>
        <w:tc>
          <w:tcPr>
            <w:tcW w:w="521" w:type="pct"/>
            <w:tcBorders>
              <w:top w:val="nil"/>
              <w:left w:val="single" w:sz="4" w:space="0" w:color="auto"/>
              <w:bottom w:val="nil"/>
              <w:right w:val="single" w:sz="4" w:space="0" w:color="auto"/>
            </w:tcBorders>
            <w:vAlign w:val="center"/>
          </w:tcPr>
          <w:p w14:paraId="06F60C10" w14:textId="103132BD"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61"/>
                <w14:textFill>
                  <w14:solidFill>
                    <w14:srgbClr w14:val="000000">
                      <w14:alpha w14:val="100000"/>
                    </w14:srgbClr>
                  </w14:solidFill>
                </w14:textFill>
              </w:rPr>
              <w:t>|||||||</w:t>
            </w:r>
            <w:r w:rsidRPr="007B6D9F">
              <w:rPr>
                <w:bCs w:val="0"/>
                <w:color w:val="000000"/>
                <w:spacing w:val="5"/>
                <w:szCs w:val="20"/>
                <w:shd w:val="solid" w:color="000000" w:fill="000000"/>
                <w:fitText w:val="562" w:id="-1229265661"/>
                <w14:textFill>
                  <w14:solidFill>
                    <w14:srgbClr w14:val="000000">
                      <w14:alpha w14:val="100000"/>
                    </w14:srgbClr>
                  </w14:solidFill>
                </w14:textFill>
              </w:rPr>
              <w:t>|</w:t>
            </w:r>
            <w:r w:rsidRPr="00AB189B">
              <w:rPr>
                <w:bCs w:val="0"/>
                <w:szCs w:val="20"/>
                <w:vertAlign w:val="superscript"/>
              </w:rPr>
              <w:t>3</w:t>
            </w:r>
          </w:p>
        </w:tc>
        <w:tc>
          <w:tcPr>
            <w:tcW w:w="521" w:type="pct"/>
            <w:tcBorders>
              <w:top w:val="nil"/>
              <w:left w:val="single" w:sz="4" w:space="0" w:color="auto"/>
              <w:bottom w:val="nil"/>
              <w:right w:val="single" w:sz="4" w:space="0" w:color="auto"/>
            </w:tcBorders>
            <w:vAlign w:val="center"/>
          </w:tcPr>
          <w:p w14:paraId="2839760A" w14:textId="1C7EFB80"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60"/>
                <w14:textFill>
                  <w14:solidFill>
                    <w14:srgbClr w14:val="000000">
                      <w14:alpha w14:val="100000"/>
                    </w14:srgbClr>
                  </w14:solidFill>
                </w14:textFill>
              </w:rPr>
              <w:t>|||||||</w:t>
            </w:r>
            <w:r w:rsidRPr="007B6D9F">
              <w:rPr>
                <w:bCs w:val="0"/>
                <w:color w:val="000000"/>
                <w:spacing w:val="5"/>
                <w:szCs w:val="20"/>
                <w:shd w:val="solid" w:color="000000" w:fill="000000"/>
                <w:fitText w:val="562" w:id="-1229265660"/>
                <w14:textFill>
                  <w14:solidFill>
                    <w14:srgbClr w14:val="000000">
                      <w14:alpha w14:val="100000"/>
                    </w14:srgbClr>
                  </w14:solidFill>
                </w14:textFill>
              </w:rPr>
              <w:t>|</w:t>
            </w:r>
            <w:r w:rsidRPr="00AB189B">
              <w:rPr>
                <w:bCs w:val="0"/>
                <w:szCs w:val="20"/>
                <w:vertAlign w:val="superscript"/>
              </w:rPr>
              <w:t>3</w:t>
            </w:r>
          </w:p>
        </w:tc>
        <w:tc>
          <w:tcPr>
            <w:tcW w:w="605" w:type="pct"/>
            <w:tcBorders>
              <w:top w:val="nil"/>
              <w:left w:val="single" w:sz="4" w:space="0" w:color="auto"/>
              <w:bottom w:val="nil"/>
              <w:right w:val="single" w:sz="4" w:space="0" w:color="auto"/>
            </w:tcBorders>
            <w:vAlign w:val="center"/>
          </w:tcPr>
          <w:p w14:paraId="3F722843" w14:textId="209C9873" w:rsidR="00AB189B" w:rsidRPr="00AB189B" w:rsidRDefault="00AB189B" w:rsidP="00EB52EA">
            <w:pPr>
              <w:pStyle w:val="TableText0"/>
              <w:keepNext w:val="0"/>
              <w:jc w:val="center"/>
              <w:rPr>
                <w:bCs w:val="0"/>
                <w:szCs w:val="20"/>
                <w:highlight w:val="darkGray"/>
              </w:rPr>
            </w:pPr>
            <w:r w:rsidRPr="007B6D9F">
              <w:rPr>
                <w:bCs w:val="0"/>
                <w:color w:val="000000"/>
                <w:spacing w:val="27"/>
                <w:szCs w:val="20"/>
                <w:shd w:val="solid" w:color="000000" w:fill="000000"/>
                <w:fitText w:val="670" w:id="-1229265659"/>
                <w14:textFill>
                  <w14:solidFill>
                    <w14:srgbClr w14:val="000000">
                      <w14:alpha w14:val="100000"/>
                    </w14:srgbClr>
                  </w14:solidFill>
                </w14:textFill>
              </w:rPr>
              <w:t>|||||||||</w:t>
            </w:r>
            <w:r w:rsidRPr="007B6D9F">
              <w:rPr>
                <w:bCs w:val="0"/>
                <w:color w:val="000000"/>
                <w:spacing w:val="2"/>
                <w:szCs w:val="20"/>
                <w:shd w:val="solid" w:color="000000" w:fill="000000"/>
                <w:fitText w:val="670" w:id="-1229265659"/>
                <w14:textFill>
                  <w14:solidFill>
                    <w14:srgbClr w14:val="000000">
                      <w14:alpha w14:val="100000"/>
                    </w14:srgbClr>
                  </w14:solidFill>
                </w14:textFill>
              </w:rPr>
              <w:t>|</w:t>
            </w:r>
            <w:r w:rsidRPr="00AB189B">
              <w:rPr>
                <w:bCs w:val="0"/>
                <w:szCs w:val="20"/>
                <w:vertAlign w:val="superscript"/>
              </w:rPr>
              <w:t>3</w:t>
            </w:r>
          </w:p>
        </w:tc>
        <w:tc>
          <w:tcPr>
            <w:tcW w:w="538" w:type="pct"/>
            <w:tcBorders>
              <w:top w:val="nil"/>
              <w:left w:val="single" w:sz="4" w:space="0" w:color="auto"/>
              <w:bottom w:val="nil"/>
              <w:right w:val="single" w:sz="4" w:space="0" w:color="auto"/>
            </w:tcBorders>
            <w:vAlign w:val="center"/>
          </w:tcPr>
          <w:p w14:paraId="197F68E2" w14:textId="37C11C96" w:rsidR="00AB189B" w:rsidRPr="00AB189B" w:rsidRDefault="00AB189B" w:rsidP="00EB52EA">
            <w:pPr>
              <w:pStyle w:val="TableText0"/>
              <w:keepNext w:val="0"/>
              <w:jc w:val="center"/>
              <w:rPr>
                <w:bCs w:val="0"/>
                <w:szCs w:val="20"/>
                <w:highlight w:val="darkGray"/>
              </w:rPr>
            </w:pPr>
            <w:r w:rsidRPr="008152E0">
              <w:rPr>
                <w:bCs w:val="0"/>
                <w:color w:val="000000"/>
                <w:spacing w:val="33"/>
                <w:szCs w:val="20"/>
                <w:shd w:val="solid" w:color="000000" w:fill="000000"/>
                <w:fitText w:val="723" w:id="-1229265658"/>
                <w14:textFill>
                  <w14:solidFill>
                    <w14:srgbClr w14:val="000000">
                      <w14:alpha w14:val="100000"/>
                    </w14:srgbClr>
                  </w14:solidFill>
                </w14:textFill>
              </w:rPr>
              <w:t>|||||||||</w:t>
            </w:r>
            <w:r w:rsidRPr="008152E0">
              <w:rPr>
                <w:bCs w:val="0"/>
                <w:color w:val="000000"/>
                <w:spacing w:val="1"/>
                <w:szCs w:val="20"/>
                <w:shd w:val="solid" w:color="000000" w:fill="000000"/>
                <w:fitText w:val="723" w:id="-1229265658"/>
                <w14:textFill>
                  <w14:solidFill>
                    <w14:srgbClr w14:val="000000">
                      <w14:alpha w14:val="100000"/>
                    </w14:srgbClr>
                  </w14:solidFill>
                </w14:textFill>
              </w:rPr>
              <w:t>|</w:t>
            </w:r>
            <w:r w:rsidRPr="00AB189B">
              <w:rPr>
                <w:bCs w:val="0"/>
                <w:szCs w:val="20"/>
                <w:vertAlign w:val="superscript"/>
              </w:rPr>
              <w:t>3</w:t>
            </w:r>
          </w:p>
        </w:tc>
      </w:tr>
      <w:tr w:rsidR="00AB189B" w:rsidRPr="002F72B3" w14:paraId="2CDCF2A0" w14:textId="77777777" w:rsidTr="00EB52EA">
        <w:tc>
          <w:tcPr>
            <w:tcW w:w="1772" w:type="pct"/>
            <w:tcBorders>
              <w:top w:val="nil"/>
              <w:left w:val="single" w:sz="4" w:space="0" w:color="auto"/>
              <w:bottom w:val="nil"/>
              <w:right w:val="single" w:sz="4" w:space="0" w:color="auto"/>
            </w:tcBorders>
          </w:tcPr>
          <w:p w14:paraId="15F63FCE" w14:textId="77777777" w:rsidR="00AB189B" w:rsidRPr="0062650E" w:rsidRDefault="00AB189B" w:rsidP="00EB52EA">
            <w:pPr>
              <w:pStyle w:val="TableText0"/>
              <w:keepNext w:val="0"/>
              <w:ind w:left="110"/>
              <w:rPr>
                <w:szCs w:val="20"/>
              </w:rPr>
            </w:pPr>
            <w:r w:rsidRPr="0062650E">
              <w:rPr>
                <w:szCs w:val="20"/>
              </w:rPr>
              <w:t xml:space="preserve">TOF scripts, </w:t>
            </w:r>
            <w:r>
              <w:rPr>
                <w:szCs w:val="20"/>
              </w:rPr>
              <w:t>new patients – grandfather</w:t>
            </w:r>
          </w:p>
        </w:tc>
        <w:tc>
          <w:tcPr>
            <w:tcW w:w="521" w:type="pct"/>
            <w:tcBorders>
              <w:top w:val="nil"/>
              <w:left w:val="single" w:sz="4" w:space="0" w:color="auto"/>
              <w:bottom w:val="nil"/>
              <w:right w:val="single" w:sz="4" w:space="0" w:color="auto"/>
            </w:tcBorders>
            <w:vAlign w:val="center"/>
          </w:tcPr>
          <w:p w14:paraId="22FA7F94" w14:textId="4221BEFD" w:rsidR="00AB189B" w:rsidRPr="00AB189B" w:rsidRDefault="00AB189B" w:rsidP="00EB52EA">
            <w:pPr>
              <w:pStyle w:val="TableText0"/>
              <w:keepNext w:val="0"/>
              <w:jc w:val="center"/>
              <w:rPr>
                <w:bCs w:val="0"/>
                <w:szCs w:val="20"/>
                <w:highlight w:val="darkGray"/>
              </w:rPr>
            </w:pPr>
            <w:r w:rsidRPr="007B6D9F">
              <w:rPr>
                <w:bCs w:val="0"/>
                <w:color w:val="000000"/>
                <w:spacing w:val="32"/>
                <w:szCs w:val="20"/>
                <w:shd w:val="solid" w:color="000000" w:fill="000000"/>
                <w:fitText w:val="569" w:id="-1229265657"/>
                <w14:textFill>
                  <w14:solidFill>
                    <w14:srgbClr w14:val="000000">
                      <w14:alpha w14:val="100000"/>
                    </w14:srgbClr>
                  </w14:solidFill>
                </w14:textFill>
              </w:rPr>
              <w:t>|||||||</w:t>
            </w:r>
            <w:r w:rsidRPr="007B6D9F">
              <w:rPr>
                <w:bCs w:val="0"/>
                <w:color w:val="000000"/>
                <w:spacing w:val="5"/>
                <w:szCs w:val="20"/>
                <w:shd w:val="solid" w:color="000000" w:fill="000000"/>
                <w:fitText w:val="569" w:id="-1229265657"/>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7EFD1E03" w14:textId="6F6DDC7B"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56"/>
                <w14:textFill>
                  <w14:solidFill>
                    <w14:srgbClr w14:val="000000">
                      <w14:alpha w14:val="100000"/>
                    </w14:srgbClr>
                  </w14:solidFill>
                </w14:textFill>
              </w:rPr>
              <w:t>|||||||</w:t>
            </w:r>
            <w:r w:rsidRPr="007B6D9F">
              <w:rPr>
                <w:bCs w:val="0"/>
                <w:color w:val="000000"/>
                <w:spacing w:val="5"/>
                <w:szCs w:val="20"/>
                <w:shd w:val="solid" w:color="000000" w:fill="000000"/>
                <w:fitText w:val="562" w:id="-1229265656"/>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4F7563B5" w14:textId="33FEB076"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55"/>
                <w14:textFill>
                  <w14:solidFill>
                    <w14:srgbClr w14:val="000000">
                      <w14:alpha w14:val="100000"/>
                    </w14:srgbClr>
                  </w14:solidFill>
                </w14:textFill>
              </w:rPr>
              <w:t>|||||||</w:t>
            </w:r>
            <w:r w:rsidRPr="007B6D9F">
              <w:rPr>
                <w:bCs w:val="0"/>
                <w:color w:val="000000"/>
                <w:spacing w:val="5"/>
                <w:szCs w:val="20"/>
                <w:shd w:val="solid" w:color="000000" w:fill="000000"/>
                <w:fitText w:val="562" w:id="-1229265655"/>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657EF217" w14:textId="03250971"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54"/>
                <w14:textFill>
                  <w14:solidFill>
                    <w14:srgbClr w14:val="000000">
                      <w14:alpha w14:val="100000"/>
                    </w14:srgbClr>
                  </w14:solidFill>
                </w14:textFill>
              </w:rPr>
              <w:t>|||||||</w:t>
            </w:r>
            <w:r w:rsidRPr="007B6D9F">
              <w:rPr>
                <w:bCs w:val="0"/>
                <w:color w:val="000000"/>
                <w:spacing w:val="5"/>
                <w:szCs w:val="20"/>
                <w:shd w:val="solid" w:color="000000" w:fill="000000"/>
                <w:fitText w:val="562" w:id="-1229265654"/>
                <w14:textFill>
                  <w14:solidFill>
                    <w14:srgbClr w14:val="000000">
                      <w14:alpha w14:val="100000"/>
                    </w14:srgbClr>
                  </w14:solidFill>
                </w14:textFill>
              </w:rPr>
              <w:t>|</w:t>
            </w:r>
            <w:r w:rsidRPr="00AB189B">
              <w:rPr>
                <w:bCs w:val="0"/>
                <w:szCs w:val="20"/>
                <w:vertAlign w:val="superscript"/>
              </w:rPr>
              <w:t>4</w:t>
            </w:r>
          </w:p>
        </w:tc>
        <w:tc>
          <w:tcPr>
            <w:tcW w:w="605" w:type="pct"/>
            <w:tcBorders>
              <w:top w:val="nil"/>
              <w:left w:val="single" w:sz="4" w:space="0" w:color="auto"/>
              <w:bottom w:val="nil"/>
              <w:right w:val="single" w:sz="4" w:space="0" w:color="auto"/>
            </w:tcBorders>
            <w:vAlign w:val="center"/>
          </w:tcPr>
          <w:p w14:paraId="521A464E" w14:textId="08A70E44" w:rsidR="00AB189B" w:rsidRPr="00AB189B" w:rsidRDefault="00AB189B" w:rsidP="00EB52EA">
            <w:pPr>
              <w:pStyle w:val="TableText0"/>
              <w:keepNext w:val="0"/>
              <w:jc w:val="center"/>
              <w:rPr>
                <w:bCs w:val="0"/>
                <w:szCs w:val="20"/>
                <w:highlight w:val="darkGray"/>
              </w:rPr>
            </w:pPr>
            <w:r w:rsidRPr="007B6D9F">
              <w:rPr>
                <w:bCs w:val="0"/>
                <w:color w:val="000000"/>
                <w:spacing w:val="27"/>
                <w:szCs w:val="20"/>
                <w:shd w:val="solid" w:color="000000" w:fill="000000"/>
                <w:fitText w:val="670" w:id="-1229265653"/>
                <w14:textFill>
                  <w14:solidFill>
                    <w14:srgbClr w14:val="000000">
                      <w14:alpha w14:val="100000"/>
                    </w14:srgbClr>
                  </w14:solidFill>
                </w14:textFill>
              </w:rPr>
              <w:t>|||||||||</w:t>
            </w:r>
            <w:r w:rsidRPr="007B6D9F">
              <w:rPr>
                <w:bCs w:val="0"/>
                <w:color w:val="000000"/>
                <w:spacing w:val="2"/>
                <w:szCs w:val="20"/>
                <w:shd w:val="solid" w:color="000000" w:fill="000000"/>
                <w:fitText w:val="670" w:id="-1229265653"/>
                <w14:textFill>
                  <w14:solidFill>
                    <w14:srgbClr w14:val="000000">
                      <w14:alpha w14:val="100000"/>
                    </w14:srgbClr>
                  </w14:solidFill>
                </w14:textFill>
              </w:rPr>
              <w:t>|</w:t>
            </w:r>
            <w:r w:rsidRPr="00AB189B">
              <w:rPr>
                <w:bCs w:val="0"/>
                <w:szCs w:val="20"/>
                <w:vertAlign w:val="superscript"/>
              </w:rPr>
              <w:t>4</w:t>
            </w:r>
          </w:p>
        </w:tc>
        <w:tc>
          <w:tcPr>
            <w:tcW w:w="538" w:type="pct"/>
            <w:tcBorders>
              <w:top w:val="nil"/>
              <w:left w:val="single" w:sz="4" w:space="0" w:color="auto"/>
              <w:bottom w:val="nil"/>
              <w:right w:val="single" w:sz="4" w:space="0" w:color="auto"/>
            </w:tcBorders>
            <w:vAlign w:val="center"/>
          </w:tcPr>
          <w:p w14:paraId="5507F208" w14:textId="0FA4C513" w:rsidR="00AB189B" w:rsidRPr="00AB189B" w:rsidRDefault="00AB189B" w:rsidP="00EB52EA">
            <w:pPr>
              <w:pStyle w:val="TableText0"/>
              <w:keepNext w:val="0"/>
              <w:jc w:val="center"/>
              <w:rPr>
                <w:bCs w:val="0"/>
                <w:szCs w:val="20"/>
                <w:highlight w:val="darkGray"/>
              </w:rPr>
            </w:pPr>
            <w:r w:rsidRPr="008152E0">
              <w:rPr>
                <w:bCs w:val="0"/>
                <w:color w:val="000000"/>
                <w:spacing w:val="33"/>
                <w:szCs w:val="20"/>
                <w:shd w:val="solid" w:color="000000" w:fill="000000"/>
                <w:fitText w:val="723" w:id="-1229265652"/>
                <w14:textFill>
                  <w14:solidFill>
                    <w14:srgbClr w14:val="000000">
                      <w14:alpha w14:val="100000"/>
                    </w14:srgbClr>
                  </w14:solidFill>
                </w14:textFill>
              </w:rPr>
              <w:t>|||||||||</w:t>
            </w:r>
            <w:r w:rsidRPr="008152E0">
              <w:rPr>
                <w:bCs w:val="0"/>
                <w:color w:val="000000"/>
                <w:spacing w:val="1"/>
                <w:szCs w:val="20"/>
                <w:shd w:val="solid" w:color="000000" w:fill="000000"/>
                <w:fitText w:val="723" w:id="-1229265652"/>
                <w14:textFill>
                  <w14:solidFill>
                    <w14:srgbClr w14:val="000000">
                      <w14:alpha w14:val="100000"/>
                    </w14:srgbClr>
                  </w14:solidFill>
                </w14:textFill>
              </w:rPr>
              <w:t>|</w:t>
            </w:r>
            <w:r w:rsidRPr="00AB189B">
              <w:rPr>
                <w:bCs w:val="0"/>
                <w:szCs w:val="20"/>
                <w:vertAlign w:val="superscript"/>
              </w:rPr>
              <w:t>4</w:t>
            </w:r>
          </w:p>
        </w:tc>
      </w:tr>
      <w:tr w:rsidR="00AB189B" w:rsidRPr="002F72B3" w14:paraId="42A4BBAA" w14:textId="77777777" w:rsidTr="00EB52EA">
        <w:tc>
          <w:tcPr>
            <w:tcW w:w="1772" w:type="pct"/>
            <w:tcBorders>
              <w:top w:val="nil"/>
              <w:left w:val="single" w:sz="4" w:space="0" w:color="auto"/>
              <w:bottom w:val="nil"/>
              <w:right w:val="single" w:sz="4" w:space="0" w:color="auto"/>
            </w:tcBorders>
          </w:tcPr>
          <w:p w14:paraId="3354B62C" w14:textId="77777777" w:rsidR="00AB189B" w:rsidRPr="0062650E" w:rsidRDefault="00AB189B" w:rsidP="00EB52EA">
            <w:pPr>
              <w:pStyle w:val="TableText0"/>
              <w:keepNext w:val="0"/>
              <w:ind w:left="110"/>
              <w:rPr>
                <w:szCs w:val="20"/>
              </w:rPr>
            </w:pPr>
            <w:r w:rsidRPr="0062650E">
              <w:rPr>
                <w:szCs w:val="20"/>
              </w:rPr>
              <w:t xml:space="preserve">TOF scripts, </w:t>
            </w:r>
            <w:r>
              <w:rPr>
                <w:szCs w:val="20"/>
              </w:rPr>
              <w:t>new patients - market growth</w:t>
            </w:r>
          </w:p>
        </w:tc>
        <w:tc>
          <w:tcPr>
            <w:tcW w:w="521" w:type="pct"/>
            <w:tcBorders>
              <w:top w:val="nil"/>
              <w:left w:val="single" w:sz="4" w:space="0" w:color="auto"/>
              <w:bottom w:val="nil"/>
              <w:right w:val="single" w:sz="4" w:space="0" w:color="auto"/>
            </w:tcBorders>
            <w:vAlign w:val="center"/>
          </w:tcPr>
          <w:p w14:paraId="53DD8BDA" w14:textId="761C03B7" w:rsidR="00AB189B" w:rsidRPr="00AB189B" w:rsidRDefault="00AB189B" w:rsidP="00EB52EA">
            <w:pPr>
              <w:pStyle w:val="TableText0"/>
              <w:keepNext w:val="0"/>
              <w:jc w:val="center"/>
              <w:rPr>
                <w:bCs w:val="0"/>
                <w:szCs w:val="20"/>
                <w:highlight w:val="darkGray"/>
              </w:rPr>
            </w:pPr>
            <w:r w:rsidRPr="007B6D9F">
              <w:rPr>
                <w:bCs w:val="0"/>
                <w:color w:val="000000"/>
                <w:spacing w:val="32"/>
                <w:szCs w:val="20"/>
                <w:shd w:val="solid" w:color="000000" w:fill="000000"/>
                <w:fitText w:val="569" w:id="-1229265651"/>
                <w14:textFill>
                  <w14:solidFill>
                    <w14:srgbClr w14:val="000000">
                      <w14:alpha w14:val="100000"/>
                    </w14:srgbClr>
                  </w14:solidFill>
                </w14:textFill>
              </w:rPr>
              <w:t>|||||||</w:t>
            </w:r>
            <w:r w:rsidRPr="007B6D9F">
              <w:rPr>
                <w:bCs w:val="0"/>
                <w:color w:val="000000"/>
                <w:spacing w:val="5"/>
                <w:szCs w:val="20"/>
                <w:shd w:val="solid" w:color="000000" w:fill="000000"/>
                <w:fitText w:val="569" w:id="-1229265651"/>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754B0A2D" w14:textId="350A7F73"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50"/>
                <w14:textFill>
                  <w14:solidFill>
                    <w14:srgbClr w14:val="000000">
                      <w14:alpha w14:val="100000"/>
                    </w14:srgbClr>
                  </w14:solidFill>
                </w14:textFill>
              </w:rPr>
              <w:t>|||||||</w:t>
            </w:r>
            <w:r w:rsidRPr="007B6D9F">
              <w:rPr>
                <w:bCs w:val="0"/>
                <w:color w:val="000000"/>
                <w:spacing w:val="5"/>
                <w:szCs w:val="20"/>
                <w:shd w:val="solid" w:color="000000" w:fill="000000"/>
                <w:fitText w:val="562" w:id="-1229265650"/>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5AD25456" w14:textId="7CB84DAB"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49"/>
                <w14:textFill>
                  <w14:solidFill>
                    <w14:srgbClr w14:val="000000">
                      <w14:alpha w14:val="100000"/>
                    </w14:srgbClr>
                  </w14:solidFill>
                </w14:textFill>
              </w:rPr>
              <w:t>|||||||</w:t>
            </w:r>
            <w:r w:rsidRPr="007B6D9F">
              <w:rPr>
                <w:bCs w:val="0"/>
                <w:color w:val="000000"/>
                <w:spacing w:val="5"/>
                <w:szCs w:val="20"/>
                <w:shd w:val="solid" w:color="000000" w:fill="000000"/>
                <w:fitText w:val="562" w:id="-1229265649"/>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51FA47F9" w14:textId="43E4F834"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648"/>
                <w14:textFill>
                  <w14:solidFill>
                    <w14:srgbClr w14:val="000000">
                      <w14:alpha w14:val="100000"/>
                    </w14:srgbClr>
                  </w14:solidFill>
                </w14:textFill>
              </w:rPr>
              <w:t>|||||||</w:t>
            </w:r>
            <w:r w:rsidRPr="007B6D9F">
              <w:rPr>
                <w:bCs w:val="0"/>
                <w:color w:val="000000"/>
                <w:spacing w:val="5"/>
                <w:szCs w:val="20"/>
                <w:shd w:val="solid" w:color="000000" w:fill="000000"/>
                <w:fitText w:val="562" w:id="-1229265648"/>
                <w14:textFill>
                  <w14:solidFill>
                    <w14:srgbClr w14:val="000000">
                      <w14:alpha w14:val="100000"/>
                    </w14:srgbClr>
                  </w14:solidFill>
                </w14:textFill>
              </w:rPr>
              <w:t>|</w:t>
            </w:r>
            <w:r w:rsidRPr="00AB189B">
              <w:rPr>
                <w:bCs w:val="0"/>
                <w:szCs w:val="20"/>
                <w:vertAlign w:val="superscript"/>
              </w:rPr>
              <w:t>4</w:t>
            </w:r>
          </w:p>
        </w:tc>
        <w:tc>
          <w:tcPr>
            <w:tcW w:w="605" w:type="pct"/>
            <w:tcBorders>
              <w:top w:val="nil"/>
              <w:left w:val="single" w:sz="4" w:space="0" w:color="auto"/>
              <w:bottom w:val="nil"/>
              <w:right w:val="single" w:sz="4" w:space="0" w:color="auto"/>
            </w:tcBorders>
            <w:vAlign w:val="center"/>
          </w:tcPr>
          <w:p w14:paraId="09A80868" w14:textId="438CD9FE" w:rsidR="00AB189B" w:rsidRPr="00AB189B" w:rsidRDefault="00AB189B" w:rsidP="00EB52EA">
            <w:pPr>
              <w:pStyle w:val="TableText0"/>
              <w:keepNext w:val="0"/>
              <w:jc w:val="center"/>
              <w:rPr>
                <w:bCs w:val="0"/>
                <w:szCs w:val="20"/>
                <w:highlight w:val="darkGray"/>
              </w:rPr>
            </w:pPr>
            <w:r w:rsidRPr="007B6D9F">
              <w:rPr>
                <w:bCs w:val="0"/>
                <w:color w:val="000000"/>
                <w:spacing w:val="27"/>
                <w:szCs w:val="20"/>
                <w:shd w:val="solid" w:color="000000" w:fill="000000"/>
                <w:fitText w:val="670" w:id="-1229265664"/>
                <w14:textFill>
                  <w14:solidFill>
                    <w14:srgbClr w14:val="000000">
                      <w14:alpha w14:val="100000"/>
                    </w14:srgbClr>
                  </w14:solidFill>
                </w14:textFill>
              </w:rPr>
              <w:t>|||||||||</w:t>
            </w:r>
            <w:r w:rsidRPr="007B6D9F">
              <w:rPr>
                <w:bCs w:val="0"/>
                <w:color w:val="000000"/>
                <w:spacing w:val="2"/>
                <w:szCs w:val="20"/>
                <w:shd w:val="solid" w:color="000000" w:fill="000000"/>
                <w:fitText w:val="670" w:id="-1229265664"/>
                <w14:textFill>
                  <w14:solidFill>
                    <w14:srgbClr w14:val="000000">
                      <w14:alpha w14:val="100000"/>
                    </w14:srgbClr>
                  </w14:solidFill>
                </w14:textFill>
              </w:rPr>
              <w:t>|</w:t>
            </w:r>
            <w:r w:rsidRPr="00AB189B">
              <w:rPr>
                <w:bCs w:val="0"/>
                <w:szCs w:val="20"/>
                <w:vertAlign w:val="superscript"/>
              </w:rPr>
              <w:t>4</w:t>
            </w:r>
          </w:p>
        </w:tc>
        <w:tc>
          <w:tcPr>
            <w:tcW w:w="538" w:type="pct"/>
            <w:tcBorders>
              <w:top w:val="nil"/>
              <w:left w:val="single" w:sz="4" w:space="0" w:color="auto"/>
              <w:bottom w:val="nil"/>
              <w:right w:val="single" w:sz="4" w:space="0" w:color="auto"/>
            </w:tcBorders>
            <w:vAlign w:val="center"/>
          </w:tcPr>
          <w:p w14:paraId="0E57354E" w14:textId="6684A5B9" w:rsidR="00AB189B" w:rsidRPr="00AB189B" w:rsidRDefault="00AB189B" w:rsidP="00EB52EA">
            <w:pPr>
              <w:pStyle w:val="TableText0"/>
              <w:keepNext w:val="0"/>
              <w:jc w:val="center"/>
              <w:rPr>
                <w:bCs w:val="0"/>
                <w:szCs w:val="20"/>
                <w:highlight w:val="darkGray"/>
              </w:rPr>
            </w:pPr>
            <w:r w:rsidRPr="008152E0">
              <w:rPr>
                <w:bCs w:val="0"/>
                <w:color w:val="000000"/>
                <w:spacing w:val="33"/>
                <w:szCs w:val="20"/>
                <w:shd w:val="solid" w:color="000000" w:fill="000000"/>
                <w:fitText w:val="723" w:id="-1229265663"/>
                <w14:textFill>
                  <w14:solidFill>
                    <w14:srgbClr w14:val="000000">
                      <w14:alpha w14:val="100000"/>
                    </w14:srgbClr>
                  </w14:solidFill>
                </w14:textFill>
              </w:rPr>
              <w:t>|||||||||</w:t>
            </w:r>
            <w:r w:rsidRPr="008152E0">
              <w:rPr>
                <w:bCs w:val="0"/>
                <w:color w:val="000000"/>
                <w:spacing w:val="1"/>
                <w:szCs w:val="20"/>
                <w:shd w:val="solid" w:color="000000" w:fill="000000"/>
                <w:fitText w:val="723" w:id="-1229265663"/>
                <w14:textFill>
                  <w14:solidFill>
                    <w14:srgbClr w14:val="000000">
                      <w14:alpha w14:val="100000"/>
                    </w14:srgbClr>
                  </w14:solidFill>
                </w14:textFill>
              </w:rPr>
              <w:t>|</w:t>
            </w:r>
            <w:r w:rsidRPr="00AB189B">
              <w:rPr>
                <w:bCs w:val="0"/>
                <w:szCs w:val="20"/>
                <w:vertAlign w:val="superscript"/>
              </w:rPr>
              <w:t>4</w:t>
            </w:r>
          </w:p>
        </w:tc>
      </w:tr>
      <w:tr w:rsidR="00AB189B" w:rsidRPr="002F72B3" w14:paraId="45A3B3A6" w14:textId="77777777" w:rsidTr="00EB52EA">
        <w:tc>
          <w:tcPr>
            <w:tcW w:w="1772" w:type="pct"/>
            <w:tcBorders>
              <w:top w:val="nil"/>
              <w:left w:val="single" w:sz="4" w:space="0" w:color="auto"/>
              <w:bottom w:val="single" w:sz="4" w:space="0" w:color="auto"/>
              <w:right w:val="single" w:sz="4" w:space="0" w:color="auto"/>
            </w:tcBorders>
          </w:tcPr>
          <w:p w14:paraId="44C049CA" w14:textId="77777777" w:rsidR="00AB189B" w:rsidRPr="00A46E36" w:rsidRDefault="00AB189B" w:rsidP="00EB52EA">
            <w:pPr>
              <w:pStyle w:val="TableText0"/>
              <w:keepNext w:val="0"/>
              <w:rPr>
                <w:b/>
                <w:bCs w:val="0"/>
                <w:szCs w:val="20"/>
              </w:rPr>
            </w:pPr>
            <w:r w:rsidRPr="00ED200D">
              <w:rPr>
                <w:b/>
                <w:bCs w:val="0"/>
                <w:szCs w:val="20"/>
              </w:rPr>
              <w:t>TOF, net cost PBS/RPBS</w:t>
            </w:r>
            <w:r>
              <w:rPr>
                <w:b/>
                <w:bCs w:val="0"/>
                <w:szCs w:val="20"/>
              </w:rPr>
              <w:t>^</w:t>
            </w:r>
          </w:p>
        </w:tc>
        <w:tc>
          <w:tcPr>
            <w:tcW w:w="521" w:type="pct"/>
            <w:tcBorders>
              <w:top w:val="nil"/>
              <w:left w:val="single" w:sz="4" w:space="0" w:color="auto"/>
              <w:bottom w:val="single" w:sz="4" w:space="0" w:color="auto"/>
              <w:right w:val="single" w:sz="4" w:space="0" w:color="auto"/>
            </w:tcBorders>
            <w:vAlign w:val="center"/>
          </w:tcPr>
          <w:p w14:paraId="1FDBACD7" w14:textId="67F06051" w:rsidR="00AB189B" w:rsidRPr="00AB189B" w:rsidRDefault="00AB189B" w:rsidP="00EB52EA">
            <w:pPr>
              <w:pStyle w:val="TableText0"/>
              <w:keepNext w:val="0"/>
              <w:jc w:val="center"/>
              <w:rPr>
                <w:bCs w:val="0"/>
                <w:szCs w:val="20"/>
              </w:rPr>
            </w:pPr>
            <w:r w:rsidRPr="007B6D9F">
              <w:rPr>
                <w:bCs w:val="0"/>
                <w:color w:val="000000"/>
                <w:spacing w:val="32"/>
                <w:szCs w:val="20"/>
                <w:shd w:val="solid" w:color="000000" w:fill="000000"/>
                <w:fitText w:val="569" w:id="-1229265662"/>
                <w14:textFill>
                  <w14:solidFill>
                    <w14:srgbClr w14:val="000000">
                      <w14:alpha w14:val="100000"/>
                    </w14:srgbClr>
                  </w14:solidFill>
                </w14:textFill>
              </w:rPr>
              <w:t>|||||||</w:t>
            </w:r>
            <w:r w:rsidRPr="007B6D9F">
              <w:rPr>
                <w:bCs w:val="0"/>
                <w:color w:val="000000"/>
                <w:spacing w:val="5"/>
                <w:szCs w:val="20"/>
                <w:shd w:val="solid" w:color="000000" w:fill="000000"/>
                <w:fitText w:val="569" w:id="-1229265662"/>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vAlign w:val="center"/>
          </w:tcPr>
          <w:p w14:paraId="49828182" w14:textId="2DBC0847"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661"/>
                <w14:textFill>
                  <w14:solidFill>
                    <w14:srgbClr w14:val="000000">
                      <w14:alpha w14:val="100000"/>
                    </w14:srgbClr>
                  </w14:solidFill>
                </w14:textFill>
              </w:rPr>
              <w:t>|||||||</w:t>
            </w:r>
            <w:r w:rsidRPr="007B6D9F">
              <w:rPr>
                <w:bCs w:val="0"/>
                <w:color w:val="000000"/>
                <w:spacing w:val="5"/>
                <w:szCs w:val="20"/>
                <w:shd w:val="solid" w:color="000000" w:fill="000000"/>
                <w:fitText w:val="562" w:id="-1229265661"/>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vAlign w:val="center"/>
          </w:tcPr>
          <w:p w14:paraId="2EAF240E" w14:textId="5260B89B"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660"/>
                <w14:textFill>
                  <w14:solidFill>
                    <w14:srgbClr w14:val="000000">
                      <w14:alpha w14:val="100000"/>
                    </w14:srgbClr>
                  </w14:solidFill>
                </w14:textFill>
              </w:rPr>
              <w:t>|||||||</w:t>
            </w:r>
            <w:r w:rsidRPr="007B6D9F">
              <w:rPr>
                <w:bCs w:val="0"/>
                <w:color w:val="000000"/>
                <w:spacing w:val="5"/>
                <w:szCs w:val="20"/>
                <w:shd w:val="solid" w:color="000000" w:fill="000000"/>
                <w:fitText w:val="562" w:id="-1229265660"/>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vAlign w:val="center"/>
          </w:tcPr>
          <w:p w14:paraId="10070009" w14:textId="32F1B09E"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659"/>
                <w14:textFill>
                  <w14:solidFill>
                    <w14:srgbClr w14:val="000000">
                      <w14:alpha w14:val="100000"/>
                    </w14:srgbClr>
                  </w14:solidFill>
                </w14:textFill>
              </w:rPr>
              <w:t>|||||||</w:t>
            </w:r>
            <w:r w:rsidRPr="007B6D9F">
              <w:rPr>
                <w:bCs w:val="0"/>
                <w:color w:val="000000"/>
                <w:spacing w:val="5"/>
                <w:szCs w:val="20"/>
                <w:shd w:val="solid" w:color="000000" w:fill="000000"/>
                <w:fitText w:val="562" w:id="-1229265659"/>
                <w14:textFill>
                  <w14:solidFill>
                    <w14:srgbClr w14:val="000000">
                      <w14:alpha w14:val="100000"/>
                    </w14:srgbClr>
                  </w14:solidFill>
                </w14:textFill>
              </w:rPr>
              <w:t>|</w:t>
            </w:r>
            <w:r w:rsidRPr="00AB189B">
              <w:rPr>
                <w:bCs w:val="0"/>
                <w:szCs w:val="20"/>
                <w:vertAlign w:val="superscript"/>
              </w:rPr>
              <w:t>2</w:t>
            </w:r>
          </w:p>
        </w:tc>
        <w:tc>
          <w:tcPr>
            <w:tcW w:w="605" w:type="pct"/>
            <w:tcBorders>
              <w:top w:val="nil"/>
              <w:left w:val="single" w:sz="4" w:space="0" w:color="auto"/>
              <w:bottom w:val="single" w:sz="4" w:space="0" w:color="auto"/>
              <w:right w:val="single" w:sz="4" w:space="0" w:color="auto"/>
            </w:tcBorders>
            <w:vAlign w:val="center"/>
          </w:tcPr>
          <w:p w14:paraId="77990FAA" w14:textId="17934514" w:rsidR="00AB189B" w:rsidRPr="00AB189B" w:rsidRDefault="00AB189B" w:rsidP="00EB52EA">
            <w:pPr>
              <w:pStyle w:val="TableText0"/>
              <w:keepNext w:val="0"/>
              <w:jc w:val="center"/>
              <w:rPr>
                <w:bCs w:val="0"/>
                <w:szCs w:val="20"/>
              </w:rPr>
            </w:pPr>
            <w:r w:rsidRPr="007B6D9F">
              <w:rPr>
                <w:bCs w:val="0"/>
                <w:color w:val="000000"/>
                <w:spacing w:val="27"/>
                <w:szCs w:val="20"/>
                <w:shd w:val="solid" w:color="000000" w:fill="000000"/>
                <w:fitText w:val="670" w:id="-1229265658"/>
                <w14:textFill>
                  <w14:solidFill>
                    <w14:srgbClr w14:val="000000">
                      <w14:alpha w14:val="100000"/>
                    </w14:srgbClr>
                  </w14:solidFill>
                </w14:textFill>
              </w:rPr>
              <w:t>|||||||||</w:t>
            </w:r>
            <w:r w:rsidRPr="007B6D9F">
              <w:rPr>
                <w:bCs w:val="0"/>
                <w:color w:val="000000"/>
                <w:spacing w:val="2"/>
                <w:szCs w:val="20"/>
                <w:shd w:val="solid" w:color="000000" w:fill="000000"/>
                <w:fitText w:val="670" w:id="-1229265658"/>
                <w14:textFill>
                  <w14:solidFill>
                    <w14:srgbClr w14:val="000000">
                      <w14:alpha w14:val="100000"/>
                    </w14:srgbClr>
                  </w14:solidFill>
                </w14:textFill>
              </w:rPr>
              <w:t>|</w:t>
            </w:r>
            <w:r w:rsidRPr="00AB189B">
              <w:rPr>
                <w:bCs w:val="0"/>
                <w:szCs w:val="20"/>
                <w:vertAlign w:val="superscript"/>
              </w:rPr>
              <w:t>2</w:t>
            </w:r>
          </w:p>
        </w:tc>
        <w:tc>
          <w:tcPr>
            <w:tcW w:w="538" w:type="pct"/>
            <w:tcBorders>
              <w:top w:val="nil"/>
              <w:left w:val="single" w:sz="4" w:space="0" w:color="auto"/>
              <w:bottom w:val="single" w:sz="4" w:space="0" w:color="auto"/>
              <w:right w:val="single" w:sz="4" w:space="0" w:color="auto"/>
            </w:tcBorders>
            <w:vAlign w:val="center"/>
          </w:tcPr>
          <w:p w14:paraId="45FAE804" w14:textId="2717D8F7" w:rsidR="00AB189B" w:rsidRPr="00AB189B" w:rsidRDefault="00AB189B" w:rsidP="00EB52EA">
            <w:pPr>
              <w:pStyle w:val="TableText0"/>
              <w:keepNext w:val="0"/>
              <w:jc w:val="center"/>
              <w:rPr>
                <w:bCs w:val="0"/>
                <w:szCs w:val="20"/>
              </w:rPr>
            </w:pPr>
            <w:r w:rsidRPr="008152E0">
              <w:rPr>
                <w:bCs w:val="0"/>
                <w:color w:val="000000"/>
                <w:spacing w:val="33"/>
                <w:szCs w:val="20"/>
                <w:shd w:val="solid" w:color="000000" w:fill="000000"/>
                <w:fitText w:val="723" w:id="-1229265657"/>
                <w14:textFill>
                  <w14:solidFill>
                    <w14:srgbClr w14:val="000000">
                      <w14:alpha w14:val="100000"/>
                    </w14:srgbClr>
                  </w14:solidFill>
                </w14:textFill>
              </w:rPr>
              <w:t>|||||||||</w:t>
            </w:r>
            <w:r w:rsidRPr="008152E0">
              <w:rPr>
                <w:bCs w:val="0"/>
                <w:color w:val="000000"/>
                <w:spacing w:val="1"/>
                <w:szCs w:val="20"/>
                <w:shd w:val="solid" w:color="000000" w:fill="000000"/>
                <w:fitText w:val="723" w:id="-1229265657"/>
                <w14:textFill>
                  <w14:solidFill>
                    <w14:srgbClr w14:val="000000">
                      <w14:alpha w14:val="100000"/>
                    </w14:srgbClr>
                  </w14:solidFill>
                </w14:textFill>
              </w:rPr>
              <w:t>|</w:t>
            </w:r>
            <w:r w:rsidRPr="00AB189B">
              <w:rPr>
                <w:bCs w:val="0"/>
                <w:szCs w:val="20"/>
                <w:vertAlign w:val="superscript"/>
              </w:rPr>
              <w:t>2</w:t>
            </w:r>
          </w:p>
        </w:tc>
      </w:tr>
      <w:tr w:rsidR="00AB189B" w:rsidRPr="002F72B3" w14:paraId="288FC8EA" w14:textId="77777777" w:rsidTr="00EB52EA">
        <w:tc>
          <w:tcPr>
            <w:tcW w:w="5000" w:type="pct"/>
            <w:gridSpan w:val="7"/>
            <w:tcBorders>
              <w:top w:val="single" w:sz="4" w:space="0" w:color="auto"/>
              <w:left w:val="single" w:sz="4" w:space="0" w:color="auto"/>
              <w:bottom w:val="single" w:sz="4" w:space="0" w:color="auto"/>
              <w:right w:val="single" w:sz="4" w:space="0" w:color="auto"/>
            </w:tcBorders>
            <w:vAlign w:val="center"/>
          </w:tcPr>
          <w:p w14:paraId="342FCB1C" w14:textId="77777777" w:rsidR="00AB189B" w:rsidRPr="00AB189B" w:rsidRDefault="00AB189B" w:rsidP="00EB52EA">
            <w:pPr>
              <w:pStyle w:val="TableText0"/>
              <w:keepNext w:val="0"/>
              <w:rPr>
                <w:b/>
                <w:szCs w:val="20"/>
              </w:rPr>
            </w:pPr>
            <w:r w:rsidRPr="00AB189B">
              <w:rPr>
                <w:b/>
                <w:szCs w:val="20"/>
              </w:rPr>
              <w:t>Estimated change in use and financial impact of comparators (ADA, ETN, TOC)</w:t>
            </w:r>
          </w:p>
        </w:tc>
      </w:tr>
      <w:tr w:rsidR="00AB189B" w:rsidRPr="002F72B3" w14:paraId="0AA5D6FA" w14:textId="77777777" w:rsidTr="00EB52EA">
        <w:tc>
          <w:tcPr>
            <w:tcW w:w="1772" w:type="pct"/>
            <w:tcBorders>
              <w:left w:val="single" w:sz="4" w:space="0" w:color="auto"/>
              <w:bottom w:val="nil"/>
              <w:right w:val="single" w:sz="4" w:space="0" w:color="auto"/>
            </w:tcBorders>
          </w:tcPr>
          <w:p w14:paraId="2F1B8762" w14:textId="77777777" w:rsidR="00AB189B" w:rsidRPr="00ED200D" w:rsidRDefault="00AB189B" w:rsidP="00EB52EA">
            <w:pPr>
              <w:pStyle w:val="TableText0"/>
              <w:keepNext w:val="0"/>
              <w:rPr>
                <w:b/>
                <w:bCs w:val="0"/>
                <w:szCs w:val="20"/>
              </w:rPr>
            </w:pPr>
            <w:r>
              <w:rPr>
                <w:b/>
                <w:bCs w:val="0"/>
                <w:szCs w:val="20"/>
              </w:rPr>
              <w:t>Comparator</w:t>
            </w:r>
            <w:r w:rsidRPr="00ED200D">
              <w:rPr>
                <w:b/>
                <w:bCs w:val="0"/>
                <w:szCs w:val="20"/>
              </w:rPr>
              <w:t xml:space="preserve"> scripts</w:t>
            </w:r>
            <w:r>
              <w:rPr>
                <w:b/>
                <w:bCs w:val="0"/>
                <w:szCs w:val="20"/>
              </w:rPr>
              <w:t xml:space="preserve"> (substituted)*</w:t>
            </w:r>
          </w:p>
        </w:tc>
        <w:tc>
          <w:tcPr>
            <w:tcW w:w="521" w:type="pct"/>
            <w:tcBorders>
              <w:left w:val="single" w:sz="4" w:space="0" w:color="auto"/>
              <w:bottom w:val="nil"/>
              <w:right w:val="single" w:sz="4" w:space="0" w:color="auto"/>
            </w:tcBorders>
            <w:vAlign w:val="center"/>
          </w:tcPr>
          <w:p w14:paraId="4E25944A" w14:textId="7E1F76B8"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2"/>
                <w:szCs w:val="20"/>
                <w:shd w:val="solid" w:color="000000" w:fill="000000"/>
                <w:fitText w:val="569" w:id="-1229265656"/>
                <w14:textFill>
                  <w14:solidFill>
                    <w14:srgbClr w14:val="000000">
                      <w14:alpha w14:val="100000"/>
                    </w14:srgbClr>
                  </w14:solidFill>
                </w14:textFill>
              </w:rPr>
              <w:t>|||||||</w:t>
            </w:r>
            <w:r w:rsidRPr="007B6D9F">
              <w:rPr>
                <w:bCs w:val="0"/>
                <w:color w:val="000000"/>
                <w:spacing w:val="5"/>
                <w:szCs w:val="20"/>
                <w:shd w:val="solid" w:color="000000" w:fill="000000"/>
                <w:fitText w:val="569" w:id="-1229265656"/>
                <w14:textFill>
                  <w14:solidFill>
                    <w14:srgbClr w14:val="000000">
                      <w14:alpha w14:val="100000"/>
                    </w14:srgbClr>
                  </w14:solidFill>
                </w14:textFill>
              </w:rPr>
              <w:t>|</w:t>
            </w:r>
            <w:r w:rsidRPr="00AB189B">
              <w:rPr>
                <w:bCs w:val="0"/>
                <w:szCs w:val="20"/>
                <w:vertAlign w:val="superscript"/>
              </w:rPr>
              <w:t>4</w:t>
            </w:r>
          </w:p>
        </w:tc>
        <w:tc>
          <w:tcPr>
            <w:tcW w:w="521" w:type="pct"/>
            <w:tcBorders>
              <w:left w:val="single" w:sz="4" w:space="0" w:color="auto"/>
              <w:bottom w:val="nil"/>
              <w:right w:val="single" w:sz="4" w:space="0" w:color="auto"/>
            </w:tcBorders>
            <w:vAlign w:val="center"/>
          </w:tcPr>
          <w:p w14:paraId="12B6C4FC" w14:textId="04C02CC5"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655"/>
                <w14:textFill>
                  <w14:solidFill>
                    <w14:srgbClr w14:val="000000">
                      <w14:alpha w14:val="100000"/>
                    </w14:srgbClr>
                  </w14:solidFill>
                </w14:textFill>
              </w:rPr>
              <w:t>|||||||</w:t>
            </w:r>
            <w:r w:rsidRPr="007B6D9F">
              <w:rPr>
                <w:bCs w:val="0"/>
                <w:color w:val="000000"/>
                <w:spacing w:val="5"/>
                <w:szCs w:val="20"/>
                <w:shd w:val="solid" w:color="000000" w:fill="000000"/>
                <w:fitText w:val="562" w:id="-1229265655"/>
                <w14:textFill>
                  <w14:solidFill>
                    <w14:srgbClr w14:val="000000">
                      <w14:alpha w14:val="100000"/>
                    </w14:srgbClr>
                  </w14:solidFill>
                </w14:textFill>
              </w:rPr>
              <w:t>|</w:t>
            </w:r>
            <w:r w:rsidRPr="00AB189B">
              <w:rPr>
                <w:bCs w:val="0"/>
                <w:szCs w:val="20"/>
                <w:vertAlign w:val="superscript"/>
              </w:rPr>
              <w:t>4</w:t>
            </w:r>
          </w:p>
        </w:tc>
        <w:tc>
          <w:tcPr>
            <w:tcW w:w="521" w:type="pct"/>
            <w:tcBorders>
              <w:left w:val="single" w:sz="4" w:space="0" w:color="auto"/>
              <w:bottom w:val="nil"/>
              <w:right w:val="single" w:sz="4" w:space="0" w:color="auto"/>
            </w:tcBorders>
            <w:vAlign w:val="center"/>
          </w:tcPr>
          <w:p w14:paraId="08AFB2D2" w14:textId="4595E443"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654"/>
                <w14:textFill>
                  <w14:solidFill>
                    <w14:srgbClr w14:val="000000">
                      <w14:alpha w14:val="100000"/>
                    </w14:srgbClr>
                  </w14:solidFill>
                </w14:textFill>
              </w:rPr>
              <w:t>|||||||</w:t>
            </w:r>
            <w:r w:rsidRPr="007B6D9F">
              <w:rPr>
                <w:bCs w:val="0"/>
                <w:color w:val="000000"/>
                <w:spacing w:val="5"/>
                <w:szCs w:val="20"/>
                <w:shd w:val="solid" w:color="000000" w:fill="000000"/>
                <w:fitText w:val="562" w:id="-1229265654"/>
                <w14:textFill>
                  <w14:solidFill>
                    <w14:srgbClr w14:val="000000">
                      <w14:alpha w14:val="100000"/>
                    </w14:srgbClr>
                  </w14:solidFill>
                </w14:textFill>
              </w:rPr>
              <w:t>|</w:t>
            </w:r>
            <w:r w:rsidRPr="00AB189B">
              <w:rPr>
                <w:bCs w:val="0"/>
                <w:szCs w:val="20"/>
                <w:vertAlign w:val="superscript"/>
              </w:rPr>
              <w:t>4</w:t>
            </w:r>
          </w:p>
        </w:tc>
        <w:tc>
          <w:tcPr>
            <w:tcW w:w="521" w:type="pct"/>
            <w:tcBorders>
              <w:left w:val="single" w:sz="4" w:space="0" w:color="auto"/>
              <w:bottom w:val="nil"/>
              <w:right w:val="single" w:sz="4" w:space="0" w:color="auto"/>
            </w:tcBorders>
            <w:vAlign w:val="center"/>
          </w:tcPr>
          <w:p w14:paraId="576BC967" w14:textId="5FFC966F"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653"/>
                <w14:textFill>
                  <w14:solidFill>
                    <w14:srgbClr w14:val="000000">
                      <w14:alpha w14:val="100000"/>
                    </w14:srgbClr>
                  </w14:solidFill>
                </w14:textFill>
              </w:rPr>
              <w:t>|||||||</w:t>
            </w:r>
            <w:r w:rsidRPr="007B6D9F">
              <w:rPr>
                <w:bCs w:val="0"/>
                <w:color w:val="000000"/>
                <w:spacing w:val="5"/>
                <w:szCs w:val="20"/>
                <w:shd w:val="solid" w:color="000000" w:fill="000000"/>
                <w:fitText w:val="562" w:id="-1229265653"/>
                <w14:textFill>
                  <w14:solidFill>
                    <w14:srgbClr w14:val="000000">
                      <w14:alpha w14:val="100000"/>
                    </w14:srgbClr>
                  </w14:solidFill>
                </w14:textFill>
              </w:rPr>
              <w:t>|</w:t>
            </w:r>
            <w:r w:rsidRPr="00AB189B">
              <w:rPr>
                <w:bCs w:val="0"/>
                <w:szCs w:val="20"/>
                <w:vertAlign w:val="superscript"/>
              </w:rPr>
              <w:t>4</w:t>
            </w:r>
          </w:p>
        </w:tc>
        <w:tc>
          <w:tcPr>
            <w:tcW w:w="605" w:type="pct"/>
            <w:tcBorders>
              <w:left w:val="single" w:sz="4" w:space="0" w:color="auto"/>
              <w:bottom w:val="nil"/>
              <w:right w:val="single" w:sz="4" w:space="0" w:color="auto"/>
            </w:tcBorders>
            <w:vAlign w:val="center"/>
          </w:tcPr>
          <w:p w14:paraId="5D1A4736" w14:textId="4EB291CD"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28"/>
                <w:szCs w:val="20"/>
                <w:shd w:val="solid" w:color="000000" w:fill="000000"/>
                <w:fitText w:val="686" w:id="-1229265652"/>
                <w14:textFill>
                  <w14:solidFill>
                    <w14:srgbClr w14:val="000000">
                      <w14:alpha w14:val="100000"/>
                    </w14:srgbClr>
                  </w14:solidFill>
                </w14:textFill>
              </w:rPr>
              <w:t>|||||||||</w:t>
            </w:r>
            <w:r w:rsidRPr="007B6D9F">
              <w:rPr>
                <w:bCs w:val="0"/>
                <w:color w:val="000000"/>
                <w:spacing w:val="9"/>
                <w:szCs w:val="20"/>
                <w:shd w:val="solid" w:color="000000" w:fill="000000"/>
                <w:fitText w:val="686" w:id="-1229265652"/>
                <w14:textFill>
                  <w14:solidFill>
                    <w14:srgbClr w14:val="000000">
                      <w14:alpha w14:val="100000"/>
                    </w14:srgbClr>
                  </w14:solidFill>
                </w14:textFill>
              </w:rPr>
              <w:t>|</w:t>
            </w:r>
            <w:r w:rsidRPr="00AB189B">
              <w:rPr>
                <w:bCs w:val="0"/>
                <w:szCs w:val="20"/>
                <w:vertAlign w:val="superscript"/>
              </w:rPr>
              <w:t>4</w:t>
            </w:r>
          </w:p>
        </w:tc>
        <w:tc>
          <w:tcPr>
            <w:tcW w:w="538" w:type="pct"/>
            <w:tcBorders>
              <w:left w:val="single" w:sz="4" w:space="0" w:color="auto"/>
              <w:bottom w:val="nil"/>
              <w:right w:val="single" w:sz="4" w:space="0" w:color="auto"/>
            </w:tcBorders>
            <w:vAlign w:val="center"/>
          </w:tcPr>
          <w:p w14:paraId="542AD7CE" w14:textId="2713519A" w:rsidR="00AB189B" w:rsidRPr="00AB189B" w:rsidRDefault="00AB189B" w:rsidP="00EB52EA">
            <w:pPr>
              <w:pStyle w:val="TableText0"/>
              <w:keepNext w:val="0"/>
              <w:jc w:val="center"/>
              <w:rPr>
                <w:bCs w:val="0"/>
                <w:szCs w:val="20"/>
                <w:highlight w:val="darkGray"/>
              </w:rPr>
            </w:pPr>
            <w:r w:rsidRPr="00AB189B">
              <w:rPr>
                <w:bCs w:val="0"/>
                <w:szCs w:val="20"/>
              </w:rPr>
              <w:t>-</w:t>
            </w:r>
            <w:r w:rsidRPr="008152E0">
              <w:rPr>
                <w:bCs w:val="0"/>
                <w:color w:val="000000"/>
                <w:spacing w:val="33"/>
                <w:szCs w:val="20"/>
                <w:shd w:val="solid" w:color="000000" w:fill="000000"/>
                <w:fitText w:val="723" w:id="-1229265651"/>
                <w14:textFill>
                  <w14:solidFill>
                    <w14:srgbClr w14:val="000000">
                      <w14:alpha w14:val="100000"/>
                    </w14:srgbClr>
                  </w14:solidFill>
                </w14:textFill>
              </w:rPr>
              <w:t>|||||||||</w:t>
            </w:r>
            <w:r w:rsidRPr="008152E0">
              <w:rPr>
                <w:bCs w:val="0"/>
                <w:color w:val="000000"/>
                <w:spacing w:val="1"/>
                <w:szCs w:val="20"/>
                <w:shd w:val="solid" w:color="000000" w:fill="000000"/>
                <w:fitText w:val="723" w:id="-1229265651"/>
                <w14:textFill>
                  <w14:solidFill>
                    <w14:srgbClr w14:val="000000">
                      <w14:alpha w14:val="100000"/>
                    </w14:srgbClr>
                  </w14:solidFill>
                </w14:textFill>
              </w:rPr>
              <w:t>|</w:t>
            </w:r>
            <w:r w:rsidRPr="00AB189B">
              <w:rPr>
                <w:bCs w:val="0"/>
                <w:szCs w:val="20"/>
                <w:vertAlign w:val="superscript"/>
              </w:rPr>
              <w:t>4</w:t>
            </w:r>
          </w:p>
        </w:tc>
      </w:tr>
      <w:tr w:rsidR="00AB189B" w:rsidRPr="002F72B3" w14:paraId="450B5B54" w14:textId="77777777" w:rsidTr="00EB52EA">
        <w:tc>
          <w:tcPr>
            <w:tcW w:w="1772" w:type="pct"/>
            <w:tcBorders>
              <w:top w:val="nil"/>
              <w:left w:val="single" w:sz="4" w:space="0" w:color="auto"/>
              <w:bottom w:val="nil"/>
              <w:right w:val="single" w:sz="4" w:space="0" w:color="auto"/>
            </w:tcBorders>
            <w:vAlign w:val="center"/>
          </w:tcPr>
          <w:p w14:paraId="1734DFD5" w14:textId="77777777" w:rsidR="00AB189B" w:rsidRDefault="00AB189B" w:rsidP="00EB52EA">
            <w:pPr>
              <w:pStyle w:val="TableText0"/>
              <w:keepNext w:val="0"/>
              <w:ind w:left="112"/>
              <w:rPr>
                <w:szCs w:val="20"/>
              </w:rPr>
            </w:pPr>
            <w:r>
              <w:rPr>
                <w:szCs w:val="20"/>
              </w:rPr>
              <w:t>ADA (20mg / 40mg)</w:t>
            </w:r>
          </w:p>
        </w:tc>
        <w:tc>
          <w:tcPr>
            <w:tcW w:w="521" w:type="pct"/>
            <w:tcBorders>
              <w:top w:val="nil"/>
              <w:left w:val="single" w:sz="4" w:space="0" w:color="auto"/>
              <w:bottom w:val="nil"/>
              <w:right w:val="single" w:sz="4" w:space="0" w:color="auto"/>
            </w:tcBorders>
            <w:vAlign w:val="center"/>
          </w:tcPr>
          <w:p w14:paraId="627BABE5" w14:textId="6205D1C0"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2"/>
                <w:szCs w:val="20"/>
                <w:shd w:val="solid" w:color="000000" w:fill="000000"/>
                <w:fitText w:val="569" w:id="-1229265650"/>
                <w14:textFill>
                  <w14:solidFill>
                    <w14:srgbClr w14:val="000000">
                      <w14:alpha w14:val="100000"/>
                    </w14:srgbClr>
                  </w14:solidFill>
                </w14:textFill>
              </w:rPr>
              <w:t>|||||||</w:t>
            </w:r>
            <w:r w:rsidRPr="007B6D9F">
              <w:rPr>
                <w:bCs w:val="0"/>
                <w:color w:val="000000"/>
                <w:spacing w:val="5"/>
                <w:szCs w:val="20"/>
                <w:shd w:val="solid" w:color="000000" w:fill="000000"/>
                <w:fitText w:val="569" w:id="-1229265650"/>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3D7E4EE7" w14:textId="2355973C"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649"/>
                <w14:textFill>
                  <w14:solidFill>
                    <w14:srgbClr w14:val="000000">
                      <w14:alpha w14:val="100000"/>
                    </w14:srgbClr>
                  </w14:solidFill>
                </w14:textFill>
              </w:rPr>
              <w:t>|||||||</w:t>
            </w:r>
            <w:r w:rsidRPr="007B6D9F">
              <w:rPr>
                <w:bCs w:val="0"/>
                <w:color w:val="000000"/>
                <w:spacing w:val="5"/>
                <w:szCs w:val="20"/>
                <w:shd w:val="solid" w:color="000000" w:fill="000000"/>
                <w:fitText w:val="562" w:id="-1229265649"/>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31A5BE2C" w14:textId="60AE4A6E"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648"/>
                <w14:textFill>
                  <w14:solidFill>
                    <w14:srgbClr w14:val="000000">
                      <w14:alpha w14:val="100000"/>
                    </w14:srgbClr>
                  </w14:solidFill>
                </w14:textFill>
              </w:rPr>
              <w:t>|||||||</w:t>
            </w:r>
            <w:r w:rsidRPr="007B6D9F">
              <w:rPr>
                <w:bCs w:val="0"/>
                <w:color w:val="000000"/>
                <w:spacing w:val="5"/>
                <w:szCs w:val="20"/>
                <w:shd w:val="solid" w:color="000000" w:fill="000000"/>
                <w:fitText w:val="562" w:id="-1229265648"/>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3E7D780C" w14:textId="09772918"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664"/>
                <w14:textFill>
                  <w14:solidFill>
                    <w14:srgbClr w14:val="000000">
                      <w14:alpha w14:val="100000"/>
                    </w14:srgbClr>
                  </w14:solidFill>
                </w14:textFill>
              </w:rPr>
              <w:t>|||||||</w:t>
            </w:r>
            <w:r w:rsidRPr="007B6D9F">
              <w:rPr>
                <w:bCs w:val="0"/>
                <w:color w:val="000000"/>
                <w:spacing w:val="5"/>
                <w:szCs w:val="20"/>
                <w:shd w:val="solid" w:color="000000" w:fill="000000"/>
                <w:fitText w:val="562" w:id="-1229265664"/>
                <w14:textFill>
                  <w14:solidFill>
                    <w14:srgbClr w14:val="000000">
                      <w14:alpha w14:val="100000"/>
                    </w14:srgbClr>
                  </w14:solidFill>
                </w14:textFill>
              </w:rPr>
              <w:t>|</w:t>
            </w:r>
            <w:r w:rsidRPr="00AB189B">
              <w:rPr>
                <w:bCs w:val="0"/>
                <w:szCs w:val="20"/>
                <w:vertAlign w:val="superscript"/>
              </w:rPr>
              <w:t>4</w:t>
            </w:r>
          </w:p>
        </w:tc>
        <w:tc>
          <w:tcPr>
            <w:tcW w:w="605" w:type="pct"/>
            <w:tcBorders>
              <w:top w:val="nil"/>
              <w:left w:val="single" w:sz="4" w:space="0" w:color="auto"/>
              <w:bottom w:val="nil"/>
              <w:right w:val="single" w:sz="4" w:space="0" w:color="auto"/>
            </w:tcBorders>
            <w:vAlign w:val="center"/>
          </w:tcPr>
          <w:p w14:paraId="6E734AEF" w14:textId="298426BD"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28"/>
                <w:szCs w:val="20"/>
                <w:shd w:val="solid" w:color="000000" w:fill="000000"/>
                <w:fitText w:val="686" w:id="-1229265663"/>
                <w14:textFill>
                  <w14:solidFill>
                    <w14:srgbClr w14:val="000000">
                      <w14:alpha w14:val="100000"/>
                    </w14:srgbClr>
                  </w14:solidFill>
                </w14:textFill>
              </w:rPr>
              <w:t>|||||||||</w:t>
            </w:r>
            <w:r w:rsidRPr="007B6D9F">
              <w:rPr>
                <w:bCs w:val="0"/>
                <w:color w:val="000000"/>
                <w:spacing w:val="9"/>
                <w:szCs w:val="20"/>
                <w:shd w:val="solid" w:color="000000" w:fill="000000"/>
                <w:fitText w:val="686" w:id="-1229265663"/>
                <w14:textFill>
                  <w14:solidFill>
                    <w14:srgbClr w14:val="000000">
                      <w14:alpha w14:val="100000"/>
                    </w14:srgbClr>
                  </w14:solidFill>
                </w14:textFill>
              </w:rPr>
              <w:t>|</w:t>
            </w:r>
            <w:r w:rsidRPr="00AB189B">
              <w:rPr>
                <w:bCs w:val="0"/>
                <w:szCs w:val="20"/>
                <w:vertAlign w:val="superscript"/>
              </w:rPr>
              <w:t>4</w:t>
            </w:r>
          </w:p>
        </w:tc>
        <w:tc>
          <w:tcPr>
            <w:tcW w:w="538" w:type="pct"/>
            <w:tcBorders>
              <w:top w:val="nil"/>
              <w:left w:val="single" w:sz="4" w:space="0" w:color="auto"/>
              <w:bottom w:val="nil"/>
              <w:right w:val="single" w:sz="4" w:space="0" w:color="auto"/>
            </w:tcBorders>
            <w:vAlign w:val="center"/>
          </w:tcPr>
          <w:p w14:paraId="580EA636" w14:textId="50ED17A2" w:rsidR="00AB189B" w:rsidRPr="00AB189B" w:rsidRDefault="00AB189B" w:rsidP="00EB52EA">
            <w:pPr>
              <w:pStyle w:val="TableText0"/>
              <w:keepNext w:val="0"/>
              <w:jc w:val="center"/>
              <w:rPr>
                <w:bCs w:val="0"/>
                <w:szCs w:val="20"/>
                <w:highlight w:val="darkGray"/>
              </w:rPr>
            </w:pPr>
            <w:r w:rsidRPr="00AB189B">
              <w:rPr>
                <w:bCs w:val="0"/>
                <w:szCs w:val="20"/>
              </w:rPr>
              <w:t>-</w:t>
            </w:r>
            <w:r w:rsidRPr="008152E0">
              <w:rPr>
                <w:bCs w:val="0"/>
                <w:color w:val="000000"/>
                <w:spacing w:val="33"/>
                <w:szCs w:val="20"/>
                <w:shd w:val="solid" w:color="000000" w:fill="000000"/>
                <w:fitText w:val="723" w:id="-1229265662"/>
                <w14:textFill>
                  <w14:solidFill>
                    <w14:srgbClr w14:val="000000">
                      <w14:alpha w14:val="100000"/>
                    </w14:srgbClr>
                  </w14:solidFill>
                </w14:textFill>
              </w:rPr>
              <w:t>|||||||||</w:t>
            </w:r>
            <w:r w:rsidRPr="008152E0">
              <w:rPr>
                <w:bCs w:val="0"/>
                <w:color w:val="000000"/>
                <w:spacing w:val="1"/>
                <w:szCs w:val="20"/>
                <w:shd w:val="solid" w:color="000000" w:fill="000000"/>
                <w:fitText w:val="723" w:id="-1229265662"/>
                <w14:textFill>
                  <w14:solidFill>
                    <w14:srgbClr w14:val="000000">
                      <w14:alpha w14:val="100000"/>
                    </w14:srgbClr>
                  </w14:solidFill>
                </w14:textFill>
              </w:rPr>
              <w:t>|</w:t>
            </w:r>
            <w:r w:rsidRPr="00AB189B">
              <w:rPr>
                <w:bCs w:val="0"/>
                <w:szCs w:val="20"/>
                <w:vertAlign w:val="superscript"/>
              </w:rPr>
              <w:t>4</w:t>
            </w:r>
          </w:p>
        </w:tc>
      </w:tr>
      <w:tr w:rsidR="00AB189B" w:rsidRPr="002F72B3" w14:paraId="795351CC" w14:textId="77777777" w:rsidTr="00EB52EA">
        <w:tc>
          <w:tcPr>
            <w:tcW w:w="1772" w:type="pct"/>
            <w:tcBorders>
              <w:top w:val="nil"/>
              <w:left w:val="single" w:sz="4" w:space="0" w:color="auto"/>
              <w:bottom w:val="nil"/>
              <w:right w:val="single" w:sz="4" w:space="0" w:color="auto"/>
            </w:tcBorders>
          </w:tcPr>
          <w:p w14:paraId="5FBB8D11" w14:textId="77777777" w:rsidR="00AB189B" w:rsidRDefault="00AB189B" w:rsidP="00EB52EA">
            <w:pPr>
              <w:pStyle w:val="TableText0"/>
              <w:keepNext w:val="0"/>
              <w:ind w:left="112"/>
              <w:rPr>
                <w:szCs w:val="20"/>
              </w:rPr>
            </w:pPr>
            <w:r>
              <w:rPr>
                <w:szCs w:val="20"/>
              </w:rPr>
              <w:t>ETN (25 mg / 50mg)</w:t>
            </w:r>
          </w:p>
        </w:tc>
        <w:tc>
          <w:tcPr>
            <w:tcW w:w="521" w:type="pct"/>
            <w:tcBorders>
              <w:top w:val="nil"/>
              <w:left w:val="single" w:sz="4" w:space="0" w:color="auto"/>
              <w:bottom w:val="nil"/>
              <w:right w:val="single" w:sz="4" w:space="0" w:color="auto"/>
            </w:tcBorders>
            <w:vAlign w:val="center"/>
          </w:tcPr>
          <w:p w14:paraId="391FA011" w14:textId="0FC4A74B"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2"/>
                <w:szCs w:val="20"/>
                <w:shd w:val="solid" w:color="000000" w:fill="000000"/>
                <w:fitText w:val="569" w:id="-1229265661"/>
                <w14:textFill>
                  <w14:solidFill>
                    <w14:srgbClr w14:val="000000">
                      <w14:alpha w14:val="100000"/>
                    </w14:srgbClr>
                  </w14:solidFill>
                </w14:textFill>
              </w:rPr>
              <w:t>|||||||</w:t>
            </w:r>
            <w:r w:rsidRPr="007B6D9F">
              <w:rPr>
                <w:bCs w:val="0"/>
                <w:color w:val="000000"/>
                <w:spacing w:val="5"/>
                <w:szCs w:val="20"/>
                <w:shd w:val="solid" w:color="000000" w:fill="000000"/>
                <w:fitText w:val="569" w:id="-1229265661"/>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0D4C6C51" w14:textId="0BCD6749"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660"/>
                <w14:textFill>
                  <w14:solidFill>
                    <w14:srgbClr w14:val="000000">
                      <w14:alpha w14:val="100000"/>
                    </w14:srgbClr>
                  </w14:solidFill>
                </w14:textFill>
              </w:rPr>
              <w:t>|||||||</w:t>
            </w:r>
            <w:r w:rsidRPr="007B6D9F">
              <w:rPr>
                <w:bCs w:val="0"/>
                <w:color w:val="000000"/>
                <w:spacing w:val="5"/>
                <w:szCs w:val="20"/>
                <w:shd w:val="solid" w:color="000000" w:fill="000000"/>
                <w:fitText w:val="562" w:id="-1229265660"/>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47E4257C" w14:textId="12BF1B15"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408"/>
                <w14:textFill>
                  <w14:solidFill>
                    <w14:srgbClr w14:val="000000">
                      <w14:alpha w14:val="100000"/>
                    </w14:srgbClr>
                  </w14:solidFill>
                </w14:textFill>
              </w:rPr>
              <w:t>|||||||</w:t>
            </w:r>
            <w:r w:rsidRPr="007B6D9F">
              <w:rPr>
                <w:bCs w:val="0"/>
                <w:color w:val="000000"/>
                <w:spacing w:val="5"/>
                <w:szCs w:val="20"/>
                <w:shd w:val="solid" w:color="000000" w:fill="000000"/>
                <w:fitText w:val="562" w:id="-1229265408"/>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167ED985" w14:textId="41C48105"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407"/>
                <w14:textFill>
                  <w14:solidFill>
                    <w14:srgbClr w14:val="000000">
                      <w14:alpha w14:val="100000"/>
                    </w14:srgbClr>
                  </w14:solidFill>
                </w14:textFill>
              </w:rPr>
              <w:t>|||||||</w:t>
            </w:r>
            <w:r w:rsidRPr="007B6D9F">
              <w:rPr>
                <w:bCs w:val="0"/>
                <w:color w:val="000000"/>
                <w:spacing w:val="5"/>
                <w:szCs w:val="20"/>
                <w:shd w:val="solid" w:color="000000" w:fill="000000"/>
                <w:fitText w:val="562" w:id="-1229265407"/>
                <w14:textFill>
                  <w14:solidFill>
                    <w14:srgbClr w14:val="000000">
                      <w14:alpha w14:val="100000"/>
                    </w14:srgbClr>
                  </w14:solidFill>
                </w14:textFill>
              </w:rPr>
              <w:t>|</w:t>
            </w:r>
            <w:r w:rsidRPr="00AB189B">
              <w:rPr>
                <w:bCs w:val="0"/>
                <w:szCs w:val="20"/>
                <w:vertAlign w:val="superscript"/>
              </w:rPr>
              <w:t>4</w:t>
            </w:r>
          </w:p>
        </w:tc>
        <w:tc>
          <w:tcPr>
            <w:tcW w:w="605" w:type="pct"/>
            <w:tcBorders>
              <w:top w:val="nil"/>
              <w:left w:val="single" w:sz="4" w:space="0" w:color="auto"/>
              <w:bottom w:val="nil"/>
              <w:right w:val="single" w:sz="4" w:space="0" w:color="auto"/>
            </w:tcBorders>
            <w:vAlign w:val="center"/>
          </w:tcPr>
          <w:p w14:paraId="1B6B8422" w14:textId="6D9DEEB5"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28"/>
                <w:szCs w:val="20"/>
                <w:shd w:val="solid" w:color="000000" w:fill="000000"/>
                <w:fitText w:val="686" w:id="-1229265406"/>
                <w14:textFill>
                  <w14:solidFill>
                    <w14:srgbClr w14:val="000000">
                      <w14:alpha w14:val="100000"/>
                    </w14:srgbClr>
                  </w14:solidFill>
                </w14:textFill>
              </w:rPr>
              <w:t>|||||||||</w:t>
            </w:r>
            <w:r w:rsidRPr="007B6D9F">
              <w:rPr>
                <w:bCs w:val="0"/>
                <w:color w:val="000000"/>
                <w:spacing w:val="9"/>
                <w:szCs w:val="20"/>
                <w:shd w:val="solid" w:color="000000" w:fill="000000"/>
                <w:fitText w:val="686" w:id="-1229265406"/>
                <w14:textFill>
                  <w14:solidFill>
                    <w14:srgbClr w14:val="000000">
                      <w14:alpha w14:val="100000"/>
                    </w14:srgbClr>
                  </w14:solidFill>
                </w14:textFill>
              </w:rPr>
              <w:t>|</w:t>
            </w:r>
            <w:r w:rsidRPr="00AB189B">
              <w:rPr>
                <w:bCs w:val="0"/>
                <w:szCs w:val="20"/>
                <w:vertAlign w:val="superscript"/>
              </w:rPr>
              <w:t>4</w:t>
            </w:r>
          </w:p>
        </w:tc>
        <w:tc>
          <w:tcPr>
            <w:tcW w:w="538" w:type="pct"/>
            <w:tcBorders>
              <w:top w:val="nil"/>
              <w:left w:val="single" w:sz="4" w:space="0" w:color="auto"/>
              <w:bottom w:val="nil"/>
              <w:right w:val="single" w:sz="4" w:space="0" w:color="auto"/>
            </w:tcBorders>
            <w:vAlign w:val="center"/>
          </w:tcPr>
          <w:p w14:paraId="06B8C467" w14:textId="70F23201" w:rsidR="00AB189B" w:rsidRPr="00AB189B" w:rsidRDefault="00AB189B" w:rsidP="00EB52EA">
            <w:pPr>
              <w:pStyle w:val="TableText0"/>
              <w:keepNext w:val="0"/>
              <w:jc w:val="center"/>
              <w:rPr>
                <w:bCs w:val="0"/>
                <w:szCs w:val="20"/>
                <w:highlight w:val="darkGray"/>
              </w:rPr>
            </w:pPr>
            <w:r w:rsidRPr="00AB189B">
              <w:rPr>
                <w:bCs w:val="0"/>
                <w:szCs w:val="20"/>
              </w:rPr>
              <w:t>-</w:t>
            </w:r>
            <w:r w:rsidRPr="008152E0">
              <w:rPr>
                <w:bCs w:val="0"/>
                <w:color w:val="000000"/>
                <w:spacing w:val="33"/>
                <w:szCs w:val="20"/>
                <w:shd w:val="solid" w:color="000000" w:fill="000000"/>
                <w:fitText w:val="723" w:id="-1229265405"/>
                <w14:textFill>
                  <w14:solidFill>
                    <w14:srgbClr w14:val="000000">
                      <w14:alpha w14:val="100000"/>
                    </w14:srgbClr>
                  </w14:solidFill>
                </w14:textFill>
              </w:rPr>
              <w:t>|||||||||</w:t>
            </w:r>
            <w:r w:rsidRPr="008152E0">
              <w:rPr>
                <w:bCs w:val="0"/>
                <w:color w:val="000000"/>
                <w:spacing w:val="1"/>
                <w:szCs w:val="20"/>
                <w:shd w:val="solid" w:color="000000" w:fill="000000"/>
                <w:fitText w:val="723" w:id="-1229265405"/>
                <w14:textFill>
                  <w14:solidFill>
                    <w14:srgbClr w14:val="000000">
                      <w14:alpha w14:val="100000"/>
                    </w14:srgbClr>
                  </w14:solidFill>
                </w14:textFill>
              </w:rPr>
              <w:t>|</w:t>
            </w:r>
            <w:r w:rsidRPr="00AB189B">
              <w:rPr>
                <w:bCs w:val="0"/>
                <w:szCs w:val="20"/>
                <w:vertAlign w:val="superscript"/>
              </w:rPr>
              <w:t>4</w:t>
            </w:r>
          </w:p>
        </w:tc>
      </w:tr>
      <w:tr w:rsidR="00AB189B" w:rsidRPr="002F72B3" w14:paraId="7ADF187F" w14:textId="77777777" w:rsidTr="00EB52EA">
        <w:tc>
          <w:tcPr>
            <w:tcW w:w="1772" w:type="pct"/>
            <w:tcBorders>
              <w:top w:val="nil"/>
              <w:left w:val="single" w:sz="4" w:space="0" w:color="auto"/>
              <w:bottom w:val="nil"/>
              <w:right w:val="single" w:sz="4" w:space="0" w:color="auto"/>
            </w:tcBorders>
          </w:tcPr>
          <w:p w14:paraId="0C75E9A9" w14:textId="77777777" w:rsidR="00AB189B" w:rsidRDefault="00AB189B" w:rsidP="00EB52EA">
            <w:pPr>
              <w:pStyle w:val="TableText0"/>
              <w:keepNext w:val="0"/>
              <w:ind w:left="112"/>
              <w:rPr>
                <w:szCs w:val="20"/>
              </w:rPr>
            </w:pPr>
            <w:r>
              <w:rPr>
                <w:szCs w:val="20"/>
              </w:rPr>
              <w:t>TOC IV (80mg / 200mg / 400 mg)</w:t>
            </w:r>
          </w:p>
        </w:tc>
        <w:tc>
          <w:tcPr>
            <w:tcW w:w="521" w:type="pct"/>
            <w:tcBorders>
              <w:top w:val="nil"/>
              <w:left w:val="single" w:sz="4" w:space="0" w:color="auto"/>
              <w:bottom w:val="nil"/>
              <w:right w:val="single" w:sz="4" w:space="0" w:color="auto"/>
            </w:tcBorders>
            <w:vAlign w:val="center"/>
          </w:tcPr>
          <w:p w14:paraId="2291B743" w14:textId="565BCA80"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2"/>
                <w:szCs w:val="20"/>
                <w:shd w:val="solid" w:color="000000" w:fill="000000"/>
                <w:fitText w:val="569" w:id="-1229265404"/>
                <w14:textFill>
                  <w14:solidFill>
                    <w14:srgbClr w14:val="000000">
                      <w14:alpha w14:val="100000"/>
                    </w14:srgbClr>
                  </w14:solidFill>
                </w14:textFill>
              </w:rPr>
              <w:t>|||||||</w:t>
            </w:r>
            <w:r w:rsidRPr="007B6D9F">
              <w:rPr>
                <w:bCs w:val="0"/>
                <w:color w:val="000000"/>
                <w:spacing w:val="5"/>
                <w:szCs w:val="20"/>
                <w:shd w:val="solid" w:color="000000" w:fill="000000"/>
                <w:fitText w:val="569" w:id="-1229265404"/>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4B304807" w14:textId="63D1CEBE"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403"/>
                <w14:textFill>
                  <w14:solidFill>
                    <w14:srgbClr w14:val="000000">
                      <w14:alpha w14:val="100000"/>
                    </w14:srgbClr>
                  </w14:solidFill>
                </w14:textFill>
              </w:rPr>
              <w:t>|||||||</w:t>
            </w:r>
            <w:r w:rsidRPr="007B6D9F">
              <w:rPr>
                <w:bCs w:val="0"/>
                <w:color w:val="000000"/>
                <w:spacing w:val="5"/>
                <w:szCs w:val="20"/>
                <w:shd w:val="solid" w:color="000000" w:fill="000000"/>
                <w:fitText w:val="562" w:id="-1229265403"/>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16480159" w14:textId="7E2553C6"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402"/>
                <w14:textFill>
                  <w14:solidFill>
                    <w14:srgbClr w14:val="000000">
                      <w14:alpha w14:val="100000"/>
                    </w14:srgbClr>
                  </w14:solidFill>
                </w14:textFill>
              </w:rPr>
              <w:t>|||||||</w:t>
            </w:r>
            <w:r w:rsidRPr="007B6D9F">
              <w:rPr>
                <w:bCs w:val="0"/>
                <w:color w:val="000000"/>
                <w:spacing w:val="5"/>
                <w:szCs w:val="20"/>
                <w:shd w:val="solid" w:color="000000" w:fill="000000"/>
                <w:fitText w:val="562" w:id="-1229265402"/>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63686DC6" w14:textId="7F1262B6"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401"/>
                <w14:textFill>
                  <w14:solidFill>
                    <w14:srgbClr w14:val="000000">
                      <w14:alpha w14:val="100000"/>
                    </w14:srgbClr>
                  </w14:solidFill>
                </w14:textFill>
              </w:rPr>
              <w:t>|||||||</w:t>
            </w:r>
            <w:r w:rsidRPr="007B6D9F">
              <w:rPr>
                <w:bCs w:val="0"/>
                <w:color w:val="000000"/>
                <w:spacing w:val="5"/>
                <w:szCs w:val="20"/>
                <w:shd w:val="solid" w:color="000000" w:fill="000000"/>
                <w:fitText w:val="562" w:id="-1229265401"/>
                <w14:textFill>
                  <w14:solidFill>
                    <w14:srgbClr w14:val="000000">
                      <w14:alpha w14:val="100000"/>
                    </w14:srgbClr>
                  </w14:solidFill>
                </w14:textFill>
              </w:rPr>
              <w:t>|</w:t>
            </w:r>
            <w:r w:rsidRPr="00AB189B">
              <w:rPr>
                <w:bCs w:val="0"/>
                <w:szCs w:val="20"/>
                <w:vertAlign w:val="superscript"/>
              </w:rPr>
              <w:t>4</w:t>
            </w:r>
          </w:p>
        </w:tc>
        <w:tc>
          <w:tcPr>
            <w:tcW w:w="605" w:type="pct"/>
            <w:tcBorders>
              <w:top w:val="nil"/>
              <w:left w:val="single" w:sz="4" w:space="0" w:color="auto"/>
              <w:bottom w:val="nil"/>
              <w:right w:val="single" w:sz="4" w:space="0" w:color="auto"/>
            </w:tcBorders>
            <w:vAlign w:val="center"/>
          </w:tcPr>
          <w:p w14:paraId="384838D8" w14:textId="59ED29FF"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28"/>
                <w:szCs w:val="20"/>
                <w:shd w:val="solid" w:color="000000" w:fill="000000"/>
                <w:fitText w:val="686" w:id="-1229265400"/>
                <w14:textFill>
                  <w14:solidFill>
                    <w14:srgbClr w14:val="000000">
                      <w14:alpha w14:val="100000"/>
                    </w14:srgbClr>
                  </w14:solidFill>
                </w14:textFill>
              </w:rPr>
              <w:t>|||||||||</w:t>
            </w:r>
            <w:r w:rsidRPr="007B6D9F">
              <w:rPr>
                <w:bCs w:val="0"/>
                <w:color w:val="000000"/>
                <w:spacing w:val="9"/>
                <w:szCs w:val="20"/>
                <w:shd w:val="solid" w:color="000000" w:fill="000000"/>
                <w:fitText w:val="686" w:id="-1229265400"/>
                <w14:textFill>
                  <w14:solidFill>
                    <w14:srgbClr w14:val="000000">
                      <w14:alpha w14:val="100000"/>
                    </w14:srgbClr>
                  </w14:solidFill>
                </w14:textFill>
              </w:rPr>
              <w:t>|</w:t>
            </w:r>
            <w:r w:rsidRPr="00AB189B">
              <w:rPr>
                <w:bCs w:val="0"/>
                <w:szCs w:val="20"/>
                <w:vertAlign w:val="superscript"/>
              </w:rPr>
              <w:t>4</w:t>
            </w:r>
          </w:p>
        </w:tc>
        <w:tc>
          <w:tcPr>
            <w:tcW w:w="538" w:type="pct"/>
            <w:tcBorders>
              <w:top w:val="nil"/>
              <w:left w:val="single" w:sz="4" w:space="0" w:color="auto"/>
              <w:bottom w:val="nil"/>
              <w:right w:val="single" w:sz="4" w:space="0" w:color="auto"/>
            </w:tcBorders>
            <w:vAlign w:val="center"/>
          </w:tcPr>
          <w:p w14:paraId="45B9903C" w14:textId="57DF7768" w:rsidR="00AB189B" w:rsidRPr="00AB189B" w:rsidRDefault="00AB189B" w:rsidP="00EB52EA">
            <w:pPr>
              <w:pStyle w:val="TableText0"/>
              <w:keepNext w:val="0"/>
              <w:jc w:val="center"/>
              <w:rPr>
                <w:bCs w:val="0"/>
                <w:szCs w:val="20"/>
                <w:highlight w:val="darkGray"/>
              </w:rPr>
            </w:pPr>
            <w:r w:rsidRPr="00AB189B">
              <w:rPr>
                <w:bCs w:val="0"/>
                <w:szCs w:val="20"/>
              </w:rPr>
              <w:t>-</w:t>
            </w:r>
            <w:r w:rsidRPr="008152E0">
              <w:rPr>
                <w:bCs w:val="0"/>
                <w:color w:val="000000"/>
                <w:spacing w:val="33"/>
                <w:szCs w:val="20"/>
                <w:shd w:val="solid" w:color="000000" w:fill="000000"/>
                <w:fitText w:val="723" w:id="-1229265399"/>
                <w14:textFill>
                  <w14:solidFill>
                    <w14:srgbClr w14:val="000000">
                      <w14:alpha w14:val="100000"/>
                    </w14:srgbClr>
                  </w14:solidFill>
                </w14:textFill>
              </w:rPr>
              <w:t>|||||||||</w:t>
            </w:r>
            <w:r w:rsidRPr="008152E0">
              <w:rPr>
                <w:bCs w:val="0"/>
                <w:color w:val="000000"/>
                <w:spacing w:val="1"/>
                <w:szCs w:val="20"/>
                <w:shd w:val="solid" w:color="000000" w:fill="000000"/>
                <w:fitText w:val="723" w:id="-1229265399"/>
                <w14:textFill>
                  <w14:solidFill>
                    <w14:srgbClr w14:val="000000">
                      <w14:alpha w14:val="100000"/>
                    </w14:srgbClr>
                  </w14:solidFill>
                </w14:textFill>
              </w:rPr>
              <w:t>|</w:t>
            </w:r>
            <w:r w:rsidRPr="00AB189B">
              <w:rPr>
                <w:bCs w:val="0"/>
                <w:szCs w:val="20"/>
                <w:vertAlign w:val="superscript"/>
              </w:rPr>
              <w:t>4</w:t>
            </w:r>
          </w:p>
        </w:tc>
      </w:tr>
      <w:tr w:rsidR="00AB189B" w:rsidRPr="002F72B3" w14:paraId="4931E6C6" w14:textId="77777777" w:rsidTr="00EB52EA">
        <w:tc>
          <w:tcPr>
            <w:tcW w:w="1772" w:type="pct"/>
            <w:tcBorders>
              <w:top w:val="nil"/>
              <w:left w:val="single" w:sz="4" w:space="0" w:color="auto"/>
              <w:bottom w:val="nil"/>
              <w:right w:val="single" w:sz="4" w:space="0" w:color="auto"/>
            </w:tcBorders>
          </w:tcPr>
          <w:p w14:paraId="5BBBC402" w14:textId="77777777" w:rsidR="00AB189B" w:rsidRDefault="00AB189B" w:rsidP="00EB52EA">
            <w:pPr>
              <w:pStyle w:val="TableText0"/>
              <w:keepNext w:val="0"/>
              <w:ind w:left="112"/>
              <w:rPr>
                <w:szCs w:val="20"/>
              </w:rPr>
            </w:pPr>
            <w:r>
              <w:rPr>
                <w:szCs w:val="20"/>
              </w:rPr>
              <w:t xml:space="preserve">TOC SC </w:t>
            </w:r>
          </w:p>
        </w:tc>
        <w:tc>
          <w:tcPr>
            <w:tcW w:w="521" w:type="pct"/>
            <w:tcBorders>
              <w:top w:val="nil"/>
              <w:left w:val="single" w:sz="4" w:space="0" w:color="auto"/>
              <w:bottom w:val="nil"/>
              <w:right w:val="single" w:sz="4" w:space="0" w:color="auto"/>
            </w:tcBorders>
            <w:vAlign w:val="center"/>
          </w:tcPr>
          <w:p w14:paraId="4D5B74F1" w14:textId="3E110C3C"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2"/>
                <w:szCs w:val="20"/>
                <w:shd w:val="solid" w:color="000000" w:fill="000000"/>
                <w:fitText w:val="569" w:id="-1229265398"/>
                <w14:textFill>
                  <w14:solidFill>
                    <w14:srgbClr w14:val="000000">
                      <w14:alpha w14:val="100000"/>
                    </w14:srgbClr>
                  </w14:solidFill>
                </w14:textFill>
              </w:rPr>
              <w:t>|||||||</w:t>
            </w:r>
            <w:r w:rsidRPr="007B6D9F">
              <w:rPr>
                <w:bCs w:val="0"/>
                <w:color w:val="000000"/>
                <w:spacing w:val="5"/>
                <w:szCs w:val="20"/>
                <w:shd w:val="solid" w:color="000000" w:fill="000000"/>
                <w:fitText w:val="569" w:id="-1229265398"/>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48A210D3" w14:textId="4875EDC8"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397"/>
                <w14:textFill>
                  <w14:solidFill>
                    <w14:srgbClr w14:val="000000">
                      <w14:alpha w14:val="100000"/>
                    </w14:srgbClr>
                  </w14:solidFill>
                </w14:textFill>
              </w:rPr>
              <w:t>|||||||</w:t>
            </w:r>
            <w:r w:rsidRPr="007B6D9F">
              <w:rPr>
                <w:bCs w:val="0"/>
                <w:color w:val="000000"/>
                <w:spacing w:val="5"/>
                <w:szCs w:val="20"/>
                <w:shd w:val="solid" w:color="000000" w:fill="000000"/>
                <w:fitText w:val="562" w:id="-1229265397"/>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0C6C4F3D" w14:textId="1D9B3A06"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396"/>
                <w14:textFill>
                  <w14:solidFill>
                    <w14:srgbClr w14:val="000000">
                      <w14:alpha w14:val="100000"/>
                    </w14:srgbClr>
                  </w14:solidFill>
                </w14:textFill>
              </w:rPr>
              <w:t>|||||||</w:t>
            </w:r>
            <w:r w:rsidRPr="007B6D9F">
              <w:rPr>
                <w:bCs w:val="0"/>
                <w:color w:val="000000"/>
                <w:spacing w:val="5"/>
                <w:szCs w:val="20"/>
                <w:shd w:val="solid" w:color="000000" w:fill="000000"/>
                <w:fitText w:val="562" w:id="-1229265396"/>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vAlign w:val="center"/>
          </w:tcPr>
          <w:p w14:paraId="32288FCF" w14:textId="44DC4B3D"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395"/>
                <w14:textFill>
                  <w14:solidFill>
                    <w14:srgbClr w14:val="000000">
                      <w14:alpha w14:val="100000"/>
                    </w14:srgbClr>
                  </w14:solidFill>
                </w14:textFill>
              </w:rPr>
              <w:t>|||||||</w:t>
            </w:r>
            <w:r w:rsidRPr="007B6D9F">
              <w:rPr>
                <w:bCs w:val="0"/>
                <w:color w:val="000000"/>
                <w:spacing w:val="5"/>
                <w:szCs w:val="20"/>
                <w:shd w:val="solid" w:color="000000" w:fill="000000"/>
                <w:fitText w:val="562" w:id="-1229265395"/>
                <w14:textFill>
                  <w14:solidFill>
                    <w14:srgbClr w14:val="000000">
                      <w14:alpha w14:val="100000"/>
                    </w14:srgbClr>
                  </w14:solidFill>
                </w14:textFill>
              </w:rPr>
              <w:t>|</w:t>
            </w:r>
            <w:r w:rsidRPr="00AB189B">
              <w:rPr>
                <w:bCs w:val="0"/>
                <w:szCs w:val="20"/>
                <w:vertAlign w:val="superscript"/>
              </w:rPr>
              <w:t>4</w:t>
            </w:r>
          </w:p>
        </w:tc>
        <w:tc>
          <w:tcPr>
            <w:tcW w:w="605" w:type="pct"/>
            <w:tcBorders>
              <w:top w:val="nil"/>
              <w:left w:val="single" w:sz="4" w:space="0" w:color="auto"/>
              <w:bottom w:val="nil"/>
              <w:right w:val="single" w:sz="4" w:space="0" w:color="auto"/>
            </w:tcBorders>
            <w:vAlign w:val="center"/>
          </w:tcPr>
          <w:p w14:paraId="5921B7F6" w14:textId="46D2A00E"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28"/>
                <w:szCs w:val="20"/>
                <w:shd w:val="solid" w:color="000000" w:fill="000000"/>
                <w:fitText w:val="686" w:id="-1229265394"/>
                <w14:textFill>
                  <w14:solidFill>
                    <w14:srgbClr w14:val="000000">
                      <w14:alpha w14:val="100000"/>
                    </w14:srgbClr>
                  </w14:solidFill>
                </w14:textFill>
              </w:rPr>
              <w:t>|||||||||</w:t>
            </w:r>
            <w:r w:rsidRPr="007B6D9F">
              <w:rPr>
                <w:bCs w:val="0"/>
                <w:color w:val="000000"/>
                <w:spacing w:val="9"/>
                <w:szCs w:val="20"/>
                <w:shd w:val="solid" w:color="000000" w:fill="000000"/>
                <w:fitText w:val="686" w:id="-1229265394"/>
                <w14:textFill>
                  <w14:solidFill>
                    <w14:srgbClr w14:val="000000">
                      <w14:alpha w14:val="100000"/>
                    </w14:srgbClr>
                  </w14:solidFill>
                </w14:textFill>
              </w:rPr>
              <w:t>|</w:t>
            </w:r>
            <w:r w:rsidRPr="00AB189B">
              <w:rPr>
                <w:bCs w:val="0"/>
                <w:szCs w:val="20"/>
                <w:vertAlign w:val="superscript"/>
              </w:rPr>
              <w:t>4</w:t>
            </w:r>
          </w:p>
        </w:tc>
        <w:tc>
          <w:tcPr>
            <w:tcW w:w="538" w:type="pct"/>
            <w:tcBorders>
              <w:top w:val="nil"/>
              <w:left w:val="single" w:sz="4" w:space="0" w:color="auto"/>
              <w:bottom w:val="nil"/>
              <w:right w:val="single" w:sz="4" w:space="0" w:color="auto"/>
            </w:tcBorders>
            <w:vAlign w:val="center"/>
          </w:tcPr>
          <w:p w14:paraId="7D9B484E" w14:textId="6B98EBF7" w:rsidR="00AB189B" w:rsidRPr="00AB189B" w:rsidRDefault="00AB189B" w:rsidP="00EB52EA">
            <w:pPr>
              <w:pStyle w:val="TableText0"/>
              <w:keepNext w:val="0"/>
              <w:jc w:val="center"/>
              <w:rPr>
                <w:bCs w:val="0"/>
                <w:szCs w:val="20"/>
                <w:highlight w:val="darkGray"/>
              </w:rPr>
            </w:pPr>
            <w:r w:rsidRPr="00AB189B">
              <w:rPr>
                <w:bCs w:val="0"/>
                <w:szCs w:val="20"/>
              </w:rPr>
              <w:t>-</w:t>
            </w:r>
            <w:r w:rsidRPr="008152E0">
              <w:rPr>
                <w:bCs w:val="0"/>
                <w:color w:val="000000"/>
                <w:spacing w:val="33"/>
                <w:szCs w:val="20"/>
                <w:shd w:val="solid" w:color="000000" w:fill="000000"/>
                <w:fitText w:val="723" w:id="-1229265393"/>
                <w14:textFill>
                  <w14:solidFill>
                    <w14:srgbClr w14:val="000000">
                      <w14:alpha w14:val="100000"/>
                    </w14:srgbClr>
                  </w14:solidFill>
                </w14:textFill>
              </w:rPr>
              <w:t>|||||||||</w:t>
            </w:r>
            <w:r w:rsidRPr="008152E0">
              <w:rPr>
                <w:bCs w:val="0"/>
                <w:color w:val="000000"/>
                <w:spacing w:val="1"/>
                <w:szCs w:val="20"/>
                <w:shd w:val="solid" w:color="000000" w:fill="000000"/>
                <w:fitText w:val="723" w:id="-1229265393"/>
                <w14:textFill>
                  <w14:solidFill>
                    <w14:srgbClr w14:val="000000">
                      <w14:alpha w14:val="100000"/>
                    </w14:srgbClr>
                  </w14:solidFill>
                </w14:textFill>
              </w:rPr>
              <w:t>|</w:t>
            </w:r>
            <w:r w:rsidRPr="00AB189B">
              <w:rPr>
                <w:bCs w:val="0"/>
                <w:szCs w:val="20"/>
                <w:vertAlign w:val="superscript"/>
              </w:rPr>
              <w:t>4</w:t>
            </w:r>
          </w:p>
        </w:tc>
      </w:tr>
      <w:tr w:rsidR="00AB189B" w:rsidRPr="002F72B3" w14:paraId="63149DCC" w14:textId="77777777" w:rsidTr="00EB52EA">
        <w:tc>
          <w:tcPr>
            <w:tcW w:w="1772" w:type="pct"/>
            <w:tcBorders>
              <w:top w:val="nil"/>
              <w:left w:val="single" w:sz="4" w:space="0" w:color="auto"/>
              <w:bottom w:val="single" w:sz="4" w:space="0" w:color="auto"/>
              <w:right w:val="single" w:sz="4" w:space="0" w:color="auto"/>
            </w:tcBorders>
          </w:tcPr>
          <w:p w14:paraId="1A6F1F4F" w14:textId="77777777" w:rsidR="00AB189B" w:rsidRPr="00ED200D" w:rsidRDefault="00AB189B" w:rsidP="00EB52EA">
            <w:pPr>
              <w:pStyle w:val="TableText0"/>
              <w:keepNext w:val="0"/>
              <w:rPr>
                <w:b/>
                <w:bCs w:val="0"/>
                <w:szCs w:val="20"/>
              </w:rPr>
            </w:pPr>
            <w:r>
              <w:rPr>
                <w:b/>
                <w:bCs w:val="0"/>
                <w:szCs w:val="20"/>
              </w:rPr>
              <w:t>Comparators</w:t>
            </w:r>
            <w:r w:rsidRPr="00ED200D">
              <w:rPr>
                <w:b/>
                <w:bCs w:val="0"/>
                <w:szCs w:val="20"/>
              </w:rPr>
              <w:t>, net cost to PBS/RPBS</w:t>
            </w:r>
          </w:p>
        </w:tc>
        <w:tc>
          <w:tcPr>
            <w:tcW w:w="521" w:type="pct"/>
            <w:tcBorders>
              <w:top w:val="nil"/>
              <w:left w:val="single" w:sz="4" w:space="0" w:color="auto"/>
              <w:bottom w:val="single" w:sz="4" w:space="0" w:color="auto"/>
              <w:right w:val="single" w:sz="4" w:space="0" w:color="auto"/>
            </w:tcBorders>
            <w:vAlign w:val="center"/>
          </w:tcPr>
          <w:p w14:paraId="3410EA53" w14:textId="692B5A62" w:rsidR="00AB189B" w:rsidRPr="00AB189B" w:rsidRDefault="00AB189B" w:rsidP="00EB52EA">
            <w:pPr>
              <w:pStyle w:val="TableText0"/>
              <w:keepNext w:val="0"/>
              <w:jc w:val="center"/>
              <w:rPr>
                <w:bCs w:val="0"/>
                <w:szCs w:val="20"/>
              </w:rPr>
            </w:pPr>
            <w:r w:rsidRPr="00AB189B">
              <w:rPr>
                <w:bCs w:val="0"/>
                <w:szCs w:val="20"/>
              </w:rPr>
              <w:t>-</w:t>
            </w:r>
            <w:r w:rsidRPr="007B6D9F">
              <w:rPr>
                <w:bCs w:val="0"/>
                <w:color w:val="000000"/>
                <w:spacing w:val="32"/>
                <w:szCs w:val="20"/>
                <w:shd w:val="solid" w:color="000000" w:fill="000000"/>
                <w:fitText w:val="569" w:id="-1229265392"/>
                <w14:textFill>
                  <w14:solidFill>
                    <w14:srgbClr w14:val="000000">
                      <w14:alpha w14:val="100000"/>
                    </w14:srgbClr>
                  </w14:solidFill>
                </w14:textFill>
              </w:rPr>
              <w:t>|||||||</w:t>
            </w:r>
            <w:r w:rsidRPr="007B6D9F">
              <w:rPr>
                <w:bCs w:val="0"/>
                <w:color w:val="000000"/>
                <w:spacing w:val="5"/>
                <w:szCs w:val="20"/>
                <w:shd w:val="solid" w:color="000000" w:fill="000000"/>
                <w:fitText w:val="569" w:id="-1229265392"/>
                <w14:textFill>
                  <w14:solidFill>
                    <w14:srgbClr w14:val="000000">
                      <w14:alpha w14:val="100000"/>
                    </w14:srgbClr>
                  </w14:solidFill>
                </w14:textFill>
              </w:rPr>
              <w:t>|</w:t>
            </w:r>
            <w:r w:rsidRPr="00AB189B">
              <w:rPr>
                <w:bCs w:val="0"/>
                <w:szCs w:val="20"/>
                <w:vertAlign w:val="superscript"/>
              </w:rPr>
              <w:t>5</w:t>
            </w:r>
          </w:p>
        </w:tc>
        <w:tc>
          <w:tcPr>
            <w:tcW w:w="521" w:type="pct"/>
            <w:tcBorders>
              <w:top w:val="nil"/>
              <w:left w:val="single" w:sz="4" w:space="0" w:color="auto"/>
              <w:bottom w:val="single" w:sz="4" w:space="0" w:color="auto"/>
              <w:right w:val="single" w:sz="4" w:space="0" w:color="auto"/>
            </w:tcBorders>
            <w:vAlign w:val="center"/>
          </w:tcPr>
          <w:p w14:paraId="07FA36B7" w14:textId="6D797A2E" w:rsidR="00AB189B" w:rsidRPr="00AB189B" w:rsidRDefault="00AB189B" w:rsidP="00EB52EA">
            <w:pPr>
              <w:pStyle w:val="TableText0"/>
              <w:keepNext w:val="0"/>
              <w:jc w:val="center"/>
              <w:rPr>
                <w:bCs w:val="0"/>
                <w:szCs w:val="20"/>
              </w:rPr>
            </w:pPr>
            <w:r w:rsidRPr="00AB189B">
              <w:rPr>
                <w:bCs w:val="0"/>
                <w:szCs w:val="20"/>
              </w:rPr>
              <w:t>-</w:t>
            </w:r>
            <w:r w:rsidRPr="007B6D9F">
              <w:rPr>
                <w:bCs w:val="0"/>
                <w:color w:val="000000"/>
                <w:spacing w:val="31"/>
                <w:szCs w:val="20"/>
                <w:shd w:val="solid" w:color="000000" w:fill="000000"/>
                <w:fitText w:val="562" w:id="-1229265408"/>
                <w14:textFill>
                  <w14:solidFill>
                    <w14:srgbClr w14:val="000000">
                      <w14:alpha w14:val="100000"/>
                    </w14:srgbClr>
                  </w14:solidFill>
                </w14:textFill>
              </w:rPr>
              <w:t>|||||||</w:t>
            </w:r>
            <w:r w:rsidRPr="007B6D9F">
              <w:rPr>
                <w:bCs w:val="0"/>
                <w:color w:val="000000"/>
                <w:spacing w:val="5"/>
                <w:szCs w:val="20"/>
                <w:shd w:val="solid" w:color="000000" w:fill="000000"/>
                <w:fitText w:val="562" w:id="-1229265408"/>
                <w14:textFill>
                  <w14:solidFill>
                    <w14:srgbClr w14:val="000000">
                      <w14:alpha w14:val="100000"/>
                    </w14:srgbClr>
                  </w14:solidFill>
                </w14:textFill>
              </w:rPr>
              <w:t>|</w:t>
            </w:r>
            <w:r w:rsidRPr="00AB189B">
              <w:rPr>
                <w:bCs w:val="0"/>
                <w:szCs w:val="20"/>
                <w:vertAlign w:val="superscript"/>
              </w:rPr>
              <w:t>5</w:t>
            </w:r>
          </w:p>
        </w:tc>
        <w:tc>
          <w:tcPr>
            <w:tcW w:w="521" w:type="pct"/>
            <w:tcBorders>
              <w:top w:val="nil"/>
              <w:left w:val="single" w:sz="4" w:space="0" w:color="auto"/>
              <w:bottom w:val="single" w:sz="4" w:space="0" w:color="auto"/>
              <w:right w:val="single" w:sz="4" w:space="0" w:color="auto"/>
            </w:tcBorders>
            <w:vAlign w:val="center"/>
          </w:tcPr>
          <w:p w14:paraId="2511C5AD" w14:textId="0D89898B" w:rsidR="00AB189B" w:rsidRPr="00AB189B" w:rsidRDefault="00AB189B" w:rsidP="00EB52EA">
            <w:pPr>
              <w:pStyle w:val="TableText0"/>
              <w:keepNext w:val="0"/>
              <w:jc w:val="center"/>
              <w:rPr>
                <w:bCs w:val="0"/>
                <w:szCs w:val="20"/>
              </w:rPr>
            </w:pPr>
            <w:r w:rsidRPr="00AB189B">
              <w:rPr>
                <w:bCs w:val="0"/>
                <w:szCs w:val="20"/>
              </w:rPr>
              <w:t>-</w:t>
            </w:r>
            <w:r w:rsidRPr="007B6D9F">
              <w:rPr>
                <w:bCs w:val="0"/>
                <w:color w:val="000000"/>
                <w:spacing w:val="31"/>
                <w:szCs w:val="20"/>
                <w:shd w:val="solid" w:color="000000" w:fill="000000"/>
                <w:fitText w:val="562" w:id="-1229265407"/>
                <w14:textFill>
                  <w14:solidFill>
                    <w14:srgbClr w14:val="000000">
                      <w14:alpha w14:val="100000"/>
                    </w14:srgbClr>
                  </w14:solidFill>
                </w14:textFill>
              </w:rPr>
              <w:t>|||||||</w:t>
            </w:r>
            <w:r w:rsidRPr="007B6D9F">
              <w:rPr>
                <w:bCs w:val="0"/>
                <w:color w:val="000000"/>
                <w:spacing w:val="5"/>
                <w:szCs w:val="20"/>
                <w:shd w:val="solid" w:color="000000" w:fill="000000"/>
                <w:fitText w:val="562" w:id="-1229265407"/>
                <w14:textFill>
                  <w14:solidFill>
                    <w14:srgbClr w14:val="000000">
                      <w14:alpha w14:val="100000"/>
                    </w14:srgbClr>
                  </w14:solidFill>
                </w14:textFill>
              </w:rPr>
              <w:t>|</w:t>
            </w:r>
            <w:r w:rsidRPr="00AB189B">
              <w:rPr>
                <w:bCs w:val="0"/>
                <w:szCs w:val="20"/>
                <w:vertAlign w:val="superscript"/>
              </w:rPr>
              <w:t>5</w:t>
            </w:r>
          </w:p>
        </w:tc>
        <w:tc>
          <w:tcPr>
            <w:tcW w:w="521" w:type="pct"/>
            <w:tcBorders>
              <w:top w:val="nil"/>
              <w:left w:val="single" w:sz="4" w:space="0" w:color="auto"/>
              <w:bottom w:val="single" w:sz="4" w:space="0" w:color="auto"/>
              <w:right w:val="single" w:sz="4" w:space="0" w:color="auto"/>
            </w:tcBorders>
            <w:vAlign w:val="center"/>
          </w:tcPr>
          <w:p w14:paraId="35D9445B" w14:textId="01C08B65" w:rsidR="00AB189B" w:rsidRPr="00AB189B" w:rsidRDefault="00AB189B" w:rsidP="00EB52EA">
            <w:pPr>
              <w:pStyle w:val="TableText0"/>
              <w:keepNext w:val="0"/>
              <w:jc w:val="center"/>
              <w:rPr>
                <w:bCs w:val="0"/>
                <w:szCs w:val="20"/>
              </w:rPr>
            </w:pPr>
            <w:r w:rsidRPr="00AB189B">
              <w:rPr>
                <w:bCs w:val="0"/>
                <w:szCs w:val="20"/>
              </w:rPr>
              <w:t>-</w:t>
            </w:r>
            <w:r w:rsidRPr="007B6D9F">
              <w:rPr>
                <w:bCs w:val="0"/>
                <w:color w:val="000000"/>
                <w:spacing w:val="31"/>
                <w:szCs w:val="20"/>
                <w:shd w:val="solid" w:color="000000" w:fill="000000"/>
                <w:fitText w:val="562" w:id="-1229265406"/>
                <w14:textFill>
                  <w14:solidFill>
                    <w14:srgbClr w14:val="000000">
                      <w14:alpha w14:val="100000"/>
                    </w14:srgbClr>
                  </w14:solidFill>
                </w14:textFill>
              </w:rPr>
              <w:t>|||||||</w:t>
            </w:r>
            <w:r w:rsidRPr="007B6D9F">
              <w:rPr>
                <w:bCs w:val="0"/>
                <w:color w:val="000000"/>
                <w:spacing w:val="5"/>
                <w:szCs w:val="20"/>
                <w:shd w:val="solid" w:color="000000" w:fill="000000"/>
                <w:fitText w:val="562" w:id="-1229265406"/>
                <w14:textFill>
                  <w14:solidFill>
                    <w14:srgbClr w14:val="000000">
                      <w14:alpha w14:val="100000"/>
                    </w14:srgbClr>
                  </w14:solidFill>
                </w14:textFill>
              </w:rPr>
              <w:t>|</w:t>
            </w:r>
            <w:r w:rsidRPr="00AB189B">
              <w:rPr>
                <w:bCs w:val="0"/>
                <w:szCs w:val="20"/>
                <w:vertAlign w:val="superscript"/>
              </w:rPr>
              <w:t>5</w:t>
            </w:r>
          </w:p>
        </w:tc>
        <w:tc>
          <w:tcPr>
            <w:tcW w:w="605" w:type="pct"/>
            <w:tcBorders>
              <w:top w:val="nil"/>
              <w:left w:val="single" w:sz="4" w:space="0" w:color="auto"/>
              <w:bottom w:val="single" w:sz="4" w:space="0" w:color="auto"/>
              <w:right w:val="single" w:sz="4" w:space="0" w:color="auto"/>
            </w:tcBorders>
            <w:vAlign w:val="center"/>
          </w:tcPr>
          <w:p w14:paraId="6B202DF9" w14:textId="2668A216" w:rsidR="00AB189B" w:rsidRPr="00AB189B" w:rsidRDefault="00AB189B" w:rsidP="00EB52EA">
            <w:pPr>
              <w:pStyle w:val="TableText0"/>
              <w:keepNext w:val="0"/>
              <w:jc w:val="center"/>
              <w:rPr>
                <w:bCs w:val="0"/>
                <w:szCs w:val="20"/>
              </w:rPr>
            </w:pPr>
            <w:r w:rsidRPr="00AB189B">
              <w:rPr>
                <w:bCs w:val="0"/>
                <w:szCs w:val="20"/>
              </w:rPr>
              <w:t>-</w:t>
            </w:r>
            <w:r w:rsidRPr="007B6D9F">
              <w:rPr>
                <w:bCs w:val="0"/>
                <w:color w:val="000000"/>
                <w:spacing w:val="28"/>
                <w:szCs w:val="20"/>
                <w:shd w:val="solid" w:color="000000" w:fill="000000"/>
                <w:fitText w:val="686" w:id="-1229265405"/>
                <w14:textFill>
                  <w14:solidFill>
                    <w14:srgbClr w14:val="000000">
                      <w14:alpha w14:val="100000"/>
                    </w14:srgbClr>
                  </w14:solidFill>
                </w14:textFill>
              </w:rPr>
              <w:t>|||||||||</w:t>
            </w:r>
            <w:r w:rsidRPr="007B6D9F">
              <w:rPr>
                <w:bCs w:val="0"/>
                <w:color w:val="000000"/>
                <w:spacing w:val="9"/>
                <w:szCs w:val="20"/>
                <w:shd w:val="solid" w:color="000000" w:fill="000000"/>
                <w:fitText w:val="686" w:id="-1229265405"/>
                <w14:textFill>
                  <w14:solidFill>
                    <w14:srgbClr w14:val="000000">
                      <w14:alpha w14:val="100000"/>
                    </w14:srgbClr>
                  </w14:solidFill>
                </w14:textFill>
              </w:rPr>
              <w:t>|</w:t>
            </w:r>
            <w:r w:rsidRPr="00AB189B">
              <w:rPr>
                <w:bCs w:val="0"/>
                <w:szCs w:val="20"/>
                <w:vertAlign w:val="superscript"/>
              </w:rPr>
              <w:t>5</w:t>
            </w:r>
          </w:p>
        </w:tc>
        <w:tc>
          <w:tcPr>
            <w:tcW w:w="538" w:type="pct"/>
            <w:tcBorders>
              <w:top w:val="nil"/>
              <w:left w:val="single" w:sz="4" w:space="0" w:color="auto"/>
              <w:bottom w:val="single" w:sz="4" w:space="0" w:color="auto"/>
              <w:right w:val="single" w:sz="4" w:space="0" w:color="auto"/>
            </w:tcBorders>
            <w:vAlign w:val="center"/>
          </w:tcPr>
          <w:p w14:paraId="4C909E45" w14:textId="3D3B5F9F" w:rsidR="00AB189B" w:rsidRPr="00AB189B" w:rsidRDefault="00AB189B" w:rsidP="00EB52EA">
            <w:pPr>
              <w:pStyle w:val="TableText0"/>
              <w:keepNext w:val="0"/>
              <w:jc w:val="center"/>
              <w:rPr>
                <w:bCs w:val="0"/>
                <w:szCs w:val="20"/>
              </w:rPr>
            </w:pPr>
            <w:r w:rsidRPr="00AB189B">
              <w:rPr>
                <w:bCs w:val="0"/>
                <w:szCs w:val="20"/>
              </w:rPr>
              <w:t>-</w:t>
            </w:r>
            <w:r w:rsidRPr="008152E0">
              <w:rPr>
                <w:bCs w:val="0"/>
                <w:color w:val="000000"/>
                <w:spacing w:val="33"/>
                <w:szCs w:val="20"/>
                <w:shd w:val="solid" w:color="000000" w:fill="000000"/>
                <w:fitText w:val="723" w:id="-1229265404"/>
                <w14:textFill>
                  <w14:solidFill>
                    <w14:srgbClr w14:val="000000">
                      <w14:alpha w14:val="100000"/>
                    </w14:srgbClr>
                  </w14:solidFill>
                </w14:textFill>
              </w:rPr>
              <w:t>|||||||||</w:t>
            </w:r>
            <w:r w:rsidRPr="008152E0">
              <w:rPr>
                <w:bCs w:val="0"/>
                <w:color w:val="000000"/>
                <w:spacing w:val="1"/>
                <w:szCs w:val="20"/>
                <w:shd w:val="solid" w:color="000000" w:fill="000000"/>
                <w:fitText w:val="723" w:id="-1229265404"/>
                <w14:textFill>
                  <w14:solidFill>
                    <w14:srgbClr w14:val="000000">
                      <w14:alpha w14:val="100000"/>
                    </w14:srgbClr>
                  </w14:solidFill>
                </w14:textFill>
              </w:rPr>
              <w:t>|</w:t>
            </w:r>
            <w:r w:rsidRPr="00AB189B">
              <w:rPr>
                <w:bCs w:val="0"/>
                <w:szCs w:val="20"/>
                <w:vertAlign w:val="superscript"/>
              </w:rPr>
              <w:t>5</w:t>
            </w:r>
          </w:p>
        </w:tc>
      </w:tr>
      <w:tr w:rsidR="00AB189B" w:rsidRPr="002F72B3" w14:paraId="14CE5EF9" w14:textId="77777777" w:rsidTr="00EB52EA">
        <w:tc>
          <w:tcPr>
            <w:tcW w:w="5000" w:type="pct"/>
            <w:gridSpan w:val="7"/>
            <w:tcBorders>
              <w:top w:val="single" w:sz="4" w:space="0" w:color="auto"/>
              <w:left w:val="single" w:sz="4" w:space="0" w:color="auto"/>
              <w:bottom w:val="single" w:sz="4" w:space="0" w:color="auto"/>
              <w:right w:val="single" w:sz="4" w:space="0" w:color="auto"/>
            </w:tcBorders>
            <w:vAlign w:val="center"/>
          </w:tcPr>
          <w:p w14:paraId="28F6880F" w14:textId="77777777" w:rsidR="00AB189B" w:rsidRPr="00AB189B" w:rsidRDefault="00AB189B" w:rsidP="00EB52EA">
            <w:pPr>
              <w:pStyle w:val="TableText0"/>
              <w:keepNext w:val="0"/>
              <w:rPr>
                <w:b/>
                <w:szCs w:val="20"/>
              </w:rPr>
            </w:pPr>
            <w:r w:rsidRPr="00AB189B">
              <w:rPr>
                <w:b/>
                <w:szCs w:val="20"/>
              </w:rPr>
              <w:t>Estimated financial implications for the PBS/RPBS and MBS</w:t>
            </w:r>
          </w:p>
        </w:tc>
      </w:tr>
      <w:tr w:rsidR="00AB189B" w:rsidRPr="002F72B3" w14:paraId="138A4482" w14:textId="77777777" w:rsidTr="00EB52EA">
        <w:tc>
          <w:tcPr>
            <w:tcW w:w="1772" w:type="pct"/>
            <w:tcBorders>
              <w:top w:val="single" w:sz="4" w:space="0" w:color="auto"/>
              <w:left w:val="single" w:sz="4" w:space="0" w:color="auto"/>
              <w:bottom w:val="nil"/>
              <w:right w:val="single" w:sz="4" w:space="0" w:color="auto"/>
            </w:tcBorders>
            <w:shd w:val="clear" w:color="auto" w:fill="FFFFFF" w:themeFill="background1"/>
            <w:vAlign w:val="bottom"/>
          </w:tcPr>
          <w:p w14:paraId="4C1E40C9" w14:textId="77777777" w:rsidR="00AB189B" w:rsidRPr="002F72B3" w:rsidRDefault="00AB189B" w:rsidP="00EB52EA">
            <w:pPr>
              <w:pStyle w:val="TableText0"/>
              <w:keepNext w:val="0"/>
              <w:rPr>
                <w:szCs w:val="20"/>
              </w:rPr>
            </w:pPr>
            <w:r>
              <w:rPr>
                <w:szCs w:val="20"/>
              </w:rPr>
              <w:t>Net change in administration of TOC IV</w:t>
            </w:r>
          </w:p>
        </w:tc>
        <w:tc>
          <w:tcPr>
            <w:tcW w:w="521" w:type="pct"/>
            <w:tcBorders>
              <w:top w:val="single" w:sz="4" w:space="0" w:color="auto"/>
              <w:left w:val="single" w:sz="4" w:space="0" w:color="auto"/>
              <w:bottom w:val="nil"/>
              <w:right w:val="single" w:sz="4" w:space="0" w:color="auto"/>
            </w:tcBorders>
            <w:shd w:val="clear" w:color="auto" w:fill="FFFFFF" w:themeFill="background1"/>
            <w:vAlign w:val="center"/>
          </w:tcPr>
          <w:p w14:paraId="3FA8400D" w14:textId="61DC4E7B"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2"/>
                <w:szCs w:val="20"/>
                <w:shd w:val="solid" w:color="000000" w:fill="000000"/>
                <w:fitText w:val="569" w:id="-1229265403"/>
                <w14:textFill>
                  <w14:solidFill>
                    <w14:srgbClr w14:val="000000">
                      <w14:alpha w14:val="100000"/>
                    </w14:srgbClr>
                  </w14:solidFill>
                </w14:textFill>
              </w:rPr>
              <w:t>|||||||</w:t>
            </w:r>
            <w:r w:rsidRPr="007B6D9F">
              <w:rPr>
                <w:bCs w:val="0"/>
                <w:color w:val="000000"/>
                <w:spacing w:val="5"/>
                <w:szCs w:val="20"/>
                <w:shd w:val="solid" w:color="000000" w:fill="000000"/>
                <w:fitText w:val="569" w:id="-1229265403"/>
                <w14:textFill>
                  <w14:solidFill>
                    <w14:srgbClr w14:val="000000">
                      <w14:alpha w14:val="100000"/>
                    </w14:srgbClr>
                  </w14:solidFill>
                </w14:textFill>
              </w:rPr>
              <w:t>|</w:t>
            </w:r>
            <w:r w:rsidRPr="00AB189B">
              <w:rPr>
                <w:bCs w:val="0"/>
                <w:szCs w:val="20"/>
                <w:vertAlign w:val="superscript"/>
              </w:rPr>
              <w:t>4</w:t>
            </w:r>
          </w:p>
        </w:tc>
        <w:tc>
          <w:tcPr>
            <w:tcW w:w="521" w:type="pct"/>
            <w:tcBorders>
              <w:top w:val="single" w:sz="4" w:space="0" w:color="auto"/>
              <w:left w:val="single" w:sz="4" w:space="0" w:color="auto"/>
              <w:bottom w:val="nil"/>
              <w:right w:val="single" w:sz="4" w:space="0" w:color="auto"/>
            </w:tcBorders>
            <w:shd w:val="clear" w:color="auto" w:fill="FFFFFF" w:themeFill="background1"/>
            <w:vAlign w:val="center"/>
          </w:tcPr>
          <w:p w14:paraId="34AE152E" w14:textId="7F1538EC"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402"/>
                <w14:textFill>
                  <w14:solidFill>
                    <w14:srgbClr w14:val="000000">
                      <w14:alpha w14:val="100000"/>
                    </w14:srgbClr>
                  </w14:solidFill>
                </w14:textFill>
              </w:rPr>
              <w:t>|||||||</w:t>
            </w:r>
            <w:r w:rsidRPr="007B6D9F">
              <w:rPr>
                <w:bCs w:val="0"/>
                <w:color w:val="000000"/>
                <w:spacing w:val="5"/>
                <w:szCs w:val="20"/>
                <w:shd w:val="solid" w:color="000000" w:fill="000000"/>
                <w:fitText w:val="562" w:id="-1229265402"/>
                <w14:textFill>
                  <w14:solidFill>
                    <w14:srgbClr w14:val="000000">
                      <w14:alpha w14:val="100000"/>
                    </w14:srgbClr>
                  </w14:solidFill>
                </w14:textFill>
              </w:rPr>
              <w:t>|</w:t>
            </w:r>
            <w:r w:rsidRPr="00AB189B">
              <w:rPr>
                <w:bCs w:val="0"/>
                <w:szCs w:val="20"/>
                <w:vertAlign w:val="superscript"/>
              </w:rPr>
              <w:t>4</w:t>
            </w:r>
          </w:p>
        </w:tc>
        <w:tc>
          <w:tcPr>
            <w:tcW w:w="521" w:type="pct"/>
            <w:tcBorders>
              <w:top w:val="single" w:sz="4" w:space="0" w:color="auto"/>
              <w:left w:val="single" w:sz="4" w:space="0" w:color="auto"/>
              <w:bottom w:val="nil"/>
              <w:right w:val="single" w:sz="4" w:space="0" w:color="auto"/>
            </w:tcBorders>
            <w:shd w:val="clear" w:color="auto" w:fill="FFFFFF" w:themeFill="background1"/>
            <w:vAlign w:val="center"/>
          </w:tcPr>
          <w:p w14:paraId="156F531D" w14:textId="3FEB2BAD"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401"/>
                <w14:textFill>
                  <w14:solidFill>
                    <w14:srgbClr w14:val="000000">
                      <w14:alpha w14:val="100000"/>
                    </w14:srgbClr>
                  </w14:solidFill>
                </w14:textFill>
              </w:rPr>
              <w:t>|||||||</w:t>
            </w:r>
            <w:r w:rsidRPr="007B6D9F">
              <w:rPr>
                <w:bCs w:val="0"/>
                <w:color w:val="000000"/>
                <w:spacing w:val="5"/>
                <w:szCs w:val="20"/>
                <w:shd w:val="solid" w:color="000000" w:fill="000000"/>
                <w:fitText w:val="562" w:id="-1229265401"/>
                <w14:textFill>
                  <w14:solidFill>
                    <w14:srgbClr w14:val="000000">
                      <w14:alpha w14:val="100000"/>
                    </w14:srgbClr>
                  </w14:solidFill>
                </w14:textFill>
              </w:rPr>
              <w:t>|</w:t>
            </w:r>
            <w:r w:rsidRPr="00AB189B">
              <w:rPr>
                <w:bCs w:val="0"/>
                <w:szCs w:val="20"/>
                <w:vertAlign w:val="superscript"/>
              </w:rPr>
              <w:t>4</w:t>
            </w:r>
          </w:p>
        </w:tc>
        <w:tc>
          <w:tcPr>
            <w:tcW w:w="521" w:type="pct"/>
            <w:tcBorders>
              <w:top w:val="single" w:sz="4" w:space="0" w:color="auto"/>
              <w:left w:val="single" w:sz="4" w:space="0" w:color="auto"/>
              <w:bottom w:val="nil"/>
              <w:right w:val="single" w:sz="4" w:space="0" w:color="auto"/>
            </w:tcBorders>
            <w:shd w:val="clear" w:color="auto" w:fill="FFFFFF" w:themeFill="background1"/>
            <w:vAlign w:val="center"/>
          </w:tcPr>
          <w:p w14:paraId="6AD44B5C" w14:textId="728307A2"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31"/>
                <w:szCs w:val="20"/>
                <w:shd w:val="solid" w:color="000000" w:fill="000000"/>
                <w:fitText w:val="562" w:id="-1229265400"/>
                <w14:textFill>
                  <w14:solidFill>
                    <w14:srgbClr w14:val="000000">
                      <w14:alpha w14:val="100000"/>
                    </w14:srgbClr>
                  </w14:solidFill>
                </w14:textFill>
              </w:rPr>
              <w:t>|||||||</w:t>
            </w:r>
            <w:r w:rsidRPr="007B6D9F">
              <w:rPr>
                <w:bCs w:val="0"/>
                <w:color w:val="000000"/>
                <w:spacing w:val="5"/>
                <w:szCs w:val="20"/>
                <w:shd w:val="solid" w:color="000000" w:fill="000000"/>
                <w:fitText w:val="562" w:id="-1229265400"/>
                <w14:textFill>
                  <w14:solidFill>
                    <w14:srgbClr w14:val="000000">
                      <w14:alpha w14:val="100000"/>
                    </w14:srgbClr>
                  </w14:solidFill>
                </w14:textFill>
              </w:rPr>
              <w:t>|</w:t>
            </w:r>
            <w:r w:rsidRPr="00AB189B">
              <w:rPr>
                <w:bCs w:val="0"/>
                <w:szCs w:val="20"/>
                <w:vertAlign w:val="superscript"/>
              </w:rPr>
              <w:t>4</w:t>
            </w:r>
          </w:p>
        </w:tc>
        <w:tc>
          <w:tcPr>
            <w:tcW w:w="605" w:type="pct"/>
            <w:tcBorders>
              <w:top w:val="single" w:sz="4" w:space="0" w:color="auto"/>
              <w:left w:val="single" w:sz="4" w:space="0" w:color="auto"/>
              <w:bottom w:val="nil"/>
              <w:right w:val="single" w:sz="4" w:space="0" w:color="auto"/>
            </w:tcBorders>
            <w:shd w:val="clear" w:color="auto" w:fill="FFFFFF" w:themeFill="background1"/>
            <w:vAlign w:val="center"/>
          </w:tcPr>
          <w:p w14:paraId="6D5C01BA" w14:textId="06AD8B57" w:rsidR="00AB189B" w:rsidRPr="00AB189B" w:rsidRDefault="00AB189B" w:rsidP="00EB52EA">
            <w:pPr>
              <w:pStyle w:val="TableText0"/>
              <w:keepNext w:val="0"/>
              <w:jc w:val="center"/>
              <w:rPr>
                <w:bCs w:val="0"/>
                <w:szCs w:val="20"/>
                <w:highlight w:val="darkGray"/>
              </w:rPr>
            </w:pPr>
            <w:r w:rsidRPr="00AB189B">
              <w:rPr>
                <w:bCs w:val="0"/>
                <w:szCs w:val="20"/>
              </w:rPr>
              <w:t>-</w:t>
            </w:r>
            <w:r w:rsidRPr="007B6D9F">
              <w:rPr>
                <w:bCs w:val="0"/>
                <w:color w:val="000000"/>
                <w:spacing w:val="28"/>
                <w:szCs w:val="20"/>
                <w:shd w:val="solid" w:color="000000" w:fill="000000"/>
                <w:fitText w:val="686" w:id="-1229265399"/>
                <w14:textFill>
                  <w14:solidFill>
                    <w14:srgbClr w14:val="000000">
                      <w14:alpha w14:val="100000"/>
                    </w14:srgbClr>
                  </w14:solidFill>
                </w14:textFill>
              </w:rPr>
              <w:t>|||||||||</w:t>
            </w:r>
            <w:r w:rsidRPr="007B6D9F">
              <w:rPr>
                <w:bCs w:val="0"/>
                <w:color w:val="000000"/>
                <w:spacing w:val="9"/>
                <w:szCs w:val="20"/>
                <w:shd w:val="solid" w:color="000000" w:fill="000000"/>
                <w:fitText w:val="686" w:id="-1229265399"/>
                <w14:textFill>
                  <w14:solidFill>
                    <w14:srgbClr w14:val="000000">
                      <w14:alpha w14:val="100000"/>
                    </w14:srgbClr>
                  </w14:solidFill>
                </w14:textFill>
              </w:rPr>
              <w:t>|</w:t>
            </w:r>
            <w:r w:rsidRPr="00AB189B">
              <w:rPr>
                <w:bCs w:val="0"/>
                <w:szCs w:val="20"/>
                <w:vertAlign w:val="superscript"/>
              </w:rPr>
              <w:t>4</w:t>
            </w:r>
          </w:p>
        </w:tc>
        <w:tc>
          <w:tcPr>
            <w:tcW w:w="538" w:type="pct"/>
            <w:tcBorders>
              <w:top w:val="single" w:sz="4" w:space="0" w:color="auto"/>
              <w:left w:val="single" w:sz="4" w:space="0" w:color="auto"/>
              <w:bottom w:val="nil"/>
              <w:right w:val="single" w:sz="4" w:space="0" w:color="auto"/>
            </w:tcBorders>
            <w:shd w:val="clear" w:color="auto" w:fill="FFFFFF" w:themeFill="background1"/>
            <w:vAlign w:val="center"/>
          </w:tcPr>
          <w:p w14:paraId="7DBB3FC4" w14:textId="62E6B261" w:rsidR="00AB189B" w:rsidRPr="00AB189B" w:rsidRDefault="00AB189B" w:rsidP="00EB52EA">
            <w:pPr>
              <w:pStyle w:val="TableText0"/>
              <w:keepNext w:val="0"/>
              <w:jc w:val="center"/>
              <w:rPr>
                <w:bCs w:val="0"/>
                <w:szCs w:val="20"/>
                <w:highlight w:val="darkGray"/>
              </w:rPr>
            </w:pPr>
            <w:r w:rsidRPr="00AB189B">
              <w:rPr>
                <w:bCs w:val="0"/>
                <w:szCs w:val="20"/>
              </w:rPr>
              <w:t>-</w:t>
            </w:r>
            <w:r w:rsidRPr="008152E0">
              <w:rPr>
                <w:bCs w:val="0"/>
                <w:color w:val="000000"/>
                <w:spacing w:val="33"/>
                <w:szCs w:val="20"/>
                <w:shd w:val="solid" w:color="000000" w:fill="000000"/>
                <w:fitText w:val="723" w:id="-1229265398"/>
                <w14:textFill>
                  <w14:solidFill>
                    <w14:srgbClr w14:val="000000">
                      <w14:alpha w14:val="100000"/>
                    </w14:srgbClr>
                  </w14:solidFill>
                </w14:textFill>
              </w:rPr>
              <w:t>|||||||||</w:t>
            </w:r>
            <w:r w:rsidRPr="008152E0">
              <w:rPr>
                <w:bCs w:val="0"/>
                <w:color w:val="000000"/>
                <w:spacing w:val="1"/>
                <w:szCs w:val="20"/>
                <w:shd w:val="solid" w:color="000000" w:fill="000000"/>
                <w:fitText w:val="723" w:id="-1229265398"/>
                <w14:textFill>
                  <w14:solidFill>
                    <w14:srgbClr w14:val="000000">
                      <w14:alpha w14:val="100000"/>
                    </w14:srgbClr>
                  </w14:solidFill>
                </w14:textFill>
              </w:rPr>
              <w:t>|</w:t>
            </w:r>
            <w:r w:rsidRPr="00AB189B">
              <w:rPr>
                <w:bCs w:val="0"/>
                <w:szCs w:val="20"/>
                <w:vertAlign w:val="superscript"/>
              </w:rPr>
              <w:t>4</w:t>
            </w:r>
          </w:p>
        </w:tc>
      </w:tr>
      <w:tr w:rsidR="00AB189B" w:rsidRPr="002F72B3" w14:paraId="036CD6D7" w14:textId="77777777" w:rsidTr="00EB52EA">
        <w:tc>
          <w:tcPr>
            <w:tcW w:w="1772" w:type="pct"/>
            <w:tcBorders>
              <w:top w:val="nil"/>
              <w:left w:val="single" w:sz="4" w:space="0" w:color="auto"/>
              <w:bottom w:val="nil"/>
              <w:right w:val="single" w:sz="4" w:space="0" w:color="auto"/>
            </w:tcBorders>
            <w:shd w:val="clear" w:color="auto" w:fill="FFFFFF" w:themeFill="background1"/>
            <w:vAlign w:val="center"/>
          </w:tcPr>
          <w:p w14:paraId="3A72DDE8" w14:textId="77777777" w:rsidR="00AB189B" w:rsidRPr="000A47F1" w:rsidRDefault="00AB189B" w:rsidP="00EB52EA">
            <w:pPr>
              <w:pStyle w:val="TableText0"/>
              <w:keepNext w:val="0"/>
              <w:rPr>
                <w:b/>
                <w:bCs w:val="0"/>
                <w:szCs w:val="20"/>
              </w:rPr>
            </w:pPr>
            <w:r w:rsidRPr="000A47F1">
              <w:rPr>
                <w:b/>
                <w:bCs w:val="0"/>
                <w:szCs w:val="20"/>
              </w:rPr>
              <w:t>Net cost to MBS</w:t>
            </w:r>
          </w:p>
        </w:tc>
        <w:tc>
          <w:tcPr>
            <w:tcW w:w="521" w:type="pct"/>
            <w:tcBorders>
              <w:top w:val="nil"/>
              <w:left w:val="single" w:sz="4" w:space="0" w:color="auto"/>
              <w:bottom w:val="nil"/>
              <w:right w:val="single" w:sz="4" w:space="0" w:color="auto"/>
            </w:tcBorders>
            <w:shd w:val="clear" w:color="auto" w:fill="FFFFFF" w:themeFill="background1"/>
            <w:vAlign w:val="center"/>
          </w:tcPr>
          <w:p w14:paraId="63B7ED56" w14:textId="1FED02F6" w:rsidR="00AB189B" w:rsidRPr="00AB189B" w:rsidRDefault="00AB189B" w:rsidP="00EB52EA">
            <w:pPr>
              <w:pStyle w:val="TableText0"/>
              <w:keepNext w:val="0"/>
              <w:jc w:val="center"/>
              <w:rPr>
                <w:bCs w:val="0"/>
                <w:szCs w:val="20"/>
                <w:highlight w:val="darkGray"/>
              </w:rPr>
            </w:pPr>
            <w:r w:rsidRPr="007B6D9F">
              <w:rPr>
                <w:bCs w:val="0"/>
                <w:color w:val="000000"/>
                <w:spacing w:val="32"/>
                <w:szCs w:val="20"/>
                <w:shd w:val="solid" w:color="000000" w:fill="000000"/>
                <w:fitText w:val="569" w:id="-1229265397"/>
                <w14:textFill>
                  <w14:solidFill>
                    <w14:srgbClr w14:val="000000">
                      <w14:alpha w14:val="100000"/>
                    </w14:srgbClr>
                  </w14:solidFill>
                </w14:textFill>
              </w:rPr>
              <w:t>|||||||</w:t>
            </w:r>
            <w:r w:rsidRPr="007B6D9F">
              <w:rPr>
                <w:bCs w:val="0"/>
                <w:color w:val="000000"/>
                <w:spacing w:val="5"/>
                <w:szCs w:val="20"/>
                <w:shd w:val="solid" w:color="000000" w:fill="000000"/>
                <w:fitText w:val="569" w:id="-1229265397"/>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shd w:val="clear" w:color="auto" w:fill="FFFFFF" w:themeFill="background1"/>
            <w:vAlign w:val="center"/>
          </w:tcPr>
          <w:p w14:paraId="2218F734" w14:textId="162B6C67"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396"/>
                <w14:textFill>
                  <w14:solidFill>
                    <w14:srgbClr w14:val="000000">
                      <w14:alpha w14:val="100000"/>
                    </w14:srgbClr>
                  </w14:solidFill>
                </w14:textFill>
              </w:rPr>
              <w:t>|||||||</w:t>
            </w:r>
            <w:r w:rsidRPr="007B6D9F">
              <w:rPr>
                <w:bCs w:val="0"/>
                <w:color w:val="000000"/>
                <w:spacing w:val="5"/>
                <w:szCs w:val="20"/>
                <w:shd w:val="solid" w:color="000000" w:fill="000000"/>
                <w:fitText w:val="562" w:id="-1229265396"/>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shd w:val="clear" w:color="auto" w:fill="FFFFFF" w:themeFill="background1"/>
            <w:vAlign w:val="center"/>
          </w:tcPr>
          <w:p w14:paraId="32D03C24" w14:textId="59F04C6C"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395"/>
                <w14:textFill>
                  <w14:solidFill>
                    <w14:srgbClr w14:val="000000">
                      <w14:alpha w14:val="100000"/>
                    </w14:srgbClr>
                  </w14:solidFill>
                </w14:textFill>
              </w:rPr>
              <w:t>|||||||</w:t>
            </w:r>
            <w:r w:rsidRPr="007B6D9F">
              <w:rPr>
                <w:bCs w:val="0"/>
                <w:color w:val="000000"/>
                <w:spacing w:val="5"/>
                <w:szCs w:val="20"/>
                <w:shd w:val="solid" w:color="000000" w:fill="000000"/>
                <w:fitText w:val="562" w:id="-1229265395"/>
                <w14:textFill>
                  <w14:solidFill>
                    <w14:srgbClr w14:val="000000">
                      <w14:alpha w14:val="100000"/>
                    </w14:srgbClr>
                  </w14:solidFill>
                </w14:textFill>
              </w:rPr>
              <w:t>|</w:t>
            </w:r>
            <w:r w:rsidRPr="00AB189B">
              <w:rPr>
                <w:bCs w:val="0"/>
                <w:szCs w:val="20"/>
                <w:vertAlign w:val="superscript"/>
              </w:rPr>
              <w:t>4</w:t>
            </w:r>
          </w:p>
        </w:tc>
        <w:tc>
          <w:tcPr>
            <w:tcW w:w="521" w:type="pct"/>
            <w:tcBorders>
              <w:top w:val="nil"/>
              <w:left w:val="single" w:sz="4" w:space="0" w:color="auto"/>
              <w:bottom w:val="nil"/>
              <w:right w:val="single" w:sz="4" w:space="0" w:color="auto"/>
            </w:tcBorders>
            <w:shd w:val="clear" w:color="auto" w:fill="FFFFFF" w:themeFill="background1"/>
            <w:vAlign w:val="center"/>
          </w:tcPr>
          <w:p w14:paraId="799FF808" w14:textId="211E712C" w:rsidR="00AB189B" w:rsidRPr="00AB189B" w:rsidRDefault="00AB189B" w:rsidP="00EB52EA">
            <w:pPr>
              <w:pStyle w:val="TableText0"/>
              <w:keepNext w:val="0"/>
              <w:jc w:val="center"/>
              <w:rPr>
                <w:bCs w:val="0"/>
                <w:szCs w:val="20"/>
                <w:highlight w:val="darkGray"/>
              </w:rPr>
            </w:pPr>
            <w:r w:rsidRPr="007B6D9F">
              <w:rPr>
                <w:bCs w:val="0"/>
                <w:color w:val="000000"/>
                <w:spacing w:val="31"/>
                <w:szCs w:val="20"/>
                <w:shd w:val="solid" w:color="000000" w:fill="000000"/>
                <w:fitText w:val="562" w:id="-1229265394"/>
                <w14:textFill>
                  <w14:solidFill>
                    <w14:srgbClr w14:val="000000">
                      <w14:alpha w14:val="100000"/>
                    </w14:srgbClr>
                  </w14:solidFill>
                </w14:textFill>
              </w:rPr>
              <w:t>|||||||</w:t>
            </w:r>
            <w:r w:rsidRPr="007B6D9F">
              <w:rPr>
                <w:bCs w:val="0"/>
                <w:color w:val="000000"/>
                <w:spacing w:val="5"/>
                <w:szCs w:val="20"/>
                <w:shd w:val="solid" w:color="000000" w:fill="000000"/>
                <w:fitText w:val="562" w:id="-1229265394"/>
                <w14:textFill>
                  <w14:solidFill>
                    <w14:srgbClr w14:val="000000">
                      <w14:alpha w14:val="100000"/>
                    </w14:srgbClr>
                  </w14:solidFill>
                </w14:textFill>
              </w:rPr>
              <w:t>|</w:t>
            </w:r>
            <w:r w:rsidRPr="00AB189B">
              <w:rPr>
                <w:bCs w:val="0"/>
                <w:szCs w:val="20"/>
                <w:vertAlign w:val="superscript"/>
              </w:rPr>
              <w:t>4</w:t>
            </w:r>
          </w:p>
        </w:tc>
        <w:tc>
          <w:tcPr>
            <w:tcW w:w="605" w:type="pct"/>
            <w:tcBorders>
              <w:top w:val="nil"/>
              <w:left w:val="single" w:sz="4" w:space="0" w:color="auto"/>
              <w:bottom w:val="nil"/>
              <w:right w:val="single" w:sz="4" w:space="0" w:color="auto"/>
            </w:tcBorders>
            <w:shd w:val="clear" w:color="auto" w:fill="FFFFFF" w:themeFill="background1"/>
            <w:vAlign w:val="center"/>
          </w:tcPr>
          <w:p w14:paraId="08FB4BA3" w14:textId="0EF09630" w:rsidR="00AB189B" w:rsidRPr="00AB189B" w:rsidRDefault="00AB189B" w:rsidP="00EB52EA">
            <w:pPr>
              <w:pStyle w:val="TableText0"/>
              <w:keepNext w:val="0"/>
              <w:jc w:val="center"/>
              <w:rPr>
                <w:bCs w:val="0"/>
                <w:szCs w:val="20"/>
                <w:highlight w:val="darkGray"/>
              </w:rPr>
            </w:pPr>
            <w:r w:rsidRPr="007B6D9F">
              <w:rPr>
                <w:bCs w:val="0"/>
                <w:color w:val="000000"/>
                <w:spacing w:val="27"/>
                <w:szCs w:val="20"/>
                <w:shd w:val="solid" w:color="000000" w:fill="000000"/>
                <w:fitText w:val="670" w:id="-1229265393"/>
                <w14:textFill>
                  <w14:solidFill>
                    <w14:srgbClr w14:val="000000">
                      <w14:alpha w14:val="100000"/>
                    </w14:srgbClr>
                  </w14:solidFill>
                </w14:textFill>
              </w:rPr>
              <w:t>|||||||||</w:t>
            </w:r>
            <w:r w:rsidRPr="007B6D9F">
              <w:rPr>
                <w:bCs w:val="0"/>
                <w:color w:val="000000"/>
                <w:spacing w:val="2"/>
                <w:szCs w:val="20"/>
                <w:shd w:val="solid" w:color="000000" w:fill="000000"/>
                <w:fitText w:val="670" w:id="-1229265393"/>
                <w14:textFill>
                  <w14:solidFill>
                    <w14:srgbClr w14:val="000000">
                      <w14:alpha w14:val="100000"/>
                    </w14:srgbClr>
                  </w14:solidFill>
                </w14:textFill>
              </w:rPr>
              <w:t>|</w:t>
            </w:r>
            <w:r w:rsidRPr="00AB189B">
              <w:rPr>
                <w:bCs w:val="0"/>
                <w:szCs w:val="20"/>
                <w:vertAlign w:val="superscript"/>
              </w:rPr>
              <w:t>4</w:t>
            </w:r>
          </w:p>
        </w:tc>
        <w:tc>
          <w:tcPr>
            <w:tcW w:w="538" w:type="pct"/>
            <w:tcBorders>
              <w:top w:val="nil"/>
              <w:left w:val="single" w:sz="4" w:space="0" w:color="auto"/>
              <w:bottom w:val="nil"/>
              <w:right w:val="single" w:sz="4" w:space="0" w:color="auto"/>
            </w:tcBorders>
            <w:shd w:val="clear" w:color="auto" w:fill="FFFFFF" w:themeFill="background1"/>
            <w:vAlign w:val="center"/>
          </w:tcPr>
          <w:p w14:paraId="2B916217" w14:textId="6A80425B" w:rsidR="00AB189B" w:rsidRPr="00AB189B" w:rsidRDefault="00AB189B" w:rsidP="00EB52EA">
            <w:pPr>
              <w:pStyle w:val="TableText0"/>
              <w:keepNext w:val="0"/>
              <w:jc w:val="center"/>
              <w:rPr>
                <w:bCs w:val="0"/>
                <w:szCs w:val="20"/>
                <w:highlight w:val="darkGray"/>
              </w:rPr>
            </w:pPr>
            <w:r w:rsidRPr="008152E0">
              <w:rPr>
                <w:bCs w:val="0"/>
                <w:color w:val="000000"/>
                <w:spacing w:val="33"/>
                <w:szCs w:val="20"/>
                <w:shd w:val="solid" w:color="000000" w:fill="000000"/>
                <w:fitText w:val="723" w:id="-1229265392"/>
                <w14:textFill>
                  <w14:solidFill>
                    <w14:srgbClr w14:val="000000">
                      <w14:alpha w14:val="100000"/>
                    </w14:srgbClr>
                  </w14:solidFill>
                </w14:textFill>
              </w:rPr>
              <w:t>|||||||||</w:t>
            </w:r>
            <w:r w:rsidRPr="008152E0">
              <w:rPr>
                <w:bCs w:val="0"/>
                <w:color w:val="000000"/>
                <w:spacing w:val="1"/>
                <w:szCs w:val="20"/>
                <w:shd w:val="solid" w:color="000000" w:fill="000000"/>
                <w:fitText w:val="723" w:id="-1229265392"/>
                <w14:textFill>
                  <w14:solidFill>
                    <w14:srgbClr w14:val="000000">
                      <w14:alpha w14:val="100000"/>
                    </w14:srgbClr>
                  </w14:solidFill>
                </w14:textFill>
              </w:rPr>
              <w:t>|</w:t>
            </w:r>
            <w:r w:rsidRPr="00AB189B">
              <w:rPr>
                <w:bCs w:val="0"/>
                <w:szCs w:val="20"/>
                <w:vertAlign w:val="superscript"/>
              </w:rPr>
              <w:t>4</w:t>
            </w:r>
          </w:p>
        </w:tc>
      </w:tr>
      <w:tr w:rsidR="00AB189B" w:rsidRPr="002F72B3" w14:paraId="5D6D408D" w14:textId="77777777" w:rsidTr="00EB52EA">
        <w:tc>
          <w:tcPr>
            <w:tcW w:w="1772" w:type="pct"/>
            <w:tcBorders>
              <w:top w:val="nil"/>
              <w:left w:val="single" w:sz="4" w:space="0" w:color="auto"/>
              <w:bottom w:val="single" w:sz="4" w:space="0" w:color="auto"/>
              <w:right w:val="single" w:sz="4" w:space="0" w:color="auto"/>
            </w:tcBorders>
            <w:shd w:val="clear" w:color="auto" w:fill="auto"/>
            <w:vAlign w:val="center"/>
          </w:tcPr>
          <w:p w14:paraId="017A985A" w14:textId="77777777" w:rsidR="00AB189B" w:rsidRPr="00012AA7" w:rsidRDefault="00AB189B" w:rsidP="00EB52EA">
            <w:pPr>
              <w:pStyle w:val="TableText0"/>
              <w:keepNext w:val="0"/>
              <w:rPr>
                <w:b/>
                <w:bCs w:val="0"/>
                <w:szCs w:val="20"/>
              </w:rPr>
            </w:pPr>
            <w:r w:rsidRPr="00012AA7">
              <w:rPr>
                <w:b/>
                <w:bCs w:val="0"/>
                <w:szCs w:val="20"/>
              </w:rPr>
              <w:t>Net cost PBS/RPBS</w:t>
            </w:r>
            <w:r>
              <w:rPr>
                <w:b/>
                <w:bCs w:val="0"/>
                <w:szCs w:val="20"/>
              </w:rPr>
              <w:t>^</w:t>
            </w:r>
          </w:p>
        </w:tc>
        <w:tc>
          <w:tcPr>
            <w:tcW w:w="521" w:type="pct"/>
            <w:tcBorders>
              <w:top w:val="nil"/>
              <w:left w:val="single" w:sz="4" w:space="0" w:color="auto"/>
              <w:bottom w:val="single" w:sz="4" w:space="0" w:color="auto"/>
              <w:right w:val="single" w:sz="4" w:space="0" w:color="auto"/>
            </w:tcBorders>
            <w:shd w:val="clear" w:color="auto" w:fill="auto"/>
            <w:vAlign w:val="center"/>
          </w:tcPr>
          <w:p w14:paraId="5733688B" w14:textId="601CE227" w:rsidR="00AB189B" w:rsidRPr="00AB189B" w:rsidRDefault="00AB189B" w:rsidP="00EB52EA">
            <w:pPr>
              <w:pStyle w:val="TableText0"/>
              <w:keepNext w:val="0"/>
              <w:jc w:val="center"/>
              <w:rPr>
                <w:bCs w:val="0"/>
                <w:szCs w:val="20"/>
              </w:rPr>
            </w:pPr>
            <w:r w:rsidRPr="007B6D9F">
              <w:rPr>
                <w:bCs w:val="0"/>
                <w:color w:val="000000"/>
                <w:spacing w:val="32"/>
                <w:szCs w:val="20"/>
                <w:shd w:val="solid" w:color="000000" w:fill="000000"/>
                <w:fitText w:val="569" w:id="-1229265408"/>
                <w14:textFill>
                  <w14:solidFill>
                    <w14:srgbClr w14:val="000000">
                      <w14:alpha w14:val="100000"/>
                    </w14:srgbClr>
                  </w14:solidFill>
                </w14:textFill>
              </w:rPr>
              <w:t>|||||||</w:t>
            </w:r>
            <w:r w:rsidRPr="007B6D9F">
              <w:rPr>
                <w:bCs w:val="0"/>
                <w:color w:val="000000"/>
                <w:spacing w:val="5"/>
                <w:szCs w:val="20"/>
                <w:shd w:val="solid" w:color="000000" w:fill="000000"/>
                <w:fitText w:val="569" w:id="-1229265408"/>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shd w:val="clear" w:color="auto" w:fill="auto"/>
            <w:vAlign w:val="center"/>
          </w:tcPr>
          <w:p w14:paraId="6A3E9102" w14:textId="09C72DAE"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407"/>
                <w14:textFill>
                  <w14:solidFill>
                    <w14:srgbClr w14:val="000000">
                      <w14:alpha w14:val="100000"/>
                    </w14:srgbClr>
                  </w14:solidFill>
                </w14:textFill>
              </w:rPr>
              <w:t>|||||||</w:t>
            </w:r>
            <w:r w:rsidRPr="007B6D9F">
              <w:rPr>
                <w:bCs w:val="0"/>
                <w:color w:val="000000"/>
                <w:spacing w:val="5"/>
                <w:szCs w:val="20"/>
                <w:shd w:val="solid" w:color="000000" w:fill="000000"/>
                <w:fitText w:val="562" w:id="-1229265407"/>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shd w:val="clear" w:color="auto" w:fill="auto"/>
            <w:vAlign w:val="center"/>
          </w:tcPr>
          <w:p w14:paraId="7D4DF056" w14:textId="3FD9A26D"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406"/>
                <w14:textFill>
                  <w14:solidFill>
                    <w14:srgbClr w14:val="000000">
                      <w14:alpha w14:val="100000"/>
                    </w14:srgbClr>
                  </w14:solidFill>
                </w14:textFill>
              </w:rPr>
              <w:t>|||||||</w:t>
            </w:r>
            <w:r w:rsidRPr="007B6D9F">
              <w:rPr>
                <w:bCs w:val="0"/>
                <w:color w:val="000000"/>
                <w:spacing w:val="5"/>
                <w:szCs w:val="20"/>
                <w:shd w:val="solid" w:color="000000" w:fill="000000"/>
                <w:fitText w:val="562" w:id="-1229265406"/>
                <w14:textFill>
                  <w14:solidFill>
                    <w14:srgbClr w14:val="000000">
                      <w14:alpha w14:val="100000"/>
                    </w14:srgbClr>
                  </w14:solidFill>
                </w14:textFill>
              </w:rPr>
              <w:t>|</w:t>
            </w:r>
            <w:r w:rsidRPr="00AB189B">
              <w:rPr>
                <w:bCs w:val="0"/>
                <w:szCs w:val="20"/>
                <w:vertAlign w:val="superscript"/>
              </w:rPr>
              <w:t>2</w:t>
            </w:r>
          </w:p>
        </w:tc>
        <w:tc>
          <w:tcPr>
            <w:tcW w:w="521" w:type="pct"/>
            <w:tcBorders>
              <w:top w:val="nil"/>
              <w:left w:val="single" w:sz="4" w:space="0" w:color="auto"/>
              <w:bottom w:val="single" w:sz="4" w:space="0" w:color="auto"/>
              <w:right w:val="single" w:sz="4" w:space="0" w:color="auto"/>
            </w:tcBorders>
            <w:shd w:val="clear" w:color="auto" w:fill="auto"/>
            <w:vAlign w:val="center"/>
          </w:tcPr>
          <w:p w14:paraId="320A01B0" w14:textId="6537784C" w:rsidR="00AB189B" w:rsidRPr="00AB189B" w:rsidRDefault="00AB189B" w:rsidP="00EB52EA">
            <w:pPr>
              <w:pStyle w:val="TableText0"/>
              <w:keepNext w:val="0"/>
              <w:jc w:val="center"/>
              <w:rPr>
                <w:bCs w:val="0"/>
                <w:szCs w:val="20"/>
              </w:rPr>
            </w:pPr>
            <w:r w:rsidRPr="007B6D9F">
              <w:rPr>
                <w:bCs w:val="0"/>
                <w:color w:val="000000"/>
                <w:spacing w:val="31"/>
                <w:szCs w:val="20"/>
                <w:shd w:val="solid" w:color="000000" w:fill="000000"/>
                <w:fitText w:val="562" w:id="-1229265405"/>
                <w14:textFill>
                  <w14:solidFill>
                    <w14:srgbClr w14:val="000000">
                      <w14:alpha w14:val="100000"/>
                    </w14:srgbClr>
                  </w14:solidFill>
                </w14:textFill>
              </w:rPr>
              <w:t>|||||||</w:t>
            </w:r>
            <w:r w:rsidRPr="007B6D9F">
              <w:rPr>
                <w:bCs w:val="0"/>
                <w:color w:val="000000"/>
                <w:spacing w:val="5"/>
                <w:szCs w:val="20"/>
                <w:shd w:val="solid" w:color="000000" w:fill="000000"/>
                <w:fitText w:val="562" w:id="-1229265405"/>
                <w14:textFill>
                  <w14:solidFill>
                    <w14:srgbClr w14:val="000000">
                      <w14:alpha w14:val="100000"/>
                    </w14:srgbClr>
                  </w14:solidFill>
                </w14:textFill>
              </w:rPr>
              <w:t>|</w:t>
            </w:r>
            <w:r w:rsidRPr="00AB189B">
              <w:rPr>
                <w:bCs w:val="0"/>
                <w:szCs w:val="20"/>
                <w:vertAlign w:val="superscript"/>
              </w:rPr>
              <w:t>2</w:t>
            </w:r>
          </w:p>
        </w:tc>
        <w:tc>
          <w:tcPr>
            <w:tcW w:w="605" w:type="pct"/>
            <w:tcBorders>
              <w:top w:val="nil"/>
              <w:left w:val="single" w:sz="4" w:space="0" w:color="auto"/>
              <w:bottom w:val="single" w:sz="4" w:space="0" w:color="auto"/>
              <w:right w:val="single" w:sz="4" w:space="0" w:color="auto"/>
            </w:tcBorders>
            <w:shd w:val="clear" w:color="auto" w:fill="auto"/>
            <w:vAlign w:val="center"/>
          </w:tcPr>
          <w:p w14:paraId="44EF8CE3" w14:textId="66B0CD99" w:rsidR="00AB189B" w:rsidRPr="00AB189B" w:rsidRDefault="00AB189B" w:rsidP="00EB52EA">
            <w:pPr>
              <w:pStyle w:val="TableText0"/>
              <w:keepNext w:val="0"/>
              <w:jc w:val="center"/>
              <w:rPr>
                <w:bCs w:val="0"/>
                <w:szCs w:val="20"/>
              </w:rPr>
            </w:pPr>
            <w:r w:rsidRPr="007B6D9F">
              <w:rPr>
                <w:bCs w:val="0"/>
                <w:color w:val="000000"/>
                <w:spacing w:val="27"/>
                <w:szCs w:val="20"/>
                <w:shd w:val="solid" w:color="000000" w:fill="000000"/>
                <w:fitText w:val="670" w:id="-1229265404"/>
                <w14:textFill>
                  <w14:solidFill>
                    <w14:srgbClr w14:val="000000">
                      <w14:alpha w14:val="100000"/>
                    </w14:srgbClr>
                  </w14:solidFill>
                </w14:textFill>
              </w:rPr>
              <w:t>|||||||||</w:t>
            </w:r>
            <w:r w:rsidRPr="007B6D9F">
              <w:rPr>
                <w:bCs w:val="0"/>
                <w:color w:val="000000"/>
                <w:spacing w:val="2"/>
                <w:szCs w:val="20"/>
                <w:shd w:val="solid" w:color="000000" w:fill="000000"/>
                <w:fitText w:val="670" w:id="-1229265404"/>
                <w14:textFill>
                  <w14:solidFill>
                    <w14:srgbClr w14:val="000000">
                      <w14:alpha w14:val="100000"/>
                    </w14:srgbClr>
                  </w14:solidFill>
                </w14:textFill>
              </w:rPr>
              <w:t>|</w:t>
            </w:r>
            <w:r w:rsidRPr="00AB189B">
              <w:rPr>
                <w:bCs w:val="0"/>
                <w:szCs w:val="20"/>
                <w:vertAlign w:val="superscript"/>
              </w:rPr>
              <w:t>2</w:t>
            </w:r>
          </w:p>
        </w:tc>
        <w:tc>
          <w:tcPr>
            <w:tcW w:w="538" w:type="pct"/>
            <w:tcBorders>
              <w:top w:val="nil"/>
              <w:left w:val="single" w:sz="4" w:space="0" w:color="auto"/>
              <w:bottom w:val="single" w:sz="4" w:space="0" w:color="auto"/>
              <w:right w:val="single" w:sz="4" w:space="0" w:color="auto"/>
            </w:tcBorders>
            <w:shd w:val="clear" w:color="auto" w:fill="auto"/>
            <w:vAlign w:val="center"/>
          </w:tcPr>
          <w:p w14:paraId="34FCB309" w14:textId="66B644E7" w:rsidR="00AB189B" w:rsidRPr="00AB189B" w:rsidRDefault="00AB189B" w:rsidP="00EB52EA">
            <w:pPr>
              <w:pStyle w:val="TableText0"/>
              <w:keepNext w:val="0"/>
              <w:jc w:val="center"/>
              <w:rPr>
                <w:bCs w:val="0"/>
                <w:szCs w:val="20"/>
              </w:rPr>
            </w:pPr>
            <w:r w:rsidRPr="008152E0">
              <w:rPr>
                <w:bCs w:val="0"/>
                <w:color w:val="000000"/>
                <w:spacing w:val="33"/>
                <w:szCs w:val="20"/>
                <w:shd w:val="solid" w:color="000000" w:fill="000000"/>
                <w:fitText w:val="723" w:id="-1229265403"/>
                <w14:textFill>
                  <w14:solidFill>
                    <w14:srgbClr w14:val="000000">
                      <w14:alpha w14:val="100000"/>
                    </w14:srgbClr>
                  </w14:solidFill>
                </w14:textFill>
              </w:rPr>
              <w:t>|||||||||</w:t>
            </w:r>
            <w:r w:rsidRPr="008152E0">
              <w:rPr>
                <w:bCs w:val="0"/>
                <w:color w:val="000000"/>
                <w:spacing w:val="1"/>
                <w:szCs w:val="20"/>
                <w:shd w:val="solid" w:color="000000" w:fill="000000"/>
                <w:fitText w:val="723" w:id="-1229265403"/>
                <w14:textFill>
                  <w14:solidFill>
                    <w14:srgbClr w14:val="000000">
                      <w14:alpha w14:val="100000"/>
                    </w14:srgbClr>
                  </w14:solidFill>
                </w14:textFill>
              </w:rPr>
              <w:t>|</w:t>
            </w:r>
            <w:r w:rsidRPr="00AB189B">
              <w:rPr>
                <w:bCs w:val="0"/>
                <w:szCs w:val="20"/>
                <w:vertAlign w:val="superscript"/>
              </w:rPr>
              <w:t>2</w:t>
            </w:r>
          </w:p>
        </w:tc>
      </w:tr>
    </w:tbl>
    <w:p w14:paraId="69168D23" w14:textId="77777777" w:rsidR="00AB189B" w:rsidRPr="00AB189B" w:rsidRDefault="00AB189B" w:rsidP="00AB189B"/>
    <w:p w14:paraId="55913A32" w14:textId="71512E83" w:rsidR="00F35EF4" w:rsidRPr="00E55C36" w:rsidRDefault="00E55C36" w:rsidP="00076D2D">
      <w:pPr>
        <w:pStyle w:val="TableFigureFooter"/>
        <w:spacing w:after="0"/>
        <w:rPr>
          <w:bCs/>
          <w:szCs w:val="18"/>
        </w:rPr>
      </w:pPr>
      <w:r>
        <w:rPr>
          <w:rStyle w:val="CommentReference"/>
          <w:b w:val="0"/>
          <w:bCs/>
          <w:sz w:val="18"/>
          <w:szCs w:val="18"/>
        </w:rPr>
        <w:t>Some estimates corrected during the evaluation.</w:t>
      </w:r>
    </w:p>
    <w:p w14:paraId="3AC5D13E" w14:textId="58DEA730" w:rsidR="00076D2D" w:rsidRDefault="00076D2D" w:rsidP="00076D2D">
      <w:pPr>
        <w:pStyle w:val="FooterTableFigure"/>
      </w:pPr>
      <w:r>
        <w:t xml:space="preserve">Source: pp97-113 of the submission. </w:t>
      </w:r>
    </w:p>
    <w:p w14:paraId="5DF62439" w14:textId="77777777" w:rsidR="00553073" w:rsidRDefault="00076D2D" w:rsidP="00553073">
      <w:pPr>
        <w:pStyle w:val="FooterTableFigure"/>
      </w:pPr>
      <w:r w:rsidRPr="00076D2D">
        <w:t>ADA</w:t>
      </w:r>
      <w:r w:rsidRPr="00632CBF">
        <w:t>=adalimumab; ETN=etanercept; TOF=tofacitinib; TOC=tocilizumab; IV=intravenous; bDMARD= biological disease modifying anti-rheumatic drugs;</w:t>
      </w:r>
      <w:r w:rsidR="00553073" w:rsidRPr="00553073">
        <w:t xml:space="preserve"> </w:t>
      </w:r>
      <w:r w:rsidR="00553073">
        <w:t>ts</w:t>
      </w:r>
      <w:r w:rsidR="00553073" w:rsidRPr="00632CBF">
        <w:t xml:space="preserve">DMARD= </w:t>
      </w:r>
      <w:r w:rsidR="00553073">
        <w:t>targeted synthetic</w:t>
      </w:r>
      <w:r w:rsidR="00553073" w:rsidRPr="00632CBF">
        <w:t xml:space="preserve"> disease modifying anti-rheumatic drugs;</w:t>
      </w:r>
    </w:p>
    <w:p w14:paraId="6C264CAE" w14:textId="0A2AD0AD" w:rsidR="00A46E36" w:rsidRDefault="00A46E36" w:rsidP="00A46E36">
      <w:pPr>
        <w:pStyle w:val="FooterTableFigure"/>
        <w:ind w:left="165" w:hanging="165"/>
      </w:pPr>
      <w:r>
        <w:t>^</w:t>
      </w:r>
      <w:r>
        <w:tab/>
        <w:t>The estimates are in italics because the submission only estimated the total cost to the PBS/RPBS for TOF scripts due to market growth rather than the net cost to the PBS/RPBS (i.e. minus co-payment).</w:t>
      </w:r>
    </w:p>
    <w:p w14:paraId="332C6BEB" w14:textId="75E286F5" w:rsidR="00A46E36" w:rsidRDefault="00A46E36" w:rsidP="00534815">
      <w:pPr>
        <w:pStyle w:val="FooterTableFigure"/>
        <w:spacing w:after="0"/>
        <w:ind w:left="165" w:hanging="165"/>
      </w:pPr>
      <w:r>
        <w:t>*</w:t>
      </w:r>
      <w:r>
        <w:tab/>
        <w:t>Reduction in bDMARD scripts corresponds to the TOF scripts that substitute for current bDMARDs, where differences in script numbers are due to difference script relativities assumed.</w:t>
      </w:r>
    </w:p>
    <w:p w14:paraId="201516AA" w14:textId="77777777" w:rsidR="00534815" w:rsidRPr="001A5364" w:rsidRDefault="00534815" w:rsidP="00534815">
      <w:pPr>
        <w:pStyle w:val="TableFigureFooter"/>
        <w:keepNext/>
        <w:spacing w:after="0"/>
        <w:contextualSpacing w:val="0"/>
        <w:rPr>
          <w:i/>
        </w:rPr>
      </w:pPr>
      <w:r w:rsidRPr="001A5364">
        <w:rPr>
          <w:i/>
        </w:rPr>
        <w:t>The redacted values correspond to the following ranges:</w:t>
      </w:r>
    </w:p>
    <w:p w14:paraId="4693D053" w14:textId="77777777" w:rsidR="00730837" w:rsidRPr="001A5364" w:rsidRDefault="00534815" w:rsidP="00534815">
      <w:pPr>
        <w:pStyle w:val="TableFigureFooter"/>
        <w:keepNext/>
        <w:spacing w:after="0"/>
        <w:contextualSpacing w:val="0"/>
        <w:rPr>
          <w:i/>
          <w:szCs w:val="18"/>
        </w:rPr>
      </w:pPr>
      <w:r w:rsidRPr="001A5364">
        <w:rPr>
          <w:i/>
          <w:szCs w:val="18"/>
          <w:vertAlign w:val="superscript"/>
        </w:rPr>
        <w:t>1</w:t>
      </w:r>
      <w:r w:rsidRPr="001A5364">
        <w:rPr>
          <w:i/>
          <w:szCs w:val="18"/>
        </w:rPr>
        <w:t xml:space="preserve"> </w:t>
      </w:r>
      <w:r w:rsidR="00730837" w:rsidRPr="001A5364">
        <w:rPr>
          <w:i/>
          <w:szCs w:val="18"/>
        </w:rPr>
        <w:t>5,000 to &lt; 10,000</w:t>
      </w:r>
    </w:p>
    <w:p w14:paraId="468B3B38" w14:textId="77777777" w:rsidR="00730837" w:rsidRPr="001A5364" w:rsidRDefault="00534815" w:rsidP="00534815">
      <w:pPr>
        <w:rPr>
          <w:rFonts w:ascii="Arial Narrow" w:hAnsi="Arial Narrow"/>
          <w:i/>
          <w:sz w:val="18"/>
          <w:szCs w:val="18"/>
        </w:rPr>
      </w:pPr>
      <w:r w:rsidRPr="001A5364">
        <w:rPr>
          <w:rFonts w:ascii="Arial Narrow" w:hAnsi="Arial Narrow"/>
          <w:i/>
          <w:sz w:val="18"/>
          <w:szCs w:val="18"/>
          <w:vertAlign w:val="superscript"/>
        </w:rPr>
        <w:t>2</w:t>
      </w:r>
      <w:r w:rsidRPr="001A5364">
        <w:rPr>
          <w:rFonts w:ascii="Arial Narrow" w:hAnsi="Arial Narrow"/>
          <w:i/>
          <w:sz w:val="18"/>
          <w:szCs w:val="18"/>
        </w:rPr>
        <w:t xml:space="preserve"> </w:t>
      </w:r>
      <w:r w:rsidR="00730837" w:rsidRPr="001A5364">
        <w:rPr>
          <w:rFonts w:ascii="Arial Narrow" w:hAnsi="Arial Narrow"/>
          <w:i/>
          <w:sz w:val="18"/>
          <w:szCs w:val="18"/>
        </w:rPr>
        <w:t xml:space="preserve">$0 to &lt;$10 million </w:t>
      </w:r>
    </w:p>
    <w:p w14:paraId="3A8DF0E9" w14:textId="77777777" w:rsidR="00730837" w:rsidRPr="001A5364" w:rsidRDefault="00534815" w:rsidP="00730837">
      <w:pPr>
        <w:pStyle w:val="TableFigureFooter"/>
        <w:keepNext/>
        <w:spacing w:after="0"/>
        <w:contextualSpacing w:val="0"/>
      </w:pPr>
      <w:r w:rsidRPr="001A5364">
        <w:rPr>
          <w:i/>
          <w:szCs w:val="18"/>
          <w:vertAlign w:val="superscript"/>
        </w:rPr>
        <w:t xml:space="preserve">3 </w:t>
      </w:r>
      <w:r w:rsidR="00730837" w:rsidRPr="001A5364">
        <w:rPr>
          <w:i/>
          <w:szCs w:val="18"/>
        </w:rPr>
        <w:t>500 &lt;5,000</w:t>
      </w:r>
    </w:p>
    <w:p w14:paraId="65CFDCF2" w14:textId="77777777" w:rsidR="004A0727" w:rsidRPr="001A5364" w:rsidRDefault="00534815" w:rsidP="004A0727">
      <w:pPr>
        <w:rPr>
          <w:rFonts w:ascii="Arial Narrow" w:hAnsi="Arial Narrow"/>
          <w:i/>
          <w:sz w:val="18"/>
          <w:szCs w:val="18"/>
        </w:rPr>
      </w:pPr>
      <w:r w:rsidRPr="001A5364">
        <w:rPr>
          <w:rFonts w:ascii="Arial Narrow" w:hAnsi="Arial Narrow"/>
          <w:i/>
          <w:sz w:val="18"/>
          <w:szCs w:val="18"/>
          <w:vertAlign w:val="superscript"/>
        </w:rPr>
        <w:t xml:space="preserve">4 </w:t>
      </w:r>
      <w:r w:rsidR="004A0727" w:rsidRPr="001A5364">
        <w:rPr>
          <w:rFonts w:ascii="Arial Narrow" w:hAnsi="Arial Narrow"/>
          <w:i/>
          <w:sz w:val="18"/>
          <w:szCs w:val="18"/>
        </w:rPr>
        <w:t>&lt;500</w:t>
      </w:r>
    </w:p>
    <w:p w14:paraId="24AE1403" w14:textId="5690D7B9" w:rsidR="00534815" w:rsidRPr="001A5364" w:rsidRDefault="00534815" w:rsidP="001A5364">
      <w:pPr>
        <w:rPr>
          <w:rFonts w:ascii="Arial Narrow" w:hAnsi="Arial Narrow"/>
          <w:i/>
          <w:sz w:val="18"/>
          <w:szCs w:val="18"/>
          <w:vertAlign w:val="superscript"/>
        </w:rPr>
      </w:pPr>
      <w:r w:rsidRPr="001A5364">
        <w:rPr>
          <w:rFonts w:ascii="Arial Narrow" w:hAnsi="Arial Narrow"/>
          <w:i/>
          <w:sz w:val="18"/>
          <w:szCs w:val="18"/>
          <w:vertAlign w:val="superscript"/>
        </w:rPr>
        <w:t xml:space="preserve">5 </w:t>
      </w:r>
      <w:r w:rsidR="004A0727" w:rsidRPr="001A5364">
        <w:rPr>
          <w:rFonts w:ascii="Arial Narrow" w:hAnsi="Arial Narrow"/>
          <w:i/>
          <w:sz w:val="18"/>
          <w:szCs w:val="18"/>
        </w:rPr>
        <w:t>net cost saving</w:t>
      </w:r>
    </w:p>
    <w:p w14:paraId="0DB0C235" w14:textId="1610154D" w:rsidR="001A5364" w:rsidRPr="001A5364" w:rsidRDefault="001A5364" w:rsidP="005C2766">
      <w:pPr>
        <w:spacing w:after="120"/>
        <w:rPr>
          <w:rFonts w:ascii="Arial Narrow" w:hAnsi="Arial Narrow"/>
          <w:i/>
          <w:sz w:val="18"/>
          <w:szCs w:val="18"/>
          <w:vertAlign w:val="superscript"/>
        </w:rPr>
      </w:pPr>
      <w:r w:rsidRPr="001A5364">
        <w:rPr>
          <w:rFonts w:ascii="Arial Narrow" w:hAnsi="Arial Narrow"/>
          <w:i/>
          <w:sz w:val="18"/>
          <w:szCs w:val="18"/>
          <w:vertAlign w:val="superscript"/>
        </w:rPr>
        <w:t xml:space="preserve">6 </w:t>
      </w:r>
      <w:r w:rsidRPr="001A5364">
        <w:rPr>
          <w:rFonts w:ascii="Arial Narrow" w:hAnsi="Arial Narrow"/>
          <w:i/>
          <w:sz w:val="18"/>
          <w:szCs w:val="18"/>
        </w:rPr>
        <w:t>10,000 to &lt; 20,000</w:t>
      </w:r>
    </w:p>
    <w:p w14:paraId="75586731" w14:textId="61DD7F40" w:rsidR="000902D9" w:rsidRPr="00A2441D" w:rsidRDefault="000902D9" w:rsidP="006C7D92">
      <w:pPr>
        <w:pStyle w:val="3-BodyText"/>
      </w:pPr>
      <w:r w:rsidRPr="00A2441D">
        <w:t xml:space="preserve">The total cost to the PBS/RPBS of listing </w:t>
      </w:r>
      <w:r w:rsidR="00076D2D" w:rsidRPr="00A2441D">
        <w:t>TOF</w:t>
      </w:r>
      <w:r w:rsidRPr="00A2441D">
        <w:t xml:space="preserve"> was estimated </w:t>
      </w:r>
      <w:r w:rsidR="00A05C32" w:rsidRPr="00A2441D">
        <w:t>to be</w:t>
      </w:r>
      <w:r w:rsidRPr="00A2441D">
        <w:t xml:space="preserve"> </w:t>
      </w:r>
      <w:r w:rsidR="00316AD0" w:rsidRPr="00316AD0">
        <w:t>$0</w:t>
      </w:r>
      <w:r w:rsidR="00064055">
        <w:t> </w:t>
      </w:r>
      <w:r w:rsidR="00316AD0" w:rsidRPr="00316AD0">
        <w:t>to</w:t>
      </w:r>
      <w:r w:rsidR="00064055">
        <w:t> </w:t>
      </w:r>
      <w:r w:rsidR="00316AD0" w:rsidRPr="00316AD0">
        <w:t>&lt;</w:t>
      </w:r>
      <w:r w:rsidR="00064055">
        <w:t> </w:t>
      </w:r>
      <w:r w:rsidR="00316AD0" w:rsidRPr="00316AD0">
        <w:t>$10</w:t>
      </w:r>
      <w:r w:rsidR="00064055">
        <w:t> </w:t>
      </w:r>
      <w:r w:rsidR="00316AD0" w:rsidRPr="00316AD0">
        <w:t>million</w:t>
      </w:r>
      <w:r w:rsidR="008152E0">
        <w:t xml:space="preserve"> </w:t>
      </w:r>
      <w:r w:rsidR="00076D2D" w:rsidRPr="00A2441D">
        <w:t xml:space="preserve">in Year 1, increasing to </w:t>
      </w:r>
      <w:r w:rsidR="00316AD0" w:rsidRPr="00316AD0">
        <w:t>$0 to &lt; $10 million</w:t>
      </w:r>
      <w:r w:rsidR="008152E0">
        <w:t xml:space="preserve"> </w:t>
      </w:r>
      <w:r w:rsidR="00076D2D" w:rsidRPr="00A2441D">
        <w:t>in Year 6</w:t>
      </w:r>
      <w:r w:rsidRPr="00A2441D">
        <w:t xml:space="preserve">, and a total of </w:t>
      </w:r>
      <w:r w:rsidR="00316AD0" w:rsidRPr="00316AD0">
        <w:t>$0 to &lt; $10 million</w:t>
      </w:r>
      <w:r w:rsidRPr="00A2441D">
        <w:t xml:space="preserve"> in the first 6 years of listing.</w:t>
      </w:r>
      <w:r w:rsidR="00076D2D" w:rsidRPr="00A2441D">
        <w:t xml:space="preserve"> A breakdown of the incremental cost was generated during the evaluation which illustrated that the estimated net cost to the PBS/RPBS was mostly driven by grandfather patients and substitution with existing bDMARDs</w:t>
      </w:r>
      <w:r w:rsidR="00741D32" w:rsidRPr="00A2441D">
        <w:t>/tsDMARDs</w:t>
      </w:r>
      <w:r w:rsidR="00076D2D" w:rsidRPr="00A2441D">
        <w:t xml:space="preserve"> rather than the assumed market growth (which only accounts for </w:t>
      </w:r>
      <w:r w:rsidR="00F46153" w:rsidRPr="005C2766">
        <w:rPr>
          <w:color w:val="000000"/>
          <w:w w:val="21"/>
          <w:shd w:val="solid" w:color="000000" w:fill="000000"/>
          <w:fitText w:val="71" w:id="-1236607475"/>
          <w14:textFill>
            <w14:solidFill>
              <w14:srgbClr w14:val="000000">
                <w14:alpha w14:val="100000"/>
              </w14:srgbClr>
            </w14:solidFill>
          </w14:textFill>
        </w:rPr>
        <w:t xml:space="preserve">|  </w:t>
      </w:r>
      <w:r w:rsidR="00F46153" w:rsidRPr="005C2766">
        <w:rPr>
          <w:color w:val="000000"/>
          <w:spacing w:val="1"/>
          <w:w w:val="21"/>
          <w:shd w:val="solid" w:color="000000" w:fill="000000"/>
          <w:fitText w:val="71" w:id="-1236607475"/>
          <w14:textFill>
            <w14:solidFill>
              <w14:srgbClr w14:val="000000">
                <w14:alpha w14:val="100000"/>
              </w14:srgbClr>
            </w14:solidFill>
          </w14:textFill>
        </w:rPr>
        <w:t>|</w:t>
      </w:r>
      <w:r w:rsidR="00076D2D" w:rsidRPr="00A2441D">
        <w:t xml:space="preserve">% in Year 1 and </w:t>
      </w:r>
      <w:r w:rsidR="00F46153" w:rsidRPr="005C2766">
        <w:rPr>
          <w:color w:val="000000"/>
          <w:w w:val="21"/>
          <w:shd w:val="solid" w:color="000000" w:fill="000000"/>
          <w:fitText w:val="72" w:id="-1236607474"/>
          <w14:textFill>
            <w14:solidFill>
              <w14:srgbClr w14:val="000000">
                <w14:alpha w14:val="100000"/>
              </w14:srgbClr>
            </w14:solidFill>
          </w14:textFill>
        </w:rPr>
        <w:t xml:space="preserve">|  </w:t>
      </w:r>
      <w:r w:rsidR="00F46153" w:rsidRPr="005C2766">
        <w:rPr>
          <w:color w:val="000000"/>
          <w:spacing w:val="2"/>
          <w:w w:val="21"/>
          <w:shd w:val="solid" w:color="000000" w:fill="000000"/>
          <w:fitText w:val="72" w:id="-1236607474"/>
          <w14:textFill>
            <w14:solidFill>
              <w14:srgbClr w14:val="000000">
                <w14:alpha w14:val="100000"/>
              </w14:srgbClr>
            </w14:solidFill>
          </w14:textFill>
        </w:rPr>
        <w:t>|</w:t>
      </w:r>
      <w:r w:rsidR="00076D2D" w:rsidRPr="00A2441D">
        <w:t xml:space="preserve">% in Year 6). </w:t>
      </w:r>
    </w:p>
    <w:p w14:paraId="52F228A5" w14:textId="0967A5B3" w:rsidR="00A03170" w:rsidRPr="00A2441D" w:rsidRDefault="00A03170" w:rsidP="009E6605">
      <w:pPr>
        <w:pStyle w:val="3-BodyText"/>
      </w:pPr>
      <w:r w:rsidRPr="00A2441D">
        <w:t xml:space="preserve">Overall, the </w:t>
      </w:r>
      <w:r w:rsidR="007252C3" w:rsidRPr="00F00DB9">
        <w:rPr>
          <w:iCs/>
        </w:rPr>
        <w:t>evaluation considered the</w:t>
      </w:r>
      <w:r w:rsidR="007252C3">
        <w:t xml:space="preserve"> </w:t>
      </w:r>
      <w:r w:rsidRPr="00A2441D">
        <w:t xml:space="preserve">submission’s financial estimates model was unreliable given the historical prescription data would likely capture the </w:t>
      </w:r>
      <w:r w:rsidR="008778B3">
        <w:t>&lt; 500</w:t>
      </w:r>
      <w:r w:rsidRPr="00A2441D">
        <w:t xml:space="preserve"> grandfathered patients and a cost-minimisation to ADA (or the least costly alternative) means that substitution effects would be expected to have negligible financial impact. </w:t>
      </w:r>
      <w:r w:rsidR="00F6246C" w:rsidRPr="00A2441D">
        <w:t xml:space="preserve">Whether there would be an incremental cost to the PBS (the estimate in the submission corresponded to approx. </w:t>
      </w:r>
      <w:r w:rsidR="00F46153" w:rsidRPr="005C2766">
        <w:rPr>
          <w:color w:val="000000"/>
          <w:w w:val="21"/>
          <w:shd w:val="solid" w:color="000000" w:fill="000000"/>
          <w:fitText w:val="72" w:id="-1236607473"/>
          <w14:textFill>
            <w14:solidFill>
              <w14:srgbClr w14:val="000000">
                <w14:alpha w14:val="100000"/>
              </w14:srgbClr>
            </w14:solidFill>
          </w14:textFill>
        </w:rPr>
        <w:t xml:space="preserve">|  </w:t>
      </w:r>
      <w:r w:rsidR="00F46153" w:rsidRPr="005C2766">
        <w:rPr>
          <w:color w:val="000000"/>
          <w:spacing w:val="2"/>
          <w:w w:val="21"/>
          <w:shd w:val="solid" w:color="000000" w:fill="000000"/>
          <w:fitText w:val="72" w:id="-1236607473"/>
          <w14:textFill>
            <w14:solidFill>
              <w14:srgbClr w14:val="000000">
                <w14:alpha w14:val="100000"/>
              </w14:srgbClr>
            </w14:solidFill>
          </w14:textFill>
        </w:rPr>
        <w:t>|</w:t>
      </w:r>
      <w:r w:rsidR="00F6246C" w:rsidRPr="00A2441D">
        <w:t>% increase in the total market) depends on the extent of under treatment due to the lack of orally administered</w:t>
      </w:r>
      <w:r w:rsidR="00EB35EF" w:rsidRPr="00A2441D">
        <w:t xml:space="preserve"> treatments</w:t>
      </w:r>
      <w:r w:rsidR="00F6246C" w:rsidRPr="00A2441D">
        <w:t>. The literature suggests that a high proportion of children have a fear of needles that can result in avoidance of treatment in various settings other than JIA</w:t>
      </w:r>
      <w:r w:rsidR="009E6605" w:rsidRPr="00A2441D">
        <w:rPr>
          <w:rStyle w:val="FootnoteReference"/>
        </w:rPr>
        <w:footnoteReference w:id="3"/>
      </w:r>
      <w:r w:rsidR="00F6246C" w:rsidRPr="00A2441D">
        <w:t>. Hence, as the first oral treatment for a paediatric population, it may be reasonable to assume some market growth with</w:t>
      </w:r>
      <w:r w:rsidR="00EB35EF" w:rsidRPr="00A2441D">
        <w:t xml:space="preserve"> TOF</w:t>
      </w:r>
      <w:r w:rsidR="00F6246C" w:rsidRPr="00A2441D">
        <w:t>, but the magnitude of growth is un</w:t>
      </w:r>
      <w:r w:rsidR="00EB35EF" w:rsidRPr="00A2441D">
        <w:t>certain</w:t>
      </w:r>
      <w:r w:rsidR="00F6246C" w:rsidRPr="00A2441D">
        <w:t>.</w:t>
      </w:r>
      <w:r w:rsidR="004A5EDA">
        <w:t xml:space="preserve"> </w:t>
      </w:r>
      <w:r w:rsidR="004A5EDA" w:rsidRPr="00F00DB9">
        <w:rPr>
          <w:iCs/>
        </w:rPr>
        <w:t>The PSCR</w:t>
      </w:r>
      <w:r w:rsidR="00BE5065" w:rsidRPr="00F00DB9">
        <w:rPr>
          <w:iCs/>
        </w:rPr>
        <w:t xml:space="preserve"> </w:t>
      </w:r>
      <w:r w:rsidR="004A5EDA" w:rsidRPr="00F00DB9">
        <w:rPr>
          <w:iCs/>
        </w:rPr>
        <w:t>state</w:t>
      </w:r>
      <w:r w:rsidR="00BE5065" w:rsidRPr="00F00DB9">
        <w:rPr>
          <w:iCs/>
        </w:rPr>
        <w:t>d</w:t>
      </w:r>
      <w:r w:rsidR="004A5EDA" w:rsidRPr="00F00DB9">
        <w:rPr>
          <w:iCs/>
        </w:rPr>
        <w:t xml:space="preserve"> historical prescription data did not capture all grandfathered patients as there a significant number of patients who are not being treated because of </w:t>
      </w:r>
      <w:r w:rsidR="00BE5065" w:rsidRPr="00F00DB9">
        <w:rPr>
          <w:iCs/>
        </w:rPr>
        <w:t>an aversion to</w:t>
      </w:r>
      <w:r w:rsidR="004A5EDA" w:rsidRPr="00F00DB9">
        <w:rPr>
          <w:iCs/>
        </w:rPr>
        <w:t xml:space="preserve"> needles.</w:t>
      </w:r>
    </w:p>
    <w:p w14:paraId="2238DEE9" w14:textId="3E6A228B" w:rsidR="00576972" w:rsidRPr="00D04AA0" w:rsidRDefault="00576972" w:rsidP="00606FBA">
      <w:pPr>
        <w:pStyle w:val="4-SubsectionHeading"/>
        <w:rPr>
          <w:iCs/>
        </w:rPr>
      </w:pPr>
      <w:bookmarkStart w:id="43" w:name="_Toc22897648"/>
      <w:bookmarkStart w:id="44" w:name="_Toc121477783"/>
      <w:r w:rsidRPr="00D04AA0">
        <w:rPr>
          <w:iCs/>
        </w:rPr>
        <w:t>Quality Use of Medicines</w:t>
      </w:r>
      <w:bookmarkEnd w:id="43"/>
      <w:bookmarkEnd w:id="44"/>
    </w:p>
    <w:p w14:paraId="6792167E" w14:textId="70C0D4D8" w:rsidR="00EC600D" w:rsidRDefault="00A03170" w:rsidP="007C309F">
      <w:pPr>
        <w:pStyle w:val="3-BodyText"/>
      </w:pPr>
      <w:r>
        <w:t>The submission stated that the sponsor was committed to carrying out risk minimisation strategies including maintaining and distributing TOF specific guides for prescribers and patients to educate clinicians and patients of the identified and potential risks of treatment. There are several planned and ongoing post-market surveillance studies, as detailed in the TGA risk management plan.</w:t>
      </w:r>
      <w:r w:rsidR="00EC600D">
        <w:t xml:space="preserve"> </w:t>
      </w:r>
    </w:p>
    <w:p w14:paraId="327C31CE" w14:textId="77777777" w:rsidR="007C309F" w:rsidRPr="00C33D30" w:rsidRDefault="007C309F" w:rsidP="007C309F">
      <w:pPr>
        <w:ind w:firstLine="709"/>
        <w:rPr>
          <w:rFonts w:asciiTheme="minorHAnsi" w:hAnsiTheme="minorHAnsi"/>
          <w:i/>
        </w:rPr>
      </w:pPr>
      <w:r w:rsidRPr="00C33D30">
        <w:rPr>
          <w:rFonts w:asciiTheme="minorHAnsi" w:hAnsiTheme="minorHAnsi"/>
          <w:i/>
        </w:rPr>
        <w:t>For more detail on PBAC’s view, see section 7 PBAC outcome.</w:t>
      </w:r>
    </w:p>
    <w:p w14:paraId="1D73135B" w14:textId="21C902E2" w:rsidR="00606FBA" w:rsidRDefault="00606FBA">
      <w:pPr>
        <w:jc w:val="left"/>
      </w:pPr>
      <w:r>
        <w:br w:type="page"/>
      </w:r>
    </w:p>
    <w:p w14:paraId="73EE5F5F" w14:textId="77777777" w:rsidR="00C46ADD" w:rsidRPr="0090150D" w:rsidRDefault="00C46ADD" w:rsidP="00C46ADD">
      <w:pPr>
        <w:pStyle w:val="2-SectionHeading"/>
      </w:pPr>
      <w:bookmarkStart w:id="45" w:name="_Hlk76381249"/>
      <w:bookmarkStart w:id="46" w:name="_Hlk76377955"/>
      <w:r w:rsidRPr="0090150D">
        <w:t>PBAC Outcome</w:t>
      </w:r>
    </w:p>
    <w:p w14:paraId="27B09BB8" w14:textId="3EB43B31" w:rsidR="00C46ADD" w:rsidRPr="00EF6B64" w:rsidRDefault="00C46ADD" w:rsidP="00EF6B64">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recommended the </w:t>
      </w:r>
      <w:r w:rsidR="00CD1AFB">
        <w:rPr>
          <w:rFonts w:asciiTheme="minorHAnsi" w:hAnsiTheme="minorHAnsi"/>
          <w:snapToGrid w:val="0"/>
          <w:lang w:val="en-GB"/>
        </w:rPr>
        <w:t xml:space="preserve">General Schedule </w:t>
      </w:r>
      <w:r w:rsidRPr="00CE42B4">
        <w:rPr>
          <w:rFonts w:asciiTheme="minorHAnsi" w:hAnsiTheme="minorHAnsi"/>
          <w:snapToGrid w:val="0"/>
          <w:lang w:val="en-GB"/>
        </w:rPr>
        <w:t xml:space="preserve">listing of </w:t>
      </w:r>
      <w:r w:rsidR="00B20A33">
        <w:rPr>
          <w:rFonts w:asciiTheme="minorHAnsi" w:hAnsiTheme="minorHAnsi"/>
          <w:snapToGrid w:val="0"/>
          <w:lang w:val="en-GB"/>
        </w:rPr>
        <w:t>tofacitinib</w:t>
      </w:r>
      <w:r w:rsidR="00AE3FEA">
        <w:rPr>
          <w:rFonts w:asciiTheme="minorHAnsi" w:hAnsiTheme="minorHAnsi"/>
          <w:snapToGrid w:val="0"/>
          <w:lang w:val="en-GB"/>
        </w:rPr>
        <w:t xml:space="preserve"> (TOF) for </w:t>
      </w:r>
      <w:r w:rsidR="00AE3FEA" w:rsidRPr="004E18E9">
        <w:t xml:space="preserve">the treatment of </w:t>
      </w:r>
      <w:r w:rsidR="00AE3FEA">
        <w:t>severe active juvenile idiopathic arthritis (JIA)</w:t>
      </w:r>
      <w:r w:rsidR="00CD1AFB">
        <w:t>.</w:t>
      </w:r>
      <w:r w:rsidR="00AE3FEA">
        <w:t xml:space="preserve"> </w:t>
      </w:r>
      <w:bookmarkStart w:id="47" w:name="_Hlk130207185"/>
      <w:r w:rsidR="00014BA9">
        <w:t>The PBAC’s recommendation was based on, among other matters, its assessment the cost-effectiveness of TOF would be acceptable if it were cost minimised to the least costly alternative therapy of adalimumab</w:t>
      </w:r>
      <w:r w:rsidR="00105962">
        <w:t xml:space="preserve"> (ADA)</w:t>
      </w:r>
      <w:r w:rsidR="00014BA9">
        <w:t>, etanercept</w:t>
      </w:r>
      <w:r w:rsidR="00105962">
        <w:t xml:space="preserve"> (ETN)</w:t>
      </w:r>
      <w:r w:rsidR="00014BA9">
        <w:t xml:space="preserve"> and tocilizumab</w:t>
      </w:r>
      <w:r w:rsidR="00105962">
        <w:t xml:space="preserve"> (TOC)</w:t>
      </w:r>
      <w:r w:rsidR="00014BA9">
        <w:t xml:space="preserve">. </w:t>
      </w:r>
      <w:r w:rsidRPr="00EF6B64">
        <w:rPr>
          <w:rFonts w:asciiTheme="minorHAnsi" w:hAnsiTheme="minorHAnsi"/>
          <w:snapToGrid w:val="0"/>
          <w:lang w:val="en-GB"/>
        </w:rPr>
        <w:t xml:space="preserve"> </w:t>
      </w:r>
      <w:bookmarkEnd w:id="47"/>
    </w:p>
    <w:p w14:paraId="312531A1" w14:textId="02E237BB" w:rsidR="00C7167F" w:rsidRDefault="00C7167F" w:rsidP="00C46AD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w:t>
      </w:r>
      <w:r w:rsidR="00A61A29">
        <w:rPr>
          <w:rFonts w:asciiTheme="minorHAnsi" w:hAnsiTheme="minorHAnsi"/>
          <w:snapToGrid w:val="0"/>
          <w:lang w:val="en-GB"/>
        </w:rPr>
        <w:t xml:space="preserve"> considered the equi-effective doses of TOF and the alternative therapies could be derived with reference to the therapeutic relativity sheets and relevant Product Information documents, noting the TOF equi-effective dose component was weight based and </w:t>
      </w:r>
      <w:r w:rsidR="009241A6">
        <w:rPr>
          <w:rFonts w:asciiTheme="minorHAnsi" w:hAnsiTheme="minorHAnsi"/>
          <w:snapToGrid w:val="0"/>
          <w:lang w:val="en-GB"/>
        </w:rPr>
        <w:t xml:space="preserve">is </w:t>
      </w:r>
      <w:r w:rsidR="00A61A29">
        <w:rPr>
          <w:rFonts w:asciiTheme="minorHAnsi" w:hAnsiTheme="minorHAnsi"/>
          <w:snapToGrid w:val="0"/>
          <w:lang w:val="en-GB"/>
        </w:rPr>
        <w:t>as follows:</w:t>
      </w:r>
    </w:p>
    <w:p w14:paraId="31BBCA2F" w14:textId="529CF97C" w:rsidR="00C7167F" w:rsidRPr="00A61A29" w:rsidRDefault="00C7167F" w:rsidP="00A61A29">
      <w:pPr>
        <w:pStyle w:val="ListParagraph"/>
        <w:widowControl w:val="0"/>
        <w:numPr>
          <w:ilvl w:val="0"/>
          <w:numId w:val="32"/>
        </w:numPr>
        <w:spacing w:after="0"/>
        <w:ind w:left="1134" w:hanging="357"/>
        <w:rPr>
          <w:lang w:val="en-GB"/>
        </w:rPr>
      </w:pPr>
      <w:r w:rsidRPr="00A61A29">
        <w:rPr>
          <w:lang w:val="en-GB"/>
        </w:rPr>
        <w:t>10 to &lt;20</w:t>
      </w:r>
      <w:r w:rsidR="00CD1AFB">
        <w:rPr>
          <w:lang w:val="en-GB"/>
        </w:rPr>
        <w:t xml:space="preserve"> </w:t>
      </w:r>
      <w:r w:rsidRPr="00A61A29">
        <w:rPr>
          <w:lang w:val="en-GB"/>
        </w:rPr>
        <w:t>kg: TOF 3.2 mg twice daily (oral solution)</w:t>
      </w:r>
      <w:r w:rsidR="00A61A29">
        <w:rPr>
          <w:lang w:val="en-GB"/>
        </w:rPr>
        <w:t>;</w:t>
      </w:r>
    </w:p>
    <w:p w14:paraId="29EA1776" w14:textId="6B1BED53" w:rsidR="00C7167F" w:rsidRDefault="00C7167F" w:rsidP="00A61A29">
      <w:pPr>
        <w:pStyle w:val="ListBullet"/>
        <w:numPr>
          <w:ilvl w:val="0"/>
          <w:numId w:val="32"/>
        </w:numPr>
        <w:ind w:left="1134" w:hanging="357"/>
        <w:rPr>
          <w:lang w:val="en-GB"/>
        </w:rPr>
      </w:pPr>
      <w:r>
        <w:rPr>
          <w:lang w:val="en-GB"/>
        </w:rPr>
        <w:t>20 to &lt;40</w:t>
      </w:r>
      <w:r w:rsidR="00CD1AFB">
        <w:rPr>
          <w:lang w:val="en-GB"/>
        </w:rPr>
        <w:t xml:space="preserve"> </w:t>
      </w:r>
      <w:r>
        <w:rPr>
          <w:lang w:val="en-GB"/>
        </w:rPr>
        <w:t>kg: TOF 4 mg twice daily (oral solution)</w:t>
      </w:r>
      <w:r w:rsidR="00A61A29">
        <w:rPr>
          <w:lang w:val="en-GB"/>
        </w:rPr>
        <w:t>; and</w:t>
      </w:r>
    </w:p>
    <w:p w14:paraId="597BD233" w14:textId="5F726743" w:rsidR="00A61A29" w:rsidRPr="005C2766" w:rsidRDefault="00C7167F" w:rsidP="005C2766">
      <w:pPr>
        <w:pStyle w:val="ListBullet"/>
        <w:numPr>
          <w:ilvl w:val="0"/>
          <w:numId w:val="32"/>
        </w:numPr>
        <w:spacing w:after="120"/>
        <w:ind w:left="1134" w:hanging="357"/>
        <w:rPr>
          <w:rFonts w:cs="Calibri"/>
          <w:lang w:val="en-GB"/>
        </w:rPr>
      </w:pPr>
      <w:r>
        <w:rPr>
          <w:rFonts w:cs="Calibri"/>
          <w:lang w:val="en-GB"/>
        </w:rPr>
        <w:t>≥40</w:t>
      </w:r>
      <w:r w:rsidR="00CD1AFB">
        <w:rPr>
          <w:rFonts w:cs="Calibri"/>
          <w:lang w:val="en-GB"/>
        </w:rPr>
        <w:t xml:space="preserve"> </w:t>
      </w:r>
      <w:r>
        <w:rPr>
          <w:rFonts w:cs="Calibri"/>
          <w:lang w:val="en-GB"/>
        </w:rPr>
        <w:t>kg: TOF 5 mg twice daily</w:t>
      </w:r>
      <w:r w:rsidR="00A61A29">
        <w:rPr>
          <w:rFonts w:cs="Calibri"/>
          <w:lang w:val="en-GB"/>
        </w:rPr>
        <w:t xml:space="preserve"> (oral solution or oral tablet).</w:t>
      </w:r>
    </w:p>
    <w:p w14:paraId="38F1AA5A" w14:textId="657EAFD1" w:rsidR="00C46ADD" w:rsidRPr="00A90E25" w:rsidRDefault="001A2841" w:rsidP="00C46ADD">
      <w:pPr>
        <w:widowControl w:val="0"/>
        <w:numPr>
          <w:ilvl w:val="1"/>
          <w:numId w:val="1"/>
        </w:numPr>
        <w:spacing w:after="120"/>
        <w:rPr>
          <w:rFonts w:asciiTheme="minorHAnsi" w:hAnsiTheme="minorHAnsi"/>
          <w:snapToGrid w:val="0"/>
          <w:lang w:val="en-GB"/>
        </w:rPr>
      </w:pPr>
      <w:r>
        <w:t xml:space="preserve">The PBAC noted the comments from </w:t>
      </w:r>
      <w:r w:rsidR="00CE118F">
        <w:t>patient carers</w:t>
      </w:r>
      <w:r>
        <w:t xml:space="preserve"> and organisations highlighted the </w:t>
      </w:r>
      <w:r w:rsidR="00A61A29">
        <w:t>impact</w:t>
      </w:r>
      <w:r w:rsidR="005C1E66">
        <w:t xml:space="preserve"> of</w:t>
      </w:r>
      <w:r w:rsidR="00A61A29">
        <w:t xml:space="preserve"> having to regularly perform injections on children to patients, families and caregivers and agreed there was a high </w:t>
      </w:r>
      <w:r>
        <w:t xml:space="preserve">need for </w:t>
      </w:r>
      <w:r w:rsidR="00CE118F">
        <w:t>a non-injectable alternative treatment</w:t>
      </w:r>
      <w:r>
        <w:t xml:space="preserve"> for JIA</w:t>
      </w:r>
      <w:r w:rsidR="00CE118F">
        <w:t xml:space="preserve"> in the paediatric population.</w:t>
      </w:r>
      <w:r>
        <w:t xml:space="preserve"> The PBAC </w:t>
      </w:r>
      <w:r w:rsidR="00333936">
        <w:t>considered</w:t>
      </w:r>
      <w:r>
        <w:t xml:space="preserve"> the</w:t>
      </w:r>
      <w:r w:rsidR="00CD1AFB">
        <w:t xml:space="preserve"> availability of an</w:t>
      </w:r>
      <w:r>
        <w:t xml:space="preserve"> oral therapy</w:t>
      </w:r>
      <w:r w:rsidR="00333936">
        <w:t xml:space="preserve"> option</w:t>
      </w:r>
      <w:r>
        <w:t xml:space="preserve"> </w:t>
      </w:r>
      <w:r w:rsidR="00CD1AFB">
        <w:t xml:space="preserve">may </w:t>
      </w:r>
      <w:r w:rsidR="00333936">
        <w:t xml:space="preserve">greatly reduce the stress and anxiety associated with JIA treatment for patients and families with an aversion to injections. </w:t>
      </w:r>
    </w:p>
    <w:p w14:paraId="7213C52D" w14:textId="437A527E" w:rsidR="006C7053" w:rsidRPr="005C2766" w:rsidRDefault="00E25E1E" w:rsidP="005C2766">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4B598D">
        <w:rPr>
          <w:rFonts w:asciiTheme="minorHAnsi" w:hAnsiTheme="minorHAnsi"/>
          <w:snapToGrid w:val="0"/>
          <w:lang w:val="en-GB"/>
        </w:rPr>
        <w:t xml:space="preserve">considered it would be appropriate to align the listing of </w:t>
      </w:r>
      <w:r w:rsidR="00333936">
        <w:rPr>
          <w:rFonts w:asciiTheme="minorHAnsi" w:hAnsiTheme="minorHAnsi"/>
          <w:snapToGrid w:val="0"/>
          <w:lang w:val="en-GB"/>
        </w:rPr>
        <w:t>TOF with the other biologic</w:t>
      </w:r>
      <w:r w:rsidR="00813DAD">
        <w:rPr>
          <w:rFonts w:asciiTheme="minorHAnsi" w:hAnsiTheme="minorHAnsi"/>
          <w:snapToGrid w:val="0"/>
          <w:lang w:val="en-GB"/>
        </w:rPr>
        <w:t xml:space="preserve"> or targeted synthetic</w:t>
      </w:r>
      <w:r w:rsidR="00333936">
        <w:rPr>
          <w:rFonts w:asciiTheme="minorHAnsi" w:hAnsiTheme="minorHAnsi"/>
          <w:snapToGrid w:val="0"/>
          <w:lang w:val="en-GB"/>
        </w:rPr>
        <w:t xml:space="preserve"> disease modifying anti-rheumatic drugs (bDMARDs</w:t>
      </w:r>
      <w:r w:rsidR="00813DAD">
        <w:rPr>
          <w:rFonts w:asciiTheme="minorHAnsi" w:hAnsiTheme="minorHAnsi"/>
          <w:snapToGrid w:val="0"/>
          <w:lang w:val="en-GB"/>
        </w:rPr>
        <w:t>/tsDMARDs</w:t>
      </w:r>
      <w:r w:rsidR="00333936">
        <w:rPr>
          <w:rFonts w:asciiTheme="minorHAnsi" w:hAnsiTheme="minorHAnsi"/>
          <w:snapToGrid w:val="0"/>
          <w:lang w:val="en-GB"/>
        </w:rPr>
        <w:t>), with prescribing limited to medical practitioners,</w:t>
      </w:r>
      <w:r w:rsidR="006C7053">
        <w:rPr>
          <w:rFonts w:asciiTheme="minorHAnsi" w:hAnsiTheme="minorHAnsi"/>
          <w:snapToGrid w:val="0"/>
          <w:lang w:val="en-GB"/>
        </w:rPr>
        <w:t xml:space="preserve"> an initial treatment period of 16 weeks, followed by maintenance therapy with re-assessment at 24 week intervals</w:t>
      </w:r>
      <w:r w:rsidR="004B598D">
        <w:rPr>
          <w:rFonts w:asciiTheme="minorHAnsi" w:hAnsiTheme="minorHAnsi"/>
          <w:snapToGrid w:val="0"/>
          <w:lang w:val="en-GB"/>
        </w:rPr>
        <w:t xml:space="preserve">. </w:t>
      </w:r>
      <w:r w:rsidR="002F0C8F">
        <w:rPr>
          <w:rFonts w:asciiTheme="minorHAnsi" w:hAnsiTheme="minorHAnsi"/>
          <w:snapToGrid w:val="0"/>
          <w:lang w:val="en-GB"/>
        </w:rPr>
        <w:t xml:space="preserve">The PBAC </w:t>
      </w:r>
      <w:r w:rsidR="006C7053">
        <w:rPr>
          <w:rFonts w:asciiTheme="minorHAnsi" w:hAnsiTheme="minorHAnsi"/>
          <w:snapToGrid w:val="0"/>
          <w:lang w:val="en-GB"/>
        </w:rPr>
        <w:t xml:space="preserve">noted it had recommended lowering the authority level for continuing therapy for </w:t>
      </w:r>
      <w:r w:rsidR="00105962">
        <w:rPr>
          <w:rFonts w:asciiTheme="minorHAnsi" w:hAnsiTheme="minorHAnsi"/>
          <w:snapToGrid w:val="0"/>
          <w:lang w:val="en-GB"/>
        </w:rPr>
        <w:t>TOC</w:t>
      </w:r>
      <w:r w:rsidR="006C7053">
        <w:rPr>
          <w:rFonts w:asciiTheme="minorHAnsi" w:hAnsiTheme="minorHAnsi"/>
          <w:snapToGrid w:val="0"/>
          <w:lang w:val="en-GB"/>
        </w:rPr>
        <w:t xml:space="preserve"> for JIA to a </w:t>
      </w:r>
      <w:r w:rsidR="00887495">
        <w:rPr>
          <w:rFonts w:asciiTheme="minorHAnsi" w:hAnsiTheme="minorHAnsi"/>
          <w:snapToGrid w:val="0"/>
          <w:lang w:val="en-GB"/>
        </w:rPr>
        <w:t>streamlined</w:t>
      </w:r>
      <w:r w:rsidR="006C7053">
        <w:rPr>
          <w:rFonts w:asciiTheme="minorHAnsi" w:hAnsiTheme="minorHAnsi"/>
          <w:snapToGrid w:val="0"/>
          <w:lang w:val="en-GB"/>
        </w:rPr>
        <w:t xml:space="preserve"> authority and considered it was appropriate for this changed to be flowed on to the listing of TOF (</w:t>
      </w:r>
      <w:r w:rsidR="00344DD0">
        <w:rPr>
          <w:rFonts w:asciiTheme="minorHAnsi" w:hAnsiTheme="minorHAnsi"/>
          <w:snapToGrid w:val="0"/>
          <w:lang w:val="en-GB"/>
        </w:rPr>
        <w:t>Review of PBS Authority Required (Written) listings – Tranche 6</w:t>
      </w:r>
      <w:r w:rsidR="006C7053">
        <w:rPr>
          <w:rFonts w:asciiTheme="minorHAnsi" w:hAnsiTheme="minorHAnsi"/>
          <w:snapToGrid w:val="0"/>
          <w:lang w:val="en-GB"/>
        </w:rPr>
        <w:t>, March 202</w:t>
      </w:r>
      <w:r w:rsidR="00344DD0">
        <w:rPr>
          <w:rFonts w:asciiTheme="minorHAnsi" w:hAnsiTheme="minorHAnsi"/>
          <w:snapToGrid w:val="0"/>
          <w:lang w:val="en-GB"/>
        </w:rPr>
        <w:t>2</w:t>
      </w:r>
      <w:r w:rsidR="006C7053">
        <w:rPr>
          <w:rFonts w:asciiTheme="minorHAnsi" w:hAnsiTheme="minorHAnsi"/>
          <w:snapToGrid w:val="0"/>
          <w:lang w:val="en-GB"/>
        </w:rPr>
        <w:t xml:space="preserve"> PBAC meeting).</w:t>
      </w:r>
      <w:r w:rsidR="002F0C8F">
        <w:rPr>
          <w:rFonts w:asciiTheme="minorHAnsi" w:hAnsiTheme="minorHAnsi"/>
          <w:snapToGrid w:val="0"/>
          <w:lang w:val="en-GB"/>
        </w:rPr>
        <w:t xml:space="preserve"> </w:t>
      </w:r>
      <w:r w:rsidR="004B598D">
        <w:rPr>
          <w:rFonts w:asciiTheme="minorHAnsi" w:hAnsiTheme="minorHAnsi"/>
          <w:snapToGrid w:val="0"/>
          <w:lang w:val="en-GB"/>
        </w:rPr>
        <w:t xml:space="preserve">The PBAC advised the grandfather restriction </w:t>
      </w:r>
      <w:r w:rsidR="00356391">
        <w:rPr>
          <w:rFonts w:asciiTheme="minorHAnsi" w:hAnsiTheme="minorHAnsi"/>
          <w:snapToGrid w:val="0"/>
          <w:lang w:val="en-GB"/>
        </w:rPr>
        <w:t xml:space="preserve">should </w:t>
      </w:r>
      <w:r w:rsidR="004B598D">
        <w:rPr>
          <w:rFonts w:asciiTheme="minorHAnsi" w:hAnsiTheme="minorHAnsi"/>
          <w:snapToGrid w:val="0"/>
          <w:lang w:val="en-GB"/>
        </w:rPr>
        <w:t>be removed from the listing after 12 months, in line with standard procedure.</w:t>
      </w:r>
      <w:r w:rsidR="00C74E91">
        <w:rPr>
          <w:rFonts w:asciiTheme="minorHAnsi" w:hAnsiTheme="minorHAnsi"/>
          <w:snapToGrid w:val="0"/>
          <w:lang w:val="en-GB"/>
        </w:rPr>
        <w:t xml:space="preserve"> The PBAC noted flow-on changes to other JIA listings </w:t>
      </w:r>
      <w:r w:rsidR="00CD1AFB">
        <w:rPr>
          <w:rFonts w:asciiTheme="minorHAnsi" w:hAnsiTheme="minorHAnsi"/>
          <w:snapToGrid w:val="0"/>
          <w:lang w:val="en-GB"/>
        </w:rPr>
        <w:t xml:space="preserve">will be required </w:t>
      </w:r>
      <w:r w:rsidR="00C74E91">
        <w:rPr>
          <w:rFonts w:asciiTheme="minorHAnsi" w:hAnsiTheme="minorHAnsi"/>
          <w:snapToGrid w:val="0"/>
          <w:lang w:val="en-GB"/>
        </w:rPr>
        <w:t xml:space="preserve">to include tofacitinib in the list of eligible therapies. </w:t>
      </w:r>
    </w:p>
    <w:p w14:paraId="58316F39" w14:textId="2A5AC7EC" w:rsidR="00C46ADD" w:rsidRPr="00CE42B4" w:rsidRDefault="00E25E1E" w:rsidP="00C46ADD">
      <w:pPr>
        <w:widowControl w:val="0"/>
        <w:numPr>
          <w:ilvl w:val="1"/>
          <w:numId w:val="1"/>
        </w:numPr>
        <w:spacing w:after="120"/>
        <w:rPr>
          <w:rFonts w:asciiTheme="minorHAnsi" w:hAnsiTheme="minorHAnsi"/>
          <w:snapToGrid w:val="0"/>
          <w:lang w:val="en-GB"/>
        </w:rPr>
      </w:pPr>
      <w:r>
        <w:t xml:space="preserve">The submission nominated </w:t>
      </w:r>
      <w:r w:rsidR="00105962">
        <w:t xml:space="preserve">ADA </w:t>
      </w:r>
      <w:r>
        <w:t>as the comparator. The PBAC considered</w:t>
      </w:r>
      <w:r w:rsidR="000644D3">
        <w:t xml:space="preserve"> this was reasonable however noted</w:t>
      </w:r>
      <w:r>
        <w:t xml:space="preserve"> any of the currently PBS listed bDMARDs</w:t>
      </w:r>
      <w:r w:rsidR="00813DAD">
        <w:t>/tsDMARDs</w:t>
      </w:r>
      <w:r>
        <w:t xml:space="preserve"> for JIA (</w:t>
      </w:r>
      <w:r w:rsidR="000644D3">
        <w:t>including</w:t>
      </w:r>
      <w:r w:rsidR="00105962">
        <w:t xml:space="preserve"> ETN</w:t>
      </w:r>
      <w:r w:rsidR="00CD1AFB">
        <w:t xml:space="preserve"> </w:t>
      </w:r>
      <w:r>
        <w:t xml:space="preserve">and </w:t>
      </w:r>
      <w:r w:rsidR="00105962">
        <w:t>TOC</w:t>
      </w:r>
      <w:r>
        <w:t xml:space="preserve">) could be considered an alternative therapy to </w:t>
      </w:r>
      <w:r w:rsidR="000644D3">
        <w:t xml:space="preserve">TOF </w:t>
      </w:r>
      <w:r>
        <w:t>for the treatment of JIA</w:t>
      </w:r>
      <w:r w:rsidR="000644D3">
        <w:t>.</w:t>
      </w:r>
      <w:r>
        <w:t xml:space="preserve"> </w:t>
      </w:r>
    </w:p>
    <w:p w14:paraId="2EF5C615" w14:textId="23BAB5EA" w:rsidR="001538DF" w:rsidRPr="001538DF" w:rsidRDefault="00546A62" w:rsidP="00C46ADD">
      <w:pPr>
        <w:widowControl w:val="0"/>
        <w:numPr>
          <w:ilvl w:val="1"/>
          <w:numId w:val="1"/>
        </w:numPr>
        <w:spacing w:after="120"/>
        <w:rPr>
          <w:rFonts w:asciiTheme="minorHAnsi" w:hAnsiTheme="minorHAnsi"/>
          <w:snapToGrid w:val="0"/>
          <w:lang w:val="en-GB"/>
        </w:rPr>
      </w:pPr>
      <w:r>
        <w:t>The submission described tofacitinib to be non-inferior in terms of comparative effectiveness and safety in JIA versus</w:t>
      </w:r>
      <w:r w:rsidR="00CD1AFB">
        <w:t xml:space="preserve"> ADA</w:t>
      </w:r>
      <w:r>
        <w:t xml:space="preserve">. The PBAC noted </w:t>
      </w:r>
      <w:r w:rsidR="001538DF">
        <w:t xml:space="preserve">no direct trials comparing TOF and </w:t>
      </w:r>
      <w:r w:rsidR="00105962">
        <w:t>ADA</w:t>
      </w:r>
      <w:r w:rsidR="001538DF">
        <w:t xml:space="preserve"> were available, and the submission relied on an indirect treatment comparison (ITC) with placebo as the common comparator to support the clinical claim.</w:t>
      </w:r>
    </w:p>
    <w:p w14:paraId="15889359" w14:textId="27582F08" w:rsidR="00546A62" w:rsidRPr="00281FBB" w:rsidRDefault="003927CC" w:rsidP="00281FB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results of the ITC versus ADA for the outcomes of disease flare, PedACR30, PedACR50 and PedACR70 found no statistically significant differences between the treatments. </w:t>
      </w:r>
      <w:r>
        <w:t xml:space="preserve">The Committee noted the results of the ITCs generally had wide 95% confidence intervals, however also noted this was not dissimilar to the comparison for TOC vs ETN or </w:t>
      </w:r>
      <w:r>
        <w:rPr>
          <w:caps/>
        </w:rPr>
        <w:t xml:space="preserve">ADA </w:t>
      </w:r>
      <w:r>
        <w:t xml:space="preserve">(‘Results of trials’ section, tocilizumab </w:t>
      </w:r>
      <w:r w:rsidR="00475E25" w:rsidRPr="00475E25">
        <w:t>Public Summary Document</w:t>
      </w:r>
      <w:r w:rsidR="00475E25">
        <w:t xml:space="preserve"> (</w:t>
      </w:r>
      <w:r>
        <w:t>PSD</w:t>
      </w:r>
      <w:r w:rsidR="00475E25">
        <w:t>)</w:t>
      </w:r>
      <w:r>
        <w:t>, November 2013 PBAC meeting). The PBAC also noted the submission presented additional subgroup analyses to account for different use of prior or concomitant therapies (methotrexate or other bDMARDs/tsDMARDs) which supported the clinical claim. Overall, the PBAC considered the claim of non-inferior comparative effectiveness was adequately supported.</w:t>
      </w:r>
    </w:p>
    <w:p w14:paraId="30A09712" w14:textId="266FA1A1" w:rsidR="00D97748" w:rsidRPr="00DB223C" w:rsidRDefault="00D97748" w:rsidP="00C46ADD">
      <w:pPr>
        <w:widowControl w:val="0"/>
        <w:numPr>
          <w:ilvl w:val="1"/>
          <w:numId w:val="1"/>
        </w:numPr>
        <w:spacing w:after="120"/>
        <w:rPr>
          <w:rFonts w:asciiTheme="minorHAnsi" w:hAnsiTheme="minorHAnsi"/>
          <w:snapToGrid w:val="0"/>
          <w:lang w:val="en-GB"/>
        </w:rPr>
      </w:pPr>
      <w:r>
        <w:t xml:space="preserve">With regards to safety, the PBAC </w:t>
      </w:r>
      <w:r w:rsidR="005C1E66">
        <w:t>considered</w:t>
      </w:r>
      <w:r>
        <w:t xml:space="preserve"> the results of the </w:t>
      </w:r>
      <w:r w:rsidR="00274D3A">
        <w:t xml:space="preserve">PROPEL </w:t>
      </w:r>
      <w:r>
        <w:t>trial</w:t>
      </w:r>
      <w:r w:rsidR="004E2E07">
        <w:t xml:space="preserve"> </w:t>
      </w:r>
      <w:r w:rsidR="00274D3A">
        <w:t>indicated</w:t>
      </w:r>
      <w:r>
        <w:t xml:space="preserve"> </w:t>
      </w:r>
      <w:r w:rsidR="005C1E66">
        <w:t xml:space="preserve">the safety of TOF in JIA was comparable to its safety profile in adults and further considered that whilst there were limitations with the indirect comparison to ADA the available analyses supported a conclusion that TOF was likely to be of different (but not worse) safety to ADA, noting the differences in the safety profile of these agents. </w:t>
      </w:r>
    </w:p>
    <w:p w14:paraId="064B90DD" w14:textId="0BA036C4" w:rsidR="00DB223C" w:rsidRPr="00546A62" w:rsidRDefault="00DB223C" w:rsidP="00C46AD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a listing based on a cost minimisation approach, with costs over two years, consistent with the approach previously used for bDMARDs</w:t>
      </w:r>
      <w:r w:rsidR="00813DAD">
        <w:rPr>
          <w:rFonts w:asciiTheme="minorHAnsi" w:hAnsiTheme="minorHAnsi"/>
          <w:snapToGrid w:val="0"/>
          <w:lang w:val="en-GB"/>
        </w:rPr>
        <w:t>/tsDMARDs</w:t>
      </w:r>
      <w:r>
        <w:rPr>
          <w:rFonts w:asciiTheme="minorHAnsi" w:hAnsiTheme="minorHAnsi"/>
          <w:snapToGrid w:val="0"/>
          <w:lang w:val="en-GB"/>
        </w:rPr>
        <w:t>, was appropriate to determine the cost minimised price of TOF</w:t>
      </w:r>
      <w:r w:rsidR="00813DAD">
        <w:rPr>
          <w:rFonts w:asciiTheme="minorHAnsi" w:hAnsiTheme="minorHAnsi"/>
          <w:snapToGrid w:val="0"/>
          <w:lang w:val="en-GB"/>
        </w:rPr>
        <w:t>. The Committee noted the advice of the ESC and agreed the risk of substantial use of the oral liquid in the population weighing &gt;40 kg was low and therefore considered it was reasonable for the oral liquid pack to be priced the same as the oral tablet pack. The PBAC considered the cost of TOF should be no greater than the alternative therapies.</w:t>
      </w:r>
    </w:p>
    <w:p w14:paraId="6AE4BA12" w14:textId="4B6A7428" w:rsidR="00C46ADD" w:rsidRPr="00CE42B4" w:rsidRDefault="00546A62" w:rsidP="00C46AD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there was some uncertainty to the utilisation </w:t>
      </w:r>
      <w:r w:rsidR="00813DAD">
        <w:rPr>
          <w:rFonts w:asciiTheme="minorHAnsi" w:hAnsiTheme="minorHAnsi"/>
          <w:snapToGrid w:val="0"/>
          <w:lang w:val="en-GB"/>
        </w:rPr>
        <w:t>and financial estimates as TOF would be the first oral therapy in JIA, and as a paediatric condition, there was likely a cohort of patients who are untreated or undertreated with current injectable options</w:t>
      </w:r>
      <w:r w:rsidR="00E55C36">
        <w:rPr>
          <w:rFonts w:asciiTheme="minorHAnsi" w:hAnsiTheme="minorHAnsi"/>
          <w:snapToGrid w:val="0"/>
          <w:lang w:val="en-GB"/>
        </w:rPr>
        <w:t>, however also considered the size of this population as uncertain and difficult to estimate</w:t>
      </w:r>
      <w:r w:rsidR="00813DAD">
        <w:rPr>
          <w:rFonts w:asciiTheme="minorHAnsi" w:hAnsiTheme="minorHAnsi"/>
          <w:snapToGrid w:val="0"/>
          <w:lang w:val="en-GB"/>
        </w:rPr>
        <w:t xml:space="preserve">. </w:t>
      </w:r>
      <w:r w:rsidR="00A5301B">
        <w:rPr>
          <w:rFonts w:asciiTheme="minorHAnsi" w:hAnsiTheme="minorHAnsi"/>
          <w:snapToGrid w:val="0"/>
          <w:lang w:val="en-GB"/>
        </w:rPr>
        <w:t>The PBAC</w:t>
      </w:r>
      <w:r w:rsidR="004E2BF4">
        <w:rPr>
          <w:rFonts w:asciiTheme="minorHAnsi" w:hAnsiTheme="minorHAnsi"/>
          <w:snapToGrid w:val="0"/>
          <w:lang w:val="en-GB"/>
        </w:rPr>
        <w:t xml:space="preserve"> noted the submission had included an assumption TOF would grow the market and</w:t>
      </w:r>
      <w:r w:rsidR="00A5301B">
        <w:rPr>
          <w:rFonts w:asciiTheme="minorHAnsi" w:hAnsiTheme="minorHAnsi"/>
          <w:snapToGrid w:val="0"/>
          <w:lang w:val="en-GB"/>
        </w:rPr>
        <w:t xml:space="preserve"> considered overall the estimates were</w:t>
      </w:r>
      <w:r w:rsidR="004E2BF4">
        <w:rPr>
          <w:rFonts w:asciiTheme="minorHAnsi" w:hAnsiTheme="minorHAnsi"/>
          <w:snapToGrid w:val="0"/>
          <w:lang w:val="en-GB"/>
        </w:rPr>
        <w:t xml:space="preserve"> likely to be</w:t>
      </w:r>
      <w:r w:rsidR="00A5301B">
        <w:rPr>
          <w:rFonts w:asciiTheme="minorHAnsi" w:hAnsiTheme="minorHAnsi"/>
          <w:snapToGrid w:val="0"/>
          <w:lang w:val="en-GB"/>
        </w:rPr>
        <w:t xml:space="preserve"> reasonable.</w:t>
      </w:r>
      <w:r w:rsidR="00C46ADD" w:rsidRPr="00CE42B4">
        <w:rPr>
          <w:rFonts w:asciiTheme="minorHAnsi" w:hAnsiTheme="minorHAnsi"/>
          <w:snapToGrid w:val="0"/>
          <w:lang w:val="en-GB"/>
        </w:rPr>
        <w:t xml:space="preserve"> </w:t>
      </w:r>
    </w:p>
    <w:p w14:paraId="79026B72" w14:textId="0983BCAE" w:rsidR="00C46ADD" w:rsidRPr="00F860D0" w:rsidRDefault="00C46ADD" w:rsidP="00F860D0">
      <w:pPr>
        <w:widowControl w:val="0"/>
        <w:numPr>
          <w:ilvl w:val="1"/>
          <w:numId w:val="1"/>
        </w:numPr>
        <w:spacing w:after="120"/>
        <w:rPr>
          <w:rFonts w:asciiTheme="minorHAnsi" w:hAnsiTheme="minorHAnsi"/>
          <w:bCs/>
          <w:snapToGrid w:val="0"/>
          <w:lang w:val="en-GB"/>
        </w:rPr>
      </w:pPr>
      <w:r w:rsidRPr="00F860D0">
        <w:rPr>
          <w:rFonts w:asciiTheme="minorHAnsi" w:hAnsiTheme="minorHAnsi"/>
          <w:bCs/>
          <w:snapToGrid w:val="0"/>
          <w:lang w:val="en-GB"/>
        </w:rPr>
        <w:t xml:space="preserve">The PBAC advised, under Section 101 (4AB) of the </w:t>
      </w:r>
      <w:r w:rsidRPr="00F860D0">
        <w:rPr>
          <w:rFonts w:asciiTheme="minorHAnsi" w:hAnsiTheme="minorHAnsi"/>
          <w:bCs/>
          <w:i/>
          <w:iCs/>
          <w:snapToGrid w:val="0"/>
          <w:lang w:val="en-GB"/>
        </w:rPr>
        <w:t>National Health Act</w:t>
      </w:r>
      <w:r w:rsidRPr="00F860D0">
        <w:rPr>
          <w:rFonts w:asciiTheme="minorHAnsi" w:hAnsiTheme="minorHAnsi"/>
          <w:bCs/>
          <w:snapToGrid w:val="0"/>
          <w:lang w:val="en-GB"/>
        </w:rPr>
        <w:t xml:space="preserve">, that the following circumstances exist in relation to the pharmaceutical item </w:t>
      </w:r>
      <w:r w:rsidR="00F860D0">
        <w:rPr>
          <w:rFonts w:asciiTheme="minorHAnsi" w:hAnsiTheme="minorHAnsi"/>
          <w:bCs/>
          <w:snapToGrid w:val="0"/>
          <w:lang w:val="en-GB"/>
        </w:rPr>
        <w:t>tofacitinib</w:t>
      </w:r>
      <w:r w:rsidRPr="00F860D0">
        <w:rPr>
          <w:rFonts w:asciiTheme="minorHAnsi" w:hAnsiTheme="minorHAnsi"/>
          <w:bCs/>
          <w:snapToGrid w:val="0"/>
          <w:lang w:val="en-GB"/>
        </w:rPr>
        <w:t>,</w:t>
      </w:r>
      <w:r w:rsidR="00F860D0">
        <w:rPr>
          <w:rFonts w:asciiTheme="minorHAnsi" w:hAnsiTheme="minorHAnsi"/>
          <w:bCs/>
          <w:snapToGrid w:val="0"/>
          <w:lang w:val="en-GB"/>
        </w:rPr>
        <w:t xml:space="preserve"> </w:t>
      </w:r>
      <w:r w:rsidR="00F860D0">
        <w:t xml:space="preserve">oral liquid 1 mg per </w:t>
      </w:r>
      <w:r w:rsidR="001C7680">
        <w:t>mL</w:t>
      </w:r>
      <w:r w:rsidR="00F860D0">
        <w:t>, 240</w:t>
      </w:r>
      <w:r w:rsidR="001C7680">
        <w:t> mL</w:t>
      </w:r>
      <w:r w:rsidRPr="00F860D0">
        <w:rPr>
          <w:rFonts w:asciiTheme="minorHAnsi" w:hAnsiTheme="minorHAnsi"/>
          <w:bCs/>
          <w:snapToGrid w:val="0"/>
          <w:lang w:val="en-GB"/>
        </w:rPr>
        <w:t>:</w:t>
      </w:r>
    </w:p>
    <w:p w14:paraId="6CE0EEB2" w14:textId="64557A86" w:rsidR="00C46ADD" w:rsidRPr="00525B39" w:rsidRDefault="00C46ADD" w:rsidP="00D04AA0">
      <w:pPr>
        <w:widowControl w:val="0"/>
        <w:numPr>
          <w:ilvl w:val="2"/>
          <w:numId w:val="23"/>
        </w:numPr>
        <w:spacing w:after="120"/>
        <w:rPr>
          <w:rFonts w:asciiTheme="minorHAnsi" w:hAnsiTheme="minorHAnsi"/>
          <w:bCs/>
          <w:snapToGrid w:val="0"/>
          <w:lang w:val="en-GB"/>
        </w:rPr>
      </w:pPr>
      <w:r w:rsidRPr="00525B39">
        <w:rPr>
          <w:rFonts w:asciiTheme="minorHAnsi" w:hAnsiTheme="minorHAnsi"/>
          <w:bCs/>
          <w:snapToGrid w:val="0"/>
          <w:lang w:val="en-GB"/>
        </w:rPr>
        <w:t>The listed drug in the pharmaceutical item represents suitable therapy for a particular patient population</w:t>
      </w:r>
      <w:r w:rsidR="000644D3">
        <w:rPr>
          <w:rFonts w:asciiTheme="minorHAnsi" w:hAnsiTheme="minorHAnsi"/>
          <w:bCs/>
          <w:snapToGrid w:val="0"/>
          <w:lang w:val="en-GB"/>
        </w:rPr>
        <w:t xml:space="preserve"> (in this case, paediatric patients)</w:t>
      </w:r>
      <w:r w:rsidRPr="00525B39">
        <w:rPr>
          <w:rFonts w:asciiTheme="minorHAnsi" w:hAnsiTheme="minorHAnsi"/>
          <w:bCs/>
          <w:snapToGrid w:val="0"/>
          <w:lang w:val="en-GB"/>
        </w:rPr>
        <w:t>;</w:t>
      </w:r>
    </w:p>
    <w:p w14:paraId="0C320D4A" w14:textId="30CD60B3" w:rsidR="00C46ADD" w:rsidRPr="00525B39" w:rsidRDefault="00C46ADD" w:rsidP="00D04AA0">
      <w:pPr>
        <w:widowControl w:val="0"/>
        <w:numPr>
          <w:ilvl w:val="2"/>
          <w:numId w:val="23"/>
        </w:numPr>
        <w:spacing w:after="120"/>
        <w:rPr>
          <w:rFonts w:asciiTheme="minorHAnsi" w:hAnsiTheme="minorHAnsi"/>
          <w:bCs/>
          <w:snapToGrid w:val="0"/>
          <w:lang w:val="en-GB"/>
        </w:rPr>
      </w:pPr>
      <w:r w:rsidRPr="00525B39">
        <w:rPr>
          <w:rFonts w:asciiTheme="minorHAnsi" w:hAnsiTheme="minorHAnsi"/>
          <w:bCs/>
          <w:snapToGrid w:val="0"/>
          <w:lang w:val="en-GB"/>
        </w:rPr>
        <w:t>The pharmaceutical item is suitable for use by a particular subgroup of that population because of either or both of the form and manner of administration of the drug in the item</w:t>
      </w:r>
      <w:r w:rsidR="000644D3">
        <w:rPr>
          <w:rFonts w:asciiTheme="minorHAnsi" w:hAnsiTheme="minorHAnsi"/>
          <w:bCs/>
          <w:snapToGrid w:val="0"/>
          <w:lang w:val="en-GB"/>
        </w:rPr>
        <w:t xml:space="preserve"> (</w:t>
      </w:r>
      <w:r w:rsidR="000644D3" w:rsidRPr="00A40992">
        <w:rPr>
          <w:iCs/>
        </w:rPr>
        <w:t>in this case, as an oral liquid</w:t>
      </w:r>
      <w:r w:rsidR="000644D3">
        <w:rPr>
          <w:iCs/>
        </w:rPr>
        <w:t>)</w:t>
      </w:r>
      <w:r w:rsidRPr="00525B39">
        <w:rPr>
          <w:rFonts w:asciiTheme="minorHAnsi" w:hAnsiTheme="minorHAnsi"/>
          <w:bCs/>
          <w:snapToGrid w:val="0"/>
          <w:lang w:val="en-GB"/>
        </w:rPr>
        <w:t>;</w:t>
      </w:r>
    </w:p>
    <w:p w14:paraId="773495A3" w14:textId="1F11B01D" w:rsidR="00C46ADD" w:rsidRPr="00525B39" w:rsidRDefault="00C46ADD" w:rsidP="00D04AA0">
      <w:pPr>
        <w:widowControl w:val="0"/>
        <w:numPr>
          <w:ilvl w:val="2"/>
          <w:numId w:val="23"/>
        </w:numPr>
        <w:spacing w:after="120"/>
        <w:rPr>
          <w:rFonts w:asciiTheme="minorHAnsi" w:hAnsiTheme="minorHAnsi"/>
          <w:bCs/>
          <w:snapToGrid w:val="0"/>
          <w:lang w:val="en-GB"/>
        </w:rPr>
      </w:pPr>
      <w:r w:rsidRPr="00525B39">
        <w:rPr>
          <w:rFonts w:asciiTheme="minorHAnsi" w:hAnsiTheme="minorHAnsi"/>
          <w:bCs/>
          <w:snapToGrid w:val="0"/>
          <w:lang w:val="en-GB"/>
        </w:rPr>
        <w:t>No other pharmaceutical item that has the drug is suitable for use by that subgroup because of either or both of the form and manner of administration of the drug in that other item</w:t>
      </w:r>
      <w:r w:rsidR="000644D3">
        <w:rPr>
          <w:rFonts w:asciiTheme="minorHAnsi" w:hAnsiTheme="minorHAnsi"/>
          <w:bCs/>
          <w:snapToGrid w:val="0"/>
          <w:lang w:val="en-GB"/>
        </w:rPr>
        <w:t xml:space="preserve"> (in this case, for paediatric patients weighing under 40 kg and/or cannot swallow tablets)</w:t>
      </w:r>
      <w:r w:rsidRPr="00525B39">
        <w:rPr>
          <w:rFonts w:asciiTheme="minorHAnsi" w:hAnsiTheme="minorHAnsi"/>
          <w:bCs/>
          <w:snapToGrid w:val="0"/>
          <w:lang w:val="en-GB"/>
        </w:rPr>
        <w:t>.</w:t>
      </w:r>
    </w:p>
    <w:p w14:paraId="6899C055" w14:textId="1E274A73" w:rsidR="00C46ADD" w:rsidRPr="00525B39" w:rsidRDefault="002F0C8F" w:rsidP="00C46ADD">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w:t>
      </w:r>
      <w:r w:rsidR="00C46ADD" w:rsidRPr="00525B39">
        <w:rPr>
          <w:rFonts w:asciiTheme="minorHAnsi" w:hAnsiTheme="minorHAnsi"/>
          <w:bCs/>
          <w:snapToGrid w:val="0"/>
          <w:lang w:val="en-GB"/>
        </w:rPr>
        <w:t>he PBAC recommended that the Early Supply Rule should not apply</w:t>
      </w:r>
      <w:r w:rsidR="008E207F">
        <w:rPr>
          <w:rFonts w:asciiTheme="minorHAnsi" w:hAnsiTheme="minorHAnsi"/>
          <w:bCs/>
          <w:snapToGrid w:val="0"/>
          <w:lang w:val="en-GB"/>
        </w:rPr>
        <w:t xml:space="preserve"> to the oral </w:t>
      </w:r>
      <w:r w:rsidR="00D7007C">
        <w:rPr>
          <w:rFonts w:asciiTheme="minorHAnsi" w:hAnsiTheme="minorHAnsi"/>
          <w:bCs/>
          <w:snapToGrid w:val="0"/>
          <w:lang w:val="en-GB"/>
        </w:rPr>
        <w:t>liquid but</w:t>
      </w:r>
      <w:r w:rsidR="00CE318F">
        <w:rPr>
          <w:rFonts w:asciiTheme="minorHAnsi" w:hAnsiTheme="minorHAnsi"/>
          <w:bCs/>
          <w:snapToGrid w:val="0"/>
          <w:lang w:val="en-GB"/>
        </w:rPr>
        <w:t xml:space="preserve"> should apply to the oral tablets (similar to other TOF oral tablet listings)</w:t>
      </w:r>
      <w:r w:rsidR="00C46ADD" w:rsidRPr="00525B39">
        <w:rPr>
          <w:rFonts w:asciiTheme="minorHAnsi" w:hAnsiTheme="minorHAnsi"/>
          <w:bCs/>
          <w:snapToGrid w:val="0"/>
          <w:lang w:val="en-GB"/>
        </w:rPr>
        <w:t xml:space="preserve">. </w:t>
      </w:r>
    </w:p>
    <w:p w14:paraId="6DD135F0" w14:textId="2EDE386C" w:rsidR="00F860D0" w:rsidRPr="00F860D0" w:rsidRDefault="00C46ADD" w:rsidP="00F860D0">
      <w:pPr>
        <w:widowControl w:val="0"/>
        <w:numPr>
          <w:ilvl w:val="1"/>
          <w:numId w:val="1"/>
        </w:numPr>
        <w:spacing w:after="120"/>
        <w:rPr>
          <w:rFonts w:asciiTheme="minorHAnsi" w:hAnsiTheme="minorHAnsi"/>
          <w:bCs/>
          <w:snapToGrid w:val="0"/>
          <w:lang w:val="en-GB"/>
        </w:rPr>
      </w:pPr>
      <w:r w:rsidRPr="00D121C5">
        <w:rPr>
          <w:rFonts w:asciiTheme="minorHAnsi" w:hAnsiTheme="minorHAnsi" w:cstheme="minorHAnsi"/>
          <w:lang w:val="en-GB"/>
        </w:rPr>
        <w:t xml:space="preserve">The PBAC noted that its recommendation was on a cost-minimisation basis and advised that, because </w:t>
      </w:r>
      <w:r w:rsidR="001A2841">
        <w:rPr>
          <w:rFonts w:asciiTheme="minorHAnsi" w:hAnsiTheme="minorHAnsi" w:cstheme="minorHAnsi"/>
          <w:lang w:val="en-GB"/>
        </w:rPr>
        <w:t xml:space="preserve">tofacitinib </w:t>
      </w:r>
      <w:r w:rsidRPr="00D121C5">
        <w:rPr>
          <w:rFonts w:asciiTheme="minorHAnsi" w:hAnsiTheme="minorHAnsi" w:cstheme="minorHAnsi"/>
          <w:lang w:val="en-GB"/>
        </w:rPr>
        <w:t>is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1A2841">
        <w:rPr>
          <w:rFonts w:asciiTheme="minorHAnsi" w:hAnsiTheme="minorHAnsi"/>
          <w:bCs/>
          <w:lang w:val="en-GB"/>
        </w:rPr>
        <w:t xml:space="preserve">adalimumab </w:t>
      </w:r>
      <w:r w:rsidRPr="00531A05">
        <w:rPr>
          <w:rFonts w:asciiTheme="minorHAnsi" w:hAnsiTheme="minorHAnsi"/>
          <w:bCs/>
          <w:lang w:val="en-GB"/>
        </w:rPr>
        <w:t xml:space="preserve">or not expected to address a high and urgent unmet clinical need given the presence of an alternative therapy, the criteria prescribed by the </w:t>
      </w:r>
      <w:r w:rsidRPr="007A5703">
        <w:rPr>
          <w:rFonts w:asciiTheme="minorHAnsi" w:hAnsiTheme="minorHAnsi"/>
          <w:bCs/>
          <w:i/>
          <w:lang w:val="en-GB"/>
        </w:rPr>
        <w:t xml:space="preserve">National Health (Pharmaceuticals </w:t>
      </w:r>
      <w:r w:rsidRPr="00F860D0">
        <w:rPr>
          <w:rFonts w:asciiTheme="minorHAnsi" w:hAnsiTheme="minorHAnsi"/>
          <w:bCs/>
          <w:snapToGrid w:val="0"/>
          <w:lang w:val="en-GB"/>
        </w:rPr>
        <w:t>and Vaccines – Cost Recovery) Regulations 2022 for Pricing Pathway A were not met.</w:t>
      </w:r>
    </w:p>
    <w:p w14:paraId="4974B940" w14:textId="040C7AD7" w:rsidR="00C46ADD" w:rsidRPr="00F860D0" w:rsidRDefault="00C46ADD" w:rsidP="00F860D0">
      <w:pPr>
        <w:widowControl w:val="0"/>
        <w:numPr>
          <w:ilvl w:val="1"/>
          <w:numId w:val="1"/>
        </w:numPr>
        <w:spacing w:after="120"/>
        <w:rPr>
          <w:rFonts w:asciiTheme="minorHAnsi" w:hAnsiTheme="minorHAnsi"/>
          <w:bCs/>
          <w:snapToGrid w:val="0"/>
          <w:lang w:val="en-GB"/>
        </w:rPr>
      </w:pPr>
      <w:r w:rsidRPr="00F860D0">
        <w:rPr>
          <w:rFonts w:asciiTheme="minorHAnsi" w:hAnsiTheme="minorHAnsi"/>
          <w:bCs/>
          <w:snapToGrid w:val="0"/>
          <w:lang w:val="en-GB"/>
        </w:rPr>
        <w:t>The PBAC noted that this submission i</w:t>
      </w:r>
      <w:r w:rsidR="001A2841" w:rsidRPr="00F860D0">
        <w:rPr>
          <w:rFonts w:asciiTheme="minorHAnsi" w:hAnsiTheme="minorHAnsi"/>
          <w:bCs/>
          <w:snapToGrid w:val="0"/>
          <w:lang w:val="en-GB"/>
        </w:rPr>
        <w:t>s not</w:t>
      </w:r>
      <w:r w:rsidRPr="00F860D0">
        <w:rPr>
          <w:rFonts w:asciiTheme="minorHAnsi" w:hAnsiTheme="minorHAnsi"/>
          <w:bCs/>
          <w:snapToGrid w:val="0"/>
          <w:lang w:val="en-GB"/>
        </w:rPr>
        <w:t xml:space="preserve"> eligible for an Independent Review</w:t>
      </w:r>
      <w:r w:rsidR="001A2841" w:rsidRPr="00F860D0">
        <w:rPr>
          <w:rFonts w:asciiTheme="minorHAnsi" w:hAnsiTheme="minorHAnsi"/>
          <w:bCs/>
          <w:snapToGrid w:val="0"/>
          <w:lang w:val="en-GB"/>
        </w:rPr>
        <w:t xml:space="preserve"> as it received a positive recommendation.</w:t>
      </w:r>
    </w:p>
    <w:p w14:paraId="264BDCA2" w14:textId="0CDCC553" w:rsidR="00C46ADD" w:rsidRPr="00525B39" w:rsidRDefault="00C46ADD" w:rsidP="00C46ADD">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034C16C" w14:textId="6F83FCDB" w:rsidR="00C46ADD" w:rsidRPr="005C2766" w:rsidRDefault="00C46ADD" w:rsidP="005C2766">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72D39CE6" w14:textId="77777777" w:rsidR="00C46ADD" w:rsidRPr="00F237A4" w:rsidRDefault="00C46ADD" w:rsidP="00C46ADD">
      <w:pPr>
        <w:pStyle w:val="2-SectionHeading"/>
        <w:rPr>
          <w:b w:val="0"/>
          <w:iCs/>
          <w:lang w:val="en-GB"/>
        </w:rPr>
      </w:pPr>
      <w:bookmarkStart w:id="48" w:name="_Toc121477787"/>
      <w:bookmarkEnd w:id="45"/>
      <w:bookmarkEnd w:id="46"/>
      <w:r w:rsidRPr="00525B39">
        <w:rPr>
          <w:lang w:val="en-GB"/>
        </w:rPr>
        <w:t>Recommended listing</w:t>
      </w:r>
    </w:p>
    <w:p w14:paraId="7CB08979" w14:textId="3B484FA8" w:rsidR="002A1E05" w:rsidRPr="005C2766" w:rsidRDefault="00C46ADD" w:rsidP="002A1E05">
      <w:pPr>
        <w:widowControl w:val="0"/>
        <w:numPr>
          <w:ilvl w:val="1"/>
          <w:numId w:val="1"/>
        </w:numPr>
        <w:spacing w:after="120"/>
        <w:contextualSpacing/>
        <w:rPr>
          <w:rFonts w:asciiTheme="minorHAnsi" w:hAnsiTheme="minorHAnsi"/>
          <w:b/>
          <w:bCs/>
          <w:snapToGrid w:val="0"/>
        </w:rPr>
      </w:pPr>
      <w:r w:rsidRPr="005E349D">
        <w:rPr>
          <w:rFonts w:asciiTheme="minorHAnsi" w:hAnsiTheme="minorHAnsi"/>
          <w:bCs/>
          <w:snapToGrid w:val="0"/>
        </w:rPr>
        <w:t>Add new item</w:t>
      </w:r>
      <w:r w:rsidR="005E349D" w:rsidRPr="005E349D">
        <w:rPr>
          <w:rFonts w:asciiTheme="minorHAnsi" w:hAnsiTheme="minorHAnsi"/>
          <w:bCs/>
          <w:snapToGrid w:val="0"/>
        </w:rPr>
        <w:t xml:space="preserve"> </w:t>
      </w:r>
      <w:r w:rsidR="00981D2D">
        <w:rPr>
          <w:rFonts w:asciiTheme="minorHAnsi" w:hAnsiTheme="minorHAnsi"/>
          <w:bCs/>
          <w:snapToGrid w:val="0"/>
        </w:rPr>
        <w:t>for tofacitinib tablet and oral solution for JIA in line with the current JIA restrictions, and flow-on changes to other JIA listings to include tofacitinib in the list of eligible therapies.</w:t>
      </w:r>
      <w:r w:rsidR="00981D2D" w:rsidRPr="00981D2D">
        <w:rPr>
          <w:rFonts w:asciiTheme="minorHAnsi" w:hAnsiTheme="minorHAnsi"/>
          <w:snapToGrid w:val="0"/>
        </w:rPr>
        <w:t xml:space="preserve"> </w:t>
      </w:r>
      <w:r w:rsidR="00981D2D">
        <w:rPr>
          <w:rFonts w:asciiTheme="minorHAnsi" w:hAnsiTheme="minorHAnsi"/>
          <w:snapToGrid w:val="0"/>
        </w:rPr>
        <w:t>The restriction</w:t>
      </w:r>
      <w:r w:rsidR="00981D2D">
        <w:rPr>
          <w:rFonts w:asciiTheme="minorHAnsi" w:hAnsiTheme="minorHAnsi"/>
          <w:bCs/>
          <w:snapToGrid w:val="0"/>
        </w:rPr>
        <w:t xml:space="preserve"> is </w:t>
      </w:r>
      <w:r w:rsidR="00981D2D" w:rsidRPr="00981D2D">
        <w:rPr>
          <w:rFonts w:asciiTheme="minorHAnsi" w:hAnsiTheme="minorHAnsi"/>
          <w:bCs/>
          <w:snapToGrid w:val="0"/>
        </w:rPr>
        <w:t xml:space="preserve">to be finalised. </w:t>
      </w:r>
    </w:p>
    <w:p w14:paraId="31E5FD35" w14:textId="0FCCD008" w:rsidR="002A1E05" w:rsidRPr="002A1E05" w:rsidRDefault="002A1E05" w:rsidP="002A1E05">
      <w:pPr>
        <w:pStyle w:val="2-SectionHeading"/>
        <w:rPr>
          <w:lang w:val="en-GB"/>
        </w:rPr>
      </w:pPr>
      <w:r w:rsidRPr="002A1E05">
        <w:rPr>
          <w:lang w:val="en-GB"/>
        </w:rPr>
        <w:t>Context for Decision</w:t>
      </w:r>
    </w:p>
    <w:p w14:paraId="5F2FA04F" w14:textId="77777777" w:rsidR="002A1E05" w:rsidRPr="007129F2" w:rsidRDefault="002A1E05" w:rsidP="00664E27">
      <w:pPr>
        <w:spacing w:after="120"/>
        <w:ind w:left="680"/>
        <w:rPr>
          <w:rFonts w:asciiTheme="minorHAnsi" w:hAnsiTheme="minorHAnsi"/>
          <w:bCs/>
          <w:lang w:val="en-GB"/>
        </w:rPr>
      </w:pPr>
      <w:r w:rsidRPr="00664E27">
        <w:rPr>
          <w:rFonts w:asciiTheme="minorHAnsi" w:hAnsiTheme="minorHAnsi"/>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w:t>
      </w:r>
      <w:r w:rsidRPr="007129F2">
        <w:rPr>
          <w:rFonts w:asciiTheme="minorHAnsi" w:hAnsiTheme="minorHAnsi"/>
          <w:bCs/>
          <w:lang w:val="en-GB"/>
        </w:rPr>
        <w:t xml:space="preserve">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125F088" w14:textId="67EC5FD1" w:rsidR="002A1E05" w:rsidRPr="00664E27" w:rsidRDefault="002A1E05" w:rsidP="00664E27">
      <w:pPr>
        <w:pStyle w:val="2-SectionHeading"/>
        <w:rPr>
          <w:lang w:val="en-GB"/>
        </w:rPr>
      </w:pPr>
      <w:r w:rsidRPr="00664E27">
        <w:rPr>
          <w:lang w:val="en-GB"/>
        </w:rPr>
        <w:t>Sponsor’s Comment</w:t>
      </w:r>
    </w:p>
    <w:p w14:paraId="4A854390" w14:textId="710D8FB0" w:rsidR="002A1E05" w:rsidRPr="005C2766" w:rsidRDefault="008778B3" w:rsidP="005C2766">
      <w:pPr>
        <w:pStyle w:val="2-SectionHeading"/>
        <w:numPr>
          <w:ilvl w:val="0"/>
          <w:numId w:val="0"/>
        </w:numPr>
        <w:spacing w:before="0"/>
        <w:ind w:left="720"/>
        <w:jc w:val="both"/>
        <w:rPr>
          <w:b w:val="0"/>
          <w:bCs/>
          <w:sz w:val="24"/>
          <w:szCs w:val="24"/>
        </w:rPr>
      </w:pPr>
      <w:r w:rsidRPr="008778B3">
        <w:rPr>
          <w:b w:val="0"/>
          <w:bCs/>
          <w:sz w:val="24"/>
          <w:szCs w:val="24"/>
        </w:rPr>
        <w:t xml:space="preserve">Xeljanz is the first oral therapy in JIA, a paediatric condition which has not had access to novel effective treatments for more than 9 years. Xeljanz addresses a high unmet need for children currently untreated or undertreated with current injectable options. Pfizer Australia welcomes the PBAC recommendation to list Xeljanz for the treatment of severe active juvenile idiopathic arthritis (JIA) and is working with the Department of Health to list Xeljanz o the PBS as early as possible. </w:t>
      </w:r>
    </w:p>
    <w:bookmarkEnd w:id="48"/>
    <w:sectPr w:rsidR="002A1E05" w:rsidRPr="005C2766" w:rsidSect="001A24BD">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67B3" w14:textId="77777777" w:rsidR="009E6605" w:rsidRDefault="009E6605" w:rsidP="00124A51">
      <w:r>
        <w:separator/>
      </w:r>
    </w:p>
    <w:p w14:paraId="3496F207" w14:textId="77777777" w:rsidR="009E6605" w:rsidRDefault="009E6605"/>
  </w:endnote>
  <w:endnote w:type="continuationSeparator" w:id="0">
    <w:p w14:paraId="48D04D65" w14:textId="77777777" w:rsidR="009E6605" w:rsidRDefault="009E6605" w:rsidP="00124A51">
      <w:r>
        <w:continuationSeparator/>
      </w:r>
    </w:p>
    <w:p w14:paraId="7A35EC89" w14:textId="77777777" w:rsidR="009E6605" w:rsidRDefault="009E6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44FD" w14:textId="77777777" w:rsidR="007B6D9F" w:rsidRDefault="007B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9E6605" w:rsidRDefault="009E6605" w:rsidP="00753B29">
    <w:pPr>
      <w:pStyle w:val="Footer"/>
      <w:jc w:val="center"/>
    </w:pPr>
  </w:p>
  <w:bookmarkStart w:id="50" w:name="_Hlk76375156"/>
  <w:p w14:paraId="37484CD3" w14:textId="3DD6F6AA" w:rsidR="009E6605" w:rsidRPr="00810FE1" w:rsidRDefault="00810FE1" w:rsidP="00810FE1">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5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0F5E" w14:textId="77777777" w:rsidR="007B6D9F" w:rsidRDefault="007B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EC6" w14:textId="77777777" w:rsidR="009E6605" w:rsidRDefault="009E6605" w:rsidP="00124A51">
      <w:r>
        <w:separator/>
      </w:r>
    </w:p>
    <w:p w14:paraId="28EB26AE" w14:textId="77777777" w:rsidR="009E6605" w:rsidRDefault="009E6605"/>
  </w:footnote>
  <w:footnote w:type="continuationSeparator" w:id="0">
    <w:p w14:paraId="5457BBAC" w14:textId="77777777" w:rsidR="009E6605" w:rsidRDefault="009E6605" w:rsidP="00124A51">
      <w:r>
        <w:continuationSeparator/>
      </w:r>
    </w:p>
    <w:p w14:paraId="44C78A14" w14:textId="77777777" w:rsidR="009E6605" w:rsidRDefault="009E6605"/>
  </w:footnote>
  <w:footnote w:id="1">
    <w:p w14:paraId="7D31BF5F" w14:textId="77777777" w:rsidR="009E6605" w:rsidRDefault="009E6605" w:rsidP="00FE707D">
      <w:pPr>
        <w:pStyle w:val="FootnoteText"/>
      </w:pPr>
      <w:r>
        <w:rPr>
          <w:rStyle w:val="FootnoteReference"/>
        </w:rPr>
        <w:footnoteRef/>
      </w:r>
      <w:r>
        <w:t xml:space="preserve"> Weight 10 to &lt;20kg: 21.4/32.1 weeks of initial/continuing treatment. Weight 20 to &lt;40kg: 17.1/25.7 weeks of initial/continuing treatment. Weight </w:t>
      </w:r>
      <w:r>
        <w:rPr>
          <w:rFonts w:cs="Calibri"/>
        </w:rPr>
        <w:t>≥</w:t>
      </w:r>
      <w:r>
        <w:t>40kg: 13.7/20.6 weeks of initial/continuing treatment.</w:t>
      </w:r>
    </w:p>
  </w:footnote>
  <w:footnote w:id="2">
    <w:p w14:paraId="25AC0DEB" w14:textId="77777777" w:rsidR="009E6605" w:rsidRPr="00AF7041" w:rsidRDefault="009E6605" w:rsidP="00497EC8">
      <w:pPr>
        <w:pStyle w:val="FootnoteText"/>
        <w:rPr>
          <w:sz w:val="16"/>
          <w:szCs w:val="16"/>
        </w:rPr>
      </w:pPr>
      <w:r w:rsidRPr="00AF7041">
        <w:rPr>
          <w:rStyle w:val="FootnoteReference"/>
          <w:sz w:val="16"/>
          <w:szCs w:val="16"/>
        </w:rPr>
        <w:footnoteRef/>
      </w:r>
      <w:r w:rsidRPr="00AF7041">
        <w:rPr>
          <w:sz w:val="16"/>
          <w:szCs w:val="16"/>
        </w:rPr>
        <w:t xml:space="preserve"> Therapeutic Guidelines (eTG) March 2021 edition, Overview of juvenile idiopathic arthritis, accessed 29 November 2022.</w:t>
      </w:r>
    </w:p>
  </w:footnote>
  <w:footnote w:id="3">
    <w:p w14:paraId="2B8416ED" w14:textId="7A2DFDE7" w:rsidR="009E6605" w:rsidRPr="009E6605" w:rsidRDefault="009E6605">
      <w:pPr>
        <w:pStyle w:val="FootnoteText"/>
      </w:pPr>
      <w:r>
        <w:rPr>
          <w:rStyle w:val="FootnoteReference"/>
        </w:rPr>
        <w:footnoteRef/>
      </w:r>
      <w:r>
        <w:t xml:space="preserve"> McLenon and Rogers. The fear of needles: a systematic review and meta-analysis. </w:t>
      </w:r>
      <w:r>
        <w:rPr>
          <w:i/>
          <w:iCs/>
        </w:rPr>
        <w:t>Journal of Advanced Nursing.</w:t>
      </w:r>
      <w:r>
        <w:t xml:space="preserve"> 2019; 75:30-42.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783B" w14:textId="77777777" w:rsidR="007B6D9F" w:rsidRDefault="007B6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FACA" w14:textId="2D0193FC" w:rsidR="00810FE1" w:rsidRPr="00056684" w:rsidRDefault="002A1E05" w:rsidP="00810FE1">
    <w:pPr>
      <w:pStyle w:val="Header"/>
      <w:ind w:left="360"/>
      <w:rPr>
        <w:rFonts w:asciiTheme="minorHAnsi" w:hAnsiTheme="minorHAnsi"/>
        <w:i/>
        <w:color w:val="808080"/>
      </w:rPr>
    </w:pPr>
    <w:bookmarkStart w:id="49" w:name="_Hlk76375146"/>
    <w:r>
      <w:rPr>
        <w:rFonts w:asciiTheme="minorHAnsi" w:hAnsiTheme="minorHAnsi"/>
        <w:i/>
        <w:color w:val="808080"/>
      </w:rPr>
      <w:t>Public Summary Document</w:t>
    </w:r>
    <w:r w:rsidRPr="00056684">
      <w:rPr>
        <w:rFonts w:asciiTheme="minorHAnsi" w:hAnsiTheme="minorHAnsi"/>
        <w:i/>
        <w:color w:val="808080"/>
      </w:rPr>
      <w:t xml:space="preserve"> </w:t>
    </w:r>
    <w:r w:rsidR="00C46ADD" w:rsidRPr="00056684">
      <w:rPr>
        <w:rFonts w:asciiTheme="minorHAnsi" w:hAnsiTheme="minorHAnsi"/>
        <w:i/>
        <w:color w:val="808080"/>
      </w:rPr>
      <w:t>–</w:t>
    </w:r>
    <w:r w:rsidR="00810FE1" w:rsidRPr="00056684">
      <w:rPr>
        <w:rFonts w:asciiTheme="minorHAnsi" w:hAnsiTheme="minorHAnsi"/>
        <w:i/>
        <w:color w:val="808080"/>
      </w:rPr>
      <w:t xml:space="preserve"> </w:t>
    </w:r>
    <w:r w:rsidR="00810FE1">
      <w:rPr>
        <w:rFonts w:asciiTheme="minorHAnsi" w:hAnsiTheme="minorHAnsi"/>
        <w:i/>
        <w:color w:val="808080"/>
      </w:rPr>
      <w:t>March 2023</w:t>
    </w:r>
    <w:r w:rsidR="00810FE1" w:rsidRPr="00056684">
      <w:rPr>
        <w:rFonts w:asciiTheme="minorHAnsi" w:hAnsiTheme="minorHAnsi"/>
        <w:i/>
        <w:color w:val="808080"/>
      </w:rPr>
      <w:t xml:space="preserve"> PBAC Meeting</w:t>
    </w:r>
  </w:p>
  <w:bookmarkEnd w:id="49"/>
  <w:p w14:paraId="03AF943B" w14:textId="1E0564D4" w:rsidR="009E6605" w:rsidRPr="008C7ECB" w:rsidRDefault="009E6605" w:rsidP="001C7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2978" w14:textId="77777777" w:rsidR="007B6D9F" w:rsidRDefault="007B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4A58A6"/>
    <w:lvl w:ilvl="0">
      <w:start w:val="1"/>
      <w:numFmt w:val="bullet"/>
      <w:pStyle w:val="ListBullet"/>
      <w:lvlText w:val=""/>
      <w:lvlJc w:val="left"/>
      <w:pPr>
        <w:tabs>
          <w:tab w:val="num" w:pos="3905"/>
        </w:tabs>
        <w:ind w:left="3905"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846B17"/>
    <w:multiLevelType w:val="hybridMultilevel"/>
    <w:tmpl w:val="36C0F3EA"/>
    <w:lvl w:ilvl="0" w:tplc="399A3B2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D2A89"/>
    <w:multiLevelType w:val="hybridMultilevel"/>
    <w:tmpl w:val="105E2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327F9"/>
    <w:multiLevelType w:val="hybridMultilevel"/>
    <w:tmpl w:val="54CEC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B219F8"/>
    <w:multiLevelType w:val="hybridMultilevel"/>
    <w:tmpl w:val="1E284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D358719C"/>
    <w:lvl w:ilvl="0" w:tplc="DA10157A">
      <w:start w:val="1"/>
      <w:numFmt w:val="decimal"/>
      <w:lvlText w:val="%1."/>
      <w:lvlJc w:val="left"/>
      <w:pPr>
        <w:ind w:left="1778" w:hanging="360"/>
      </w:pPr>
      <w:rPr>
        <w:rFonts w:hint="default"/>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45C3D"/>
    <w:multiLevelType w:val="hybridMultilevel"/>
    <w:tmpl w:val="91D07B36"/>
    <w:lvl w:ilvl="0" w:tplc="B2A624E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A05B80"/>
    <w:multiLevelType w:val="hybridMultilevel"/>
    <w:tmpl w:val="220228D4"/>
    <w:lvl w:ilvl="0" w:tplc="399A3B2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E5991"/>
    <w:multiLevelType w:val="hybridMultilevel"/>
    <w:tmpl w:val="D36A4848"/>
    <w:lvl w:ilvl="0" w:tplc="399A3B2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9C04CC7E"/>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633CF"/>
    <w:multiLevelType w:val="hybridMultilevel"/>
    <w:tmpl w:val="92F684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6748C"/>
    <w:multiLevelType w:val="hybridMultilevel"/>
    <w:tmpl w:val="F08EF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381E1E"/>
    <w:multiLevelType w:val="hybridMultilevel"/>
    <w:tmpl w:val="181AF1A2"/>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8E1408C"/>
    <w:multiLevelType w:val="hybridMultilevel"/>
    <w:tmpl w:val="D38894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9F04C2"/>
    <w:multiLevelType w:val="hybridMultilevel"/>
    <w:tmpl w:val="5B6A5450"/>
    <w:lvl w:ilvl="0" w:tplc="48F662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970F02"/>
    <w:multiLevelType w:val="hybridMultilevel"/>
    <w:tmpl w:val="7C64AC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F407EA4"/>
    <w:multiLevelType w:val="hybridMultilevel"/>
    <w:tmpl w:val="75300F6E"/>
    <w:lvl w:ilvl="0" w:tplc="399A3B2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8"/>
  </w:num>
  <w:num w:numId="2">
    <w:abstractNumId w:val="15"/>
  </w:num>
  <w:num w:numId="3">
    <w:abstractNumId w:val="17"/>
  </w:num>
  <w:num w:numId="4">
    <w:abstractNumId w:val="0"/>
  </w:num>
  <w:num w:numId="5">
    <w:abstractNumId w:val="28"/>
  </w:num>
  <w:num w:numId="6">
    <w:abstractNumId w:val="7"/>
  </w:num>
  <w:num w:numId="7">
    <w:abstractNumId w:val="23"/>
  </w:num>
  <w:num w:numId="8">
    <w:abstractNumId w:val="12"/>
  </w:num>
  <w:num w:numId="9">
    <w:abstractNumId w:val="14"/>
  </w:num>
  <w:num w:numId="10">
    <w:abstractNumId w:val="13"/>
  </w:num>
  <w:num w:numId="11">
    <w:abstractNumId w:val="2"/>
  </w:num>
  <w:num w:numId="12">
    <w:abstractNumId w:val="30"/>
  </w:num>
  <w:num w:numId="13">
    <w:abstractNumId w:val="24"/>
  </w:num>
  <w:num w:numId="14">
    <w:abstractNumId w:val="5"/>
  </w:num>
  <w:num w:numId="15">
    <w:abstractNumId w:val="9"/>
  </w:num>
  <w:num w:numId="16">
    <w:abstractNumId w:val="27"/>
  </w:num>
  <w:num w:numId="17">
    <w:abstractNumId w:val="31"/>
  </w:num>
  <w:num w:numId="18">
    <w:abstractNumId w:val="25"/>
  </w:num>
  <w:num w:numId="19">
    <w:abstractNumId w:val="6"/>
  </w:num>
  <w:num w:numId="20">
    <w:abstractNumId w:val="19"/>
  </w:num>
  <w:num w:numId="21">
    <w:abstractNumId w:val="20"/>
  </w:num>
  <w:num w:numId="22">
    <w:abstractNumId w:val="4"/>
  </w:num>
  <w:num w:numId="23">
    <w:abstractNumId w:val="1"/>
  </w:num>
  <w:num w:numId="24">
    <w:abstractNumId w:val="10"/>
  </w:num>
  <w:num w:numId="25">
    <w:abstractNumId w:val="3"/>
  </w:num>
  <w:num w:numId="26">
    <w:abstractNumId w:val="11"/>
  </w:num>
  <w:num w:numId="27">
    <w:abstractNumId w:val="8"/>
  </w:num>
  <w:num w:numId="2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9"/>
  </w:num>
  <w:num w:numId="31">
    <w:abstractNumId w:val="21"/>
  </w:num>
  <w:num w:numId="32">
    <w:abstractNumId w:val="18"/>
  </w:num>
  <w:num w:numId="33">
    <w:abstractNumId w:val="16"/>
  </w:num>
  <w:num w:numId="34">
    <w:abstractNumId w:val="28"/>
  </w:num>
  <w:num w:numId="3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219B"/>
    <w:rsid w:val="00003499"/>
    <w:rsid w:val="000039B7"/>
    <w:rsid w:val="00003E67"/>
    <w:rsid w:val="000056B9"/>
    <w:rsid w:val="00005BFF"/>
    <w:rsid w:val="0000639A"/>
    <w:rsid w:val="00011259"/>
    <w:rsid w:val="00012743"/>
    <w:rsid w:val="00012AA7"/>
    <w:rsid w:val="00013247"/>
    <w:rsid w:val="00014473"/>
    <w:rsid w:val="00014BA9"/>
    <w:rsid w:val="00015886"/>
    <w:rsid w:val="000162EF"/>
    <w:rsid w:val="0001771E"/>
    <w:rsid w:val="000207C9"/>
    <w:rsid w:val="00020989"/>
    <w:rsid w:val="0002225F"/>
    <w:rsid w:val="000223BC"/>
    <w:rsid w:val="00022469"/>
    <w:rsid w:val="00022DCC"/>
    <w:rsid w:val="0002335F"/>
    <w:rsid w:val="00023763"/>
    <w:rsid w:val="0002397E"/>
    <w:rsid w:val="00024EB5"/>
    <w:rsid w:val="00025FC7"/>
    <w:rsid w:val="000272F4"/>
    <w:rsid w:val="000274B8"/>
    <w:rsid w:val="0003010A"/>
    <w:rsid w:val="00031C19"/>
    <w:rsid w:val="00031D8B"/>
    <w:rsid w:val="00033863"/>
    <w:rsid w:val="00035AC1"/>
    <w:rsid w:val="00035DC0"/>
    <w:rsid w:val="00036829"/>
    <w:rsid w:val="00036AF7"/>
    <w:rsid w:val="00036D3F"/>
    <w:rsid w:val="00037A8D"/>
    <w:rsid w:val="00040895"/>
    <w:rsid w:val="00040F65"/>
    <w:rsid w:val="000410A0"/>
    <w:rsid w:val="0004157E"/>
    <w:rsid w:val="000417C8"/>
    <w:rsid w:val="000427AE"/>
    <w:rsid w:val="0004284F"/>
    <w:rsid w:val="000435EE"/>
    <w:rsid w:val="00043C37"/>
    <w:rsid w:val="00045017"/>
    <w:rsid w:val="00045A2B"/>
    <w:rsid w:val="0004696F"/>
    <w:rsid w:val="0004698F"/>
    <w:rsid w:val="00046D64"/>
    <w:rsid w:val="00047711"/>
    <w:rsid w:val="000508C2"/>
    <w:rsid w:val="000517FF"/>
    <w:rsid w:val="00052907"/>
    <w:rsid w:val="000539D0"/>
    <w:rsid w:val="00054621"/>
    <w:rsid w:val="000546D7"/>
    <w:rsid w:val="00054852"/>
    <w:rsid w:val="00054A8D"/>
    <w:rsid w:val="00054D9F"/>
    <w:rsid w:val="00055495"/>
    <w:rsid w:val="00056ECF"/>
    <w:rsid w:val="000604DF"/>
    <w:rsid w:val="000608E3"/>
    <w:rsid w:val="00063623"/>
    <w:rsid w:val="00064055"/>
    <w:rsid w:val="000644D3"/>
    <w:rsid w:val="000653B5"/>
    <w:rsid w:val="00065852"/>
    <w:rsid w:val="00066360"/>
    <w:rsid w:val="00066AF8"/>
    <w:rsid w:val="00071248"/>
    <w:rsid w:val="000720B9"/>
    <w:rsid w:val="00072718"/>
    <w:rsid w:val="000734C4"/>
    <w:rsid w:val="000737F7"/>
    <w:rsid w:val="00073A6C"/>
    <w:rsid w:val="00074CEE"/>
    <w:rsid w:val="0007672F"/>
    <w:rsid w:val="00076B54"/>
    <w:rsid w:val="00076D2D"/>
    <w:rsid w:val="000774F0"/>
    <w:rsid w:val="00080909"/>
    <w:rsid w:val="000812CA"/>
    <w:rsid w:val="00081778"/>
    <w:rsid w:val="00081E63"/>
    <w:rsid w:val="0008258D"/>
    <w:rsid w:val="00083D63"/>
    <w:rsid w:val="00083E99"/>
    <w:rsid w:val="00084FA8"/>
    <w:rsid w:val="000856C5"/>
    <w:rsid w:val="00085C31"/>
    <w:rsid w:val="00087CB9"/>
    <w:rsid w:val="00087FCF"/>
    <w:rsid w:val="000902D9"/>
    <w:rsid w:val="00090C7E"/>
    <w:rsid w:val="000911AC"/>
    <w:rsid w:val="00092600"/>
    <w:rsid w:val="0009262B"/>
    <w:rsid w:val="00092803"/>
    <w:rsid w:val="00093310"/>
    <w:rsid w:val="00093496"/>
    <w:rsid w:val="00093E39"/>
    <w:rsid w:val="00093EAA"/>
    <w:rsid w:val="00094216"/>
    <w:rsid w:val="0009445C"/>
    <w:rsid w:val="00095200"/>
    <w:rsid w:val="00095490"/>
    <w:rsid w:val="00095FE5"/>
    <w:rsid w:val="00096284"/>
    <w:rsid w:val="000A1BC0"/>
    <w:rsid w:val="000A20D3"/>
    <w:rsid w:val="000A20DB"/>
    <w:rsid w:val="000A21FC"/>
    <w:rsid w:val="000A2F9E"/>
    <w:rsid w:val="000A3E47"/>
    <w:rsid w:val="000A42EA"/>
    <w:rsid w:val="000A47F1"/>
    <w:rsid w:val="000A4979"/>
    <w:rsid w:val="000A4A48"/>
    <w:rsid w:val="000A522B"/>
    <w:rsid w:val="000A6039"/>
    <w:rsid w:val="000A7020"/>
    <w:rsid w:val="000A7453"/>
    <w:rsid w:val="000A75BC"/>
    <w:rsid w:val="000A7D08"/>
    <w:rsid w:val="000B0121"/>
    <w:rsid w:val="000B0670"/>
    <w:rsid w:val="000B0E75"/>
    <w:rsid w:val="000B2DCB"/>
    <w:rsid w:val="000B4DC4"/>
    <w:rsid w:val="000B5CE0"/>
    <w:rsid w:val="000B5DA1"/>
    <w:rsid w:val="000B6C06"/>
    <w:rsid w:val="000B6CAC"/>
    <w:rsid w:val="000B7612"/>
    <w:rsid w:val="000B78AE"/>
    <w:rsid w:val="000C1A0E"/>
    <w:rsid w:val="000C1CD6"/>
    <w:rsid w:val="000C3DF9"/>
    <w:rsid w:val="000C4CF2"/>
    <w:rsid w:val="000C6331"/>
    <w:rsid w:val="000C6713"/>
    <w:rsid w:val="000C71BE"/>
    <w:rsid w:val="000D13FF"/>
    <w:rsid w:val="000D1BFC"/>
    <w:rsid w:val="000D1D5D"/>
    <w:rsid w:val="000D20D7"/>
    <w:rsid w:val="000D281A"/>
    <w:rsid w:val="000D2848"/>
    <w:rsid w:val="000D326A"/>
    <w:rsid w:val="000D3617"/>
    <w:rsid w:val="000D51FB"/>
    <w:rsid w:val="000D6B52"/>
    <w:rsid w:val="000E0640"/>
    <w:rsid w:val="000E135D"/>
    <w:rsid w:val="000E24DA"/>
    <w:rsid w:val="000E404B"/>
    <w:rsid w:val="000F00BA"/>
    <w:rsid w:val="000F0990"/>
    <w:rsid w:val="000F1204"/>
    <w:rsid w:val="000F316A"/>
    <w:rsid w:val="000F3BD2"/>
    <w:rsid w:val="000F3C74"/>
    <w:rsid w:val="000F4111"/>
    <w:rsid w:val="000F4BB8"/>
    <w:rsid w:val="000F4FA9"/>
    <w:rsid w:val="000F53FB"/>
    <w:rsid w:val="000F7127"/>
    <w:rsid w:val="000F7B54"/>
    <w:rsid w:val="000F7C74"/>
    <w:rsid w:val="0010004E"/>
    <w:rsid w:val="001000B3"/>
    <w:rsid w:val="00100F8A"/>
    <w:rsid w:val="001030E1"/>
    <w:rsid w:val="0010358C"/>
    <w:rsid w:val="0010452E"/>
    <w:rsid w:val="00105962"/>
    <w:rsid w:val="00105AE2"/>
    <w:rsid w:val="001060C6"/>
    <w:rsid w:val="00106B80"/>
    <w:rsid w:val="00106EC7"/>
    <w:rsid w:val="0011032E"/>
    <w:rsid w:val="00110620"/>
    <w:rsid w:val="001118D3"/>
    <w:rsid w:val="0011268B"/>
    <w:rsid w:val="0011348B"/>
    <w:rsid w:val="001136DE"/>
    <w:rsid w:val="00115982"/>
    <w:rsid w:val="00116C53"/>
    <w:rsid w:val="0011709B"/>
    <w:rsid w:val="0011729E"/>
    <w:rsid w:val="00121799"/>
    <w:rsid w:val="001222FC"/>
    <w:rsid w:val="00123902"/>
    <w:rsid w:val="0012415E"/>
    <w:rsid w:val="0012430D"/>
    <w:rsid w:val="00124A51"/>
    <w:rsid w:val="00125B09"/>
    <w:rsid w:val="00126621"/>
    <w:rsid w:val="00126B1D"/>
    <w:rsid w:val="00126F5D"/>
    <w:rsid w:val="001278EC"/>
    <w:rsid w:val="001301E9"/>
    <w:rsid w:val="001303B5"/>
    <w:rsid w:val="00131D82"/>
    <w:rsid w:val="001325DC"/>
    <w:rsid w:val="00132B22"/>
    <w:rsid w:val="00133D36"/>
    <w:rsid w:val="001353D7"/>
    <w:rsid w:val="00137645"/>
    <w:rsid w:val="00137C25"/>
    <w:rsid w:val="0014015A"/>
    <w:rsid w:val="00140CFA"/>
    <w:rsid w:val="00140E99"/>
    <w:rsid w:val="001421F1"/>
    <w:rsid w:val="00142266"/>
    <w:rsid w:val="001432EF"/>
    <w:rsid w:val="00143F67"/>
    <w:rsid w:val="00144286"/>
    <w:rsid w:val="001449AC"/>
    <w:rsid w:val="00145234"/>
    <w:rsid w:val="00145540"/>
    <w:rsid w:val="001456B0"/>
    <w:rsid w:val="00145CD7"/>
    <w:rsid w:val="001523F7"/>
    <w:rsid w:val="001538DF"/>
    <w:rsid w:val="001547AB"/>
    <w:rsid w:val="00155358"/>
    <w:rsid w:val="00156F8F"/>
    <w:rsid w:val="00157130"/>
    <w:rsid w:val="001576B1"/>
    <w:rsid w:val="0016047B"/>
    <w:rsid w:val="001609BA"/>
    <w:rsid w:val="00160A4C"/>
    <w:rsid w:val="001616B5"/>
    <w:rsid w:val="001621F3"/>
    <w:rsid w:val="00162913"/>
    <w:rsid w:val="00163EFF"/>
    <w:rsid w:val="00163F66"/>
    <w:rsid w:val="0016478E"/>
    <w:rsid w:val="00165EC4"/>
    <w:rsid w:val="001661FB"/>
    <w:rsid w:val="00166588"/>
    <w:rsid w:val="001671A0"/>
    <w:rsid w:val="0016767F"/>
    <w:rsid w:val="00172019"/>
    <w:rsid w:val="00173565"/>
    <w:rsid w:val="00173B07"/>
    <w:rsid w:val="0017437F"/>
    <w:rsid w:val="001751FA"/>
    <w:rsid w:val="00177D53"/>
    <w:rsid w:val="00180B46"/>
    <w:rsid w:val="0018189D"/>
    <w:rsid w:val="00181C10"/>
    <w:rsid w:val="00181D9C"/>
    <w:rsid w:val="00181E1A"/>
    <w:rsid w:val="00181F6A"/>
    <w:rsid w:val="001837FF"/>
    <w:rsid w:val="00184B0E"/>
    <w:rsid w:val="001856D2"/>
    <w:rsid w:val="00185BEE"/>
    <w:rsid w:val="0018752F"/>
    <w:rsid w:val="00191C47"/>
    <w:rsid w:val="00192647"/>
    <w:rsid w:val="00192F5B"/>
    <w:rsid w:val="00193838"/>
    <w:rsid w:val="00194AD8"/>
    <w:rsid w:val="00195222"/>
    <w:rsid w:val="00195452"/>
    <w:rsid w:val="001955D8"/>
    <w:rsid w:val="001975D8"/>
    <w:rsid w:val="00197B8E"/>
    <w:rsid w:val="001A0620"/>
    <w:rsid w:val="001A108E"/>
    <w:rsid w:val="001A178E"/>
    <w:rsid w:val="001A24BD"/>
    <w:rsid w:val="001A2841"/>
    <w:rsid w:val="001A3462"/>
    <w:rsid w:val="001A3C50"/>
    <w:rsid w:val="001A43FA"/>
    <w:rsid w:val="001A47C5"/>
    <w:rsid w:val="001A5364"/>
    <w:rsid w:val="001A59FB"/>
    <w:rsid w:val="001A5E9E"/>
    <w:rsid w:val="001A6354"/>
    <w:rsid w:val="001A6366"/>
    <w:rsid w:val="001A67B4"/>
    <w:rsid w:val="001A7AE8"/>
    <w:rsid w:val="001B1FE3"/>
    <w:rsid w:val="001B204E"/>
    <w:rsid w:val="001B2372"/>
    <w:rsid w:val="001B3443"/>
    <w:rsid w:val="001B3B8E"/>
    <w:rsid w:val="001B444B"/>
    <w:rsid w:val="001B4D20"/>
    <w:rsid w:val="001B68E6"/>
    <w:rsid w:val="001B71DD"/>
    <w:rsid w:val="001B72C1"/>
    <w:rsid w:val="001B7C7C"/>
    <w:rsid w:val="001B7F18"/>
    <w:rsid w:val="001B7F84"/>
    <w:rsid w:val="001C0DED"/>
    <w:rsid w:val="001C0FDA"/>
    <w:rsid w:val="001C2395"/>
    <w:rsid w:val="001C2A9B"/>
    <w:rsid w:val="001C3DD6"/>
    <w:rsid w:val="001C4299"/>
    <w:rsid w:val="001C4874"/>
    <w:rsid w:val="001C5F94"/>
    <w:rsid w:val="001C6314"/>
    <w:rsid w:val="001C68A3"/>
    <w:rsid w:val="001C6E66"/>
    <w:rsid w:val="001C7680"/>
    <w:rsid w:val="001D1100"/>
    <w:rsid w:val="001D1391"/>
    <w:rsid w:val="001D25D7"/>
    <w:rsid w:val="001D3338"/>
    <w:rsid w:val="001D3E48"/>
    <w:rsid w:val="001D4E6A"/>
    <w:rsid w:val="001D50B2"/>
    <w:rsid w:val="001D5B1E"/>
    <w:rsid w:val="001D71F4"/>
    <w:rsid w:val="001D7645"/>
    <w:rsid w:val="001D79A6"/>
    <w:rsid w:val="001D7C60"/>
    <w:rsid w:val="001E0914"/>
    <w:rsid w:val="001E1408"/>
    <w:rsid w:val="001E1E86"/>
    <w:rsid w:val="001E238E"/>
    <w:rsid w:val="001E2483"/>
    <w:rsid w:val="001E2B1E"/>
    <w:rsid w:val="001E2CFF"/>
    <w:rsid w:val="001E2F24"/>
    <w:rsid w:val="001E2F42"/>
    <w:rsid w:val="001E30D4"/>
    <w:rsid w:val="001E34DF"/>
    <w:rsid w:val="001E52EB"/>
    <w:rsid w:val="001E5872"/>
    <w:rsid w:val="001E61D2"/>
    <w:rsid w:val="001E65D2"/>
    <w:rsid w:val="001E740C"/>
    <w:rsid w:val="001F06C2"/>
    <w:rsid w:val="001F0A90"/>
    <w:rsid w:val="001F1235"/>
    <w:rsid w:val="001F133B"/>
    <w:rsid w:val="001F1732"/>
    <w:rsid w:val="001F1CB3"/>
    <w:rsid w:val="001F253D"/>
    <w:rsid w:val="001F2D73"/>
    <w:rsid w:val="001F38B5"/>
    <w:rsid w:val="001F3CF3"/>
    <w:rsid w:val="001F4081"/>
    <w:rsid w:val="001F7266"/>
    <w:rsid w:val="001F7361"/>
    <w:rsid w:val="001F74E9"/>
    <w:rsid w:val="002011B0"/>
    <w:rsid w:val="00201C5F"/>
    <w:rsid w:val="002022F0"/>
    <w:rsid w:val="00203181"/>
    <w:rsid w:val="00203783"/>
    <w:rsid w:val="0020385F"/>
    <w:rsid w:val="00203FA7"/>
    <w:rsid w:val="002058ED"/>
    <w:rsid w:val="002068A0"/>
    <w:rsid w:val="00207021"/>
    <w:rsid w:val="0020732F"/>
    <w:rsid w:val="0020753D"/>
    <w:rsid w:val="00207830"/>
    <w:rsid w:val="00207CB6"/>
    <w:rsid w:val="00207D00"/>
    <w:rsid w:val="002105C1"/>
    <w:rsid w:val="002116FD"/>
    <w:rsid w:val="00213920"/>
    <w:rsid w:val="00213CB1"/>
    <w:rsid w:val="00213EF5"/>
    <w:rsid w:val="00215CC1"/>
    <w:rsid w:val="00216BF5"/>
    <w:rsid w:val="00222F1C"/>
    <w:rsid w:val="00223B49"/>
    <w:rsid w:val="00223D5A"/>
    <w:rsid w:val="00224DD4"/>
    <w:rsid w:val="002253BC"/>
    <w:rsid w:val="00225F21"/>
    <w:rsid w:val="00226165"/>
    <w:rsid w:val="0022718C"/>
    <w:rsid w:val="002278A0"/>
    <w:rsid w:val="002309CC"/>
    <w:rsid w:val="00230E6F"/>
    <w:rsid w:val="00231BA9"/>
    <w:rsid w:val="0023209F"/>
    <w:rsid w:val="00233349"/>
    <w:rsid w:val="00233C01"/>
    <w:rsid w:val="0023413C"/>
    <w:rsid w:val="002344E7"/>
    <w:rsid w:val="002346F0"/>
    <w:rsid w:val="002351BB"/>
    <w:rsid w:val="00235CD0"/>
    <w:rsid w:val="0023629D"/>
    <w:rsid w:val="00237255"/>
    <w:rsid w:val="00237EAC"/>
    <w:rsid w:val="00237FFC"/>
    <w:rsid w:val="0024084F"/>
    <w:rsid w:val="00241832"/>
    <w:rsid w:val="002424AF"/>
    <w:rsid w:val="002439DC"/>
    <w:rsid w:val="00243BE9"/>
    <w:rsid w:val="00244183"/>
    <w:rsid w:val="002441D2"/>
    <w:rsid w:val="00244DC8"/>
    <w:rsid w:val="002458BA"/>
    <w:rsid w:val="00245CE9"/>
    <w:rsid w:val="00245F72"/>
    <w:rsid w:val="0024636C"/>
    <w:rsid w:val="002465A5"/>
    <w:rsid w:val="00247925"/>
    <w:rsid w:val="00251006"/>
    <w:rsid w:val="002524D5"/>
    <w:rsid w:val="00253B1D"/>
    <w:rsid w:val="00253ECB"/>
    <w:rsid w:val="002541F1"/>
    <w:rsid w:val="00254DCF"/>
    <w:rsid w:val="0025534B"/>
    <w:rsid w:val="00255BB7"/>
    <w:rsid w:val="00255C8D"/>
    <w:rsid w:val="002567C5"/>
    <w:rsid w:val="0025713D"/>
    <w:rsid w:val="00257541"/>
    <w:rsid w:val="00257A39"/>
    <w:rsid w:val="00257AC4"/>
    <w:rsid w:val="00257B3F"/>
    <w:rsid w:val="00257BBE"/>
    <w:rsid w:val="00261EEF"/>
    <w:rsid w:val="00262A1A"/>
    <w:rsid w:val="00262A87"/>
    <w:rsid w:val="00264109"/>
    <w:rsid w:val="00264D26"/>
    <w:rsid w:val="002665DF"/>
    <w:rsid w:val="00267642"/>
    <w:rsid w:val="00267677"/>
    <w:rsid w:val="00267AEA"/>
    <w:rsid w:val="00267DB3"/>
    <w:rsid w:val="002700E6"/>
    <w:rsid w:val="0027294B"/>
    <w:rsid w:val="00273EB4"/>
    <w:rsid w:val="00274682"/>
    <w:rsid w:val="00274D3A"/>
    <w:rsid w:val="00275158"/>
    <w:rsid w:val="002759F4"/>
    <w:rsid w:val="00275C5A"/>
    <w:rsid w:val="00275DC6"/>
    <w:rsid w:val="00281014"/>
    <w:rsid w:val="00281FBB"/>
    <w:rsid w:val="002855AE"/>
    <w:rsid w:val="00285BCE"/>
    <w:rsid w:val="0028665D"/>
    <w:rsid w:val="00291381"/>
    <w:rsid w:val="00291C4E"/>
    <w:rsid w:val="0029312F"/>
    <w:rsid w:val="00295C27"/>
    <w:rsid w:val="0029670A"/>
    <w:rsid w:val="002A00C9"/>
    <w:rsid w:val="002A14AB"/>
    <w:rsid w:val="002A1E05"/>
    <w:rsid w:val="002A2ADE"/>
    <w:rsid w:val="002A2F50"/>
    <w:rsid w:val="002A443E"/>
    <w:rsid w:val="002A4C23"/>
    <w:rsid w:val="002A6B63"/>
    <w:rsid w:val="002A7943"/>
    <w:rsid w:val="002B05A1"/>
    <w:rsid w:val="002B09A4"/>
    <w:rsid w:val="002B1C1F"/>
    <w:rsid w:val="002B37A3"/>
    <w:rsid w:val="002B432F"/>
    <w:rsid w:val="002B4A4B"/>
    <w:rsid w:val="002B4D56"/>
    <w:rsid w:val="002B62B3"/>
    <w:rsid w:val="002B6754"/>
    <w:rsid w:val="002B6CCE"/>
    <w:rsid w:val="002C092D"/>
    <w:rsid w:val="002C0E48"/>
    <w:rsid w:val="002C2510"/>
    <w:rsid w:val="002C2775"/>
    <w:rsid w:val="002C27C1"/>
    <w:rsid w:val="002C36E3"/>
    <w:rsid w:val="002C5099"/>
    <w:rsid w:val="002C53C4"/>
    <w:rsid w:val="002C5889"/>
    <w:rsid w:val="002C5D80"/>
    <w:rsid w:val="002C71CE"/>
    <w:rsid w:val="002C7B54"/>
    <w:rsid w:val="002C7D7D"/>
    <w:rsid w:val="002D058F"/>
    <w:rsid w:val="002D08F8"/>
    <w:rsid w:val="002D1559"/>
    <w:rsid w:val="002D1973"/>
    <w:rsid w:val="002D27DA"/>
    <w:rsid w:val="002D2A6B"/>
    <w:rsid w:val="002D2EFD"/>
    <w:rsid w:val="002D577C"/>
    <w:rsid w:val="002D71F3"/>
    <w:rsid w:val="002D7832"/>
    <w:rsid w:val="002E1071"/>
    <w:rsid w:val="002E15B9"/>
    <w:rsid w:val="002E2004"/>
    <w:rsid w:val="002E2158"/>
    <w:rsid w:val="002E22CD"/>
    <w:rsid w:val="002E32A4"/>
    <w:rsid w:val="002E4870"/>
    <w:rsid w:val="002E4F02"/>
    <w:rsid w:val="002E7722"/>
    <w:rsid w:val="002F07BA"/>
    <w:rsid w:val="002F0C8F"/>
    <w:rsid w:val="002F0DA9"/>
    <w:rsid w:val="002F1014"/>
    <w:rsid w:val="002F1E3B"/>
    <w:rsid w:val="002F3FD2"/>
    <w:rsid w:val="002F643C"/>
    <w:rsid w:val="002F71C0"/>
    <w:rsid w:val="002F72B3"/>
    <w:rsid w:val="002F74F1"/>
    <w:rsid w:val="00301017"/>
    <w:rsid w:val="0030155F"/>
    <w:rsid w:val="0030357B"/>
    <w:rsid w:val="003046A0"/>
    <w:rsid w:val="0030587B"/>
    <w:rsid w:val="00306D98"/>
    <w:rsid w:val="0030786C"/>
    <w:rsid w:val="00307918"/>
    <w:rsid w:val="0031031A"/>
    <w:rsid w:val="00310981"/>
    <w:rsid w:val="003119C4"/>
    <w:rsid w:val="00311D9B"/>
    <w:rsid w:val="003124D9"/>
    <w:rsid w:val="00312594"/>
    <w:rsid w:val="00315498"/>
    <w:rsid w:val="00316474"/>
    <w:rsid w:val="00316AD0"/>
    <w:rsid w:val="0031736B"/>
    <w:rsid w:val="003174EF"/>
    <w:rsid w:val="0032033C"/>
    <w:rsid w:val="003207DF"/>
    <w:rsid w:val="00321289"/>
    <w:rsid w:val="00321F91"/>
    <w:rsid w:val="00322107"/>
    <w:rsid w:val="00322355"/>
    <w:rsid w:val="00322846"/>
    <w:rsid w:val="00324AE7"/>
    <w:rsid w:val="00324E7F"/>
    <w:rsid w:val="0032636C"/>
    <w:rsid w:val="003269E6"/>
    <w:rsid w:val="00326DA7"/>
    <w:rsid w:val="003270E4"/>
    <w:rsid w:val="00327DA6"/>
    <w:rsid w:val="00330DAA"/>
    <w:rsid w:val="00330F5C"/>
    <w:rsid w:val="003316C0"/>
    <w:rsid w:val="00332201"/>
    <w:rsid w:val="00333936"/>
    <w:rsid w:val="00334833"/>
    <w:rsid w:val="003349A4"/>
    <w:rsid w:val="003366C9"/>
    <w:rsid w:val="003371B0"/>
    <w:rsid w:val="00340DF1"/>
    <w:rsid w:val="00342955"/>
    <w:rsid w:val="0034469B"/>
    <w:rsid w:val="00344DD0"/>
    <w:rsid w:val="003451E0"/>
    <w:rsid w:val="00345C2D"/>
    <w:rsid w:val="00347B02"/>
    <w:rsid w:val="00350DFE"/>
    <w:rsid w:val="00351543"/>
    <w:rsid w:val="003517F9"/>
    <w:rsid w:val="00351BA9"/>
    <w:rsid w:val="00352D0B"/>
    <w:rsid w:val="00353C16"/>
    <w:rsid w:val="00354F64"/>
    <w:rsid w:val="00355F9A"/>
    <w:rsid w:val="0035620E"/>
    <w:rsid w:val="00356391"/>
    <w:rsid w:val="00356B34"/>
    <w:rsid w:val="003575BE"/>
    <w:rsid w:val="00357650"/>
    <w:rsid w:val="00360345"/>
    <w:rsid w:val="00360C10"/>
    <w:rsid w:val="00361661"/>
    <w:rsid w:val="00361A05"/>
    <w:rsid w:val="0036209B"/>
    <w:rsid w:val="003624C4"/>
    <w:rsid w:val="003624C8"/>
    <w:rsid w:val="00363B00"/>
    <w:rsid w:val="003641CD"/>
    <w:rsid w:val="003654AC"/>
    <w:rsid w:val="003669B8"/>
    <w:rsid w:val="003710CF"/>
    <w:rsid w:val="00373580"/>
    <w:rsid w:val="0037358A"/>
    <w:rsid w:val="003750F6"/>
    <w:rsid w:val="00375B1C"/>
    <w:rsid w:val="003760FC"/>
    <w:rsid w:val="00376267"/>
    <w:rsid w:val="00377816"/>
    <w:rsid w:val="003826D2"/>
    <w:rsid w:val="0038365C"/>
    <w:rsid w:val="0038369B"/>
    <w:rsid w:val="00383B78"/>
    <w:rsid w:val="00385A9D"/>
    <w:rsid w:val="00386678"/>
    <w:rsid w:val="00387121"/>
    <w:rsid w:val="003902B1"/>
    <w:rsid w:val="0039044E"/>
    <w:rsid w:val="0039179C"/>
    <w:rsid w:val="003927CC"/>
    <w:rsid w:val="0039328D"/>
    <w:rsid w:val="00396896"/>
    <w:rsid w:val="00396FD0"/>
    <w:rsid w:val="00397504"/>
    <w:rsid w:val="003A1A7A"/>
    <w:rsid w:val="003A2392"/>
    <w:rsid w:val="003A26B7"/>
    <w:rsid w:val="003A2831"/>
    <w:rsid w:val="003A3708"/>
    <w:rsid w:val="003A3CB6"/>
    <w:rsid w:val="003A3ED1"/>
    <w:rsid w:val="003A44DB"/>
    <w:rsid w:val="003A451F"/>
    <w:rsid w:val="003A480F"/>
    <w:rsid w:val="003A4C14"/>
    <w:rsid w:val="003A7608"/>
    <w:rsid w:val="003B0F66"/>
    <w:rsid w:val="003B16D1"/>
    <w:rsid w:val="003B3971"/>
    <w:rsid w:val="003B5483"/>
    <w:rsid w:val="003B55D1"/>
    <w:rsid w:val="003B5B61"/>
    <w:rsid w:val="003B6D9F"/>
    <w:rsid w:val="003C03C2"/>
    <w:rsid w:val="003C1654"/>
    <w:rsid w:val="003C2EAC"/>
    <w:rsid w:val="003C3892"/>
    <w:rsid w:val="003C5542"/>
    <w:rsid w:val="003C721E"/>
    <w:rsid w:val="003C7A2D"/>
    <w:rsid w:val="003C7C15"/>
    <w:rsid w:val="003C7D19"/>
    <w:rsid w:val="003C7D2F"/>
    <w:rsid w:val="003D0C5A"/>
    <w:rsid w:val="003D1828"/>
    <w:rsid w:val="003D1DE4"/>
    <w:rsid w:val="003D1E9A"/>
    <w:rsid w:val="003D2422"/>
    <w:rsid w:val="003D2E6D"/>
    <w:rsid w:val="003D3665"/>
    <w:rsid w:val="003D39A1"/>
    <w:rsid w:val="003D3FBF"/>
    <w:rsid w:val="003D4A30"/>
    <w:rsid w:val="003D55B1"/>
    <w:rsid w:val="003D6452"/>
    <w:rsid w:val="003D7452"/>
    <w:rsid w:val="003D79BB"/>
    <w:rsid w:val="003D7C98"/>
    <w:rsid w:val="003D7D9D"/>
    <w:rsid w:val="003E0543"/>
    <w:rsid w:val="003E1884"/>
    <w:rsid w:val="003E4056"/>
    <w:rsid w:val="003E4EEA"/>
    <w:rsid w:val="003E5603"/>
    <w:rsid w:val="003E57C7"/>
    <w:rsid w:val="003E6F5A"/>
    <w:rsid w:val="003E749E"/>
    <w:rsid w:val="003F0C0A"/>
    <w:rsid w:val="003F1D12"/>
    <w:rsid w:val="003F220B"/>
    <w:rsid w:val="003F241F"/>
    <w:rsid w:val="003F4156"/>
    <w:rsid w:val="003F4191"/>
    <w:rsid w:val="003F5A9A"/>
    <w:rsid w:val="003F5ADF"/>
    <w:rsid w:val="003F6C4A"/>
    <w:rsid w:val="003F7497"/>
    <w:rsid w:val="00400B29"/>
    <w:rsid w:val="00402812"/>
    <w:rsid w:val="00402A14"/>
    <w:rsid w:val="004037B9"/>
    <w:rsid w:val="0040387C"/>
    <w:rsid w:val="0040504B"/>
    <w:rsid w:val="004059F4"/>
    <w:rsid w:val="00407FE5"/>
    <w:rsid w:val="00410143"/>
    <w:rsid w:val="004101B0"/>
    <w:rsid w:val="00410326"/>
    <w:rsid w:val="00410708"/>
    <w:rsid w:val="00410EC7"/>
    <w:rsid w:val="00411B39"/>
    <w:rsid w:val="004127A7"/>
    <w:rsid w:val="00413A1E"/>
    <w:rsid w:val="00414476"/>
    <w:rsid w:val="00414C2E"/>
    <w:rsid w:val="004151BF"/>
    <w:rsid w:val="004151CF"/>
    <w:rsid w:val="00415BE5"/>
    <w:rsid w:val="00416364"/>
    <w:rsid w:val="0042047F"/>
    <w:rsid w:val="00420AA6"/>
    <w:rsid w:val="00420B9F"/>
    <w:rsid w:val="0042133B"/>
    <w:rsid w:val="0042192C"/>
    <w:rsid w:val="00422260"/>
    <w:rsid w:val="00422E7F"/>
    <w:rsid w:val="0042413F"/>
    <w:rsid w:val="00425819"/>
    <w:rsid w:val="00426710"/>
    <w:rsid w:val="00426A6B"/>
    <w:rsid w:val="00430432"/>
    <w:rsid w:val="004317C7"/>
    <w:rsid w:val="004319F8"/>
    <w:rsid w:val="00431E55"/>
    <w:rsid w:val="004321F6"/>
    <w:rsid w:val="00433044"/>
    <w:rsid w:val="00433634"/>
    <w:rsid w:val="00434088"/>
    <w:rsid w:val="004357F3"/>
    <w:rsid w:val="00436231"/>
    <w:rsid w:val="004375B9"/>
    <w:rsid w:val="0044061F"/>
    <w:rsid w:val="004428D0"/>
    <w:rsid w:val="00443509"/>
    <w:rsid w:val="00444185"/>
    <w:rsid w:val="004443A7"/>
    <w:rsid w:val="0044442C"/>
    <w:rsid w:val="00445941"/>
    <w:rsid w:val="004464EB"/>
    <w:rsid w:val="004465F6"/>
    <w:rsid w:val="004465FE"/>
    <w:rsid w:val="00446C2C"/>
    <w:rsid w:val="00447285"/>
    <w:rsid w:val="00447D26"/>
    <w:rsid w:val="00447DFC"/>
    <w:rsid w:val="004516B6"/>
    <w:rsid w:val="00454AA5"/>
    <w:rsid w:val="00454B20"/>
    <w:rsid w:val="00454E89"/>
    <w:rsid w:val="00455D45"/>
    <w:rsid w:val="00456E00"/>
    <w:rsid w:val="00460A09"/>
    <w:rsid w:val="0046313D"/>
    <w:rsid w:val="00464595"/>
    <w:rsid w:val="004658B5"/>
    <w:rsid w:val="00465B7D"/>
    <w:rsid w:val="004669CD"/>
    <w:rsid w:val="00471A47"/>
    <w:rsid w:val="00471EA5"/>
    <w:rsid w:val="00472A79"/>
    <w:rsid w:val="00473F19"/>
    <w:rsid w:val="00475E22"/>
    <w:rsid w:val="00475E25"/>
    <w:rsid w:val="00477110"/>
    <w:rsid w:val="00477A69"/>
    <w:rsid w:val="004804C3"/>
    <w:rsid w:val="0048088E"/>
    <w:rsid w:val="00480F2B"/>
    <w:rsid w:val="0048126E"/>
    <w:rsid w:val="004821B0"/>
    <w:rsid w:val="00482720"/>
    <w:rsid w:val="004830E7"/>
    <w:rsid w:val="004835E7"/>
    <w:rsid w:val="00485136"/>
    <w:rsid w:val="004859E1"/>
    <w:rsid w:val="00485DA0"/>
    <w:rsid w:val="004867E2"/>
    <w:rsid w:val="00487175"/>
    <w:rsid w:val="004901BE"/>
    <w:rsid w:val="00490228"/>
    <w:rsid w:val="00490B17"/>
    <w:rsid w:val="00491B3A"/>
    <w:rsid w:val="00491C2E"/>
    <w:rsid w:val="00491ECB"/>
    <w:rsid w:val="00492CFD"/>
    <w:rsid w:val="0049327F"/>
    <w:rsid w:val="00493731"/>
    <w:rsid w:val="00494207"/>
    <w:rsid w:val="00494DD5"/>
    <w:rsid w:val="004962D2"/>
    <w:rsid w:val="0049657C"/>
    <w:rsid w:val="00496D0B"/>
    <w:rsid w:val="0049763B"/>
    <w:rsid w:val="00497EC8"/>
    <w:rsid w:val="004A0727"/>
    <w:rsid w:val="004A0DA1"/>
    <w:rsid w:val="004A0FA2"/>
    <w:rsid w:val="004A1371"/>
    <w:rsid w:val="004A13D6"/>
    <w:rsid w:val="004A1806"/>
    <w:rsid w:val="004A52E9"/>
    <w:rsid w:val="004A55FE"/>
    <w:rsid w:val="004A5EDA"/>
    <w:rsid w:val="004A6040"/>
    <w:rsid w:val="004A6597"/>
    <w:rsid w:val="004A6CE7"/>
    <w:rsid w:val="004A7848"/>
    <w:rsid w:val="004A793B"/>
    <w:rsid w:val="004B03E7"/>
    <w:rsid w:val="004B16D9"/>
    <w:rsid w:val="004B1CB4"/>
    <w:rsid w:val="004B2D5C"/>
    <w:rsid w:val="004B2F18"/>
    <w:rsid w:val="004B3DDB"/>
    <w:rsid w:val="004B3E07"/>
    <w:rsid w:val="004B3F97"/>
    <w:rsid w:val="004B44FD"/>
    <w:rsid w:val="004B4F98"/>
    <w:rsid w:val="004B598D"/>
    <w:rsid w:val="004B5CFC"/>
    <w:rsid w:val="004B6F79"/>
    <w:rsid w:val="004B774D"/>
    <w:rsid w:val="004C2AC2"/>
    <w:rsid w:val="004C4AED"/>
    <w:rsid w:val="004C5991"/>
    <w:rsid w:val="004D119D"/>
    <w:rsid w:val="004D2C2D"/>
    <w:rsid w:val="004D2D26"/>
    <w:rsid w:val="004D34F6"/>
    <w:rsid w:val="004D4C9A"/>
    <w:rsid w:val="004D5568"/>
    <w:rsid w:val="004D69B5"/>
    <w:rsid w:val="004D7227"/>
    <w:rsid w:val="004D7B5E"/>
    <w:rsid w:val="004E0E7F"/>
    <w:rsid w:val="004E0EB8"/>
    <w:rsid w:val="004E18E9"/>
    <w:rsid w:val="004E2ADC"/>
    <w:rsid w:val="004E2BF4"/>
    <w:rsid w:val="004E2E07"/>
    <w:rsid w:val="004E43B2"/>
    <w:rsid w:val="004E4D9E"/>
    <w:rsid w:val="004E5AD0"/>
    <w:rsid w:val="004E671F"/>
    <w:rsid w:val="004F0FC8"/>
    <w:rsid w:val="004F1D02"/>
    <w:rsid w:val="004F2679"/>
    <w:rsid w:val="004F2871"/>
    <w:rsid w:val="004F2F21"/>
    <w:rsid w:val="004F3DE5"/>
    <w:rsid w:val="004F434A"/>
    <w:rsid w:val="004F6913"/>
    <w:rsid w:val="004F6990"/>
    <w:rsid w:val="004F7865"/>
    <w:rsid w:val="0050174E"/>
    <w:rsid w:val="00501854"/>
    <w:rsid w:val="0050219B"/>
    <w:rsid w:val="00503F17"/>
    <w:rsid w:val="00503F3A"/>
    <w:rsid w:val="0050409D"/>
    <w:rsid w:val="00505666"/>
    <w:rsid w:val="00506928"/>
    <w:rsid w:val="005077EF"/>
    <w:rsid w:val="00510C04"/>
    <w:rsid w:val="00511210"/>
    <w:rsid w:val="005113C9"/>
    <w:rsid w:val="00511AD5"/>
    <w:rsid w:val="00511DC7"/>
    <w:rsid w:val="005142C5"/>
    <w:rsid w:val="0051501B"/>
    <w:rsid w:val="005152B5"/>
    <w:rsid w:val="00515886"/>
    <w:rsid w:val="005169E3"/>
    <w:rsid w:val="0051705E"/>
    <w:rsid w:val="00517964"/>
    <w:rsid w:val="0052123C"/>
    <w:rsid w:val="00521319"/>
    <w:rsid w:val="00522BC8"/>
    <w:rsid w:val="00522FD0"/>
    <w:rsid w:val="00523C28"/>
    <w:rsid w:val="00523CA3"/>
    <w:rsid w:val="00525401"/>
    <w:rsid w:val="00530BA4"/>
    <w:rsid w:val="0053176B"/>
    <w:rsid w:val="005320B6"/>
    <w:rsid w:val="00533F2C"/>
    <w:rsid w:val="0053404B"/>
    <w:rsid w:val="005341B3"/>
    <w:rsid w:val="00534815"/>
    <w:rsid w:val="00536F42"/>
    <w:rsid w:val="00537182"/>
    <w:rsid w:val="00541EDD"/>
    <w:rsid w:val="005420AE"/>
    <w:rsid w:val="00542743"/>
    <w:rsid w:val="00542C2D"/>
    <w:rsid w:val="00542F8A"/>
    <w:rsid w:val="00543076"/>
    <w:rsid w:val="00544C24"/>
    <w:rsid w:val="00546221"/>
    <w:rsid w:val="005463CB"/>
    <w:rsid w:val="00546A62"/>
    <w:rsid w:val="005478BD"/>
    <w:rsid w:val="005479E3"/>
    <w:rsid w:val="00551985"/>
    <w:rsid w:val="00552BD3"/>
    <w:rsid w:val="00553073"/>
    <w:rsid w:val="005532A0"/>
    <w:rsid w:val="00554DA4"/>
    <w:rsid w:val="00555109"/>
    <w:rsid w:val="005560CF"/>
    <w:rsid w:val="0055649E"/>
    <w:rsid w:val="00556B35"/>
    <w:rsid w:val="0055741A"/>
    <w:rsid w:val="00557E92"/>
    <w:rsid w:val="00560FB7"/>
    <w:rsid w:val="005611B7"/>
    <w:rsid w:val="005618D4"/>
    <w:rsid w:val="00561FD0"/>
    <w:rsid w:val="00562B3C"/>
    <w:rsid w:val="00562BF6"/>
    <w:rsid w:val="00563147"/>
    <w:rsid w:val="0056362F"/>
    <w:rsid w:val="00564867"/>
    <w:rsid w:val="005650D4"/>
    <w:rsid w:val="00565C79"/>
    <w:rsid w:val="00565DF0"/>
    <w:rsid w:val="005661EA"/>
    <w:rsid w:val="0056696F"/>
    <w:rsid w:val="00566AD7"/>
    <w:rsid w:val="00572008"/>
    <w:rsid w:val="00572269"/>
    <w:rsid w:val="0057244A"/>
    <w:rsid w:val="00572F26"/>
    <w:rsid w:val="0057447B"/>
    <w:rsid w:val="005750C5"/>
    <w:rsid w:val="005752DE"/>
    <w:rsid w:val="00575D60"/>
    <w:rsid w:val="00575D8D"/>
    <w:rsid w:val="00576972"/>
    <w:rsid w:val="00576C16"/>
    <w:rsid w:val="00577248"/>
    <w:rsid w:val="00577B8D"/>
    <w:rsid w:val="00583641"/>
    <w:rsid w:val="00583699"/>
    <w:rsid w:val="00583794"/>
    <w:rsid w:val="00585213"/>
    <w:rsid w:val="00585510"/>
    <w:rsid w:val="00585CDD"/>
    <w:rsid w:val="00585EB6"/>
    <w:rsid w:val="00587058"/>
    <w:rsid w:val="00591957"/>
    <w:rsid w:val="005923BA"/>
    <w:rsid w:val="00592C5E"/>
    <w:rsid w:val="00593BC2"/>
    <w:rsid w:val="00594C0C"/>
    <w:rsid w:val="005962C1"/>
    <w:rsid w:val="0059686F"/>
    <w:rsid w:val="00596F8E"/>
    <w:rsid w:val="00597BF9"/>
    <w:rsid w:val="005A0C11"/>
    <w:rsid w:val="005A1924"/>
    <w:rsid w:val="005A1B5F"/>
    <w:rsid w:val="005A309A"/>
    <w:rsid w:val="005A373D"/>
    <w:rsid w:val="005A3B3F"/>
    <w:rsid w:val="005A4E7C"/>
    <w:rsid w:val="005A558C"/>
    <w:rsid w:val="005A648F"/>
    <w:rsid w:val="005A7551"/>
    <w:rsid w:val="005B0B58"/>
    <w:rsid w:val="005B0CB3"/>
    <w:rsid w:val="005B0D2A"/>
    <w:rsid w:val="005B13F4"/>
    <w:rsid w:val="005B24C5"/>
    <w:rsid w:val="005B2AB6"/>
    <w:rsid w:val="005B2EB5"/>
    <w:rsid w:val="005B2F85"/>
    <w:rsid w:val="005B40BF"/>
    <w:rsid w:val="005B4E53"/>
    <w:rsid w:val="005B5857"/>
    <w:rsid w:val="005B68C4"/>
    <w:rsid w:val="005C05C9"/>
    <w:rsid w:val="005C19C4"/>
    <w:rsid w:val="005C1B83"/>
    <w:rsid w:val="005C1DE9"/>
    <w:rsid w:val="005C1E66"/>
    <w:rsid w:val="005C23E4"/>
    <w:rsid w:val="005C25FF"/>
    <w:rsid w:val="005C2766"/>
    <w:rsid w:val="005C2B8D"/>
    <w:rsid w:val="005C2D55"/>
    <w:rsid w:val="005C3076"/>
    <w:rsid w:val="005C346B"/>
    <w:rsid w:val="005C5ABC"/>
    <w:rsid w:val="005C6427"/>
    <w:rsid w:val="005C6F5F"/>
    <w:rsid w:val="005D044D"/>
    <w:rsid w:val="005D04ED"/>
    <w:rsid w:val="005D0ABD"/>
    <w:rsid w:val="005D0F42"/>
    <w:rsid w:val="005D147D"/>
    <w:rsid w:val="005D18AD"/>
    <w:rsid w:val="005D26B4"/>
    <w:rsid w:val="005D4285"/>
    <w:rsid w:val="005D6D8C"/>
    <w:rsid w:val="005E0FD3"/>
    <w:rsid w:val="005E1995"/>
    <w:rsid w:val="005E2BF7"/>
    <w:rsid w:val="005E349D"/>
    <w:rsid w:val="005E58B7"/>
    <w:rsid w:val="005E5F0E"/>
    <w:rsid w:val="005E6CBC"/>
    <w:rsid w:val="005E72FF"/>
    <w:rsid w:val="005E73C0"/>
    <w:rsid w:val="005E7964"/>
    <w:rsid w:val="005F07ED"/>
    <w:rsid w:val="005F2706"/>
    <w:rsid w:val="005F2899"/>
    <w:rsid w:val="005F28E3"/>
    <w:rsid w:val="005F3944"/>
    <w:rsid w:val="005F3C97"/>
    <w:rsid w:val="005F468E"/>
    <w:rsid w:val="005F6A8F"/>
    <w:rsid w:val="005F6BB7"/>
    <w:rsid w:val="005F7588"/>
    <w:rsid w:val="005F77F7"/>
    <w:rsid w:val="006006A1"/>
    <w:rsid w:val="0060185C"/>
    <w:rsid w:val="00602E58"/>
    <w:rsid w:val="00603133"/>
    <w:rsid w:val="00603185"/>
    <w:rsid w:val="00603DB9"/>
    <w:rsid w:val="00605CCF"/>
    <w:rsid w:val="006065A2"/>
    <w:rsid w:val="00606FBA"/>
    <w:rsid w:val="00607669"/>
    <w:rsid w:val="006076F4"/>
    <w:rsid w:val="00607AFD"/>
    <w:rsid w:val="00611B12"/>
    <w:rsid w:val="006125DA"/>
    <w:rsid w:val="00612F97"/>
    <w:rsid w:val="0061305E"/>
    <w:rsid w:val="0061345D"/>
    <w:rsid w:val="00613965"/>
    <w:rsid w:val="006149C5"/>
    <w:rsid w:val="00614F15"/>
    <w:rsid w:val="0061549B"/>
    <w:rsid w:val="00616802"/>
    <w:rsid w:val="00617564"/>
    <w:rsid w:val="00617E12"/>
    <w:rsid w:val="00620AB5"/>
    <w:rsid w:val="00620C25"/>
    <w:rsid w:val="00621477"/>
    <w:rsid w:val="0062164E"/>
    <w:rsid w:val="006218D9"/>
    <w:rsid w:val="00621ADA"/>
    <w:rsid w:val="00623F7B"/>
    <w:rsid w:val="00624BD4"/>
    <w:rsid w:val="00624D55"/>
    <w:rsid w:val="00624EA0"/>
    <w:rsid w:val="0062650E"/>
    <w:rsid w:val="00626DB5"/>
    <w:rsid w:val="00630637"/>
    <w:rsid w:val="006309F4"/>
    <w:rsid w:val="0063158F"/>
    <w:rsid w:val="00631D6B"/>
    <w:rsid w:val="00632183"/>
    <w:rsid w:val="00632CBF"/>
    <w:rsid w:val="006330A1"/>
    <w:rsid w:val="00633FB5"/>
    <w:rsid w:val="0063439B"/>
    <w:rsid w:val="0063479F"/>
    <w:rsid w:val="006353F0"/>
    <w:rsid w:val="006357B3"/>
    <w:rsid w:val="006357B5"/>
    <w:rsid w:val="006364A1"/>
    <w:rsid w:val="0063678E"/>
    <w:rsid w:val="00637BFD"/>
    <w:rsid w:val="00637C5C"/>
    <w:rsid w:val="00640415"/>
    <w:rsid w:val="00640D4B"/>
    <w:rsid w:val="00641C4E"/>
    <w:rsid w:val="00641DC4"/>
    <w:rsid w:val="00641FB3"/>
    <w:rsid w:val="0064434C"/>
    <w:rsid w:val="006460DA"/>
    <w:rsid w:val="00646812"/>
    <w:rsid w:val="00646ADF"/>
    <w:rsid w:val="006471CC"/>
    <w:rsid w:val="006472FE"/>
    <w:rsid w:val="00647659"/>
    <w:rsid w:val="006477B2"/>
    <w:rsid w:val="00647A29"/>
    <w:rsid w:val="0065079F"/>
    <w:rsid w:val="00652A28"/>
    <w:rsid w:val="006532EB"/>
    <w:rsid w:val="0065379F"/>
    <w:rsid w:val="006559C1"/>
    <w:rsid w:val="00656188"/>
    <w:rsid w:val="00656ED3"/>
    <w:rsid w:val="0065715A"/>
    <w:rsid w:val="00660C1B"/>
    <w:rsid w:val="006610F1"/>
    <w:rsid w:val="00661C6B"/>
    <w:rsid w:val="00662D3E"/>
    <w:rsid w:val="0066336D"/>
    <w:rsid w:val="0066345E"/>
    <w:rsid w:val="00664E27"/>
    <w:rsid w:val="00667BE3"/>
    <w:rsid w:val="006701D8"/>
    <w:rsid w:val="00670853"/>
    <w:rsid w:val="00670ADE"/>
    <w:rsid w:val="00671004"/>
    <w:rsid w:val="00672646"/>
    <w:rsid w:val="00674E42"/>
    <w:rsid w:val="00676563"/>
    <w:rsid w:val="00677268"/>
    <w:rsid w:val="006813F8"/>
    <w:rsid w:val="00681477"/>
    <w:rsid w:val="00682112"/>
    <w:rsid w:val="00682BA6"/>
    <w:rsid w:val="006831F6"/>
    <w:rsid w:val="00685AE6"/>
    <w:rsid w:val="00686957"/>
    <w:rsid w:val="006872BA"/>
    <w:rsid w:val="006876BB"/>
    <w:rsid w:val="00690795"/>
    <w:rsid w:val="00690A12"/>
    <w:rsid w:val="00691648"/>
    <w:rsid w:val="006917D7"/>
    <w:rsid w:val="00692C0C"/>
    <w:rsid w:val="00693A6F"/>
    <w:rsid w:val="00693B0E"/>
    <w:rsid w:val="0069434C"/>
    <w:rsid w:val="00694F44"/>
    <w:rsid w:val="00696EF9"/>
    <w:rsid w:val="00696F51"/>
    <w:rsid w:val="006971FF"/>
    <w:rsid w:val="006979A5"/>
    <w:rsid w:val="006A016F"/>
    <w:rsid w:val="006A0DF7"/>
    <w:rsid w:val="006A12D6"/>
    <w:rsid w:val="006A1AD9"/>
    <w:rsid w:val="006A3D18"/>
    <w:rsid w:val="006A4321"/>
    <w:rsid w:val="006A43D9"/>
    <w:rsid w:val="006A4655"/>
    <w:rsid w:val="006A4915"/>
    <w:rsid w:val="006A4EDD"/>
    <w:rsid w:val="006A596A"/>
    <w:rsid w:val="006A6000"/>
    <w:rsid w:val="006A6B99"/>
    <w:rsid w:val="006A7E5F"/>
    <w:rsid w:val="006B0217"/>
    <w:rsid w:val="006B261B"/>
    <w:rsid w:val="006B2C90"/>
    <w:rsid w:val="006B33BF"/>
    <w:rsid w:val="006B35E6"/>
    <w:rsid w:val="006B465A"/>
    <w:rsid w:val="006B61AA"/>
    <w:rsid w:val="006B6DD0"/>
    <w:rsid w:val="006C0399"/>
    <w:rsid w:val="006C0CB8"/>
    <w:rsid w:val="006C1D0C"/>
    <w:rsid w:val="006C2373"/>
    <w:rsid w:val="006C291A"/>
    <w:rsid w:val="006C2A8E"/>
    <w:rsid w:val="006C3255"/>
    <w:rsid w:val="006C3F26"/>
    <w:rsid w:val="006C4475"/>
    <w:rsid w:val="006C7053"/>
    <w:rsid w:val="006C7D92"/>
    <w:rsid w:val="006D0D17"/>
    <w:rsid w:val="006D1045"/>
    <w:rsid w:val="006D2984"/>
    <w:rsid w:val="006D3375"/>
    <w:rsid w:val="006D3C7D"/>
    <w:rsid w:val="006D4659"/>
    <w:rsid w:val="006D56CD"/>
    <w:rsid w:val="006D5B21"/>
    <w:rsid w:val="006D5D5F"/>
    <w:rsid w:val="006D68FB"/>
    <w:rsid w:val="006D7FA0"/>
    <w:rsid w:val="006E2656"/>
    <w:rsid w:val="006E2868"/>
    <w:rsid w:val="006E46EB"/>
    <w:rsid w:val="006E514A"/>
    <w:rsid w:val="006E556C"/>
    <w:rsid w:val="006E6872"/>
    <w:rsid w:val="006F0FC9"/>
    <w:rsid w:val="006F273D"/>
    <w:rsid w:val="006F306C"/>
    <w:rsid w:val="006F3233"/>
    <w:rsid w:val="006F4BA2"/>
    <w:rsid w:val="006F63A5"/>
    <w:rsid w:val="00700A76"/>
    <w:rsid w:val="00701160"/>
    <w:rsid w:val="0070142B"/>
    <w:rsid w:val="00701B8F"/>
    <w:rsid w:val="0070276E"/>
    <w:rsid w:val="00702F8F"/>
    <w:rsid w:val="007040EE"/>
    <w:rsid w:val="007045A8"/>
    <w:rsid w:val="007049FD"/>
    <w:rsid w:val="00704EF8"/>
    <w:rsid w:val="007054F4"/>
    <w:rsid w:val="007079FC"/>
    <w:rsid w:val="00707C6C"/>
    <w:rsid w:val="007106A1"/>
    <w:rsid w:val="00711A36"/>
    <w:rsid w:val="00711F03"/>
    <w:rsid w:val="007125D3"/>
    <w:rsid w:val="00712D36"/>
    <w:rsid w:val="00714C26"/>
    <w:rsid w:val="0071529C"/>
    <w:rsid w:val="00716725"/>
    <w:rsid w:val="007170DA"/>
    <w:rsid w:val="007172AD"/>
    <w:rsid w:val="0071734C"/>
    <w:rsid w:val="00717546"/>
    <w:rsid w:val="0071767E"/>
    <w:rsid w:val="00717A91"/>
    <w:rsid w:val="00720801"/>
    <w:rsid w:val="00722B1B"/>
    <w:rsid w:val="00723082"/>
    <w:rsid w:val="007232C8"/>
    <w:rsid w:val="0072416F"/>
    <w:rsid w:val="0072513C"/>
    <w:rsid w:val="007252C3"/>
    <w:rsid w:val="00727C94"/>
    <w:rsid w:val="00730837"/>
    <w:rsid w:val="00731B0A"/>
    <w:rsid w:val="00731EAE"/>
    <w:rsid w:val="00733073"/>
    <w:rsid w:val="00735033"/>
    <w:rsid w:val="00735328"/>
    <w:rsid w:val="00736261"/>
    <w:rsid w:val="0073685B"/>
    <w:rsid w:val="00740940"/>
    <w:rsid w:val="00741705"/>
    <w:rsid w:val="00741D32"/>
    <w:rsid w:val="00744573"/>
    <w:rsid w:val="007449BF"/>
    <w:rsid w:val="007463FE"/>
    <w:rsid w:val="00746BC0"/>
    <w:rsid w:val="0075039B"/>
    <w:rsid w:val="007510B4"/>
    <w:rsid w:val="00752142"/>
    <w:rsid w:val="007523F9"/>
    <w:rsid w:val="0075357E"/>
    <w:rsid w:val="00753B29"/>
    <w:rsid w:val="00755A65"/>
    <w:rsid w:val="007573E8"/>
    <w:rsid w:val="00757ED9"/>
    <w:rsid w:val="00760C4E"/>
    <w:rsid w:val="00760F9E"/>
    <w:rsid w:val="00761316"/>
    <w:rsid w:val="007616E6"/>
    <w:rsid w:val="00761D45"/>
    <w:rsid w:val="007625A7"/>
    <w:rsid w:val="007627BE"/>
    <w:rsid w:val="0076422C"/>
    <w:rsid w:val="00764AC3"/>
    <w:rsid w:val="00764B04"/>
    <w:rsid w:val="00764F03"/>
    <w:rsid w:val="00765220"/>
    <w:rsid w:val="00765B1A"/>
    <w:rsid w:val="00765DC1"/>
    <w:rsid w:val="007660D5"/>
    <w:rsid w:val="00766E47"/>
    <w:rsid w:val="00772AFB"/>
    <w:rsid w:val="007739CA"/>
    <w:rsid w:val="00773C0D"/>
    <w:rsid w:val="00777335"/>
    <w:rsid w:val="007773B7"/>
    <w:rsid w:val="00777895"/>
    <w:rsid w:val="007818B7"/>
    <w:rsid w:val="00783C82"/>
    <w:rsid w:val="00783F39"/>
    <w:rsid w:val="007843F2"/>
    <w:rsid w:val="007846FA"/>
    <w:rsid w:val="00784FF0"/>
    <w:rsid w:val="007856A9"/>
    <w:rsid w:val="00785A9F"/>
    <w:rsid w:val="00785AEC"/>
    <w:rsid w:val="007873EE"/>
    <w:rsid w:val="007875B7"/>
    <w:rsid w:val="007925DF"/>
    <w:rsid w:val="00792B14"/>
    <w:rsid w:val="00792D8B"/>
    <w:rsid w:val="0079456F"/>
    <w:rsid w:val="00795B07"/>
    <w:rsid w:val="00796534"/>
    <w:rsid w:val="007A08AA"/>
    <w:rsid w:val="007A0A12"/>
    <w:rsid w:val="007A1310"/>
    <w:rsid w:val="007A132D"/>
    <w:rsid w:val="007A1345"/>
    <w:rsid w:val="007A2533"/>
    <w:rsid w:val="007A2A73"/>
    <w:rsid w:val="007A2DDB"/>
    <w:rsid w:val="007A70BA"/>
    <w:rsid w:val="007B0D68"/>
    <w:rsid w:val="007B0E86"/>
    <w:rsid w:val="007B251D"/>
    <w:rsid w:val="007B3533"/>
    <w:rsid w:val="007B4F58"/>
    <w:rsid w:val="007B528D"/>
    <w:rsid w:val="007B63CA"/>
    <w:rsid w:val="007B6D9F"/>
    <w:rsid w:val="007B77D1"/>
    <w:rsid w:val="007B7998"/>
    <w:rsid w:val="007C07C7"/>
    <w:rsid w:val="007C1007"/>
    <w:rsid w:val="007C1CD9"/>
    <w:rsid w:val="007C25CE"/>
    <w:rsid w:val="007C309F"/>
    <w:rsid w:val="007C32EF"/>
    <w:rsid w:val="007C361D"/>
    <w:rsid w:val="007C46D2"/>
    <w:rsid w:val="007C4B84"/>
    <w:rsid w:val="007C5530"/>
    <w:rsid w:val="007C70FF"/>
    <w:rsid w:val="007C725A"/>
    <w:rsid w:val="007C7C25"/>
    <w:rsid w:val="007D004F"/>
    <w:rsid w:val="007D035F"/>
    <w:rsid w:val="007D06B2"/>
    <w:rsid w:val="007D0B38"/>
    <w:rsid w:val="007D2690"/>
    <w:rsid w:val="007D27B2"/>
    <w:rsid w:val="007D2E2E"/>
    <w:rsid w:val="007D3F39"/>
    <w:rsid w:val="007D50B1"/>
    <w:rsid w:val="007D5440"/>
    <w:rsid w:val="007D5A54"/>
    <w:rsid w:val="007D69EB"/>
    <w:rsid w:val="007D753C"/>
    <w:rsid w:val="007D7671"/>
    <w:rsid w:val="007D7697"/>
    <w:rsid w:val="007E056F"/>
    <w:rsid w:val="007E128F"/>
    <w:rsid w:val="007E1590"/>
    <w:rsid w:val="007E2A2B"/>
    <w:rsid w:val="007E3890"/>
    <w:rsid w:val="007E4F7B"/>
    <w:rsid w:val="007E74DE"/>
    <w:rsid w:val="007E7D08"/>
    <w:rsid w:val="007F1017"/>
    <w:rsid w:val="007F1BF3"/>
    <w:rsid w:val="007F248C"/>
    <w:rsid w:val="007F4A3F"/>
    <w:rsid w:val="007F4A61"/>
    <w:rsid w:val="007F5255"/>
    <w:rsid w:val="007F54D2"/>
    <w:rsid w:val="007F56CC"/>
    <w:rsid w:val="007F61C2"/>
    <w:rsid w:val="007F6716"/>
    <w:rsid w:val="007F6E43"/>
    <w:rsid w:val="00800587"/>
    <w:rsid w:val="00801662"/>
    <w:rsid w:val="00803162"/>
    <w:rsid w:val="00803A55"/>
    <w:rsid w:val="00805080"/>
    <w:rsid w:val="00805142"/>
    <w:rsid w:val="00805ACF"/>
    <w:rsid w:val="00805E2D"/>
    <w:rsid w:val="00805FCE"/>
    <w:rsid w:val="00807A8B"/>
    <w:rsid w:val="00807C98"/>
    <w:rsid w:val="00810FE1"/>
    <w:rsid w:val="00811383"/>
    <w:rsid w:val="0081157D"/>
    <w:rsid w:val="00811E5D"/>
    <w:rsid w:val="00812149"/>
    <w:rsid w:val="00812CAC"/>
    <w:rsid w:val="0081381F"/>
    <w:rsid w:val="00813DAD"/>
    <w:rsid w:val="008140AF"/>
    <w:rsid w:val="0081467F"/>
    <w:rsid w:val="00815296"/>
    <w:rsid w:val="008152E0"/>
    <w:rsid w:val="00816361"/>
    <w:rsid w:val="008166EF"/>
    <w:rsid w:val="00816AF5"/>
    <w:rsid w:val="00816FEF"/>
    <w:rsid w:val="00820A8C"/>
    <w:rsid w:val="0082122D"/>
    <w:rsid w:val="008215FB"/>
    <w:rsid w:val="008220CC"/>
    <w:rsid w:val="00823174"/>
    <w:rsid w:val="008239A2"/>
    <w:rsid w:val="008246AA"/>
    <w:rsid w:val="00824F85"/>
    <w:rsid w:val="00825751"/>
    <w:rsid w:val="00825C08"/>
    <w:rsid w:val="008264EB"/>
    <w:rsid w:val="00826683"/>
    <w:rsid w:val="00826842"/>
    <w:rsid w:val="008268CE"/>
    <w:rsid w:val="00826F5A"/>
    <w:rsid w:val="008270AC"/>
    <w:rsid w:val="00827890"/>
    <w:rsid w:val="00827C23"/>
    <w:rsid w:val="0083191F"/>
    <w:rsid w:val="00832E42"/>
    <w:rsid w:val="00833B05"/>
    <w:rsid w:val="008362B4"/>
    <w:rsid w:val="00840CA2"/>
    <w:rsid w:val="00841CD8"/>
    <w:rsid w:val="00842BB6"/>
    <w:rsid w:val="0084374F"/>
    <w:rsid w:val="0084440B"/>
    <w:rsid w:val="00844A22"/>
    <w:rsid w:val="00847703"/>
    <w:rsid w:val="00847794"/>
    <w:rsid w:val="00847DF5"/>
    <w:rsid w:val="008508D6"/>
    <w:rsid w:val="00850BDB"/>
    <w:rsid w:val="008517B1"/>
    <w:rsid w:val="00851A35"/>
    <w:rsid w:val="00852BD9"/>
    <w:rsid w:val="0085309D"/>
    <w:rsid w:val="00854B87"/>
    <w:rsid w:val="00856897"/>
    <w:rsid w:val="00856E9A"/>
    <w:rsid w:val="0086075D"/>
    <w:rsid w:val="00860FD7"/>
    <w:rsid w:val="00862502"/>
    <w:rsid w:val="00862CC1"/>
    <w:rsid w:val="008642A7"/>
    <w:rsid w:val="008660D4"/>
    <w:rsid w:val="00870997"/>
    <w:rsid w:val="008712DB"/>
    <w:rsid w:val="00871FA9"/>
    <w:rsid w:val="008720B3"/>
    <w:rsid w:val="008728E9"/>
    <w:rsid w:val="0087503A"/>
    <w:rsid w:val="00875878"/>
    <w:rsid w:val="00877300"/>
    <w:rsid w:val="0087752A"/>
    <w:rsid w:val="008778B3"/>
    <w:rsid w:val="00882874"/>
    <w:rsid w:val="00882E3C"/>
    <w:rsid w:val="0088308A"/>
    <w:rsid w:val="00883787"/>
    <w:rsid w:val="008847BE"/>
    <w:rsid w:val="008852D1"/>
    <w:rsid w:val="008855E4"/>
    <w:rsid w:val="00886CD2"/>
    <w:rsid w:val="00887495"/>
    <w:rsid w:val="0088781E"/>
    <w:rsid w:val="00887AF3"/>
    <w:rsid w:val="00887AF7"/>
    <w:rsid w:val="00887EE3"/>
    <w:rsid w:val="00891E6F"/>
    <w:rsid w:val="0089275D"/>
    <w:rsid w:val="00892A36"/>
    <w:rsid w:val="00893239"/>
    <w:rsid w:val="00893878"/>
    <w:rsid w:val="00894489"/>
    <w:rsid w:val="00894CD6"/>
    <w:rsid w:val="00894EF7"/>
    <w:rsid w:val="008963A5"/>
    <w:rsid w:val="00896D5D"/>
    <w:rsid w:val="00897913"/>
    <w:rsid w:val="008A1C85"/>
    <w:rsid w:val="008A3158"/>
    <w:rsid w:val="008A3363"/>
    <w:rsid w:val="008A3371"/>
    <w:rsid w:val="008A3C3E"/>
    <w:rsid w:val="008A59DD"/>
    <w:rsid w:val="008A5AC4"/>
    <w:rsid w:val="008A79DE"/>
    <w:rsid w:val="008B0B3D"/>
    <w:rsid w:val="008B1757"/>
    <w:rsid w:val="008B1BB2"/>
    <w:rsid w:val="008B1C33"/>
    <w:rsid w:val="008B4B6F"/>
    <w:rsid w:val="008B7013"/>
    <w:rsid w:val="008B7992"/>
    <w:rsid w:val="008B7D7E"/>
    <w:rsid w:val="008C280F"/>
    <w:rsid w:val="008C2EB8"/>
    <w:rsid w:val="008C3B9F"/>
    <w:rsid w:val="008C3F30"/>
    <w:rsid w:val="008C4B4C"/>
    <w:rsid w:val="008C5272"/>
    <w:rsid w:val="008C5610"/>
    <w:rsid w:val="008C5739"/>
    <w:rsid w:val="008C5C66"/>
    <w:rsid w:val="008C7282"/>
    <w:rsid w:val="008C7ECB"/>
    <w:rsid w:val="008D0031"/>
    <w:rsid w:val="008D06D7"/>
    <w:rsid w:val="008D16AF"/>
    <w:rsid w:val="008D29E8"/>
    <w:rsid w:val="008D3B86"/>
    <w:rsid w:val="008D4063"/>
    <w:rsid w:val="008D43FD"/>
    <w:rsid w:val="008D4755"/>
    <w:rsid w:val="008D4C3D"/>
    <w:rsid w:val="008D743C"/>
    <w:rsid w:val="008E0467"/>
    <w:rsid w:val="008E080C"/>
    <w:rsid w:val="008E0D3C"/>
    <w:rsid w:val="008E1B9E"/>
    <w:rsid w:val="008E207F"/>
    <w:rsid w:val="008E21A2"/>
    <w:rsid w:val="008E270C"/>
    <w:rsid w:val="008E3123"/>
    <w:rsid w:val="008E4EB7"/>
    <w:rsid w:val="008E55AB"/>
    <w:rsid w:val="008E689F"/>
    <w:rsid w:val="008F120A"/>
    <w:rsid w:val="008F2766"/>
    <w:rsid w:val="008F27E0"/>
    <w:rsid w:val="008F48EB"/>
    <w:rsid w:val="008F4F0B"/>
    <w:rsid w:val="008F5BBB"/>
    <w:rsid w:val="008F5E66"/>
    <w:rsid w:val="008F62C9"/>
    <w:rsid w:val="008F7205"/>
    <w:rsid w:val="00900596"/>
    <w:rsid w:val="00902A17"/>
    <w:rsid w:val="009046C4"/>
    <w:rsid w:val="00904BE5"/>
    <w:rsid w:val="009055D0"/>
    <w:rsid w:val="009062A5"/>
    <w:rsid w:val="00906A36"/>
    <w:rsid w:val="00907699"/>
    <w:rsid w:val="00910FA7"/>
    <w:rsid w:val="00911166"/>
    <w:rsid w:val="00911272"/>
    <w:rsid w:val="00911339"/>
    <w:rsid w:val="009135D6"/>
    <w:rsid w:val="00914630"/>
    <w:rsid w:val="00914980"/>
    <w:rsid w:val="00914C77"/>
    <w:rsid w:val="00921ACB"/>
    <w:rsid w:val="0092369B"/>
    <w:rsid w:val="009241A6"/>
    <w:rsid w:val="009244D6"/>
    <w:rsid w:val="00924DCF"/>
    <w:rsid w:val="00925706"/>
    <w:rsid w:val="00926ABB"/>
    <w:rsid w:val="00931086"/>
    <w:rsid w:val="009324B8"/>
    <w:rsid w:val="0093268A"/>
    <w:rsid w:val="009329B3"/>
    <w:rsid w:val="009329ED"/>
    <w:rsid w:val="009332B5"/>
    <w:rsid w:val="00934988"/>
    <w:rsid w:val="009359F9"/>
    <w:rsid w:val="00936AE5"/>
    <w:rsid w:val="00937089"/>
    <w:rsid w:val="00937CBA"/>
    <w:rsid w:val="00940C51"/>
    <w:rsid w:val="0094344B"/>
    <w:rsid w:val="00943E30"/>
    <w:rsid w:val="0094420A"/>
    <w:rsid w:val="00944F8A"/>
    <w:rsid w:val="009462E4"/>
    <w:rsid w:val="009509DE"/>
    <w:rsid w:val="009510A2"/>
    <w:rsid w:val="00953257"/>
    <w:rsid w:val="0095421F"/>
    <w:rsid w:val="0095474C"/>
    <w:rsid w:val="009568FB"/>
    <w:rsid w:val="00956DF9"/>
    <w:rsid w:val="00957D92"/>
    <w:rsid w:val="00960E67"/>
    <w:rsid w:val="00962CB9"/>
    <w:rsid w:val="00964312"/>
    <w:rsid w:val="00965B8A"/>
    <w:rsid w:val="0097071F"/>
    <w:rsid w:val="009717AC"/>
    <w:rsid w:val="00974D0B"/>
    <w:rsid w:val="009751C1"/>
    <w:rsid w:val="0097667D"/>
    <w:rsid w:val="00976B4B"/>
    <w:rsid w:val="0097700F"/>
    <w:rsid w:val="00977410"/>
    <w:rsid w:val="009808E7"/>
    <w:rsid w:val="009811F1"/>
    <w:rsid w:val="00981D2D"/>
    <w:rsid w:val="00981EA2"/>
    <w:rsid w:val="00983E57"/>
    <w:rsid w:val="009857AF"/>
    <w:rsid w:val="00985DE2"/>
    <w:rsid w:val="0098651F"/>
    <w:rsid w:val="0098675D"/>
    <w:rsid w:val="00987BA4"/>
    <w:rsid w:val="009926E0"/>
    <w:rsid w:val="0099451E"/>
    <w:rsid w:val="0099462B"/>
    <w:rsid w:val="00996B1A"/>
    <w:rsid w:val="00997235"/>
    <w:rsid w:val="009A18F6"/>
    <w:rsid w:val="009A2DCC"/>
    <w:rsid w:val="009A4337"/>
    <w:rsid w:val="009A48BB"/>
    <w:rsid w:val="009A5ABC"/>
    <w:rsid w:val="009A6630"/>
    <w:rsid w:val="009A7F10"/>
    <w:rsid w:val="009B045C"/>
    <w:rsid w:val="009B23CE"/>
    <w:rsid w:val="009B3205"/>
    <w:rsid w:val="009B3E26"/>
    <w:rsid w:val="009B6E47"/>
    <w:rsid w:val="009C1271"/>
    <w:rsid w:val="009C3706"/>
    <w:rsid w:val="009C3A3A"/>
    <w:rsid w:val="009C5812"/>
    <w:rsid w:val="009C6BCB"/>
    <w:rsid w:val="009C6CEA"/>
    <w:rsid w:val="009C7B24"/>
    <w:rsid w:val="009C7B85"/>
    <w:rsid w:val="009D0254"/>
    <w:rsid w:val="009D0844"/>
    <w:rsid w:val="009D1A64"/>
    <w:rsid w:val="009D1C1D"/>
    <w:rsid w:val="009D5B91"/>
    <w:rsid w:val="009D792E"/>
    <w:rsid w:val="009E0DFE"/>
    <w:rsid w:val="009E19F5"/>
    <w:rsid w:val="009E31F6"/>
    <w:rsid w:val="009E4C07"/>
    <w:rsid w:val="009E6605"/>
    <w:rsid w:val="009E68E1"/>
    <w:rsid w:val="009E777F"/>
    <w:rsid w:val="009F03A5"/>
    <w:rsid w:val="009F1CEB"/>
    <w:rsid w:val="009F6120"/>
    <w:rsid w:val="009F687F"/>
    <w:rsid w:val="009F77C4"/>
    <w:rsid w:val="00A00D76"/>
    <w:rsid w:val="00A01184"/>
    <w:rsid w:val="00A01449"/>
    <w:rsid w:val="00A03170"/>
    <w:rsid w:val="00A037C2"/>
    <w:rsid w:val="00A03D43"/>
    <w:rsid w:val="00A04380"/>
    <w:rsid w:val="00A04786"/>
    <w:rsid w:val="00A05472"/>
    <w:rsid w:val="00A05C32"/>
    <w:rsid w:val="00A0653F"/>
    <w:rsid w:val="00A078C0"/>
    <w:rsid w:val="00A0798C"/>
    <w:rsid w:val="00A1086D"/>
    <w:rsid w:val="00A11288"/>
    <w:rsid w:val="00A11CD0"/>
    <w:rsid w:val="00A11F42"/>
    <w:rsid w:val="00A13948"/>
    <w:rsid w:val="00A148B2"/>
    <w:rsid w:val="00A1526C"/>
    <w:rsid w:val="00A1555B"/>
    <w:rsid w:val="00A155C5"/>
    <w:rsid w:val="00A16AD8"/>
    <w:rsid w:val="00A2021E"/>
    <w:rsid w:val="00A20D8A"/>
    <w:rsid w:val="00A21C95"/>
    <w:rsid w:val="00A21CF3"/>
    <w:rsid w:val="00A222BD"/>
    <w:rsid w:val="00A230DD"/>
    <w:rsid w:val="00A23CD2"/>
    <w:rsid w:val="00A2441D"/>
    <w:rsid w:val="00A24813"/>
    <w:rsid w:val="00A27AEC"/>
    <w:rsid w:val="00A30CC3"/>
    <w:rsid w:val="00A31ED4"/>
    <w:rsid w:val="00A320DB"/>
    <w:rsid w:val="00A33CB5"/>
    <w:rsid w:val="00A35D16"/>
    <w:rsid w:val="00A3793E"/>
    <w:rsid w:val="00A37BCD"/>
    <w:rsid w:val="00A40992"/>
    <w:rsid w:val="00A40CCE"/>
    <w:rsid w:val="00A41689"/>
    <w:rsid w:val="00A42592"/>
    <w:rsid w:val="00A435E6"/>
    <w:rsid w:val="00A43C59"/>
    <w:rsid w:val="00A46E36"/>
    <w:rsid w:val="00A478C2"/>
    <w:rsid w:val="00A50ECD"/>
    <w:rsid w:val="00A51020"/>
    <w:rsid w:val="00A5120E"/>
    <w:rsid w:val="00A518F3"/>
    <w:rsid w:val="00A51A7A"/>
    <w:rsid w:val="00A52729"/>
    <w:rsid w:val="00A52CDA"/>
    <w:rsid w:val="00A5301B"/>
    <w:rsid w:val="00A53675"/>
    <w:rsid w:val="00A53D72"/>
    <w:rsid w:val="00A54B2F"/>
    <w:rsid w:val="00A564D7"/>
    <w:rsid w:val="00A5652F"/>
    <w:rsid w:val="00A56762"/>
    <w:rsid w:val="00A56B6A"/>
    <w:rsid w:val="00A578DC"/>
    <w:rsid w:val="00A57ABF"/>
    <w:rsid w:val="00A618E9"/>
    <w:rsid w:val="00A61978"/>
    <w:rsid w:val="00A61A29"/>
    <w:rsid w:val="00A61CEF"/>
    <w:rsid w:val="00A62264"/>
    <w:rsid w:val="00A62D5A"/>
    <w:rsid w:val="00A62EF6"/>
    <w:rsid w:val="00A640E2"/>
    <w:rsid w:val="00A64A4F"/>
    <w:rsid w:val="00A64D65"/>
    <w:rsid w:val="00A6725B"/>
    <w:rsid w:val="00A7041D"/>
    <w:rsid w:val="00A70605"/>
    <w:rsid w:val="00A7161B"/>
    <w:rsid w:val="00A73134"/>
    <w:rsid w:val="00A73186"/>
    <w:rsid w:val="00A73524"/>
    <w:rsid w:val="00A7363B"/>
    <w:rsid w:val="00A7365A"/>
    <w:rsid w:val="00A76001"/>
    <w:rsid w:val="00A777B2"/>
    <w:rsid w:val="00A825D4"/>
    <w:rsid w:val="00A828F6"/>
    <w:rsid w:val="00A82981"/>
    <w:rsid w:val="00A82B73"/>
    <w:rsid w:val="00A82BB2"/>
    <w:rsid w:val="00A835F4"/>
    <w:rsid w:val="00A85211"/>
    <w:rsid w:val="00A85C06"/>
    <w:rsid w:val="00A86E8B"/>
    <w:rsid w:val="00A87164"/>
    <w:rsid w:val="00A9165F"/>
    <w:rsid w:val="00A9181D"/>
    <w:rsid w:val="00A92D68"/>
    <w:rsid w:val="00A93072"/>
    <w:rsid w:val="00A938BD"/>
    <w:rsid w:val="00A93953"/>
    <w:rsid w:val="00A94955"/>
    <w:rsid w:val="00A959D8"/>
    <w:rsid w:val="00A96FCF"/>
    <w:rsid w:val="00A97A69"/>
    <w:rsid w:val="00A97FAC"/>
    <w:rsid w:val="00AA113D"/>
    <w:rsid w:val="00AA4A10"/>
    <w:rsid w:val="00AA54DB"/>
    <w:rsid w:val="00AA6BD5"/>
    <w:rsid w:val="00AA6BD8"/>
    <w:rsid w:val="00AA6C7D"/>
    <w:rsid w:val="00AA7FD6"/>
    <w:rsid w:val="00AB00CF"/>
    <w:rsid w:val="00AB042A"/>
    <w:rsid w:val="00AB0F20"/>
    <w:rsid w:val="00AB10F2"/>
    <w:rsid w:val="00AB11AD"/>
    <w:rsid w:val="00AB11B2"/>
    <w:rsid w:val="00AB189B"/>
    <w:rsid w:val="00AB19EF"/>
    <w:rsid w:val="00AB2495"/>
    <w:rsid w:val="00AB2D34"/>
    <w:rsid w:val="00AB3430"/>
    <w:rsid w:val="00AB37B9"/>
    <w:rsid w:val="00AB4AD1"/>
    <w:rsid w:val="00AB5E07"/>
    <w:rsid w:val="00AB7CFA"/>
    <w:rsid w:val="00AC1CAA"/>
    <w:rsid w:val="00AC3443"/>
    <w:rsid w:val="00AC4A9C"/>
    <w:rsid w:val="00AC5B42"/>
    <w:rsid w:val="00AC5B48"/>
    <w:rsid w:val="00AC5EFD"/>
    <w:rsid w:val="00AC75C7"/>
    <w:rsid w:val="00AC7C35"/>
    <w:rsid w:val="00AD0046"/>
    <w:rsid w:val="00AD0105"/>
    <w:rsid w:val="00AD0FEF"/>
    <w:rsid w:val="00AD1450"/>
    <w:rsid w:val="00AD15E8"/>
    <w:rsid w:val="00AD2A4A"/>
    <w:rsid w:val="00AD356D"/>
    <w:rsid w:val="00AD365C"/>
    <w:rsid w:val="00AD51DE"/>
    <w:rsid w:val="00AD5236"/>
    <w:rsid w:val="00AD54F2"/>
    <w:rsid w:val="00AD6502"/>
    <w:rsid w:val="00AD68F4"/>
    <w:rsid w:val="00AE0515"/>
    <w:rsid w:val="00AE0695"/>
    <w:rsid w:val="00AE0C35"/>
    <w:rsid w:val="00AE129F"/>
    <w:rsid w:val="00AE1458"/>
    <w:rsid w:val="00AE3E7E"/>
    <w:rsid w:val="00AE3FEA"/>
    <w:rsid w:val="00AE4CDB"/>
    <w:rsid w:val="00AE51D5"/>
    <w:rsid w:val="00AE719F"/>
    <w:rsid w:val="00AE7E53"/>
    <w:rsid w:val="00AF1315"/>
    <w:rsid w:val="00AF1536"/>
    <w:rsid w:val="00AF19BF"/>
    <w:rsid w:val="00AF2DC3"/>
    <w:rsid w:val="00AF4C79"/>
    <w:rsid w:val="00AF6081"/>
    <w:rsid w:val="00AF7FA4"/>
    <w:rsid w:val="00B023F0"/>
    <w:rsid w:val="00B033E5"/>
    <w:rsid w:val="00B03A63"/>
    <w:rsid w:val="00B0409F"/>
    <w:rsid w:val="00B04286"/>
    <w:rsid w:val="00B04749"/>
    <w:rsid w:val="00B069CA"/>
    <w:rsid w:val="00B06B90"/>
    <w:rsid w:val="00B07382"/>
    <w:rsid w:val="00B11069"/>
    <w:rsid w:val="00B11DB8"/>
    <w:rsid w:val="00B11DF6"/>
    <w:rsid w:val="00B11E3C"/>
    <w:rsid w:val="00B128C7"/>
    <w:rsid w:val="00B129A4"/>
    <w:rsid w:val="00B16A5C"/>
    <w:rsid w:val="00B201A4"/>
    <w:rsid w:val="00B201D1"/>
    <w:rsid w:val="00B204FD"/>
    <w:rsid w:val="00B20A33"/>
    <w:rsid w:val="00B213A6"/>
    <w:rsid w:val="00B235B0"/>
    <w:rsid w:val="00B24062"/>
    <w:rsid w:val="00B24238"/>
    <w:rsid w:val="00B2442D"/>
    <w:rsid w:val="00B2453A"/>
    <w:rsid w:val="00B245A0"/>
    <w:rsid w:val="00B24DF6"/>
    <w:rsid w:val="00B26499"/>
    <w:rsid w:val="00B26E9F"/>
    <w:rsid w:val="00B27167"/>
    <w:rsid w:val="00B27A61"/>
    <w:rsid w:val="00B314F6"/>
    <w:rsid w:val="00B347F1"/>
    <w:rsid w:val="00B34FE2"/>
    <w:rsid w:val="00B35166"/>
    <w:rsid w:val="00B357D8"/>
    <w:rsid w:val="00B360F4"/>
    <w:rsid w:val="00B36945"/>
    <w:rsid w:val="00B36A00"/>
    <w:rsid w:val="00B36CB7"/>
    <w:rsid w:val="00B36F7E"/>
    <w:rsid w:val="00B3792B"/>
    <w:rsid w:val="00B37BFC"/>
    <w:rsid w:val="00B40358"/>
    <w:rsid w:val="00B40B5C"/>
    <w:rsid w:val="00B41614"/>
    <w:rsid w:val="00B419D7"/>
    <w:rsid w:val="00B42851"/>
    <w:rsid w:val="00B42F80"/>
    <w:rsid w:val="00B4313A"/>
    <w:rsid w:val="00B4342F"/>
    <w:rsid w:val="00B435CB"/>
    <w:rsid w:val="00B465EC"/>
    <w:rsid w:val="00B46BEF"/>
    <w:rsid w:val="00B47781"/>
    <w:rsid w:val="00B50205"/>
    <w:rsid w:val="00B505C8"/>
    <w:rsid w:val="00B50792"/>
    <w:rsid w:val="00B50DB8"/>
    <w:rsid w:val="00B53654"/>
    <w:rsid w:val="00B53905"/>
    <w:rsid w:val="00B544CA"/>
    <w:rsid w:val="00B546DB"/>
    <w:rsid w:val="00B54B5B"/>
    <w:rsid w:val="00B5562E"/>
    <w:rsid w:val="00B5572C"/>
    <w:rsid w:val="00B55862"/>
    <w:rsid w:val="00B55D65"/>
    <w:rsid w:val="00B5608E"/>
    <w:rsid w:val="00B56305"/>
    <w:rsid w:val="00B56AFF"/>
    <w:rsid w:val="00B57000"/>
    <w:rsid w:val="00B60939"/>
    <w:rsid w:val="00B60AFD"/>
    <w:rsid w:val="00B62715"/>
    <w:rsid w:val="00B6286D"/>
    <w:rsid w:val="00B63025"/>
    <w:rsid w:val="00B6382A"/>
    <w:rsid w:val="00B640DE"/>
    <w:rsid w:val="00B64348"/>
    <w:rsid w:val="00B64476"/>
    <w:rsid w:val="00B65464"/>
    <w:rsid w:val="00B65611"/>
    <w:rsid w:val="00B658A0"/>
    <w:rsid w:val="00B66A47"/>
    <w:rsid w:val="00B67320"/>
    <w:rsid w:val="00B70E8E"/>
    <w:rsid w:val="00B715AE"/>
    <w:rsid w:val="00B71B10"/>
    <w:rsid w:val="00B71B60"/>
    <w:rsid w:val="00B71DD1"/>
    <w:rsid w:val="00B72287"/>
    <w:rsid w:val="00B73150"/>
    <w:rsid w:val="00B73C05"/>
    <w:rsid w:val="00B76C92"/>
    <w:rsid w:val="00B8008B"/>
    <w:rsid w:val="00B80302"/>
    <w:rsid w:val="00B80EFD"/>
    <w:rsid w:val="00B810A0"/>
    <w:rsid w:val="00B818A4"/>
    <w:rsid w:val="00B8351D"/>
    <w:rsid w:val="00B83739"/>
    <w:rsid w:val="00B84117"/>
    <w:rsid w:val="00B858F0"/>
    <w:rsid w:val="00B85AA2"/>
    <w:rsid w:val="00B8649C"/>
    <w:rsid w:val="00B86603"/>
    <w:rsid w:val="00B8695D"/>
    <w:rsid w:val="00B86B09"/>
    <w:rsid w:val="00B875CA"/>
    <w:rsid w:val="00B87F0A"/>
    <w:rsid w:val="00B902B6"/>
    <w:rsid w:val="00B91D24"/>
    <w:rsid w:val="00B92D0B"/>
    <w:rsid w:val="00B932FB"/>
    <w:rsid w:val="00B94945"/>
    <w:rsid w:val="00B94DD6"/>
    <w:rsid w:val="00B95E2A"/>
    <w:rsid w:val="00BA0B37"/>
    <w:rsid w:val="00BA322D"/>
    <w:rsid w:val="00BA48DA"/>
    <w:rsid w:val="00BA63FA"/>
    <w:rsid w:val="00BA6AAA"/>
    <w:rsid w:val="00BA6BD7"/>
    <w:rsid w:val="00BA7CDF"/>
    <w:rsid w:val="00BB00B3"/>
    <w:rsid w:val="00BB0BDD"/>
    <w:rsid w:val="00BB14A2"/>
    <w:rsid w:val="00BB176C"/>
    <w:rsid w:val="00BB203A"/>
    <w:rsid w:val="00BB2A73"/>
    <w:rsid w:val="00BB32E3"/>
    <w:rsid w:val="00BB35EA"/>
    <w:rsid w:val="00BB374F"/>
    <w:rsid w:val="00BB3A45"/>
    <w:rsid w:val="00BB4ACC"/>
    <w:rsid w:val="00BB703E"/>
    <w:rsid w:val="00BB732D"/>
    <w:rsid w:val="00BB7405"/>
    <w:rsid w:val="00BB7FB6"/>
    <w:rsid w:val="00BC11B9"/>
    <w:rsid w:val="00BC3631"/>
    <w:rsid w:val="00BC5745"/>
    <w:rsid w:val="00BC591F"/>
    <w:rsid w:val="00BC7D6D"/>
    <w:rsid w:val="00BD2108"/>
    <w:rsid w:val="00BD22CA"/>
    <w:rsid w:val="00BD257B"/>
    <w:rsid w:val="00BD59B9"/>
    <w:rsid w:val="00BD673A"/>
    <w:rsid w:val="00BD68A3"/>
    <w:rsid w:val="00BD6938"/>
    <w:rsid w:val="00BD6CF3"/>
    <w:rsid w:val="00BD7022"/>
    <w:rsid w:val="00BD76E8"/>
    <w:rsid w:val="00BD7F72"/>
    <w:rsid w:val="00BE0863"/>
    <w:rsid w:val="00BE0D44"/>
    <w:rsid w:val="00BE0ECA"/>
    <w:rsid w:val="00BE2180"/>
    <w:rsid w:val="00BE21F2"/>
    <w:rsid w:val="00BE3E9E"/>
    <w:rsid w:val="00BE4275"/>
    <w:rsid w:val="00BE4337"/>
    <w:rsid w:val="00BE5065"/>
    <w:rsid w:val="00BE70BA"/>
    <w:rsid w:val="00BE7D2B"/>
    <w:rsid w:val="00BF06AE"/>
    <w:rsid w:val="00BF0B3F"/>
    <w:rsid w:val="00BF0F95"/>
    <w:rsid w:val="00BF14AF"/>
    <w:rsid w:val="00BF1509"/>
    <w:rsid w:val="00BF19F2"/>
    <w:rsid w:val="00BF1B49"/>
    <w:rsid w:val="00BF2433"/>
    <w:rsid w:val="00BF2E6E"/>
    <w:rsid w:val="00BF4113"/>
    <w:rsid w:val="00BF4420"/>
    <w:rsid w:val="00BF4D5D"/>
    <w:rsid w:val="00BF58DE"/>
    <w:rsid w:val="00BF5AA9"/>
    <w:rsid w:val="00BF5CB4"/>
    <w:rsid w:val="00BF61C9"/>
    <w:rsid w:val="00BF6C94"/>
    <w:rsid w:val="00BF6CCE"/>
    <w:rsid w:val="00BF7208"/>
    <w:rsid w:val="00BF7738"/>
    <w:rsid w:val="00C00424"/>
    <w:rsid w:val="00C00BB0"/>
    <w:rsid w:val="00C01E54"/>
    <w:rsid w:val="00C01EA0"/>
    <w:rsid w:val="00C03929"/>
    <w:rsid w:val="00C062B9"/>
    <w:rsid w:val="00C06781"/>
    <w:rsid w:val="00C06F42"/>
    <w:rsid w:val="00C07A1D"/>
    <w:rsid w:val="00C10E01"/>
    <w:rsid w:val="00C1146F"/>
    <w:rsid w:val="00C1179F"/>
    <w:rsid w:val="00C127B9"/>
    <w:rsid w:val="00C128FA"/>
    <w:rsid w:val="00C12C14"/>
    <w:rsid w:val="00C1398E"/>
    <w:rsid w:val="00C13AFA"/>
    <w:rsid w:val="00C15F04"/>
    <w:rsid w:val="00C16AF4"/>
    <w:rsid w:val="00C179B3"/>
    <w:rsid w:val="00C17E3F"/>
    <w:rsid w:val="00C20091"/>
    <w:rsid w:val="00C200AA"/>
    <w:rsid w:val="00C2305A"/>
    <w:rsid w:val="00C230BB"/>
    <w:rsid w:val="00C237ED"/>
    <w:rsid w:val="00C24632"/>
    <w:rsid w:val="00C25418"/>
    <w:rsid w:val="00C25D9C"/>
    <w:rsid w:val="00C26605"/>
    <w:rsid w:val="00C2778B"/>
    <w:rsid w:val="00C27CD2"/>
    <w:rsid w:val="00C303EB"/>
    <w:rsid w:val="00C31649"/>
    <w:rsid w:val="00C3434C"/>
    <w:rsid w:val="00C34DF3"/>
    <w:rsid w:val="00C35290"/>
    <w:rsid w:val="00C35F79"/>
    <w:rsid w:val="00C37616"/>
    <w:rsid w:val="00C4035A"/>
    <w:rsid w:val="00C40385"/>
    <w:rsid w:val="00C4174A"/>
    <w:rsid w:val="00C41768"/>
    <w:rsid w:val="00C4276A"/>
    <w:rsid w:val="00C429A4"/>
    <w:rsid w:val="00C4645E"/>
    <w:rsid w:val="00C46A76"/>
    <w:rsid w:val="00C46ADD"/>
    <w:rsid w:val="00C475AA"/>
    <w:rsid w:val="00C505BE"/>
    <w:rsid w:val="00C5104A"/>
    <w:rsid w:val="00C51B78"/>
    <w:rsid w:val="00C5222D"/>
    <w:rsid w:val="00C52463"/>
    <w:rsid w:val="00C527C7"/>
    <w:rsid w:val="00C52E23"/>
    <w:rsid w:val="00C53AA9"/>
    <w:rsid w:val="00C53C98"/>
    <w:rsid w:val="00C54068"/>
    <w:rsid w:val="00C56FCF"/>
    <w:rsid w:val="00C576BE"/>
    <w:rsid w:val="00C57B16"/>
    <w:rsid w:val="00C57B6C"/>
    <w:rsid w:val="00C61A59"/>
    <w:rsid w:val="00C628A6"/>
    <w:rsid w:val="00C62A0E"/>
    <w:rsid w:val="00C6375A"/>
    <w:rsid w:val="00C63B2C"/>
    <w:rsid w:val="00C64344"/>
    <w:rsid w:val="00C64CAE"/>
    <w:rsid w:val="00C65108"/>
    <w:rsid w:val="00C653A2"/>
    <w:rsid w:val="00C65576"/>
    <w:rsid w:val="00C660C1"/>
    <w:rsid w:val="00C66165"/>
    <w:rsid w:val="00C66BB4"/>
    <w:rsid w:val="00C6788E"/>
    <w:rsid w:val="00C7060A"/>
    <w:rsid w:val="00C70817"/>
    <w:rsid w:val="00C7151A"/>
    <w:rsid w:val="00C7167F"/>
    <w:rsid w:val="00C717E3"/>
    <w:rsid w:val="00C71F60"/>
    <w:rsid w:val="00C72241"/>
    <w:rsid w:val="00C72E38"/>
    <w:rsid w:val="00C73033"/>
    <w:rsid w:val="00C73300"/>
    <w:rsid w:val="00C73C6C"/>
    <w:rsid w:val="00C74E91"/>
    <w:rsid w:val="00C750C8"/>
    <w:rsid w:val="00C7560F"/>
    <w:rsid w:val="00C76FDD"/>
    <w:rsid w:val="00C7712C"/>
    <w:rsid w:val="00C80A0E"/>
    <w:rsid w:val="00C80BFE"/>
    <w:rsid w:val="00C810F6"/>
    <w:rsid w:val="00C81936"/>
    <w:rsid w:val="00C8213F"/>
    <w:rsid w:val="00C8303F"/>
    <w:rsid w:val="00C839C1"/>
    <w:rsid w:val="00C84D15"/>
    <w:rsid w:val="00C85154"/>
    <w:rsid w:val="00C85A70"/>
    <w:rsid w:val="00C8797A"/>
    <w:rsid w:val="00C900B8"/>
    <w:rsid w:val="00C90197"/>
    <w:rsid w:val="00C90952"/>
    <w:rsid w:val="00C90C71"/>
    <w:rsid w:val="00C91997"/>
    <w:rsid w:val="00C91FD1"/>
    <w:rsid w:val="00C931CF"/>
    <w:rsid w:val="00C938CF"/>
    <w:rsid w:val="00C94053"/>
    <w:rsid w:val="00C959E4"/>
    <w:rsid w:val="00C9624D"/>
    <w:rsid w:val="00C969DA"/>
    <w:rsid w:val="00CA254B"/>
    <w:rsid w:val="00CA2AB0"/>
    <w:rsid w:val="00CA2C77"/>
    <w:rsid w:val="00CA347E"/>
    <w:rsid w:val="00CA444F"/>
    <w:rsid w:val="00CA5245"/>
    <w:rsid w:val="00CA71F4"/>
    <w:rsid w:val="00CA7AE7"/>
    <w:rsid w:val="00CA7B09"/>
    <w:rsid w:val="00CB12A5"/>
    <w:rsid w:val="00CB1C82"/>
    <w:rsid w:val="00CB1CAC"/>
    <w:rsid w:val="00CB2F2A"/>
    <w:rsid w:val="00CB578B"/>
    <w:rsid w:val="00CB5B1A"/>
    <w:rsid w:val="00CB5E25"/>
    <w:rsid w:val="00CB6B22"/>
    <w:rsid w:val="00CB7F5F"/>
    <w:rsid w:val="00CB7FEC"/>
    <w:rsid w:val="00CC1B39"/>
    <w:rsid w:val="00CC1BFA"/>
    <w:rsid w:val="00CC2045"/>
    <w:rsid w:val="00CC2B42"/>
    <w:rsid w:val="00CC2E9F"/>
    <w:rsid w:val="00CC3317"/>
    <w:rsid w:val="00CC35EA"/>
    <w:rsid w:val="00CC3848"/>
    <w:rsid w:val="00CC6D2E"/>
    <w:rsid w:val="00CC6D5E"/>
    <w:rsid w:val="00CC7A6E"/>
    <w:rsid w:val="00CC7AFE"/>
    <w:rsid w:val="00CD0200"/>
    <w:rsid w:val="00CD068A"/>
    <w:rsid w:val="00CD1AFB"/>
    <w:rsid w:val="00CD3983"/>
    <w:rsid w:val="00CD3ED2"/>
    <w:rsid w:val="00CD3F77"/>
    <w:rsid w:val="00CD615D"/>
    <w:rsid w:val="00CD6ADC"/>
    <w:rsid w:val="00CD7193"/>
    <w:rsid w:val="00CE118F"/>
    <w:rsid w:val="00CE176C"/>
    <w:rsid w:val="00CE318F"/>
    <w:rsid w:val="00CE38C8"/>
    <w:rsid w:val="00CE3EB2"/>
    <w:rsid w:val="00CE424E"/>
    <w:rsid w:val="00CE524F"/>
    <w:rsid w:val="00CE58CC"/>
    <w:rsid w:val="00CE5FEA"/>
    <w:rsid w:val="00CE6261"/>
    <w:rsid w:val="00CE6274"/>
    <w:rsid w:val="00CE6E08"/>
    <w:rsid w:val="00CE77B6"/>
    <w:rsid w:val="00CF2B8D"/>
    <w:rsid w:val="00CF33BC"/>
    <w:rsid w:val="00CF3A1B"/>
    <w:rsid w:val="00CF456B"/>
    <w:rsid w:val="00CF5A22"/>
    <w:rsid w:val="00CF736A"/>
    <w:rsid w:val="00D0262E"/>
    <w:rsid w:val="00D03679"/>
    <w:rsid w:val="00D0471C"/>
    <w:rsid w:val="00D04AA0"/>
    <w:rsid w:val="00D0548B"/>
    <w:rsid w:val="00D05E3D"/>
    <w:rsid w:val="00D06139"/>
    <w:rsid w:val="00D110BD"/>
    <w:rsid w:val="00D1260F"/>
    <w:rsid w:val="00D13675"/>
    <w:rsid w:val="00D139EC"/>
    <w:rsid w:val="00D141E1"/>
    <w:rsid w:val="00D15314"/>
    <w:rsid w:val="00D15B34"/>
    <w:rsid w:val="00D15B48"/>
    <w:rsid w:val="00D16A93"/>
    <w:rsid w:val="00D17D6C"/>
    <w:rsid w:val="00D2155B"/>
    <w:rsid w:val="00D23326"/>
    <w:rsid w:val="00D23D11"/>
    <w:rsid w:val="00D2444E"/>
    <w:rsid w:val="00D244B6"/>
    <w:rsid w:val="00D2490C"/>
    <w:rsid w:val="00D252A3"/>
    <w:rsid w:val="00D27347"/>
    <w:rsid w:val="00D2754D"/>
    <w:rsid w:val="00D27B27"/>
    <w:rsid w:val="00D30D5B"/>
    <w:rsid w:val="00D31DF1"/>
    <w:rsid w:val="00D33BE9"/>
    <w:rsid w:val="00D33F93"/>
    <w:rsid w:val="00D357FF"/>
    <w:rsid w:val="00D358A7"/>
    <w:rsid w:val="00D3728B"/>
    <w:rsid w:val="00D424C7"/>
    <w:rsid w:val="00D43AA9"/>
    <w:rsid w:val="00D43B2A"/>
    <w:rsid w:val="00D43CF1"/>
    <w:rsid w:val="00D43D83"/>
    <w:rsid w:val="00D441B7"/>
    <w:rsid w:val="00D45BA4"/>
    <w:rsid w:val="00D462E2"/>
    <w:rsid w:val="00D473C0"/>
    <w:rsid w:val="00D47575"/>
    <w:rsid w:val="00D5033F"/>
    <w:rsid w:val="00D516BB"/>
    <w:rsid w:val="00D523F9"/>
    <w:rsid w:val="00D5243B"/>
    <w:rsid w:val="00D533EC"/>
    <w:rsid w:val="00D562CB"/>
    <w:rsid w:val="00D56A95"/>
    <w:rsid w:val="00D56DBA"/>
    <w:rsid w:val="00D571F0"/>
    <w:rsid w:val="00D57CB2"/>
    <w:rsid w:val="00D6076E"/>
    <w:rsid w:val="00D60E27"/>
    <w:rsid w:val="00D61D35"/>
    <w:rsid w:val="00D63628"/>
    <w:rsid w:val="00D6400F"/>
    <w:rsid w:val="00D66D08"/>
    <w:rsid w:val="00D7007C"/>
    <w:rsid w:val="00D700BB"/>
    <w:rsid w:val="00D70F16"/>
    <w:rsid w:val="00D724A7"/>
    <w:rsid w:val="00D72617"/>
    <w:rsid w:val="00D72B86"/>
    <w:rsid w:val="00D72F57"/>
    <w:rsid w:val="00D7374C"/>
    <w:rsid w:val="00D74764"/>
    <w:rsid w:val="00D76312"/>
    <w:rsid w:val="00D76A44"/>
    <w:rsid w:val="00D815EF"/>
    <w:rsid w:val="00D81949"/>
    <w:rsid w:val="00D81F26"/>
    <w:rsid w:val="00D822E2"/>
    <w:rsid w:val="00D843EA"/>
    <w:rsid w:val="00D843F2"/>
    <w:rsid w:val="00D853B4"/>
    <w:rsid w:val="00D8542B"/>
    <w:rsid w:val="00D86231"/>
    <w:rsid w:val="00D86481"/>
    <w:rsid w:val="00D86711"/>
    <w:rsid w:val="00D86753"/>
    <w:rsid w:val="00D912AB"/>
    <w:rsid w:val="00D91923"/>
    <w:rsid w:val="00D926E9"/>
    <w:rsid w:val="00D93753"/>
    <w:rsid w:val="00D96181"/>
    <w:rsid w:val="00D97748"/>
    <w:rsid w:val="00DA000C"/>
    <w:rsid w:val="00DA0370"/>
    <w:rsid w:val="00DA0D14"/>
    <w:rsid w:val="00DA11DB"/>
    <w:rsid w:val="00DA1950"/>
    <w:rsid w:val="00DA1CA4"/>
    <w:rsid w:val="00DA3167"/>
    <w:rsid w:val="00DA4900"/>
    <w:rsid w:val="00DA4C18"/>
    <w:rsid w:val="00DA4DC3"/>
    <w:rsid w:val="00DA6634"/>
    <w:rsid w:val="00DA77A5"/>
    <w:rsid w:val="00DB0E36"/>
    <w:rsid w:val="00DB223C"/>
    <w:rsid w:val="00DB2D4B"/>
    <w:rsid w:val="00DB3DBF"/>
    <w:rsid w:val="00DB484F"/>
    <w:rsid w:val="00DB7A9D"/>
    <w:rsid w:val="00DC04F6"/>
    <w:rsid w:val="00DC0690"/>
    <w:rsid w:val="00DC1BCA"/>
    <w:rsid w:val="00DC1D65"/>
    <w:rsid w:val="00DC22F5"/>
    <w:rsid w:val="00DC3798"/>
    <w:rsid w:val="00DC3C57"/>
    <w:rsid w:val="00DC4DA8"/>
    <w:rsid w:val="00DC5307"/>
    <w:rsid w:val="00DC5501"/>
    <w:rsid w:val="00DC5DE4"/>
    <w:rsid w:val="00DC6013"/>
    <w:rsid w:val="00DC7154"/>
    <w:rsid w:val="00DC7E8A"/>
    <w:rsid w:val="00DD0F78"/>
    <w:rsid w:val="00DD2499"/>
    <w:rsid w:val="00DD273C"/>
    <w:rsid w:val="00DD282F"/>
    <w:rsid w:val="00DD3F28"/>
    <w:rsid w:val="00DD4446"/>
    <w:rsid w:val="00DD4537"/>
    <w:rsid w:val="00DD4E15"/>
    <w:rsid w:val="00DD5D5C"/>
    <w:rsid w:val="00DD624A"/>
    <w:rsid w:val="00DE2304"/>
    <w:rsid w:val="00DE27E8"/>
    <w:rsid w:val="00DE3138"/>
    <w:rsid w:val="00DE37F8"/>
    <w:rsid w:val="00DE4273"/>
    <w:rsid w:val="00DE4FCB"/>
    <w:rsid w:val="00DE5D07"/>
    <w:rsid w:val="00DE72A7"/>
    <w:rsid w:val="00DE7832"/>
    <w:rsid w:val="00DF10E5"/>
    <w:rsid w:val="00DF18FC"/>
    <w:rsid w:val="00DF24B3"/>
    <w:rsid w:val="00DF28AC"/>
    <w:rsid w:val="00DF3983"/>
    <w:rsid w:val="00DF57E7"/>
    <w:rsid w:val="00DF5D2B"/>
    <w:rsid w:val="00DF6341"/>
    <w:rsid w:val="00DF75FC"/>
    <w:rsid w:val="00DF7D18"/>
    <w:rsid w:val="00E00DB2"/>
    <w:rsid w:val="00E00E8E"/>
    <w:rsid w:val="00E04F18"/>
    <w:rsid w:val="00E054EC"/>
    <w:rsid w:val="00E05630"/>
    <w:rsid w:val="00E05E45"/>
    <w:rsid w:val="00E061B2"/>
    <w:rsid w:val="00E061C3"/>
    <w:rsid w:val="00E06DBB"/>
    <w:rsid w:val="00E0750E"/>
    <w:rsid w:val="00E077B6"/>
    <w:rsid w:val="00E10149"/>
    <w:rsid w:val="00E11340"/>
    <w:rsid w:val="00E122A1"/>
    <w:rsid w:val="00E128CA"/>
    <w:rsid w:val="00E134A2"/>
    <w:rsid w:val="00E16372"/>
    <w:rsid w:val="00E16AD8"/>
    <w:rsid w:val="00E17FFA"/>
    <w:rsid w:val="00E20866"/>
    <w:rsid w:val="00E20E4D"/>
    <w:rsid w:val="00E20ED6"/>
    <w:rsid w:val="00E21358"/>
    <w:rsid w:val="00E2162B"/>
    <w:rsid w:val="00E21BA0"/>
    <w:rsid w:val="00E2249B"/>
    <w:rsid w:val="00E22A0D"/>
    <w:rsid w:val="00E22BEC"/>
    <w:rsid w:val="00E23684"/>
    <w:rsid w:val="00E244F6"/>
    <w:rsid w:val="00E258DB"/>
    <w:rsid w:val="00E25E1E"/>
    <w:rsid w:val="00E2771E"/>
    <w:rsid w:val="00E310E5"/>
    <w:rsid w:val="00E311EF"/>
    <w:rsid w:val="00E32180"/>
    <w:rsid w:val="00E321AF"/>
    <w:rsid w:val="00E321C2"/>
    <w:rsid w:val="00E32312"/>
    <w:rsid w:val="00E33612"/>
    <w:rsid w:val="00E346A3"/>
    <w:rsid w:val="00E34948"/>
    <w:rsid w:val="00E37569"/>
    <w:rsid w:val="00E401B2"/>
    <w:rsid w:val="00E4060E"/>
    <w:rsid w:val="00E4123B"/>
    <w:rsid w:val="00E41E30"/>
    <w:rsid w:val="00E42F73"/>
    <w:rsid w:val="00E437A1"/>
    <w:rsid w:val="00E43D70"/>
    <w:rsid w:val="00E466F3"/>
    <w:rsid w:val="00E47B2C"/>
    <w:rsid w:val="00E50138"/>
    <w:rsid w:val="00E511B1"/>
    <w:rsid w:val="00E51560"/>
    <w:rsid w:val="00E51821"/>
    <w:rsid w:val="00E51BA0"/>
    <w:rsid w:val="00E5205B"/>
    <w:rsid w:val="00E5367C"/>
    <w:rsid w:val="00E537DF"/>
    <w:rsid w:val="00E53FC8"/>
    <w:rsid w:val="00E5428A"/>
    <w:rsid w:val="00E54347"/>
    <w:rsid w:val="00E54CBE"/>
    <w:rsid w:val="00E54DF4"/>
    <w:rsid w:val="00E55424"/>
    <w:rsid w:val="00E55915"/>
    <w:rsid w:val="00E55BB5"/>
    <w:rsid w:val="00E55C36"/>
    <w:rsid w:val="00E55F5C"/>
    <w:rsid w:val="00E5627A"/>
    <w:rsid w:val="00E56770"/>
    <w:rsid w:val="00E569DC"/>
    <w:rsid w:val="00E611DF"/>
    <w:rsid w:val="00E64C78"/>
    <w:rsid w:val="00E64CFA"/>
    <w:rsid w:val="00E65E79"/>
    <w:rsid w:val="00E66BA2"/>
    <w:rsid w:val="00E67416"/>
    <w:rsid w:val="00E67704"/>
    <w:rsid w:val="00E704ED"/>
    <w:rsid w:val="00E718B6"/>
    <w:rsid w:val="00E71A9B"/>
    <w:rsid w:val="00E723BA"/>
    <w:rsid w:val="00E73581"/>
    <w:rsid w:val="00E75257"/>
    <w:rsid w:val="00E7533B"/>
    <w:rsid w:val="00E75A5C"/>
    <w:rsid w:val="00E82957"/>
    <w:rsid w:val="00E833F7"/>
    <w:rsid w:val="00E83BDF"/>
    <w:rsid w:val="00E855A4"/>
    <w:rsid w:val="00E8630E"/>
    <w:rsid w:val="00E86FCC"/>
    <w:rsid w:val="00E87A1D"/>
    <w:rsid w:val="00E90390"/>
    <w:rsid w:val="00E9082E"/>
    <w:rsid w:val="00E9094A"/>
    <w:rsid w:val="00E91D35"/>
    <w:rsid w:val="00E926A5"/>
    <w:rsid w:val="00E962CC"/>
    <w:rsid w:val="00E9756C"/>
    <w:rsid w:val="00EA17C3"/>
    <w:rsid w:val="00EA2CAA"/>
    <w:rsid w:val="00EA3864"/>
    <w:rsid w:val="00EA56E9"/>
    <w:rsid w:val="00EA5706"/>
    <w:rsid w:val="00EA6521"/>
    <w:rsid w:val="00EA7F1C"/>
    <w:rsid w:val="00EB15B6"/>
    <w:rsid w:val="00EB3535"/>
    <w:rsid w:val="00EB35EF"/>
    <w:rsid w:val="00EB3B5C"/>
    <w:rsid w:val="00EB3D06"/>
    <w:rsid w:val="00EB410E"/>
    <w:rsid w:val="00EB448B"/>
    <w:rsid w:val="00EB4916"/>
    <w:rsid w:val="00EB5254"/>
    <w:rsid w:val="00EB5868"/>
    <w:rsid w:val="00EC00C9"/>
    <w:rsid w:val="00EC0DD9"/>
    <w:rsid w:val="00EC1985"/>
    <w:rsid w:val="00EC2649"/>
    <w:rsid w:val="00EC31ED"/>
    <w:rsid w:val="00EC3F74"/>
    <w:rsid w:val="00EC46D1"/>
    <w:rsid w:val="00EC56F8"/>
    <w:rsid w:val="00EC5708"/>
    <w:rsid w:val="00EC5836"/>
    <w:rsid w:val="00EC5C09"/>
    <w:rsid w:val="00EC600D"/>
    <w:rsid w:val="00EC688C"/>
    <w:rsid w:val="00ED06EC"/>
    <w:rsid w:val="00ED12E3"/>
    <w:rsid w:val="00ED200D"/>
    <w:rsid w:val="00ED26D4"/>
    <w:rsid w:val="00ED287F"/>
    <w:rsid w:val="00ED3C39"/>
    <w:rsid w:val="00ED4B04"/>
    <w:rsid w:val="00ED57EA"/>
    <w:rsid w:val="00ED5BD4"/>
    <w:rsid w:val="00EE0720"/>
    <w:rsid w:val="00EE07D3"/>
    <w:rsid w:val="00EE1996"/>
    <w:rsid w:val="00EE1C01"/>
    <w:rsid w:val="00EE22AF"/>
    <w:rsid w:val="00EE3BF6"/>
    <w:rsid w:val="00EE4FC4"/>
    <w:rsid w:val="00EE687A"/>
    <w:rsid w:val="00EE72D0"/>
    <w:rsid w:val="00EF0171"/>
    <w:rsid w:val="00EF1B25"/>
    <w:rsid w:val="00EF1DA0"/>
    <w:rsid w:val="00EF2FEC"/>
    <w:rsid w:val="00EF329E"/>
    <w:rsid w:val="00EF405E"/>
    <w:rsid w:val="00EF4747"/>
    <w:rsid w:val="00EF4BF8"/>
    <w:rsid w:val="00EF6766"/>
    <w:rsid w:val="00EF6B11"/>
    <w:rsid w:val="00EF6B64"/>
    <w:rsid w:val="00EF7B08"/>
    <w:rsid w:val="00EF7F1F"/>
    <w:rsid w:val="00F00DB9"/>
    <w:rsid w:val="00F00E2E"/>
    <w:rsid w:val="00F02253"/>
    <w:rsid w:val="00F02A1E"/>
    <w:rsid w:val="00F02F67"/>
    <w:rsid w:val="00F03427"/>
    <w:rsid w:val="00F03704"/>
    <w:rsid w:val="00F03C2E"/>
    <w:rsid w:val="00F04493"/>
    <w:rsid w:val="00F04A66"/>
    <w:rsid w:val="00F04B4B"/>
    <w:rsid w:val="00F0516C"/>
    <w:rsid w:val="00F05AA3"/>
    <w:rsid w:val="00F067A2"/>
    <w:rsid w:val="00F06945"/>
    <w:rsid w:val="00F0752F"/>
    <w:rsid w:val="00F07B9E"/>
    <w:rsid w:val="00F10C9A"/>
    <w:rsid w:val="00F1116F"/>
    <w:rsid w:val="00F11999"/>
    <w:rsid w:val="00F1263A"/>
    <w:rsid w:val="00F139C5"/>
    <w:rsid w:val="00F155E7"/>
    <w:rsid w:val="00F157EC"/>
    <w:rsid w:val="00F158ED"/>
    <w:rsid w:val="00F15B77"/>
    <w:rsid w:val="00F17750"/>
    <w:rsid w:val="00F21236"/>
    <w:rsid w:val="00F24837"/>
    <w:rsid w:val="00F2575F"/>
    <w:rsid w:val="00F26C70"/>
    <w:rsid w:val="00F27565"/>
    <w:rsid w:val="00F27936"/>
    <w:rsid w:val="00F305AB"/>
    <w:rsid w:val="00F310D4"/>
    <w:rsid w:val="00F31AB3"/>
    <w:rsid w:val="00F31D5A"/>
    <w:rsid w:val="00F3286B"/>
    <w:rsid w:val="00F3362A"/>
    <w:rsid w:val="00F33975"/>
    <w:rsid w:val="00F33DE9"/>
    <w:rsid w:val="00F3489D"/>
    <w:rsid w:val="00F35E6D"/>
    <w:rsid w:val="00F35EF4"/>
    <w:rsid w:val="00F3619A"/>
    <w:rsid w:val="00F37A23"/>
    <w:rsid w:val="00F403A9"/>
    <w:rsid w:val="00F4073C"/>
    <w:rsid w:val="00F40AAA"/>
    <w:rsid w:val="00F40BA7"/>
    <w:rsid w:val="00F40F9D"/>
    <w:rsid w:val="00F41ACD"/>
    <w:rsid w:val="00F41D2B"/>
    <w:rsid w:val="00F4426B"/>
    <w:rsid w:val="00F44E58"/>
    <w:rsid w:val="00F456A2"/>
    <w:rsid w:val="00F46153"/>
    <w:rsid w:val="00F46CB6"/>
    <w:rsid w:val="00F4756D"/>
    <w:rsid w:val="00F47DE8"/>
    <w:rsid w:val="00F52A43"/>
    <w:rsid w:val="00F542C1"/>
    <w:rsid w:val="00F54CA8"/>
    <w:rsid w:val="00F550E3"/>
    <w:rsid w:val="00F55E73"/>
    <w:rsid w:val="00F55EDA"/>
    <w:rsid w:val="00F56C80"/>
    <w:rsid w:val="00F5725D"/>
    <w:rsid w:val="00F60092"/>
    <w:rsid w:val="00F60F7E"/>
    <w:rsid w:val="00F61C18"/>
    <w:rsid w:val="00F6246C"/>
    <w:rsid w:val="00F62D28"/>
    <w:rsid w:val="00F6538C"/>
    <w:rsid w:val="00F654CA"/>
    <w:rsid w:val="00F65D88"/>
    <w:rsid w:val="00F65F4B"/>
    <w:rsid w:val="00F661F5"/>
    <w:rsid w:val="00F66DD8"/>
    <w:rsid w:val="00F67A69"/>
    <w:rsid w:val="00F709AD"/>
    <w:rsid w:val="00F70AF7"/>
    <w:rsid w:val="00F70BFF"/>
    <w:rsid w:val="00F70C9D"/>
    <w:rsid w:val="00F71448"/>
    <w:rsid w:val="00F71E5E"/>
    <w:rsid w:val="00F726F5"/>
    <w:rsid w:val="00F73E08"/>
    <w:rsid w:val="00F74CD9"/>
    <w:rsid w:val="00F80A7B"/>
    <w:rsid w:val="00F80E5D"/>
    <w:rsid w:val="00F81E78"/>
    <w:rsid w:val="00F835E9"/>
    <w:rsid w:val="00F8376E"/>
    <w:rsid w:val="00F83916"/>
    <w:rsid w:val="00F84316"/>
    <w:rsid w:val="00F848A8"/>
    <w:rsid w:val="00F851CE"/>
    <w:rsid w:val="00F860D0"/>
    <w:rsid w:val="00F87494"/>
    <w:rsid w:val="00F87CBC"/>
    <w:rsid w:val="00F91219"/>
    <w:rsid w:val="00F92444"/>
    <w:rsid w:val="00F92D14"/>
    <w:rsid w:val="00F9393E"/>
    <w:rsid w:val="00F939EC"/>
    <w:rsid w:val="00F94A2C"/>
    <w:rsid w:val="00F9593A"/>
    <w:rsid w:val="00F96FD0"/>
    <w:rsid w:val="00F97A78"/>
    <w:rsid w:val="00FA0B20"/>
    <w:rsid w:val="00FA1E1B"/>
    <w:rsid w:val="00FA2152"/>
    <w:rsid w:val="00FA24E7"/>
    <w:rsid w:val="00FA2640"/>
    <w:rsid w:val="00FA37D1"/>
    <w:rsid w:val="00FA4499"/>
    <w:rsid w:val="00FA50AD"/>
    <w:rsid w:val="00FA568B"/>
    <w:rsid w:val="00FA5EE6"/>
    <w:rsid w:val="00FA7956"/>
    <w:rsid w:val="00FB0824"/>
    <w:rsid w:val="00FB1BD1"/>
    <w:rsid w:val="00FB23A8"/>
    <w:rsid w:val="00FB2FCB"/>
    <w:rsid w:val="00FB4009"/>
    <w:rsid w:val="00FB4C9C"/>
    <w:rsid w:val="00FB5CC4"/>
    <w:rsid w:val="00FB781A"/>
    <w:rsid w:val="00FB7BDC"/>
    <w:rsid w:val="00FB7C55"/>
    <w:rsid w:val="00FC013C"/>
    <w:rsid w:val="00FC1074"/>
    <w:rsid w:val="00FC1884"/>
    <w:rsid w:val="00FC1DB3"/>
    <w:rsid w:val="00FC3232"/>
    <w:rsid w:val="00FC371D"/>
    <w:rsid w:val="00FC4A5B"/>
    <w:rsid w:val="00FC5F0B"/>
    <w:rsid w:val="00FC7C93"/>
    <w:rsid w:val="00FD0BD1"/>
    <w:rsid w:val="00FD155B"/>
    <w:rsid w:val="00FD1CCC"/>
    <w:rsid w:val="00FD1D44"/>
    <w:rsid w:val="00FD2100"/>
    <w:rsid w:val="00FD436C"/>
    <w:rsid w:val="00FD446D"/>
    <w:rsid w:val="00FD4F2C"/>
    <w:rsid w:val="00FD6394"/>
    <w:rsid w:val="00FE0C39"/>
    <w:rsid w:val="00FE0E37"/>
    <w:rsid w:val="00FE0E6C"/>
    <w:rsid w:val="00FE1CDC"/>
    <w:rsid w:val="00FE4ECB"/>
    <w:rsid w:val="00FE5353"/>
    <w:rsid w:val="00FE6BDE"/>
    <w:rsid w:val="00FE6E00"/>
    <w:rsid w:val="00FE707D"/>
    <w:rsid w:val="00FE70C3"/>
    <w:rsid w:val="00FE73AC"/>
    <w:rsid w:val="00FF14C1"/>
    <w:rsid w:val="00FF15DB"/>
    <w:rsid w:val="00FF1A8B"/>
    <w:rsid w:val="00FF2AD9"/>
    <w:rsid w:val="00FF359F"/>
    <w:rsid w:val="00FF36DF"/>
    <w:rsid w:val="00FF3DCF"/>
    <w:rsid w:val="00FF492C"/>
    <w:rsid w:val="00FF4A21"/>
    <w:rsid w:val="00FF4AD6"/>
    <w:rsid w:val="00FF4B3B"/>
    <w:rsid w:val="00FF4D55"/>
    <w:rsid w:val="00FF5AA3"/>
    <w:rsid w:val="00FF5AD8"/>
    <w:rsid w:val="00FF6A88"/>
    <w:rsid w:val="00FF7E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21"/>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E6A"/>
    <w:pPr>
      <w:jc w:val="both"/>
    </w:pPr>
    <w:rPr>
      <w:rFonts w:ascii="Calibri" w:hAnsi="Calibri" w:cs="Arial"/>
      <w:sz w:val="24"/>
      <w:szCs w:val="24"/>
    </w:rPr>
  </w:style>
  <w:style w:type="paragraph" w:styleId="Heading1">
    <w:name w:val="heading 1"/>
    <w:aliases w:val="Titol 1,Titre 11,Heading 11,titre 1,Head-1,Part"/>
    <w:basedOn w:val="Normal"/>
    <w:next w:val="Normal"/>
    <w:link w:val="Heading1Char"/>
    <w:uiPriority w:val="9"/>
    <w:qFormat/>
    <w:rsid w:val="001B204E"/>
    <w:pPr>
      <w:ind w:left="720" w:hanging="720"/>
      <w:outlineLvl w:val="0"/>
    </w:pPr>
    <w:rPr>
      <w:b/>
      <w:caps/>
      <w:sz w:val="32"/>
    </w:rPr>
  </w:style>
  <w:style w:type="paragraph" w:styleId="Heading2">
    <w:name w:val="heading 2"/>
    <w:aliases w:val="Subsection Headings,Titre 21,2,H2,Gulliver Gemen. Fet"/>
    <w:basedOn w:val="Normal"/>
    <w:next w:val="Normal"/>
    <w:link w:val="Heading2Char"/>
    <w:uiPriority w:val="9"/>
    <w:qFormat/>
    <w:rsid w:val="001B204E"/>
    <w:pPr>
      <w:outlineLvl w:val="1"/>
    </w:pPr>
    <w:rPr>
      <w:b/>
      <w:i/>
      <w:sz w:val="28"/>
    </w:rPr>
  </w:style>
  <w:style w:type="paragraph" w:styleId="Heading3">
    <w:name w:val="heading 3"/>
    <w:aliases w:val="Titre 31"/>
    <w:basedOn w:val="Normal"/>
    <w:next w:val="Normal"/>
    <w:link w:val="Heading3Char"/>
    <w:uiPriority w:val="9"/>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Titre 21 Char,2 Char,H2 Char,Gulliver Gemen. Fet Char"/>
    <w:link w:val="Heading2"/>
    <w:uiPriority w:val="1"/>
    <w:rsid w:val="001B204E"/>
    <w:rPr>
      <w:rFonts w:ascii="Calibri" w:hAnsi="Calibri" w:cs="Arial"/>
      <w:b/>
      <w:i/>
      <w:snapToGrid w:val="0"/>
      <w:sz w:val="28"/>
      <w:szCs w:val="22"/>
      <w:lang w:eastAsia="en-US"/>
    </w:rPr>
  </w:style>
  <w:style w:type="character" w:customStyle="1" w:styleId="Heading3Char">
    <w:name w:val="Heading 3 Char"/>
    <w:aliases w:val="Titre 31 Char"/>
    <w:basedOn w:val="DefaultParagraphFont"/>
    <w:link w:val="Heading3"/>
    <w:uiPriority w:val="9"/>
    <w:rsid w:val="00EC46D1"/>
    <w:rPr>
      <w:rFonts w:ascii="Calibri" w:hAnsi="Calibri" w:cs="Arial"/>
      <w:sz w:val="24"/>
      <w:szCs w:val="24"/>
      <w:u w:val="single"/>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Normal: Bullets,Table Legend,Bullet1,Bullet 1,Bullet List,Section 5,List Table,Bullets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Normal: Bullets Char,Table Legend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uiPriority w:val="99"/>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110620"/>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C3529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customStyle="1" w:styleId="ListBulletlvl3">
    <w:name w:val="List Bullet lvl 3"/>
    <w:basedOn w:val="ListBullet"/>
    <w:qFormat/>
    <w:rsid w:val="00B6382A"/>
    <w:pPr>
      <w:numPr>
        <w:numId w:val="0"/>
      </w:numPr>
      <w:spacing w:after="120" w:line="276" w:lineRule="auto"/>
      <w:ind w:left="2160" w:hanging="360"/>
      <w:contextualSpacing w:val="0"/>
      <w:jc w:val="left"/>
    </w:pPr>
    <w:rPr>
      <w:rFonts w:eastAsiaTheme="minorHAnsi" w:cstheme="minorBidi"/>
      <w:szCs w:val="22"/>
      <w:lang w:eastAsia="en-US"/>
    </w:rPr>
  </w:style>
  <w:style w:type="paragraph" w:customStyle="1" w:styleId="ListBulletlvl4">
    <w:name w:val="List Bullet lvl 4"/>
    <w:basedOn w:val="ListBullet"/>
    <w:qFormat/>
    <w:rsid w:val="00B6382A"/>
    <w:pPr>
      <w:numPr>
        <w:numId w:val="0"/>
      </w:numPr>
      <w:spacing w:after="120" w:line="276" w:lineRule="auto"/>
      <w:ind w:left="2880" w:hanging="360"/>
      <w:contextualSpacing w:val="0"/>
      <w:jc w:val="left"/>
    </w:pPr>
    <w:rPr>
      <w:rFonts w:eastAsiaTheme="minorHAnsi" w:cstheme="minorBidi"/>
      <w:szCs w:val="22"/>
      <w:lang w:eastAsia="en-US"/>
    </w:rPr>
  </w:style>
  <w:style w:type="paragraph" w:customStyle="1" w:styleId="ListBulletlvl5">
    <w:name w:val="List Bullet lvl 5"/>
    <w:basedOn w:val="ListBullet"/>
    <w:qFormat/>
    <w:rsid w:val="00B6382A"/>
    <w:pPr>
      <w:numPr>
        <w:numId w:val="0"/>
      </w:numPr>
      <w:spacing w:after="120" w:line="276" w:lineRule="auto"/>
      <w:ind w:left="3600" w:hanging="360"/>
      <w:contextualSpacing w:val="0"/>
      <w:jc w:val="left"/>
    </w:pPr>
    <w:rPr>
      <w:rFonts w:eastAsiaTheme="minorHAnsi" w:cstheme="minorBidi"/>
      <w:szCs w:val="22"/>
      <w:lang w:eastAsia="en-US"/>
    </w:rPr>
  </w:style>
  <w:style w:type="paragraph" w:customStyle="1" w:styleId="ListBulletlvl6">
    <w:name w:val="List Bullet lvl 6"/>
    <w:basedOn w:val="ListBullet"/>
    <w:qFormat/>
    <w:rsid w:val="00B6382A"/>
    <w:pPr>
      <w:numPr>
        <w:numId w:val="0"/>
      </w:numPr>
      <w:spacing w:after="120" w:line="276" w:lineRule="auto"/>
      <w:ind w:left="4320" w:hanging="360"/>
      <w:contextualSpacing w:val="0"/>
      <w:jc w:val="left"/>
    </w:pPr>
    <w:rPr>
      <w:rFonts w:eastAsiaTheme="minorHAnsi" w:cstheme="minorBidi"/>
      <w:szCs w:val="22"/>
      <w:lang w:eastAsia="en-US"/>
    </w:rPr>
  </w:style>
  <w:style w:type="paragraph" w:customStyle="1" w:styleId="ListBulletlvl7">
    <w:name w:val="List Bullet lvl 7"/>
    <w:basedOn w:val="ListBullet"/>
    <w:qFormat/>
    <w:rsid w:val="00B6382A"/>
    <w:pPr>
      <w:numPr>
        <w:numId w:val="0"/>
      </w:numPr>
      <w:spacing w:after="120" w:line="276" w:lineRule="auto"/>
      <w:ind w:left="5040" w:hanging="360"/>
      <w:contextualSpacing w:val="0"/>
      <w:jc w:val="left"/>
    </w:pPr>
    <w:rPr>
      <w:rFonts w:eastAsiaTheme="minorHAnsi" w:cstheme="minorBidi"/>
      <w:szCs w:val="22"/>
      <w:lang w:eastAsia="en-US"/>
    </w:rPr>
  </w:style>
  <w:style w:type="paragraph" w:customStyle="1" w:styleId="ListBulletlvl8">
    <w:name w:val="List Bullet lvl 8"/>
    <w:basedOn w:val="ListBullet"/>
    <w:qFormat/>
    <w:rsid w:val="00B6382A"/>
    <w:pPr>
      <w:numPr>
        <w:numId w:val="0"/>
      </w:numPr>
      <w:spacing w:after="120" w:line="276" w:lineRule="auto"/>
      <w:ind w:left="5760" w:hanging="360"/>
      <w:contextualSpacing w:val="0"/>
      <w:jc w:val="left"/>
    </w:pPr>
    <w:rPr>
      <w:rFonts w:eastAsiaTheme="minorHAnsi" w:cstheme="minorBidi"/>
      <w:szCs w:val="22"/>
      <w:lang w:eastAsia="en-US"/>
    </w:rPr>
  </w:style>
  <w:style w:type="paragraph" w:customStyle="1" w:styleId="ListBulletlvl9">
    <w:name w:val="List Bullet lvl 9"/>
    <w:basedOn w:val="ListBullet"/>
    <w:qFormat/>
    <w:rsid w:val="00B6382A"/>
    <w:pPr>
      <w:numPr>
        <w:numId w:val="0"/>
      </w:numPr>
      <w:spacing w:after="120" w:line="276" w:lineRule="auto"/>
      <w:ind w:left="6480" w:hanging="360"/>
      <w:contextualSpacing w:val="0"/>
      <w:jc w:val="left"/>
    </w:pPr>
    <w:rPr>
      <w:rFonts w:eastAsiaTheme="minorHAnsi" w:cstheme="minorBidi"/>
      <w:szCs w:val="22"/>
      <w:lang w:eastAsia="en-US"/>
    </w:rPr>
  </w:style>
  <w:style w:type="paragraph" w:customStyle="1" w:styleId="MainBodyText">
    <w:name w:val="Main Body Text"/>
    <w:basedOn w:val="Normal"/>
    <w:link w:val="MainBodyTextChar"/>
    <w:uiPriority w:val="99"/>
    <w:rsid w:val="00F37A23"/>
    <w:pPr>
      <w:spacing w:after="240" w:line="276" w:lineRule="auto"/>
    </w:pPr>
    <w:rPr>
      <w:rFonts w:ascii="Arial" w:hAnsi="Arial" w:cs="Times New Roman"/>
      <w:sz w:val="22"/>
      <w:szCs w:val="22"/>
    </w:rPr>
  </w:style>
  <w:style w:type="character" w:customStyle="1" w:styleId="MainBodyTextChar">
    <w:name w:val="Main Body Text Char"/>
    <w:link w:val="MainBodyText"/>
    <w:uiPriority w:val="99"/>
    <w:rsid w:val="00F37A23"/>
    <w:rPr>
      <w:rFonts w:ascii="Arial" w:hAnsi="Arial"/>
      <w:sz w:val="22"/>
      <w:szCs w:val="22"/>
    </w:rPr>
  </w:style>
  <w:style w:type="paragraph" w:customStyle="1" w:styleId="TableLeft">
    <w:name w:val="Table Left"/>
    <w:basedOn w:val="Normal"/>
    <w:link w:val="TableLeftChar"/>
    <w:uiPriority w:val="99"/>
    <w:qFormat/>
    <w:rsid w:val="00A40CCE"/>
    <w:pPr>
      <w:jc w:val="left"/>
    </w:pPr>
    <w:rPr>
      <w:rFonts w:ascii="Proxima Nova" w:eastAsiaTheme="majorEastAsia" w:hAnsi="Proxima Nova" w:cstheme="majorBidi"/>
      <w:sz w:val="20"/>
      <w:szCs w:val="22"/>
      <w:lang w:eastAsia="en-US" w:bidi="en-US"/>
    </w:rPr>
  </w:style>
  <w:style w:type="character" w:customStyle="1" w:styleId="TableLeftChar">
    <w:name w:val="Table Left Char"/>
    <w:basedOn w:val="DefaultParagraphFont"/>
    <w:link w:val="TableLeft"/>
    <w:uiPriority w:val="99"/>
    <w:locked/>
    <w:rsid w:val="00A40CCE"/>
    <w:rPr>
      <w:rFonts w:ascii="Proxima Nova" w:eastAsiaTheme="majorEastAsia" w:hAnsi="Proxima Nova" w:cstheme="majorBidi"/>
      <w:szCs w:val="22"/>
      <w:lang w:eastAsia="en-US" w:bidi="en-US"/>
    </w:rPr>
  </w:style>
  <w:style w:type="character" w:customStyle="1" w:styleId="Small">
    <w:name w:val="Small"/>
    <w:basedOn w:val="DefaultParagraphFont"/>
    <w:uiPriority w:val="4"/>
    <w:qFormat/>
    <w:rsid w:val="00A40CCE"/>
    <w:rPr>
      <w:rFonts w:ascii="Proxima Nova" w:hAnsi="Proxima Nova"/>
      <w:sz w:val="20"/>
    </w:rPr>
  </w:style>
  <w:style w:type="paragraph" w:styleId="FootnoteText">
    <w:name w:val="footnote text"/>
    <w:basedOn w:val="Normal"/>
    <w:link w:val="FootnoteTextChar"/>
    <w:semiHidden/>
    <w:unhideWhenUsed/>
    <w:rsid w:val="00A40CCE"/>
    <w:rPr>
      <w:sz w:val="20"/>
      <w:szCs w:val="20"/>
    </w:rPr>
  </w:style>
  <w:style w:type="character" w:customStyle="1" w:styleId="FootnoteTextChar">
    <w:name w:val="Footnote Text Char"/>
    <w:basedOn w:val="DefaultParagraphFont"/>
    <w:link w:val="FootnoteText"/>
    <w:semiHidden/>
    <w:rsid w:val="00A40CCE"/>
    <w:rPr>
      <w:rFonts w:ascii="Calibri" w:hAnsi="Calibri" w:cs="Arial"/>
    </w:rPr>
  </w:style>
  <w:style w:type="character" w:styleId="FootnoteReference">
    <w:name w:val="footnote reference"/>
    <w:basedOn w:val="DefaultParagraphFont"/>
    <w:semiHidden/>
    <w:unhideWhenUsed/>
    <w:rsid w:val="00A40CCE"/>
    <w:rPr>
      <w:vertAlign w:val="superscript"/>
    </w:rPr>
  </w:style>
  <w:style w:type="table" w:customStyle="1" w:styleId="TableGrid1">
    <w:name w:val="Table Grid1"/>
    <w:basedOn w:val="TableNormal"/>
    <w:next w:val="TableGrid"/>
    <w:uiPriority w:val="39"/>
    <w:rsid w:val="00A40C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455480087007265887msolistparagraph">
    <w:name w:val="m_5455480087007265887msolistparagraph"/>
    <w:basedOn w:val="Normal"/>
    <w:rsid w:val="00A40CCE"/>
    <w:pPr>
      <w:spacing w:before="100" w:beforeAutospacing="1" w:after="100" w:afterAutospacing="1"/>
      <w:jc w:val="left"/>
    </w:pPr>
    <w:rPr>
      <w:rFonts w:ascii="Times New Roman" w:hAnsi="Times New Roman" w:cs="Times New Roman"/>
    </w:rPr>
  </w:style>
  <w:style w:type="character" w:customStyle="1" w:styleId="EndnoteTextChar">
    <w:name w:val="Endnote Text Char"/>
    <w:basedOn w:val="DefaultParagraphFont"/>
    <w:link w:val="EndnoteText"/>
    <w:semiHidden/>
    <w:rsid w:val="00A40CCE"/>
    <w:rPr>
      <w:rFonts w:ascii="Calibri" w:hAnsi="Calibri" w:cs="Arial"/>
    </w:rPr>
  </w:style>
  <w:style w:type="paragraph" w:styleId="EndnoteText">
    <w:name w:val="endnote text"/>
    <w:basedOn w:val="Normal"/>
    <w:link w:val="EndnoteTextChar"/>
    <w:semiHidden/>
    <w:unhideWhenUsed/>
    <w:rsid w:val="00A40CCE"/>
    <w:rPr>
      <w:sz w:val="20"/>
      <w:szCs w:val="20"/>
    </w:rPr>
  </w:style>
  <w:style w:type="paragraph" w:customStyle="1" w:styleId="Tablefootnote">
    <w:name w:val="Table footnote"/>
    <w:basedOn w:val="Normal"/>
    <w:link w:val="TablefootnoteChar"/>
    <w:qFormat/>
    <w:rsid w:val="00BF5CB4"/>
    <w:pPr>
      <w:spacing w:before="60" w:after="240" w:line="276" w:lineRule="auto"/>
      <w:jc w:val="left"/>
    </w:pPr>
    <w:rPr>
      <w:rFonts w:ascii="Arial" w:hAnsi="Arial" w:cs="Times New Roman"/>
      <w:sz w:val="16"/>
      <w:szCs w:val="16"/>
      <w:lang w:val="en-GB" w:eastAsia="en-US"/>
    </w:rPr>
  </w:style>
  <w:style w:type="character" w:customStyle="1" w:styleId="TablefootnoteChar">
    <w:name w:val="Table footnote Char"/>
    <w:basedOn w:val="DefaultParagraphFont"/>
    <w:link w:val="Tablefootnote"/>
    <w:rsid w:val="00BF5CB4"/>
    <w:rPr>
      <w:rFonts w:ascii="Arial" w:hAnsi="Arial"/>
      <w:sz w:val="16"/>
      <w:szCs w:val="16"/>
      <w:lang w:val="en-GB" w:eastAsia="en-US"/>
    </w:rPr>
  </w:style>
  <w:style w:type="character" w:customStyle="1" w:styleId="UnresolvedMention1">
    <w:name w:val="Unresolved Mention1"/>
    <w:basedOn w:val="DefaultParagraphFont"/>
    <w:uiPriority w:val="99"/>
    <w:semiHidden/>
    <w:unhideWhenUsed/>
    <w:rsid w:val="002A4C23"/>
    <w:rPr>
      <w:color w:val="605E5C"/>
      <w:shd w:val="clear" w:color="auto" w:fill="E1DFDD"/>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5421F"/>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aliases w:val="Titol 1 Char,Titre 11 Char,Heading 11 Char,titre 1 Char,Head-1 Char,Part Char"/>
    <w:basedOn w:val="DefaultParagraphFont"/>
    <w:link w:val="Heading1"/>
    <w:uiPriority w:val="9"/>
    <w:rsid w:val="0095421F"/>
    <w:rPr>
      <w:rFonts w:ascii="Calibri" w:hAnsi="Calibri" w:cs="Arial"/>
      <w:b/>
      <w:caps/>
      <w:sz w:val="32"/>
      <w:szCs w:val="24"/>
    </w:rPr>
  </w:style>
  <w:style w:type="character" w:customStyle="1" w:styleId="text-widget">
    <w:name w:val="text-widget"/>
    <w:basedOn w:val="DefaultParagraphFont"/>
    <w:rsid w:val="0095421F"/>
  </w:style>
  <w:style w:type="table" w:customStyle="1" w:styleId="TableGrid2">
    <w:name w:val="Table Grid2"/>
    <w:basedOn w:val="TableNormal"/>
    <w:next w:val="TableGrid"/>
    <w:uiPriority w:val="39"/>
    <w:rsid w:val="0095421F"/>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421F"/>
    <w:rPr>
      <w:color w:val="605E5C"/>
      <w:shd w:val="clear" w:color="auto" w:fill="E1DFDD"/>
    </w:rPr>
  </w:style>
  <w:style w:type="paragraph" w:customStyle="1" w:styleId="3-SubsectionHeading">
    <w:name w:val="3-Subsection Heading"/>
    <w:basedOn w:val="Heading2"/>
    <w:next w:val="Normal"/>
    <w:link w:val="3-SubsectionHeadingChar"/>
    <w:qFormat/>
    <w:rsid w:val="007C309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C309F"/>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1480451">
      <w:bodyDiv w:val="1"/>
      <w:marLeft w:val="0"/>
      <w:marRight w:val="0"/>
      <w:marTop w:val="0"/>
      <w:marBottom w:val="0"/>
      <w:divBdr>
        <w:top w:val="none" w:sz="0" w:space="0" w:color="auto"/>
        <w:left w:val="none" w:sz="0" w:space="0" w:color="auto"/>
        <w:bottom w:val="none" w:sz="0" w:space="0" w:color="auto"/>
        <w:right w:val="none" w:sz="0" w:space="0" w:color="auto"/>
      </w:divBdr>
      <w:divsChild>
        <w:div w:id="839006599">
          <w:marLeft w:val="360"/>
          <w:marRight w:val="0"/>
          <w:marTop w:val="200"/>
          <w:marBottom w:val="0"/>
          <w:divBdr>
            <w:top w:val="none" w:sz="0" w:space="0" w:color="auto"/>
            <w:left w:val="none" w:sz="0" w:space="0" w:color="auto"/>
            <w:bottom w:val="none" w:sz="0" w:space="0" w:color="auto"/>
            <w:right w:val="none" w:sz="0" w:space="0" w:color="auto"/>
          </w:divBdr>
        </w:div>
        <w:div w:id="2047750580">
          <w:marLeft w:val="360"/>
          <w:marRight w:val="0"/>
          <w:marTop w:val="200"/>
          <w:marBottom w:val="0"/>
          <w:divBdr>
            <w:top w:val="none" w:sz="0" w:space="0" w:color="auto"/>
            <w:left w:val="none" w:sz="0" w:space="0" w:color="auto"/>
            <w:bottom w:val="none" w:sz="0" w:space="0" w:color="auto"/>
            <w:right w:val="none" w:sz="0" w:space="0" w:color="auto"/>
          </w:divBdr>
        </w:div>
        <w:div w:id="2082748601">
          <w:marLeft w:val="360"/>
          <w:marRight w:val="0"/>
          <w:marTop w:val="200"/>
          <w:marBottom w:val="0"/>
          <w:divBdr>
            <w:top w:val="none" w:sz="0" w:space="0" w:color="auto"/>
            <w:left w:val="none" w:sz="0" w:space="0" w:color="auto"/>
            <w:bottom w:val="none" w:sz="0" w:space="0" w:color="auto"/>
            <w:right w:val="none" w:sz="0" w:space="0" w:color="auto"/>
          </w:divBdr>
        </w:div>
        <w:div w:id="404954452">
          <w:marLeft w:val="1080"/>
          <w:marRight w:val="0"/>
          <w:marTop w:val="100"/>
          <w:marBottom w:val="0"/>
          <w:divBdr>
            <w:top w:val="none" w:sz="0" w:space="0" w:color="auto"/>
            <w:left w:val="none" w:sz="0" w:space="0" w:color="auto"/>
            <w:bottom w:val="none" w:sz="0" w:space="0" w:color="auto"/>
            <w:right w:val="none" w:sz="0" w:space="0" w:color="auto"/>
          </w:divBdr>
        </w:div>
        <w:div w:id="1338998446">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0178736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2713710">
      <w:bodyDiv w:val="1"/>
      <w:marLeft w:val="0"/>
      <w:marRight w:val="0"/>
      <w:marTop w:val="0"/>
      <w:marBottom w:val="0"/>
      <w:divBdr>
        <w:top w:val="none" w:sz="0" w:space="0" w:color="auto"/>
        <w:left w:val="none" w:sz="0" w:space="0" w:color="auto"/>
        <w:bottom w:val="none" w:sz="0" w:space="0" w:color="auto"/>
        <w:right w:val="none" w:sz="0" w:space="0" w:color="auto"/>
      </w:divBdr>
    </w:div>
    <w:div w:id="1013268903">
      <w:bodyDiv w:val="1"/>
      <w:marLeft w:val="0"/>
      <w:marRight w:val="0"/>
      <w:marTop w:val="0"/>
      <w:marBottom w:val="0"/>
      <w:divBdr>
        <w:top w:val="none" w:sz="0" w:space="0" w:color="auto"/>
        <w:left w:val="none" w:sz="0" w:space="0" w:color="auto"/>
        <w:bottom w:val="none" w:sz="0" w:space="0" w:color="auto"/>
        <w:right w:val="none" w:sz="0" w:space="0" w:color="auto"/>
      </w:divBdr>
      <w:divsChild>
        <w:div w:id="1412846602">
          <w:marLeft w:val="360"/>
          <w:marRight w:val="0"/>
          <w:marTop w:val="200"/>
          <w:marBottom w:val="0"/>
          <w:divBdr>
            <w:top w:val="none" w:sz="0" w:space="0" w:color="auto"/>
            <w:left w:val="none" w:sz="0" w:space="0" w:color="auto"/>
            <w:bottom w:val="none" w:sz="0" w:space="0" w:color="auto"/>
            <w:right w:val="none" w:sz="0" w:space="0" w:color="auto"/>
          </w:divBdr>
        </w:div>
        <w:div w:id="1197542999">
          <w:marLeft w:val="360"/>
          <w:marRight w:val="0"/>
          <w:marTop w:val="200"/>
          <w:marBottom w:val="0"/>
          <w:divBdr>
            <w:top w:val="none" w:sz="0" w:space="0" w:color="auto"/>
            <w:left w:val="none" w:sz="0" w:space="0" w:color="auto"/>
            <w:bottom w:val="none" w:sz="0" w:space="0" w:color="auto"/>
            <w:right w:val="none" w:sz="0" w:space="0" w:color="auto"/>
          </w:divBdr>
        </w:div>
        <w:div w:id="2033800136">
          <w:marLeft w:val="1080"/>
          <w:marRight w:val="0"/>
          <w:marTop w:val="100"/>
          <w:marBottom w:val="0"/>
          <w:divBdr>
            <w:top w:val="none" w:sz="0" w:space="0" w:color="auto"/>
            <w:left w:val="none" w:sz="0" w:space="0" w:color="auto"/>
            <w:bottom w:val="none" w:sz="0" w:space="0" w:color="auto"/>
            <w:right w:val="none" w:sz="0" w:space="0" w:color="auto"/>
          </w:divBdr>
        </w:div>
      </w:divsChild>
    </w:div>
    <w:div w:id="1083524819">
      <w:bodyDiv w:val="1"/>
      <w:marLeft w:val="0"/>
      <w:marRight w:val="0"/>
      <w:marTop w:val="0"/>
      <w:marBottom w:val="0"/>
      <w:divBdr>
        <w:top w:val="none" w:sz="0" w:space="0" w:color="auto"/>
        <w:left w:val="none" w:sz="0" w:space="0" w:color="auto"/>
        <w:bottom w:val="none" w:sz="0" w:space="0" w:color="auto"/>
        <w:right w:val="none" w:sz="0" w:space="0" w:color="auto"/>
      </w:divBdr>
      <w:divsChild>
        <w:div w:id="1691879539">
          <w:marLeft w:val="360"/>
          <w:marRight w:val="0"/>
          <w:marTop w:val="200"/>
          <w:marBottom w:val="0"/>
          <w:divBdr>
            <w:top w:val="none" w:sz="0" w:space="0" w:color="auto"/>
            <w:left w:val="none" w:sz="0" w:space="0" w:color="auto"/>
            <w:bottom w:val="none" w:sz="0" w:space="0" w:color="auto"/>
            <w:right w:val="none" w:sz="0" w:space="0" w:color="auto"/>
          </w:divBdr>
        </w:div>
        <w:div w:id="1494250187">
          <w:marLeft w:val="1080"/>
          <w:marRight w:val="0"/>
          <w:marTop w:val="100"/>
          <w:marBottom w:val="0"/>
          <w:divBdr>
            <w:top w:val="none" w:sz="0" w:space="0" w:color="auto"/>
            <w:left w:val="none" w:sz="0" w:space="0" w:color="auto"/>
            <w:bottom w:val="none" w:sz="0" w:space="0" w:color="auto"/>
            <w:right w:val="none" w:sz="0" w:space="0" w:color="auto"/>
          </w:divBdr>
        </w:div>
        <w:div w:id="2096590736">
          <w:marLeft w:val="360"/>
          <w:marRight w:val="0"/>
          <w:marTop w:val="200"/>
          <w:marBottom w:val="0"/>
          <w:divBdr>
            <w:top w:val="none" w:sz="0" w:space="0" w:color="auto"/>
            <w:left w:val="none" w:sz="0" w:space="0" w:color="auto"/>
            <w:bottom w:val="none" w:sz="0" w:space="0" w:color="auto"/>
            <w:right w:val="none" w:sz="0" w:space="0" w:color="auto"/>
          </w:divBdr>
        </w:div>
        <w:div w:id="1481992991">
          <w:marLeft w:val="1080"/>
          <w:marRight w:val="0"/>
          <w:marTop w:val="100"/>
          <w:marBottom w:val="0"/>
          <w:divBdr>
            <w:top w:val="none" w:sz="0" w:space="0" w:color="auto"/>
            <w:left w:val="none" w:sz="0" w:space="0" w:color="auto"/>
            <w:bottom w:val="none" w:sz="0" w:space="0" w:color="auto"/>
            <w:right w:val="none" w:sz="0" w:space="0" w:color="auto"/>
          </w:divBdr>
        </w:div>
        <w:div w:id="1862937065">
          <w:marLeft w:val="360"/>
          <w:marRight w:val="0"/>
          <w:marTop w:val="200"/>
          <w:marBottom w:val="0"/>
          <w:divBdr>
            <w:top w:val="none" w:sz="0" w:space="0" w:color="auto"/>
            <w:left w:val="none" w:sz="0" w:space="0" w:color="auto"/>
            <w:bottom w:val="none" w:sz="0" w:space="0" w:color="auto"/>
            <w:right w:val="none" w:sz="0" w:space="0" w:color="auto"/>
          </w:divBdr>
        </w:div>
        <w:div w:id="198206718">
          <w:marLeft w:val="360"/>
          <w:marRight w:val="0"/>
          <w:marTop w:val="200"/>
          <w:marBottom w:val="0"/>
          <w:divBdr>
            <w:top w:val="none" w:sz="0" w:space="0" w:color="auto"/>
            <w:left w:val="none" w:sz="0" w:space="0" w:color="auto"/>
            <w:bottom w:val="none" w:sz="0" w:space="0" w:color="auto"/>
            <w:right w:val="none" w:sz="0" w:space="0" w:color="auto"/>
          </w:divBdr>
        </w:div>
        <w:div w:id="1477601706">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6299561">
      <w:bodyDiv w:val="1"/>
      <w:marLeft w:val="0"/>
      <w:marRight w:val="0"/>
      <w:marTop w:val="0"/>
      <w:marBottom w:val="0"/>
      <w:divBdr>
        <w:top w:val="none" w:sz="0" w:space="0" w:color="auto"/>
        <w:left w:val="none" w:sz="0" w:space="0" w:color="auto"/>
        <w:bottom w:val="none" w:sz="0" w:space="0" w:color="auto"/>
        <w:right w:val="none" w:sz="0" w:space="0" w:color="auto"/>
      </w:divBdr>
    </w:div>
    <w:div w:id="1593850682">
      <w:bodyDiv w:val="1"/>
      <w:marLeft w:val="0"/>
      <w:marRight w:val="0"/>
      <w:marTop w:val="0"/>
      <w:marBottom w:val="0"/>
      <w:divBdr>
        <w:top w:val="none" w:sz="0" w:space="0" w:color="auto"/>
        <w:left w:val="none" w:sz="0" w:space="0" w:color="auto"/>
        <w:bottom w:val="none" w:sz="0" w:space="0" w:color="auto"/>
        <w:right w:val="none" w:sz="0" w:space="0" w:color="auto"/>
      </w:divBdr>
      <w:divsChild>
        <w:div w:id="2034569406">
          <w:marLeft w:val="360"/>
          <w:marRight w:val="0"/>
          <w:marTop w:val="200"/>
          <w:marBottom w:val="0"/>
          <w:divBdr>
            <w:top w:val="none" w:sz="0" w:space="0" w:color="auto"/>
            <w:left w:val="none" w:sz="0" w:space="0" w:color="auto"/>
            <w:bottom w:val="none" w:sz="0" w:space="0" w:color="auto"/>
            <w:right w:val="none" w:sz="0" w:space="0" w:color="auto"/>
          </w:divBdr>
        </w:div>
      </w:divsChild>
    </w:div>
    <w:div w:id="1880510508">
      <w:bodyDiv w:val="1"/>
      <w:marLeft w:val="0"/>
      <w:marRight w:val="0"/>
      <w:marTop w:val="0"/>
      <w:marBottom w:val="0"/>
      <w:divBdr>
        <w:top w:val="none" w:sz="0" w:space="0" w:color="auto"/>
        <w:left w:val="none" w:sz="0" w:space="0" w:color="auto"/>
        <w:bottom w:val="none" w:sz="0" w:space="0" w:color="auto"/>
        <w:right w:val="none" w:sz="0" w:space="0" w:color="auto"/>
      </w:divBdr>
    </w:div>
    <w:div w:id="190730238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6A8E-ED64-4AF0-B801-DBA4CD94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9564</Words>
  <Characters>53172</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2023-06-27T00:36:00Z</dcterms:created>
  <dcterms:modified xsi:type="dcterms:W3CDTF">2023-06-27T00:41:00Z</dcterms:modified>
</cp:coreProperties>
</file>