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522C2FC4" w:rsidR="00872E8F" w:rsidRPr="007A5C88" w:rsidRDefault="000A35F6" w:rsidP="007A5C88">
      <w:pPr>
        <w:pStyle w:val="1MainTitle"/>
        <w:jc w:val="left"/>
      </w:pPr>
      <w:r>
        <w:t>6.21</w:t>
      </w:r>
      <w:r w:rsidR="00872E8F">
        <w:tab/>
      </w:r>
      <w:r>
        <w:t>TILDRAKIZUMAB</w:t>
      </w:r>
      <w:r w:rsidR="70971A32">
        <w:t>,</w:t>
      </w:r>
      <w:r w:rsidR="00872E8F">
        <w:br/>
      </w:r>
      <w:r w:rsidR="00A922E4">
        <w:t>Injection 100 mg in 1 mL single dose pre-filled syringe</w:t>
      </w:r>
      <w:r w:rsidR="70971A32">
        <w:t>,</w:t>
      </w:r>
      <w:r w:rsidR="00872E8F">
        <w:br/>
      </w:r>
      <w:r w:rsidR="00A922E4">
        <w:t>Ilumya</w:t>
      </w:r>
      <w:r w:rsidR="70971A32">
        <w:t>®,</w:t>
      </w:r>
      <w:r w:rsidR="00872E8F">
        <w:br/>
      </w:r>
      <w:r w:rsidR="00A922E4">
        <w:t>Sun Pharma ANZ Pty Ltd</w:t>
      </w:r>
    </w:p>
    <w:p w14:paraId="5F4D54C1" w14:textId="529787BA"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30E84381" w:rsidR="007E490F" w:rsidRPr="00C73AEF" w:rsidRDefault="006C6C10" w:rsidP="008E3089">
      <w:pPr>
        <w:pStyle w:val="3Bodytext"/>
        <w:jc w:val="both"/>
        <w:rPr>
          <w:rFonts w:cstheme="minorHAnsi"/>
          <w:szCs w:val="24"/>
        </w:rPr>
      </w:pPr>
      <w:r w:rsidRPr="00EF4580">
        <w:rPr>
          <w:rFonts w:cstheme="minorHAnsi"/>
          <w:szCs w:val="24"/>
        </w:rPr>
        <w:t xml:space="preserve">The </w:t>
      </w:r>
      <w:r w:rsidRPr="00D77412">
        <w:rPr>
          <w:rFonts w:cstheme="minorHAnsi"/>
          <w:szCs w:val="24"/>
        </w:rPr>
        <w:t xml:space="preserve">Category </w:t>
      </w:r>
      <w:r w:rsidR="00D77412" w:rsidRPr="00D77412">
        <w:rPr>
          <w:rFonts w:cstheme="minorHAnsi"/>
          <w:szCs w:val="24"/>
        </w:rPr>
        <w:t>3</w:t>
      </w:r>
      <w:r w:rsidRPr="00D77412">
        <w:rPr>
          <w:rFonts w:cstheme="minorHAnsi"/>
          <w:szCs w:val="24"/>
        </w:rPr>
        <w:t xml:space="preserve"> submission </w:t>
      </w:r>
      <w:r w:rsidR="00244BEC">
        <w:rPr>
          <w:rFonts w:cstheme="minorHAnsi"/>
          <w:szCs w:val="24"/>
        </w:rPr>
        <w:t>requested</w:t>
      </w:r>
      <w:r w:rsidRPr="00EF4580">
        <w:rPr>
          <w:rFonts w:cstheme="minorHAnsi"/>
          <w:szCs w:val="24"/>
        </w:rPr>
        <w:t xml:space="preserve"> </w:t>
      </w:r>
      <w:r w:rsidR="00D955DB">
        <w:rPr>
          <w:rFonts w:cstheme="minorHAnsi"/>
          <w:szCs w:val="24"/>
        </w:rPr>
        <w:t>adding a grandfathering restriction to the existing</w:t>
      </w:r>
      <w:r w:rsidR="006C4C1B">
        <w:rPr>
          <w:rFonts w:cstheme="minorHAnsi"/>
          <w:szCs w:val="24"/>
        </w:rPr>
        <w:t xml:space="preserve"> Pharmaceutical Benefits Scheme</w:t>
      </w:r>
      <w:r w:rsidR="00D955DB">
        <w:rPr>
          <w:rFonts w:cstheme="minorHAnsi"/>
          <w:szCs w:val="24"/>
        </w:rPr>
        <w:t xml:space="preserve"> </w:t>
      </w:r>
      <w:r w:rsidR="006C4C1B">
        <w:rPr>
          <w:rFonts w:cstheme="minorHAnsi"/>
          <w:szCs w:val="24"/>
        </w:rPr>
        <w:t>(</w:t>
      </w:r>
      <w:r w:rsidR="00D955DB">
        <w:rPr>
          <w:rFonts w:cstheme="minorHAnsi"/>
          <w:szCs w:val="24"/>
        </w:rPr>
        <w:t>PBS</w:t>
      </w:r>
      <w:r w:rsidR="00F919A9">
        <w:rPr>
          <w:rFonts w:cstheme="minorHAnsi"/>
          <w:szCs w:val="24"/>
        </w:rPr>
        <w:t>)</w:t>
      </w:r>
      <w:r w:rsidR="00D955DB">
        <w:rPr>
          <w:rFonts w:cstheme="minorHAnsi"/>
          <w:szCs w:val="24"/>
        </w:rPr>
        <w:t xml:space="preserve"> listing for </w:t>
      </w:r>
      <w:bookmarkStart w:id="0" w:name="_Hlk130910607"/>
      <w:r w:rsidR="00D955DB">
        <w:rPr>
          <w:rFonts w:cstheme="minorHAnsi"/>
          <w:szCs w:val="24"/>
        </w:rPr>
        <w:t>tildrakizumab injection 100 mg in 1 mL</w:t>
      </w:r>
      <w:r w:rsidR="00D365EA">
        <w:rPr>
          <w:rFonts w:cstheme="minorHAnsi"/>
          <w:szCs w:val="24"/>
        </w:rPr>
        <w:t xml:space="preserve"> single dose</w:t>
      </w:r>
      <w:r w:rsidR="00D955DB">
        <w:rPr>
          <w:rFonts w:cstheme="minorHAnsi"/>
          <w:szCs w:val="24"/>
        </w:rPr>
        <w:t xml:space="preserve"> pre-filled syringe </w:t>
      </w:r>
      <w:bookmarkEnd w:id="0"/>
      <w:r w:rsidR="00D955DB">
        <w:rPr>
          <w:rFonts w:cstheme="minorHAnsi"/>
          <w:szCs w:val="24"/>
        </w:rPr>
        <w:t>(herein referred to as tildrakizumab) (Ilumya®) for the treatment of severe chronic plaque psoriasis</w:t>
      </w:r>
      <w:r w:rsidR="00B13DE0">
        <w:rPr>
          <w:rFonts w:cstheme="minorHAnsi"/>
          <w:szCs w:val="24"/>
        </w:rPr>
        <w:t xml:space="preserve"> (CPP)</w:t>
      </w:r>
      <w:r w:rsidR="00D955DB">
        <w:rPr>
          <w:rFonts w:cstheme="minorHAnsi"/>
          <w:szCs w:val="24"/>
        </w:rPr>
        <w:t xml:space="preserve"> to allow </w:t>
      </w:r>
      <w:r w:rsidR="00363AAC">
        <w:rPr>
          <w:rFonts w:cstheme="minorHAnsi"/>
          <w:szCs w:val="24"/>
        </w:rPr>
        <w:t>PBS</w:t>
      </w:r>
      <w:r w:rsidR="00E55411">
        <w:rPr>
          <w:rFonts w:cstheme="minorHAnsi"/>
          <w:szCs w:val="24"/>
        </w:rPr>
        <w:t xml:space="preserve"> </w:t>
      </w:r>
      <w:r w:rsidR="00D955DB">
        <w:rPr>
          <w:rFonts w:cstheme="minorHAnsi"/>
          <w:szCs w:val="24"/>
        </w:rPr>
        <w:t>access to patients enrolled in two new clinical trials</w:t>
      </w:r>
      <w:r w:rsidR="00363AAC">
        <w:rPr>
          <w:rFonts w:cstheme="minorHAnsi"/>
          <w:szCs w:val="24"/>
        </w:rPr>
        <w:t>.</w:t>
      </w:r>
      <w:r w:rsidR="00D955DB">
        <w:rPr>
          <w:rFonts w:cstheme="minorHAnsi"/>
          <w:szCs w:val="24"/>
        </w:rPr>
        <w:t xml:space="preserve"> </w:t>
      </w:r>
    </w:p>
    <w:p w14:paraId="3D1D4320" w14:textId="77777777" w:rsidR="007E490F" w:rsidRPr="00FD6D8E" w:rsidRDefault="007E490F" w:rsidP="008E3089">
      <w:pPr>
        <w:pStyle w:val="2-SectionHeading"/>
        <w:numPr>
          <w:ilvl w:val="0"/>
          <w:numId w:val="2"/>
        </w:numPr>
        <w:jc w:val="both"/>
      </w:pPr>
      <w:r w:rsidRPr="009E2E8E">
        <w:t>Background</w:t>
      </w:r>
      <w:r>
        <w:t xml:space="preserve"> </w:t>
      </w:r>
    </w:p>
    <w:p w14:paraId="196FAD9C" w14:textId="4183B0C2" w:rsidR="001F2311" w:rsidRPr="00F73A7E" w:rsidRDefault="00F73A7E" w:rsidP="008E3089">
      <w:pPr>
        <w:pStyle w:val="3Bodytext"/>
        <w:jc w:val="both"/>
        <w:rPr>
          <w:color w:val="000000" w:themeColor="text1"/>
        </w:rPr>
      </w:pPr>
      <w:r w:rsidRPr="00F73A7E">
        <w:t>Tildrakizumab</w:t>
      </w:r>
      <w:r w:rsidR="001F2311" w:rsidRPr="00F73A7E">
        <w:t xml:space="preserve"> is currently </w:t>
      </w:r>
      <w:r w:rsidR="001F2311" w:rsidRPr="00F26CC6">
        <w:rPr>
          <w:color w:val="000000" w:themeColor="text1"/>
        </w:rPr>
        <w:t xml:space="preserve">listed on the PBS as an </w:t>
      </w:r>
      <w:r w:rsidR="001F2311" w:rsidRPr="00F73A7E">
        <w:t>Authority Required (</w:t>
      </w:r>
      <w:r w:rsidR="009152B8">
        <w:t>W</w:t>
      </w:r>
      <w:r w:rsidRPr="00F73A7E">
        <w:t>ritten</w:t>
      </w:r>
      <w:r w:rsidR="001F2311" w:rsidRPr="00F73A7E">
        <w:t xml:space="preserve">) </w:t>
      </w:r>
      <w:r w:rsidR="001F2311" w:rsidRPr="00F26CC6">
        <w:rPr>
          <w:color w:val="000000" w:themeColor="text1"/>
        </w:rPr>
        <w:t xml:space="preserve">listing </w:t>
      </w:r>
      <w:r w:rsidR="001F2311" w:rsidRPr="00F73A7E">
        <w:t>for</w:t>
      </w:r>
      <w:r w:rsidRPr="00F73A7E">
        <w:t xml:space="preserve"> severe </w:t>
      </w:r>
      <w:r>
        <w:t>CPP</w:t>
      </w:r>
      <w:r w:rsidR="001F2311" w:rsidRPr="00F73A7E">
        <w:t xml:space="preserve">. </w:t>
      </w:r>
    </w:p>
    <w:p w14:paraId="33C2C319" w14:textId="66DF215F" w:rsidR="007E490F" w:rsidRDefault="007E490F" w:rsidP="008E3089">
      <w:pPr>
        <w:pStyle w:val="4-SubsectionHeading"/>
      </w:pPr>
      <w:r>
        <w:t>Registration</w:t>
      </w:r>
      <w:r w:rsidRPr="009324A6">
        <w:t xml:space="preserve"> status</w:t>
      </w:r>
    </w:p>
    <w:p w14:paraId="0F456A9E" w14:textId="0950C053" w:rsidR="00BC04B1" w:rsidRDefault="00C73AEF" w:rsidP="008E3089">
      <w:pPr>
        <w:pStyle w:val="3Bodytext"/>
        <w:jc w:val="both"/>
      </w:pPr>
      <w:r w:rsidRPr="0030178B">
        <w:t>Tildrakizumab</w:t>
      </w:r>
      <w:r w:rsidR="007E490F" w:rsidRPr="0030178B">
        <w:t xml:space="preserve"> was</w:t>
      </w:r>
      <w:r w:rsidR="00F919A9">
        <w:t xml:space="preserve"> Therapeutic Goods Administration</w:t>
      </w:r>
      <w:r w:rsidR="007E490F" w:rsidRPr="0030178B">
        <w:t xml:space="preserve"> </w:t>
      </w:r>
      <w:r w:rsidR="00F919A9">
        <w:t>(</w:t>
      </w:r>
      <w:r w:rsidR="007E490F" w:rsidRPr="0030178B">
        <w:t>TGA</w:t>
      </w:r>
      <w:r w:rsidR="00F919A9">
        <w:t>)</w:t>
      </w:r>
      <w:r w:rsidR="007E490F" w:rsidRPr="0030178B">
        <w:t xml:space="preserve"> registered on </w:t>
      </w:r>
      <w:r w:rsidR="0030178B" w:rsidRPr="0030178B">
        <w:t>10</w:t>
      </w:r>
      <w:r w:rsidR="00F919A9">
        <w:t> </w:t>
      </w:r>
      <w:r w:rsidR="0030178B" w:rsidRPr="0030178B">
        <w:t>September</w:t>
      </w:r>
      <w:r w:rsidR="00F919A9">
        <w:t> </w:t>
      </w:r>
      <w:r w:rsidR="0030178B" w:rsidRPr="0030178B">
        <w:t>2018</w:t>
      </w:r>
      <w:r w:rsidR="007E490F" w:rsidRPr="0030178B">
        <w:t xml:space="preserve"> for</w:t>
      </w:r>
      <w:r w:rsidR="007E490F" w:rsidRPr="0030178B" w:rsidDel="009A61CA">
        <w:t xml:space="preserve"> </w:t>
      </w:r>
      <w:r w:rsidR="0030178B" w:rsidRPr="0030178B">
        <w:t>the treatment of adults with moderate-to-severe plaque psoriasis who are candidates for systemic therapy.</w:t>
      </w:r>
    </w:p>
    <w:p w14:paraId="0094486E" w14:textId="77777777" w:rsidR="007E490F" w:rsidRDefault="007E490F" w:rsidP="008E3089">
      <w:pPr>
        <w:pStyle w:val="4-SubsectionHeading"/>
      </w:pPr>
      <w:r w:rsidRPr="0012749D">
        <w:t xml:space="preserve">Previous PBAC consideration </w:t>
      </w:r>
    </w:p>
    <w:p w14:paraId="00C17C4D" w14:textId="64736A95" w:rsidR="0049219A" w:rsidRPr="00C57529" w:rsidRDefault="00B13DE0" w:rsidP="008E3089">
      <w:pPr>
        <w:pStyle w:val="3Bodytext"/>
        <w:jc w:val="both"/>
        <w:rPr>
          <w:color w:val="000000" w:themeColor="text1"/>
        </w:rPr>
      </w:pPr>
      <w:bookmarkStart w:id="1" w:name="_Hlk123728060"/>
      <w:r>
        <w:t>A</w:t>
      </w:r>
      <w:r w:rsidR="0030178B">
        <w:t>t its July 2018 meeting</w:t>
      </w:r>
      <w:r>
        <w:t>, the PBAC recommended tildrakizumab</w:t>
      </w:r>
      <w:r w:rsidR="0030178B">
        <w:t xml:space="preserve"> for the treatment of severe CPP. It was subsequently listed on the PBS on 1 February 2019</w:t>
      </w:r>
      <w:r w:rsidR="007713AE">
        <w:t>.</w:t>
      </w:r>
      <w:r w:rsidR="0030178B">
        <w:t xml:space="preserve"> </w:t>
      </w:r>
    </w:p>
    <w:p w14:paraId="6016C71A" w14:textId="69F11BEC" w:rsidR="0063630E" w:rsidRPr="00C57529" w:rsidRDefault="00733E9D" w:rsidP="008E3089">
      <w:pPr>
        <w:pStyle w:val="3Bodytext"/>
        <w:jc w:val="both"/>
        <w:rPr>
          <w:color w:val="000000" w:themeColor="text1"/>
        </w:rPr>
      </w:pPr>
      <w:r w:rsidRPr="00731BFA">
        <w:t>In the July 2018 submission, it was</w:t>
      </w:r>
      <w:r w:rsidRPr="00EE5E8F">
        <w:t xml:space="preserve"> </w:t>
      </w:r>
      <w:r w:rsidRPr="00731BFA">
        <w:t>‘proposed that a grandfather clause be incorporated in the listing, to allow approximately 250-350 patients in a TIL</w:t>
      </w:r>
      <w:r w:rsidR="0049219A" w:rsidRPr="00731BFA">
        <w:t xml:space="preserve"> (tildrakizumab)</w:t>
      </w:r>
      <w:r w:rsidRPr="00731BFA">
        <w:t xml:space="preserve"> Patient Familiarisation Program (PFP) to transition to PBS subsidised TIL. Furthermore, the submission stated that 58 patients currently enrolled in clinical trials would need to be grandfathered across to PBS supply’ (paragraph 2.3, tildrakizumab, </w:t>
      </w:r>
      <w:r w:rsidR="00E85F55">
        <w:t>Public Summary Document (</w:t>
      </w:r>
      <w:r w:rsidRPr="00731BFA">
        <w:t>PSD</w:t>
      </w:r>
      <w:r w:rsidR="00E85F55">
        <w:t>)</w:t>
      </w:r>
      <w:r w:rsidRPr="00731BFA">
        <w:t>, July 2018 PBAC Meeting).</w:t>
      </w:r>
      <w:r w:rsidR="0049219A" w:rsidRPr="0049219A">
        <w:rPr>
          <w:i/>
          <w:iCs/>
        </w:rPr>
        <w:t xml:space="preserve"> </w:t>
      </w:r>
    </w:p>
    <w:p w14:paraId="46CDEBB9" w14:textId="57476101" w:rsidR="00E81DBC" w:rsidRPr="008300C3" w:rsidRDefault="008300C3" w:rsidP="008E3089">
      <w:pPr>
        <w:pStyle w:val="3Bodytext"/>
        <w:jc w:val="both"/>
        <w:rPr>
          <w:color w:val="000000" w:themeColor="text1"/>
        </w:rPr>
      </w:pPr>
      <w:r>
        <w:t>In July 2018, t</w:t>
      </w:r>
      <w:r w:rsidRPr="00731BFA">
        <w:t xml:space="preserve">he </w:t>
      </w:r>
      <w:r w:rsidR="00E81DBC" w:rsidRPr="00731BFA">
        <w:t>PBAC considered that it would be appropriate to provide grandfathered PBS supply to patients receiving tildrakizumab who had met initial treatment criteria at the time of entering the clinical trials or the PFP, and that the grandfather provision should be removed from the listing after 12 months (paragraph 7.4, tildrakizumab PSD, July 2018 PBAC Meeting).</w:t>
      </w:r>
    </w:p>
    <w:p w14:paraId="0D53859E" w14:textId="14CD70A8" w:rsidR="0030178B" w:rsidRPr="0030178B" w:rsidRDefault="0030178B" w:rsidP="008E3089">
      <w:pPr>
        <w:pStyle w:val="3Bodytext"/>
        <w:jc w:val="both"/>
        <w:rPr>
          <w:color w:val="000000" w:themeColor="text1"/>
        </w:rPr>
      </w:pPr>
      <w:bookmarkStart w:id="2" w:name="_Hlk123728097"/>
      <w:bookmarkEnd w:id="1"/>
      <w:r>
        <w:t>The</w:t>
      </w:r>
      <w:r w:rsidR="009B5127">
        <w:t xml:space="preserve"> current</w:t>
      </w:r>
      <w:r>
        <w:t xml:space="preserve"> submission stated that the sponsor previously agreed that the grandfather restrictions were no longer required, however </w:t>
      </w:r>
      <w:r w:rsidR="009B5127">
        <w:t xml:space="preserve">the sponsor did </w:t>
      </w:r>
      <w:r>
        <w:t xml:space="preserve">not </w:t>
      </w:r>
      <w:r w:rsidR="009B5127">
        <w:t xml:space="preserve">realise </w:t>
      </w:r>
      <w:r>
        <w:lastRenderedPageBreak/>
        <w:t xml:space="preserve">that removal of the grandfathering restriction </w:t>
      </w:r>
      <w:r w:rsidR="00BF1B79">
        <w:t>may prevent access to subsidised treatment</w:t>
      </w:r>
      <w:r>
        <w:t xml:space="preserve"> for </w:t>
      </w:r>
      <w:r w:rsidR="00BF1B79">
        <w:t xml:space="preserve">patients participating in </w:t>
      </w:r>
      <w:r>
        <w:t>new and ongoing clinical trials.</w:t>
      </w:r>
    </w:p>
    <w:bookmarkEnd w:id="2"/>
    <w:p w14:paraId="707B5290" w14:textId="11614B7C" w:rsidR="00057A1E" w:rsidRDefault="0030178B" w:rsidP="008E3089">
      <w:pPr>
        <w:pStyle w:val="3Bodytext"/>
        <w:jc w:val="both"/>
      </w:pPr>
      <w:r>
        <w:t xml:space="preserve">The submission noted the PBAC recommended </w:t>
      </w:r>
      <w:r w:rsidR="00EF59FB">
        <w:t xml:space="preserve">at its March 2022 meeting </w:t>
      </w:r>
      <w:r>
        <w:t>the extension of a grandfathered listing for risankizumab</w:t>
      </w:r>
      <w:r w:rsidR="006406E3">
        <w:t xml:space="preserve"> (RIS)</w:t>
      </w:r>
      <w:r>
        <w:t xml:space="preserve"> beyond 12 months for severe CPP to allow patients to transition </w:t>
      </w:r>
      <w:r w:rsidR="006406E3">
        <w:t>to PBS-subsidised treatment from a clinical trial that finished after the standard grandfathering period elapsed</w:t>
      </w:r>
      <w:r w:rsidR="00057A1E">
        <w:t>.</w:t>
      </w:r>
    </w:p>
    <w:p w14:paraId="5919AB5C" w14:textId="01E03516" w:rsidR="00057A1E" w:rsidRPr="00983C07" w:rsidRDefault="006406E3" w:rsidP="008E3089">
      <w:pPr>
        <w:pStyle w:val="3Bodytext"/>
        <w:numPr>
          <w:ilvl w:val="0"/>
          <w:numId w:val="28"/>
        </w:numPr>
        <w:jc w:val="both"/>
      </w:pPr>
      <w:r w:rsidRPr="005A7E46">
        <w:t xml:space="preserve">In July 2019 the PBAC recommended PBS-listing of RIS for severe CPP, ‘including the requested grandfather restriction…. The PBAC advised that grandfathered patients will be required to meet the PBS eligibility criteria and that the grandfather restriction be removed from the listing after 12 months in line with standard procedure. The PBAC noted a number of clinical trial patients are expected to transition to PBS-subsidised RIS in January 2022. The PBAC were supportive of allowing the clinical trial patients to transition to PBS-subsidised treatment but advised that an additional submission would be required closer to the date of trial completion to extend the grandfathering clause’ (paragraph 7.8, risankizumab, PSD, July 2019 PBAC Meeting). </w:t>
      </w:r>
    </w:p>
    <w:p w14:paraId="33FBB0FF" w14:textId="4861C055" w:rsidR="00414321" w:rsidRDefault="001F556E" w:rsidP="008E3089">
      <w:pPr>
        <w:pStyle w:val="3Bodytext"/>
        <w:numPr>
          <w:ilvl w:val="0"/>
          <w:numId w:val="28"/>
        </w:numPr>
        <w:jc w:val="both"/>
      </w:pPr>
      <w:r w:rsidRPr="005A7E46">
        <w:t>At its March 2022 meeting, the PBAC recommended the extension of the listing of</w:t>
      </w:r>
      <w:r w:rsidR="006406E3" w:rsidRPr="005A7E46">
        <w:t xml:space="preserve"> RIS</w:t>
      </w:r>
      <w:r w:rsidRPr="005A7E46">
        <w:t xml:space="preserve"> for severe CPP to allow access for patients enrolled in </w:t>
      </w:r>
      <w:r w:rsidR="006406E3" w:rsidRPr="005A7E46">
        <w:t>the RIS open label extension</w:t>
      </w:r>
      <w:r w:rsidRPr="005A7E46">
        <w:t xml:space="preserve"> trial to be grandfathered on to PBS-subsidised </w:t>
      </w:r>
      <w:r w:rsidR="006406E3" w:rsidRPr="005A7E46">
        <w:t>RIS</w:t>
      </w:r>
      <w:r w:rsidRPr="005A7E46">
        <w:t xml:space="preserve"> (paragraph 5.1, risankizumab, PSD, March 2022 PBAC Meeting). </w:t>
      </w:r>
    </w:p>
    <w:p w14:paraId="1B8790B6" w14:textId="77777777" w:rsidR="00964A9F" w:rsidRDefault="00964A9F" w:rsidP="008E3089">
      <w:pPr>
        <w:pStyle w:val="2-SectionHeading"/>
        <w:jc w:val="both"/>
      </w:pPr>
      <w:r w:rsidRPr="009D507A">
        <w:t xml:space="preserve">Requested listing </w:t>
      </w:r>
    </w:p>
    <w:p w14:paraId="754FF25B" w14:textId="6E13795F" w:rsidR="00964A9F" w:rsidRPr="00E0207E" w:rsidRDefault="00964A9F" w:rsidP="008E3089">
      <w:pPr>
        <w:pStyle w:val="3Bodytext"/>
        <w:jc w:val="both"/>
      </w:pPr>
      <w:r w:rsidRPr="00E0207E">
        <w:t xml:space="preserve">The submission requested the following </w:t>
      </w:r>
      <w:r w:rsidRPr="006D7C31">
        <w:t xml:space="preserve">new </w:t>
      </w:r>
      <w:r w:rsidR="00EF59FB">
        <w:t xml:space="preserve">grandfather </w:t>
      </w:r>
      <w:r w:rsidRPr="006D7C31">
        <w:t>restriction</w:t>
      </w:r>
      <w:r w:rsidR="00EF59FB">
        <w:t>s be added</w:t>
      </w:r>
      <w:r w:rsidRPr="006D7C31">
        <w:t xml:space="preserve"> to </w:t>
      </w:r>
      <w:r w:rsidRPr="00E0207E">
        <w:t>the existing listing</w:t>
      </w:r>
      <w:r w:rsidR="006D7C31">
        <w:t>:</w:t>
      </w:r>
    </w:p>
    <w:p w14:paraId="17118911" w14:textId="2FA27622" w:rsidR="00964A9F" w:rsidRPr="00D25130" w:rsidRDefault="00964A9F" w:rsidP="008E3089">
      <w:pPr>
        <w:spacing w:after="120"/>
        <w:rPr>
          <w:rFonts w:asciiTheme="minorHAnsi" w:hAnsiTheme="minorHAnsi" w:cstheme="minorHAnsi"/>
          <w:iCs/>
        </w:rPr>
      </w:pPr>
      <w:r w:rsidRPr="00A3107E">
        <w:rPr>
          <w:rFonts w:asciiTheme="minorHAnsi" w:hAnsiTheme="minorHAnsi" w:cstheme="minorHAnsi"/>
          <w:iCs/>
        </w:rPr>
        <w:t xml:space="preserve">Add new </w:t>
      </w:r>
      <w:r w:rsidR="006D7C31" w:rsidRPr="00A3107E">
        <w:rPr>
          <w:rFonts w:asciiTheme="minorHAnsi" w:hAnsiTheme="minorHAnsi" w:cstheme="minorHAnsi"/>
          <w:iCs/>
        </w:rPr>
        <w:t>restriction</w:t>
      </w:r>
      <w:r w:rsidRPr="00A3107E">
        <w:rPr>
          <w:rFonts w:asciiTheme="minorHAnsi" w:hAnsiTheme="minorHAnsi" w:cstheme="minorHAnsi"/>
          <w:iCs/>
        </w:rPr>
        <w:t xml:space="preserve"> as follows:</w:t>
      </w:r>
    </w:p>
    <w:p w14:paraId="216C7005" w14:textId="46EDF707" w:rsidR="002C0763" w:rsidRPr="002452BA" w:rsidRDefault="00964A9F" w:rsidP="008E3089">
      <w:pPr>
        <w:pStyle w:val="3Bodytext"/>
        <w:jc w:val="both"/>
      </w:pPr>
      <w:r w:rsidRPr="00120A12">
        <w:t xml:space="preserve">Suggested additions are in </w:t>
      </w:r>
      <w:r w:rsidRPr="00292392">
        <w:rPr>
          <w:iCs/>
        </w:rPr>
        <w:t>italics</w:t>
      </w:r>
      <w:r w:rsidRPr="00120A12">
        <w:t xml:space="preserve"> and deletions are in </w:t>
      </w:r>
      <w:r w:rsidRPr="009D507A">
        <w:t>strikethrough.</w:t>
      </w:r>
      <w:r w:rsidR="00B7676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842DC5" w:rsidRPr="001428E9" w14:paraId="027B20AA" w14:textId="77777777" w:rsidTr="003A7CE7">
        <w:trPr>
          <w:cantSplit/>
          <w:trHeight w:val="20"/>
        </w:trPr>
        <w:tc>
          <w:tcPr>
            <w:tcW w:w="3939" w:type="dxa"/>
            <w:gridSpan w:val="3"/>
            <w:vAlign w:val="center"/>
          </w:tcPr>
          <w:p w14:paraId="64637EC0" w14:textId="77777777" w:rsidR="00842DC5" w:rsidRPr="001428E9" w:rsidRDefault="00842DC5" w:rsidP="003A7CE7">
            <w:pPr>
              <w:keepLines/>
              <w:rPr>
                <w:rFonts w:ascii="Arial Narrow" w:hAnsi="Arial Narrow" w:cs="Arial"/>
                <w:b/>
                <w:bCs/>
                <w:sz w:val="20"/>
                <w:szCs w:val="20"/>
              </w:rPr>
            </w:pPr>
            <w:r w:rsidRPr="001428E9">
              <w:rPr>
                <w:rFonts w:ascii="Arial Narrow" w:hAnsi="Arial Narrow" w:cs="Arial"/>
                <w:b/>
                <w:bCs/>
                <w:sz w:val="20"/>
                <w:szCs w:val="20"/>
              </w:rPr>
              <w:t>MEDICINAL PRODUCT</w:t>
            </w:r>
          </w:p>
          <w:p w14:paraId="580269A2" w14:textId="77777777" w:rsidR="00842DC5" w:rsidRPr="001428E9" w:rsidRDefault="00842DC5" w:rsidP="003A7CE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6F9B5C8B" w14:textId="77777777" w:rsidR="00842DC5" w:rsidRPr="001428E9" w:rsidRDefault="00842DC5" w:rsidP="003A7CE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63A2187" w14:textId="77777777" w:rsidR="00842DC5" w:rsidRPr="001428E9" w:rsidRDefault="00842DC5" w:rsidP="003A7CE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F251A92" w14:textId="77777777" w:rsidR="00842DC5" w:rsidRPr="001428E9" w:rsidRDefault="00842DC5" w:rsidP="003A7CE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D794DC5" w14:textId="77777777" w:rsidR="00842DC5" w:rsidRPr="001428E9" w:rsidRDefault="00842DC5" w:rsidP="003A7CE7">
            <w:pPr>
              <w:keepLines/>
              <w:jc w:val="center"/>
              <w:rPr>
                <w:rFonts w:ascii="Arial Narrow" w:hAnsi="Arial Narrow" w:cs="Arial"/>
                <w:b/>
                <w:sz w:val="20"/>
                <w:szCs w:val="20"/>
              </w:rPr>
            </w:pPr>
            <w:r w:rsidRPr="001428E9">
              <w:rPr>
                <w:rFonts w:ascii="Arial Narrow" w:hAnsi="Arial Narrow" w:cs="Arial"/>
                <w:b/>
                <w:sz w:val="20"/>
                <w:szCs w:val="20"/>
              </w:rPr>
              <w:t>№.of</w:t>
            </w:r>
          </w:p>
          <w:p w14:paraId="31A96CCA" w14:textId="77777777" w:rsidR="00842DC5" w:rsidRPr="001428E9" w:rsidRDefault="00842DC5" w:rsidP="003A7CE7">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BBF3C5A" w14:textId="77777777" w:rsidR="00842DC5" w:rsidRPr="001428E9" w:rsidRDefault="00842DC5" w:rsidP="003A7CE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842DC5" w:rsidRPr="001428E9" w14:paraId="5D58782D" w14:textId="77777777" w:rsidTr="003A7CE7">
        <w:trPr>
          <w:cantSplit/>
          <w:trHeight w:val="20"/>
        </w:trPr>
        <w:tc>
          <w:tcPr>
            <w:tcW w:w="9016" w:type="dxa"/>
            <w:gridSpan w:val="8"/>
            <w:vAlign w:val="center"/>
          </w:tcPr>
          <w:p w14:paraId="48A0D6AD" w14:textId="7E5787D3" w:rsidR="00842DC5" w:rsidRPr="001428E9" w:rsidRDefault="00842DC5" w:rsidP="003A7CE7">
            <w:pPr>
              <w:keepLines/>
              <w:rPr>
                <w:rFonts w:ascii="Arial Narrow" w:hAnsi="Arial Narrow" w:cs="Arial"/>
                <w:sz w:val="20"/>
                <w:szCs w:val="20"/>
              </w:rPr>
            </w:pPr>
            <w:r w:rsidRPr="00040E8E">
              <w:rPr>
                <w:rFonts w:ascii="Arial Narrow" w:eastAsiaTheme="majorEastAsia" w:hAnsi="Arial Narrow" w:cs="Arial"/>
                <w:bCs/>
                <w:sz w:val="20"/>
                <w:szCs w:val="20"/>
              </w:rPr>
              <w:t>TILDRAKIZUMAB</w:t>
            </w:r>
          </w:p>
        </w:tc>
      </w:tr>
      <w:tr w:rsidR="00842DC5" w:rsidRPr="001428E9" w14:paraId="7DCE181A" w14:textId="77777777" w:rsidTr="003A7CE7">
        <w:trPr>
          <w:cantSplit/>
          <w:trHeight w:val="20"/>
        </w:trPr>
        <w:tc>
          <w:tcPr>
            <w:tcW w:w="3939" w:type="dxa"/>
            <w:gridSpan w:val="3"/>
            <w:vAlign w:val="center"/>
          </w:tcPr>
          <w:p w14:paraId="26073236" w14:textId="40B7598D" w:rsidR="00842DC5" w:rsidRPr="006270A2" w:rsidRDefault="00842DC5" w:rsidP="003A7CE7">
            <w:pPr>
              <w:keepLines/>
              <w:rPr>
                <w:rFonts w:ascii="Arial Narrow" w:hAnsi="Arial Narrow" w:cs="Arial"/>
                <w:i/>
                <w:iCs/>
                <w:sz w:val="20"/>
                <w:szCs w:val="20"/>
              </w:rPr>
            </w:pPr>
            <w:r w:rsidRPr="006270A2">
              <w:rPr>
                <w:rFonts w:ascii="Arial Narrow" w:eastAsiaTheme="majorEastAsia" w:hAnsi="Arial Narrow" w:cstheme="majorBidi"/>
                <w:bCs/>
                <w:i/>
                <w:iCs/>
                <w:sz w:val="20"/>
              </w:rPr>
              <w:t xml:space="preserve">tildrakizumab 100 mg/mL injection, 1 mL syringe </w:t>
            </w:r>
            <w:r w:rsidRPr="006270A2">
              <w:rPr>
                <w:rFonts w:ascii="Arial Narrow" w:hAnsi="Arial Narrow" w:cs="Arial"/>
                <w:i/>
                <w:iCs/>
                <w:color w:val="0066FF"/>
                <w:sz w:val="20"/>
                <w:szCs w:val="20"/>
              </w:rPr>
              <w:t xml:space="preserve"> </w:t>
            </w:r>
          </w:p>
        </w:tc>
        <w:tc>
          <w:tcPr>
            <w:tcW w:w="811" w:type="dxa"/>
            <w:vAlign w:val="center"/>
          </w:tcPr>
          <w:p w14:paraId="7D1E0F9D" w14:textId="54F35335" w:rsidR="00842DC5" w:rsidRPr="006270A2" w:rsidRDefault="00842DC5" w:rsidP="003A7CE7">
            <w:pPr>
              <w:keepLines/>
              <w:jc w:val="center"/>
              <w:rPr>
                <w:rFonts w:ascii="Arial Narrow" w:hAnsi="Arial Narrow" w:cs="Arial"/>
                <w:i/>
                <w:iCs/>
                <w:sz w:val="20"/>
                <w:szCs w:val="20"/>
              </w:rPr>
            </w:pPr>
            <w:r w:rsidRPr="006270A2">
              <w:rPr>
                <w:rFonts w:ascii="Arial Narrow" w:hAnsi="Arial Narrow" w:cs="Arial"/>
                <w:i/>
                <w:iCs/>
                <w:sz w:val="20"/>
                <w:szCs w:val="20"/>
              </w:rPr>
              <w:t>NEW</w:t>
            </w:r>
          </w:p>
        </w:tc>
        <w:tc>
          <w:tcPr>
            <w:tcW w:w="812" w:type="dxa"/>
            <w:vAlign w:val="center"/>
          </w:tcPr>
          <w:p w14:paraId="0549FD9D" w14:textId="77777777" w:rsidR="00842DC5" w:rsidRPr="006270A2" w:rsidRDefault="00842DC5" w:rsidP="003A7CE7">
            <w:pPr>
              <w:keepLines/>
              <w:jc w:val="center"/>
              <w:rPr>
                <w:rFonts w:ascii="Arial Narrow" w:hAnsi="Arial Narrow" w:cs="Arial"/>
                <w:i/>
                <w:iCs/>
                <w:sz w:val="20"/>
                <w:szCs w:val="20"/>
              </w:rPr>
            </w:pPr>
            <w:r w:rsidRPr="006270A2">
              <w:rPr>
                <w:rFonts w:ascii="Arial Narrow" w:hAnsi="Arial Narrow" w:cs="Arial"/>
                <w:i/>
                <w:iCs/>
                <w:sz w:val="20"/>
                <w:szCs w:val="20"/>
              </w:rPr>
              <w:t>1</w:t>
            </w:r>
          </w:p>
        </w:tc>
        <w:tc>
          <w:tcPr>
            <w:tcW w:w="811" w:type="dxa"/>
            <w:vAlign w:val="center"/>
          </w:tcPr>
          <w:p w14:paraId="02932204" w14:textId="4E7798D8" w:rsidR="00842DC5" w:rsidRPr="006270A2" w:rsidRDefault="00842DC5" w:rsidP="003A7CE7">
            <w:pPr>
              <w:keepLines/>
              <w:jc w:val="center"/>
              <w:rPr>
                <w:rFonts w:ascii="Arial Narrow" w:hAnsi="Arial Narrow" w:cs="Arial"/>
                <w:i/>
                <w:iCs/>
                <w:sz w:val="20"/>
                <w:szCs w:val="20"/>
              </w:rPr>
            </w:pPr>
            <w:r w:rsidRPr="006270A2">
              <w:rPr>
                <w:rFonts w:ascii="Arial Narrow" w:hAnsi="Arial Narrow" w:cs="Arial"/>
                <w:i/>
                <w:iCs/>
                <w:sz w:val="20"/>
                <w:szCs w:val="20"/>
              </w:rPr>
              <w:t>1</w:t>
            </w:r>
          </w:p>
        </w:tc>
        <w:tc>
          <w:tcPr>
            <w:tcW w:w="812" w:type="dxa"/>
            <w:vAlign w:val="center"/>
          </w:tcPr>
          <w:p w14:paraId="618CACD9" w14:textId="00927143" w:rsidR="00842DC5" w:rsidRPr="006270A2" w:rsidRDefault="00842DC5" w:rsidP="003A7CE7">
            <w:pPr>
              <w:keepLines/>
              <w:jc w:val="center"/>
              <w:rPr>
                <w:rFonts w:ascii="Arial Narrow" w:hAnsi="Arial Narrow" w:cs="Arial"/>
                <w:i/>
                <w:iCs/>
                <w:sz w:val="20"/>
                <w:szCs w:val="20"/>
              </w:rPr>
            </w:pPr>
            <w:r w:rsidRPr="006270A2">
              <w:rPr>
                <w:rFonts w:ascii="Arial Narrow" w:hAnsi="Arial Narrow" w:cs="Arial"/>
                <w:i/>
                <w:iCs/>
                <w:sz w:val="20"/>
                <w:szCs w:val="20"/>
              </w:rPr>
              <w:t>1</w:t>
            </w:r>
          </w:p>
        </w:tc>
        <w:tc>
          <w:tcPr>
            <w:tcW w:w="1831" w:type="dxa"/>
            <w:vAlign w:val="center"/>
          </w:tcPr>
          <w:p w14:paraId="6CCFDFEA" w14:textId="18A984D2" w:rsidR="00842DC5" w:rsidRPr="006270A2" w:rsidRDefault="00842DC5" w:rsidP="003A7CE7">
            <w:pPr>
              <w:keepLines/>
              <w:rPr>
                <w:rFonts w:ascii="Arial Narrow" w:hAnsi="Arial Narrow" w:cs="Arial"/>
                <w:i/>
                <w:iCs/>
                <w:sz w:val="20"/>
                <w:szCs w:val="20"/>
              </w:rPr>
            </w:pPr>
            <w:r w:rsidRPr="006270A2">
              <w:rPr>
                <w:rFonts w:ascii="Arial Narrow" w:hAnsi="Arial Narrow" w:cs="Arial"/>
                <w:i/>
                <w:iCs/>
                <w:sz w:val="20"/>
                <w:szCs w:val="20"/>
              </w:rPr>
              <w:t>Ilumya</w:t>
            </w:r>
          </w:p>
        </w:tc>
      </w:tr>
      <w:tr w:rsidR="00842DC5" w:rsidRPr="001428E9" w14:paraId="39A71455" w14:textId="77777777" w:rsidTr="003A7CE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0BFD04D" w14:textId="223EBD28" w:rsidR="00842DC5" w:rsidRPr="001428E9" w:rsidRDefault="00842DC5" w:rsidP="003A7CE7">
            <w:pPr>
              <w:rPr>
                <w:rFonts w:ascii="Arial Narrow" w:hAnsi="Arial Narrow" w:cs="Arial"/>
                <w:sz w:val="20"/>
                <w:szCs w:val="20"/>
              </w:rPr>
            </w:pPr>
          </w:p>
        </w:tc>
      </w:tr>
      <w:tr w:rsidR="00842DC5" w:rsidRPr="001428E9" w14:paraId="477A0FBC" w14:textId="77777777" w:rsidTr="003A7CE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9C3CC1B" w14:textId="1D0DB6FB" w:rsidR="00842DC5" w:rsidRPr="001428E9" w:rsidRDefault="00842DC5" w:rsidP="003A7CE7">
            <w:pPr>
              <w:keepLines/>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42DC5" w:rsidRPr="001428E9" w14:paraId="65F78791" w14:textId="77777777" w:rsidTr="003A7CE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0BA76AA" w14:textId="77777777" w:rsidR="00842DC5" w:rsidRPr="001428E9" w:rsidRDefault="00842DC5" w:rsidP="003A7CE7">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8F2E7E" w14:textId="6C6751CF" w:rsidR="00842DC5" w:rsidRPr="001428E9" w:rsidRDefault="00842DC5" w:rsidP="003A7CE7">
            <w:pPr>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842DC5" w:rsidRPr="001428E9" w14:paraId="6B83E713" w14:textId="77777777" w:rsidTr="003A7CE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4189FD0" w14:textId="77777777" w:rsidR="00842DC5" w:rsidRPr="001428E9" w:rsidRDefault="00842DC5" w:rsidP="003A7C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B7DC1C" w14:textId="654CA19E" w:rsidR="00842DC5" w:rsidRPr="001428E9" w:rsidRDefault="00842DC5" w:rsidP="003A7CE7">
            <w:pPr>
              <w:keepLines/>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D0A8D">
              <w:rPr>
                <w:rFonts w:ascii="Arial Narrow" w:hAnsi="Arial Narrow" w:cs="Arial"/>
                <w:sz w:val="20"/>
                <w:szCs w:val="20"/>
              </w:rPr>
            </w:r>
            <w:r w:rsidR="009D0A8D">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842DC5" w:rsidRPr="00D56F94" w14:paraId="6FBCDCE7" w14:textId="77777777" w:rsidTr="003A7CE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3E44B9FD" w14:textId="77777777" w:rsidR="00842DC5" w:rsidRPr="001428E9" w:rsidRDefault="00842DC5" w:rsidP="003A7C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9D9DD6" w14:textId="0A1A21F0" w:rsidR="00842DC5" w:rsidRPr="00D56F94" w:rsidRDefault="00842DC5" w:rsidP="003A7CE7">
            <w:pPr>
              <w:keepLines/>
              <w:rPr>
                <w:rFonts w:ascii="Arial Narrow" w:eastAsia="Calibri" w:hAnsi="Arial Narrow" w:cs="Arial"/>
                <w:color w:val="FF0000"/>
                <w:sz w:val="20"/>
                <w:szCs w:val="20"/>
              </w:rPr>
            </w:pPr>
            <w:r w:rsidRPr="001428E9">
              <w:rPr>
                <w:rFonts w:ascii="Arial Narrow" w:hAnsi="Arial Narrow" w:cs="Arial"/>
                <w:b/>
                <w:sz w:val="20"/>
                <w:szCs w:val="20"/>
              </w:rPr>
              <w:t>Restriction type:</w:t>
            </w:r>
            <w:r w:rsidR="00E56DE2" w:rsidRPr="001428E9">
              <w:rPr>
                <w:rFonts w:ascii="Arial Narrow" w:eastAsia="Calibri" w:hAnsi="Arial Narrow" w:cs="Arial"/>
                <w:sz w:val="20"/>
                <w:szCs w:val="20"/>
              </w:rPr>
              <w:t xml:space="preserve"> </w:t>
            </w:r>
            <w:r w:rsidR="00E56DE2">
              <w:rPr>
                <w:rFonts w:ascii="Arial Narrow" w:eastAsia="Calibri" w:hAnsi="Arial Narrow" w:cs="Arial"/>
                <w:sz w:val="20"/>
                <w:szCs w:val="20"/>
              </w:rPr>
              <w:fldChar w:fldCharType="begin">
                <w:ffData>
                  <w:name w:val=""/>
                  <w:enabled/>
                  <w:calcOnExit w:val="0"/>
                  <w:checkBox>
                    <w:sizeAuto/>
                    <w:default w:val="1"/>
                  </w:checkBox>
                </w:ffData>
              </w:fldChar>
            </w:r>
            <w:r w:rsidR="00E56DE2">
              <w:rPr>
                <w:rFonts w:ascii="Arial Narrow" w:eastAsia="Calibri" w:hAnsi="Arial Narrow" w:cs="Arial"/>
                <w:sz w:val="20"/>
                <w:szCs w:val="20"/>
              </w:rPr>
              <w:instrText xml:space="preserve"> FORMCHECKBOX </w:instrText>
            </w:r>
            <w:r w:rsidR="009D0A8D">
              <w:rPr>
                <w:rFonts w:ascii="Arial Narrow" w:eastAsia="Calibri" w:hAnsi="Arial Narrow" w:cs="Arial"/>
                <w:sz w:val="20"/>
                <w:szCs w:val="20"/>
              </w:rPr>
            </w:r>
            <w:r w:rsidR="009D0A8D">
              <w:rPr>
                <w:rFonts w:ascii="Arial Narrow" w:eastAsia="Calibri" w:hAnsi="Arial Narrow" w:cs="Arial"/>
                <w:sz w:val="20"/>
                <w:szCs w:val="20"/>
              </w:rPr>
              <w:fldChar w:fldCharType="separate"/>
            </w:r>
            <w:r w:rsidR="00E56DE2">
              <w:rPr>
                <w:rFonts w:ascii="Arial Narrow" w:eastAsia="Calibri" w:hAnsi="Arial Narrow" w:cs="Arial"/>
                <w:sz w:val="20"/>
                <w:szCs w:val="20"/>
              </w:rPr>
              <w:fldChar w:fldCharType="end"/>
            </w:r>
            <w:r w:rsidR="00E56DE2" w:rsidRPr="001428E9">
              <w:rPr>
                <w:rFonts w:ascii="Arial Narrow" w:eastAsia="Calibri" w:hAnsi="Arial Narrow" w:cs="Arial"/>
                <w:sz w:val="20"/>
                <w:szCs w:val="20"/>
              </w:rPr>
              <w:t xml:space="preserve">Authority Required (in writing only via post/HPOS upload) </w:t>
            </w:r>
            <w:r w:rsidRPr="001428E9">
              <w:rPr>
                <w:rFonts w:ascii="Arial Narrow" w:hAnsi="Arial Narrow" w:cs="Arial"/>
                <w:b/>
                <w:sz w:val="20"/>
                <w:szCs w:val="20"/>
              </w:rPr>
              <w:t xml:space="preserve"> </w:t>
            </w:r>
          </w:p>
        </w:tc>
      </w:tr>
      <w:tr w:rsidR="00F94B5F" w:rsidRPr="001428E9" w14:paraId="4F87D8E0" w14:textId="77777777" w:rsidTr="00A3107E">
        <w:tblPrEx>
          <w:tblCellMar>
            <w:top w:w="15" w:type="dxa"/>
            <w:bottom w:w="15" w:type="dxa"/>
          </w:tblCellMar>
        </w:tblPrEx>
        <w:trPr>
          <w:trHeight w:val="20"/>
        </w:trPr>
        <w:tc>
          <w:tcPr>
            <w:tcW w:w="562" w:type="dxa"/>
            <w:vAlign w:val="center"/>
          </w:tcPr>
          <w:p w14:paraId="0CDED9E7" w14:textId="27EA23A7" w:rsidR="00F94B5F" w:rsidRPr="001428E9" w:rsidRDefault="00F94B5F" w:rsidP="00F94B5F">
            <w:pPr>
              <w:keepLines/>
              <w:jc w:val="center"/>
              <w:rPr>
                <w:rFonts w:ascii="Arial Narrow" w:hAnsi="Arial Narrow"/>
                <w:color w:val="333333"/>
                <w:sz w:val="20"/>
                <w:szCs w:val="20"/>
              </w:rPr>
            </w:pPr>
            <w:r>
              <w:rPr>
                <w:rFonts w:ascii="Arial Narrow" w:hAnsi="Arial Narrow"/>
                <w:color w:val="333333"/>
                <w:sz w:val="20"/>
                <w:szCs w:val="20"/>
              </w:rPr>
              <w:t>PR level</w:t>
            </w:r>
          </w:p>
        </w:tc>
        <w:tc>
          <w:tcPr>
            <w:tcW w:w="709" w:type="dxa"/>
          </w:tcPr>
          <w:p w14:paraId="5DEB1343" w14:textId="47866DE8" w:rsidR="00F94B5F" w:rsidRPr="001428E9" w:rsidRDefault="00F94B5F" w:rsidP="00F94B5F">
            <w:pPr>
              <w:keepLines/>
              <w:jc w:val="center"/>
              <w:rPr>
                <w:rFonts w:ascii="Arial Narrow" w:hAnsi="Arial Narrow"/>
                <w:color w:val="333333"/>
                <w:sz w:val="20"/>
                <w:szCs w:val="20"/>
              </w:rPr>
            </w:pPr>
          </w:p>
        </w:tc>
        <w:tc>
          <w:tcPr>
            <w:tcW w:w="7745" w:type="dxa"/>
            <w:gridSpan w:val="6"/>
          </w:tcPr>
          <w:p w14:paraId="42AFF4B0"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734ADA8D"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b/>
                <w:bCs/>
                <w:color w:val="333333"/>
                <w:sz w:val="20"/>
                <w:szCs w:val="20"/>
                <w:bdr w:val="none" w:sz="0" w:space="0" w:color="auto" w:frame="1"/>
              </w:rPr>
              <w:t>TREATMENT OF ADULT PATIENTS WITH SEVERE CHRONIC PLAQUE PSORIASIS</w:t>
            </w:r>
          </w:p>
          <w:p w14:paraId="19AF5287"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 xml:space="preserve">The following information applies to the prescribing under the Pharmaceutical Benefits Scheme (PBS) of the biological medicines adalimumab, etanercept, guselkumab, infliximab, ixekizumab, risankizumab, secukinumab, tildrakizumab and ustekinumab for adult patients with severe chronic plaque psoriasis. Therefore, where the term 'biological medicines' appears in notes and restrictions, it refers to </w:t>
            </w:r>
            <w:r w:rsidRPr="00E5138C">
              <w:rPr>
                <w:rFonts w:ascii="Arial Narrow" w:hAnsi="Arial Narrow" w:cs="Open Sans"/>
                <w:color w:val="333333"/>
                <w:sz w:val="20"/>
                <w:szCs w:val="20"/>
              </w:rPr>
              <w:lastRenderedPageBreak/>
              <w:t>adalimumab, etanercept, guselkumab, infliximab, ixekizumab, risankizumab, secukinumab, tildrakizumab, and ustekinumab only.</w:t>
            </w:r>
          </w:p>
          <w:p w14:paraId="75FDCFE5"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is eligible for PBS-subsidised treatment with only 1 of the above biological medicines at any 1 time.</w:t>
            </w:r>
          </w:p>
          <w:p w14:paraId="251D6FA4"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received PBS-subsidised adalimumab, etanercept, guselkumab, infliximab, ixekizumab, risankizumab, secukinumab, tildrakizumab, and ustekinumab treatment prior to 1 February 2019 is considered to start their first cycle as of 1 February 2019.</w:t>
            </w:r>
          </w:p>
          <w:p w14:paraId="7550AC55"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receiving PBS-subsidised treatment for chronic plaque psoriasis is able to commence a 'treatment cycle', where they may trial biological medicines without having to experience a disease flare, when swapping to an alternate biological medicine. Under these arrangements, within a single cycle, a patient may receive long-term treatment with a biological medicine as long as they sustain a response to therapy.</w:t>
            </w:r>
          </w:p>
          <w:p w14:paraId="32F03D34"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Within the same treatment cycle, a patient cannot trial and fail, or cease to respond to, the same PBS-subsidised biological medicine more than once. Therefore, once a patient fails to meet the response criteria for a PBS-subsidised biological medicine, they must change to an alternate biological medicine if they wish to continue PBS-subsidised biological treatment.</w:t>
            </w:r>
          </w:p>
          <w:p w14:paraId="4568C556"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5F675F17"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must be assessed for response to each course of treatment according to the criteria included in the relevant continuing treatment restriction.</w:t>
            </w:r>
          </w:p>
          <w:p w14:paraId="1BB7CFF2"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Once a patient has either failed or ceased to sustain a response to treatment 3 times, they are deemed to have completed a treatment cycle and they must have, at a minimum, a 5-year break in PBS-subsidised biological medicine therapy before they are eligible to commence the next cycle.</w:t>
            </w:r>
          </w:p>
          <w:p w14:paraId="75B1418A"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 duration of the break in therapy will be measured from the date the last prescription for PBS-subsidised treatment was approved in the most recent cycle to the date of the first application for initial treatment with a biological medicine under the new cycle.</w:t>
            </w:r>
          </w:p>
          <w:p w14:paraId="2C2C480A"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has failed fewer than 3 biological medicines in a treatment cycle and who has a break in therapy of more than 5 years may commence a new treatment cycle under Initial 3 treatment restriction.</w:t>
            </w:r>
          </w:p>
          <w:p w14:paraId="39D479AE"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has failed fewer than 3 biological medicines in a treatment cycle and who has a break in therapy of less than 5 years may commence a further course of treatment within the same treatment cycle under Initial 2 treatment restriction.</w:t>
            </w:r>
          </w:p>
          <w:p w14:paraId="274CDE15"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There is no limit to the number of treatment cycles a patient may undertake in their lifetime.</w:t>
            </w:r>
          </w:p>
          <w:p w14:paraId="4AF08540"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How to prescribe PBS-subsidised biological medicine treatment for severe chronic plaque psoriasis.</w:t>
            </w:r>
          </w:p>
          <w:p w14:paraId="0834B5E1"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There are separate restrictions for both the initial and continuing treatment for psoriasis affecting the whole body, versus psoriasis affecting the face, hands and feet.</w:t>
            </w:r>
          </w:p>
          <w:p w14:paraId="6932331B"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(1) Initial treatment.</w:t>
            </w:r>
          </w:p>
          <w:p w14:paraId="45DF7FC1"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An application for initial treatment should be made where:</w:t>
            </w:r>
          </w:p>
          <w:p w14:paraId="2A34ED00"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 a patient has not received prior PBS-subsidised biological medicine treatment for this condition and wishes to commence such therapy (Initial 1 - New patient); or</w:t>
            </w:r>
          </w:p>
          <w:p w14:paraId="4B74E354"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(ii) a patient who has received prior PBS-subsidised biological medicine therapy for this condition (initial or continuing) and wishes to trial an alternate biological medicine (Initial 2 - Change or Recommencement of treatment after a break in biological medicine of less than 5 years) [further details are under (4) 'Swapping therapy' below]; or</w:t>
            </w:r>
          </w:p>
          <w:p w14:paraId="5E41EE8C"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(iii)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22695351"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(iv) a patient wishes to recommence treatment with a biological medicine following a break in PBS-subsidised therapy of more than 5 years (Initial 3 - Recommencement of treatment after a break in biological medicine of more than 5 years).</w:t>
            </w:r>
          </w:p>
          <w:p w14:paraId="3DAE17D4"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An application for initial treatment will be limited to provide for a maximum of 16 weeks of therapy for adalimumab, etanercept, ixekizumab, and secukinumab, 20 weeks of therapy for guselkumab, 22 weeks of therapy for infliximab and 28 weeks of therapy for risankizumab, tildrakizumab and ustekinumab.</w:t>
            </w:r>
          </w:p>
          <w:p w14:paraId="5AD4EBD7"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lastRenderedPageBreak/>
              <w:t>It is recommended that a patient is reviewed for response following a minimum of 12 weeks of therapy and no later than 4 weeks from the completion of their course of initial treatment to ensure uninterrupted biological medicine supply.</w:t>
            </w:r>
          </w:p>
          <w:p w14:paraId="3568906A"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Grandfather patients (risankizumab</w:t>
            </w:r>
            <w:r>
              <w:rPr>
                <w:rFonts w:ascii="Arial Narrow" w:hAnsi="Arial Narrow" w:cs="Open Sans"/>
                <w:color w:val="333333"/>
                <w:sz w:val="20"/>
                <w:szCs w:val="20"/>
              </w:rPr>
              <w:t xml:space="preserve"> and</w:t>
            </w:r>
            <w:r w:rsidRPr="003D6B22">
              <w:rPr>
                <w:rFonts w:ascii="Arial Narrow" w:hAnsi="Arial Narrow" w:cs="Open Sans"/>
                <w:i/>
                <w:iCs/>
                <w:color w:val="333333"/>
                <w:sz w:val="20"/>
                <w:szCs w:val="20"/>
              </w:rPr>
              <w:t xml:space="preserve"> tildrakizumab</w:t>
            </w:r>
            <w:r w:rsidRPr="00E5138C">
              <w:rPr>
                <w:rFonts w:ascii="Arial Narrow" w:hAnsi="Arial Narrow" w:cs="Open Sans"/>
                <w:color w:val="333333"/>
                <w:sz w:val="20"/>
                <w:szCs w:val="20"/>
              </w:rPr>
              <w:t xml:space="preserve"> only).</w:t>
            </w:r>
          </w:p>
          <w:p w14:paraId="07790F46" w14:textId="0ED3F5A0"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commenced treatment with risankizumab for chronic plaque psoriasis prior to 1 August 2022</w:t>
            </w:r>
            <w:r w:rsidR="005A3690">
              <w:rPr>
                <w:rFonts w:ascii="Arial Narrow" w:hAnsi="Arial Narrow" w:cs="Open Sans"/>
                <w:color w:val="333333"/>
                <w:sz w:val="20"/>
                <w:szCs w:val="20"/>
              </w:rPr>
              <w:t xml:space="preserve">, </w:t>
            </w:r>
            <w:r w:rsidR="005A3690" w:rsidRPr="00AA4300">
              <w:rPr>
                <w:rFonts w:ascii="Arial Narrow" w:hAnsi="Arial Narrow" w:cs="Open Sans"/>
                <w:i/>
                <w:iCs/>
                <w:color w:val="333333"/>
                <w:sz w:val="20"/>
                <w:szCs w:val="20"/>
              </w:rPr>
              <w:t>or tildrakizumab</w:t>
            </w:r>
            <w:r w:rsidR="005A3690">
              <w:rPr>
                <w:rFonts w:ascii="Arial Narrow" w:hAnsi="Arial Narrow" w:cs="Open Sans"/>
                <w:color w:val="333333"/>
                <w:sz w:val="20"/>
                <w:szCs w:val="20"/>
              </w:rPr>
              <w:t xml:space="preserve"> </w:t>
            </w:r>
            <w:r w:rsidR="005A3690">
              <w:rPr>
                <w:rFonts w:ascii="Arial Narrow" w:hAnsi="Arial Narrow" w:cs="Open Sans"/>
                <w:i/>
                <w:iCs/>
                <w:color w:val="333333"/>
                <w:sz w:val="20"/>
                <w:szCs w:val="20"/>
              </w:rPr>
              <w:t>prior to [date of listing],</w:t>
            </w:r>
            <w:r w:rsidRPr="00E5138C">
              <w:rPr>
                <w:rFonts w:ascii="Arial Narrow" w:hAnsi="Arial Narrow" w:cs="Open Sans"/>
                <w:color w:val="333333"/>
                <w:sz w:val="20"/>
                <w:szCs w:val="20"/>
              </w:rPr>
              <w:t xml:space="preserve"> and who continues to receive treatment at the time of application, may qualify for treatment under the Initial treatment Grandfather treatment restriction.</w:t>
            </w:r>
          </w:p>
          <w:p w14:paraId="4A4B9EF6"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(2) Assessment of response to initial treatment.</w:t>
            </w:r>
          </w:p>
          <w:p w14:paraId="521E157D"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When prescribing initial treatment with a biological medicine, it is recommended that a PASI assessment is conducted after at least 12 weeks of treatment and no later than 4 weeks from the completion of this initial treatment course.</w:t>
            </w:r>
          </w:p>
          <w:p w14:paraId="672B393F"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 PASI assessment for continuing treatment must be performed on the same affected area as assessed at baseline.</w:t>
            </w:r>
          </w:p>
          <w:p w14:paraId="004001C1"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(3) Continuing treatment.</w:t>
            </w:r>
          </w:p>
          <w:p w14:paraId="328FF0C0"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is reviewed for response following a minimum of 12 weeks of therapy and no later than 4 weeks from the completion of the most recent course of treatment.</w:t>
            </w:r>
          </w:p>
          <w:p w14:paraId="5713D2F6"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must be assessed for response to a course of continuing therapy, and the assessment must be submitted to Services Australia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14:paraId="2E910E18"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Infliximab, adalimumab and etanercept only:</w:t>
            </w:r>
          </w:p>
          <w:p w14:paraId="0DD689AF"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For the first continuing treatment course of PBS-subsidised biological medicine treatment, it is recommended that a patient is reviewed for response following a minimum of 12 weeks of therapy under the Initial 1 or Initial 2 treatment restrictions.</w:t>
            </w:r>
          </w:p>
          <w:p w14:paraId="7A6CC5AE"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For second and subsequent continuing courses of PBS-subsidised biological medicine treatment, it is recommended that a patient is reviewed for response following a minimum of 12 weeks of therapy and no later than 4 weeks from the completion of the most recent course of treatment.</w:t>
            </w:r>
          </w:p>
          <w:p w14:paraId="39E88C83"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(4) Swapping therapy.</w:t>
            </w:r>
          </w:p>
          <w:p w14:paraId="29635170"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Once initial treatment with the first PBS-subsidised biological medicine is approved, a patient may swap to an alternate biological medicine without having to requalify with respect to the indices of disease severity (i.e. a PASI score of greater than 15), or the prior non-biological therapy requirements, except if the patient has had a break in therapy of more than 5 years who would need to requalify with respect to the indices of disease severity.</w:t>
            </w:r>
          </w:p>
          <w:p w14:paraId="6237F2FA"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177150FE"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may trial an alternate biological medicine at any time, regardless of whether they are receiving therapy (initial or continuing) with a biological medicine at the time of the application. However, they cannot swap to a particular biological medicine if they have failed to respond to prior treatment with that particular biological medicine within the same cycle or have experienced treatment failure with that particular biological medicine that required permanent treatment withdrawal.</w:t>
            </w:r>
          </w:p>
          <w:p w14:paraId="713CD086"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To ensure a patient receives the maximum treatment opportunities allowed under these arrangements, it is important that they are assessed for response to every course of treatment.</w:t>
            </w:r>
          </w:p>
          <w:p w14:paraId="4518A3FC"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(5) Baseline measurements to determine response.</w:t>
            </w:r>
          </w:p>
          <w:p w14:paraId="5D57C566"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 xml:space="preserve">A response to treatment is to be determined by comparison of current disease activity measurements relative to the baseline PASI assessment submitted with the first authority application for a biological medicine. However, prescribers may provide new baseline PASI assessments any time that an initial or change or recommencement treatment application is submitted within a treatment cycle and this </w:t>
            </w:r>
            <w:r w:rsidRPr="00E5138C">
              <w:rPr>
                <w:rFonts w:ascii="Arial Narrow" w:hAnsi="Arial Narrow" w:cs="Open Sans"/>
                <w:color w:val="333333"/>
                <w:sz w:val="20"/>
                <w:szCs w:val="20"/>
              </w:rPr>
              <w:lastRenderedPageBreak/>
              <w:t>revised baseline PASI score will be used to assess the patient's response to the PBS-subsidised treatment.</w:t>
            </w:r>
          </w:p>
          <w:p w14:paraId="0B3CC581"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To ensure consistency in determining response, the same body area assessed at the baseline PASI assessment must be assessed for demonstration of response to treatment for the purposes of all continuing treatments.</w:t>
            </w:r>
          </w:p>
          <w:p w14:paraId="3571AB79"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(6) Recommencement of treatment after a 5-year break in PBS-subsidised therapy.</w:t>
            </w:r>
          </w:p>
          <w:p w14:paraId="1E4EC928" w14:textId="64CC10FB" w:rsidR="00F94B5F" w:rsidRPr="001428E9" w:rsidRDefault="00F94B5F" w:rsidP="00F94B5F">
            <w:pPr>
              <w:keepLines/>
              <w:rPr>
                <w:rFonts w:ascii="Arial Narrow" w:hAnsi="Arial Narrow"/>
                <w:b/>
                <w:bCs/>
                <w:color w:val="333333"/>
                <w:sz w:val="20"/>
                <w:szCs w:val="20"/>
              </w:rPr>
            </w:pPr>
            <w:r w:rsidRPr="00E5138C">
              <w:rPr>
                <w:rFonts w:ascii="Arial Narrow" w:hAnsi="Arial Narrow" w:cs="Open Sans"/>
                <w:color w:val="333333"/>
                <w:sz w:val="20"/>
                <w:szCs w:val="20"/>
              </w:rPr>
              <w:t>A patient who wishes to trial a second or subsequent treatment cycle following a break in PBS-subsidised biological therapy of at least 5 years, must qualify under Initial 3 treatment according to the criteria of the relevant restriction and index of disease severity. A PASI assessment must be conducted prior to application and patient must have a PASI score of greater than 15 for whole body. For the face, hand, foot at least 2 of the 3 PASI symptom subscores for erythema, thickness and scaling are rated as severe or very severe; or the skin area affected is 30% or more of the face, palm of a hand or sole of a foot. The PASI assessment must be no older than 4 weeks at the time of application.</w:t>
            </w:r>
          </w:p>
        </w:tc>
      </w:tr>
      <w:tr w:rsidR="00F94B5F" w:rsidRPr="001428E9" w14:paraId="68E3521F" w14:textId="77777777" w:rsidTr="005A7E46">
        <w:tblPrEx>
          <w:tblCellMar>
            <w:top w:w="15" w:type="dxa"/>
            <w:bottom w:w="15" w:type="dxa"/>
          </w:tblCellMar>
        </w:tblPrEx>
        <w:trPr>
          <w:cantSplit/>
          <w:trHeight w:val="20"/>
        </w:trPr>
        <w:tc>
          <w:tcPr>
            <w:tcW w:w="562" w:type="dxa"/>
            <w:vMerge w:val="restart"/>
            <w:vAlign w:val="center"/>
          </w:tcPr>
          <w:p w14:paraId="79EF2CDB" w14:textId="2889A3C8" w:rsidR="00F94B5F" w:rsidRPr="001428E9" w:rsidRDefault="00F94B5F" w:rsidP="00F94B5F">
            <w:pPr>
              <w:keepLines/>
              <w:jc w:val="center"/>
              <w:rPr>
                <w:rFonts w:ascii="Arial Narrow" w:hAnsi="Arial Narrow"/>
                <w:color w:val="333333"/>
                <w:sz w:val="20"/>
                <w:szCs w:val="20"/>
              </w:rPr>
            </w:pPr>
            <w:r>
              <w:rPr>
                <w:rFonts w:ascii="Arial Narrow" w:hAnsi="Arial Narrow"/>
                <w:color w:val="333333"/>
                <w:sz w:val="20"/>
                <w:szCs w:val="20"/>
              </w:rPr>
              <w:lastRenderedPageBreak/>
              <w:t>PR level</w:t>
            </w:r>
          </w:p>
        </w:tc>
        <w:tc>
          <w:tcPr>
            <w:tcW w:w="709" w:type="dxa"/>
          </w:tcPr>
          <w:p w14:paraId="5B0B86F9" w14:textId="0B333E3E" w:rsidR="00F94B5F" w:rsidRPr="001428E9" w:rsidRDefault="00F94B5F" w:rsidP="00F94B5F">
            <w:pPr>
              <w:keepLines/>
              <w:jc w:val="center"/>
              <w:rPr>
                <w:rFonts w:ascii="Arial Narrow" w:hAnsi="Arial Narrow"/>
                <w:color w:val="333333"/>
                <w:sz w:val="20"/>
                <w:szCs w:val="20"/>
              </w:rPr>
            </w:pPr>
          </w:p>
        </w:tc>
        <w:tc>
          <w:tcPr>
            <w:tcW w:w="7745" w:type="dxa"/>
            <w:gridSpan w:val="6"/>
          </w:tcPr>
          <w:p w14:paraId="39301706"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6445E807" w14:textId="04F00DE9" w:rsidR="00F94B5F" w:rsidRPr="001428E9" w:rsidRDefault="00F94B5F" w:rsidP="00F94B5F">
            <w:pPr>
              <w:keepLines/>
              <w:rPr>
                <w:rFonts w:ascii="Arial Narrow" w:hAnsi="Arial Narrow"/>
                <w:b/>
                <w:bCs/>
                <w:color w:val="333333"/>
                <w:sz w:val="20"/>
                <w:szCs w:val="20"/>
              </w:rPr>
            </w:pPr>
            <w:r w:rsidRPr="00E5138C">
              <w:rPr>
                <w:rFonts w:ascii="Arial Narrow" w:hAnsi="Arial Narrow" w:cs="Open Sans"/>
                <w:color w:val="333333"/>
                <w:sz w:val="20"/>
                <w:szCs w:val="20"/>
              </w:rPr>
              <w:t>No increase in the maximum quantity or number of units may be authorised.</w:t>
            </w:r>
          </w:p>
        </w:tc>
      </w:tr>
      <w:tr w:rsidR="00F94B5F" w:rsidRPr="001428E9" w14:paraId="291F162C" w14:textId="77777777" w:rsidTr="005A7E46">
        <w:tblPrEx>
          <w:tblCellMar>
            <w:top w:w="15" w:type="dxa"/>
            <w:bottom w:w="15" w:type="dxa"/>
          </w:tblCellMar>
        </w:tblPrEx>
        <w:trPr>
          <w:cantSplit/>
          <w:trHeight w:val="20"/>
        </w:trPr>
        <w:tc>
          <w:tcPr>
            <w:tcW w:w="562" w:type="dxa"/>
            <w:vMerge/>
            <w:vAlign w:val="center"/>
          </w:tcPr>
          <w:p w14:paraId="7B91786F" w14:textId="77777777" w:rsidR="00F94B5F" w:rsidRPr="001428E9" w:rsidRDefault="00F94B5F" w:rsidP="00F94B5F">
            <w:pPr>
              <w:keepLines/>
              <w:jc w:val="center"/>
              <w:rPr>
                <w:rFonts w:ascii="Arial Narrow" w:hAnsi="Arial Narrow"/>
                <w:color w:val="333333"/>
                <w:sz w:val="20"/>
                <w:szCs w:val="20"/>
              </w:rPr>
            </w:pPr>
          </w:p>
        </w:tc>
        <w:tc>
          <w:tcPr>
            <w:tcW w:w="709" w:type="dxa"/>
          </w:tcPr>
          <w:p w14:paraId="33131D15" w14:textId="47E785A6" w:rsidR="00F94B5F" w:rsidRPr="001428E9" w:rsidRDefault="00F94B5F" w:rsidP="00F94B5F">
            <w:pPr>
              <w:keepLines/>
              <w:jc w:val="center"/>
              <w:rPr>
                <w:rFonts w:ascii="Arial Narrow" w:hAnsi="Arial Narrow"/>
                <w:color w:val="333333"/>
                <w:sz w:val="20"/>
                <w:szCs w:val="20"/>
              </w:rPr>
            </w:pPr>
          </w:p>
        </w:tc>
        <w:tc>
          <w:tcPr>
            <w:tcW w:w="7745" w:type="dxa"/>
            <w:gridSpan w:val="6"/>
          </w:tcPr>
          <w:p w14:paraId="59E511EF"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7F4F87F1" w14:textId="43EDD737" w:rsidR="00F94B5F" w:rsidRPr="001428E9" w:rsidRDefault="00F94B5F" w:rsidP="00F94B5F">
            <w:pPr>
              <w:keepLines/>
              <w:rPr>
                <w:rFonts w:ascii="Arial Narrow" w:hAnsi="Arial Narrow"/>
                <w:b/>
                <w:bCs/>
                <w:color w:val="333333"/>
                <w:sz w:val="20"/>
                <w:szCs w:val="20"/>
              </w:rPr>
            </w:pPr>
            <w:r w:rsidRPr="00E5138C">
              <w:rPr>
                <w:rFonts w:ascii="Arial Narrow" w:hAnsi="Arial Narrow" w:cs="Open Sans"/>
                <w:color w:val="333333"/>
                <w:sz w:val="20"/>
                <w:szCs w:val="20"/>
              </w:rPr>
              <w:t>No increase in the maximum number of repeats may be authorised.</w:t>
            </w:r>
          </w:p>
        </w:tc>
      </w:tr>
      <w:tr w:rsidR="00F94B5F" w:rsidRPr="001428E9" w14:paraId="624FFB91" w14:textId="77777777" w:rsidTr="005A7E46">
        <w:tblPrEx>
          <w:tblCellMar>
            <w:top w:w="15" w:type="dxa"/>
            <w:bottom w:w="15" w:type="dxa"/>
          </w:tblCellMar>
        </w:tblPrEx>
        <w:trPr>
          <w:cantSplit/>
          <w:trHeight w:val="20"/>
        </w:trPr>
        <w:tc>
          <w:tcPr>
            <w:tcW w:w="562" w:type="dxa"/>
            <w:vMerge/>
            <w:vAlign w:val="center"/>
          </w:tcPr>
          <w:p w14:paraId="11C92208" w14:textId="77777777" w:rsidR="00F94B5F" w:rsidRPr="001428E9" w:rsidRDefault="00F94B5F" w:rsidP="00F94B5F">
            <w:pPr>
              <w:keepLines/>
              <w:jc w:val="center"/>
              <w:rPr>
                <w:rFonts w:ascii="Arial Narrow" w:hAnsi="Arial Narrow"/>
                <w:color w:val="333333"/>
                <w:sz w:val="20"/>
                <w:szCs w:val="20"/>
              </w:rPr>
            </w:pPr>
          </w:p>
        </w:tc>
        <w:tc>
          <w:tcPr>
            <w:tcW w:w="709" w:type="dxa"/>
          </w:tcPr>
          <w:p w14:paraId="2C30FA4B" w14:textId="17FF02D4" w:rsidR="00F94B5F" w:rsidRPr="001428E9" w:rsidRDefault="00F94B5F" w:rsidP="00F94B5F">
            <w:pPr>
              <w:keepLines/>
              <w:jc w:val="center"/>
              <w:rPr>
                <w:rFonts w:ascii="Arial Narrow" w:hAnsi="Arial Narrow"/>
                <w:color w:val="333333"/>
                <w:sz w:val="20"/>
                <w:szCs w:val="20"/>
              </w:rPr>
            </w:pPr>
          </w:p>
        </w:tc>
        <w:tc>
          <w:tcPr>
            <w:tcW w:w="7745" w:type="dxa"/>
            <w:gridSpan w:val="6"/>
          </w:tcPr>
          <w:p w14:paraId="67FAE801" w14:textId="77777777" w:rsidR="00F94B5F" w:rsidRPr="00E5138C" w:rsidRDefault="00F94B5F" w:rsidP="00F94B5F">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6DFEC81D" w14:textId="1FA360B5" w:rsidR="00F94B5F" w:rsidRPr="001428E9" w:rsidRDefault="00F94B5F" w:rsidP="00F94B5F">
            <w:pPr>
              <w:keepLines/>
              <w:rPr>
                <w:rFonts w:ascii="Arial Narrow" w:hAnsi="Arial Narrow"/>
                <w:b/>
                <w:bCs/>
                <w:color w:val="333333"/>
                <w:sz w:val="20"/>
                <w:szCs w:val="20"/>
              </w:rPr>
            </w:pPr>
            <w:r w:rsidRPr="00E5138C">
              <w:rPr>
                <w:rFonts w:ascii="Arial Narrow" w:hAnsi="Arial Narrow" w:cs="Open Sans"/>
                <w:color w:val="333333"/>
                <w:sz w:val="20"/>
                <w:szCs w:val="20"/>
              </w:rPr>
              <w:t>Special Pricing Arrangements apply.</w:t>
            </w:r>
          </w:p>
        </w:tc>
      </w:tr>
      <w:tr w:rsidR="00842DC5" w:rsidRPr="001428E9" w14:paraId="220C696A" w14:textId="77777777" w:rsidTr="008E308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3A4553" w14:textId="2D1C4A78" w:rsidR="00842DC5" w:rsidRPr="001428E9" w:rsidRDefault="00842DC5" w:rsidP="003A7CE7">
            <w:pPr>
              <w:keepLines/>
              <w:jc w:val="center"/>
              <w:rPr>
                <w:rFonts w:ascii="Arial Narrow" w:hAnsi="Arial Narrow"/>
                <w:color w:val="333333"/>
                <w:sz w:val="20"/>
                <w:szCs w:val="20"/>
              </w:rPr>
            </w:pPr>
          </w:p>
        </w:tc>
        <w:tc>
          <w:tcPr>
            <w:tcW w:w="7745" w:type="dxa"/>
            <w:gridSpan w:val="6"/>
            <w:vAlign w:val="center"/>
            <w:hideMark/>
          </w:tcPr>
          <w:p w14:paraId="00824E8F" w14:textId="2145740A" w:rsidR="00842DC5" w:rsidRPr="001428E9" w:rsidRDefault="00842DC5" w:rsidP="003A7CE7">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00E56DE2">
              <w:rPr>
                <w:rFonts w:ascii="Arial Narrow" w:hAnsi="Arial Narrow"/>
                <w:color w:val="333333"/>
                <w:sz w:val="20"/>
                <w:szCs w:val="20"/>
              </w:rPr>
              <w:t>Severe chronic plaque psoriasis</w:t>
            </w:r>
          </w:p>
        </w:tc>
      </w:tr>
      <w:tr w:rsidR="00842DC5" w:rsidRPr="001428E9" w14:paraId="618A5EEC" w14:textId="77777777" w:rsidTr="008E308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34DA74" w14:textId="77777777"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73AD7C67" w14:textId="0BD00269" w:rsidR="00842DC5" w:rsidRPr="001428E9" w:rsidRDefault="00842DC5" w:rsidP="003A7CE7">
            <w:pPr>
              <w:rPr>
                <w:rFonts w:ascii="Arial Narrow" w:hAnsi="Arial Narrow"/>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00E56DE2" w:rsidRPr="00E56DE2">
              <w:rPr>
                <w:rFonts w:ascii="Arial Narrow" w:hAnsi="Arial Narrow"/>
                <w:i/>
                <w:iCs/>
                <w:color w:val="333333"/>
                <w:sz w:val="20"/>
                <w:szCs w:val="20"/>
              </w:rPr>
              <w:t>Grandfather treatment, Whole body (initial PBS-subsidised supply for continuing treatment in a patient commenced on non-PBS-subsidised therapy)</w:t>
            </w:r>
          </w:p>
        </w:tc>
      </w:tr>
      <w:tr w:rsidR="00842DC5" w:rsidRPr="001428E9" w14:paraId="3ADDFE2F" w14:textId="77777777" w:rsidTr="008E308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41C9398" w14:textId="3161B410" w:rsidR="00842DC5" w:rsidRPr="001428E9" w:rsidRDefault="00842DC5" w:rsidP="00F94B5F">
            <w:pPr>
              <w:jc w:val="center"/>
              <w:rPr>
                <w:rFonts w:ascii="Arial Narrow" w:hAnsi="Arial Narrow"/>
                <w:color w:val="333333"/>
                <w:sz w:val="20"/>
                <w:szCs w:val="20"/>
              </w:rPr>
            </w:pPr>
          </w:p>
        </w:tc>
        <w:tc>
          <w:tcPr>
            <w:tcW w:w="7745" w:type="dxa"/>
            <w:gridSpan w:val="6"/>
            <w:vAlign w:val="center"/>
            <w:hideMark/>
          </w:tcPr>
          <w:p w14:paraId="5756E00C" w14:textId="7685A49B" w:rsidR="00842DC5" w:rsidRPr="001428E9" w:rsidRDefault="00842DC5" w:rsidP="003A7CE7">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F94B5F" w:rsidRPr="001428E9" w14:paraId="6744CC0A"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6FD8205" w14:textId="14D51914" w:rsidR="00F94B5F" w:rsidRPr="001428E9" w:rsidRDefault="00F94B5F" w:rsidP="003A7CE7">
            <w:pPr>
              <w:jc w:val="center"/>
              <w:rPr>
                <w:rFonts w:ascii="Arial Narrow" w:hAnsi="Arial Narrow"/>
                <w:color w:val="333333"/>
                <w:sz w:val="20"/>
                <w:szCs w:val="20"/>
              </w:rPr>
            </w:pPr>
          </w:p>
        </w:tc>
        <w:tc>
          <w:tcPr>
            <w:tcW w:w="7745" w:type="dxa"/>
            <w:gridSpan w:val="6"/>
            <w:vAlign w:val="center"/>
          </w:tcPr>
          <w:p w14:paraId="5671CFFC" w14:textId="44706214" w:rsidR="00F94B5F" w:rsidRPr="001428E9" w:rsidRDefault="00F94B5F" w:rsidP="003A7CE7">
            <w:pPr>
              <w:rPr>
                <w:rFonts w:ascii="Arial Narrow" w:hAnsi="Arial Narrow"/>
                <w:b/>
                <w:bCs/>
                <w:color w:val="333333"/>
                <w:sz w:val="20"/>
                <w:szCs w:val="20"/>
              </w:rPr>
            </w:pPr>
            <w:r w:rsidRPr="00AB243F">
              <w:rPr>
                <w:rFonts w:ascii="Arial Narrow" w:hAnsi="Arial Narrow" w:cs="Open Sans"/>
                <w:sz w:val="20"/>
                <w:szCs w:val="20"/>
              </w:rPr>
              <w:t>Patient must have severe chronic plaque psoriasis where lesions had been present for at least 6 months from the time of initial diagnosis prior to initiating non-PBS-subsidised treatment</w:t>
            </w:r>
          </w:p>
        </w:tc>
      </w:tr>
      <w:tr w:rsidR="00842DC5" w:rsidRPr="001428E9" w14:paraId="7395D94B" w14:textId="77777777" w:rsidTr="008E308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1D9253" w14:textId="77777777"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3D835D0F" w14:textId="77777777" w:rsidR="00842DC5" w:rsidRPr="001428E9" w:rsidRDefault="00842DC5" w:rsidP="003A7CE7">
            <w:pPr>
              <w:rPr>
                <w:rFonts w:ascii="Arial Narrow" w:hAnsi="Arial Narrow"/>
                <w:color w:val="333333"/>
                <w:sz w:val="20"/>
                <w:szCs w:val="20"/>
              </w:rPr>
            </w:pPr>
            <w:r w:rsidRPr="001428E9">
              <w:rPr>
                <w:rFonts w:ascii="Arial Narrow" w:hAnsi="Arial Narrow"/>
                <w:b/>
                <w:bCs/>
                <w:color w:val="333333"/>
                <w:sz w:val="20"/>
                <w:szCs w:val="20"/>
              </w:rPr>
              <w:t>AND</w:t>
            </w:r>
          </w:p>
        </w:tc>
      </w:tr>
      <w:tr w:rsidR="00842DC5" w:rsidRPr="001428E9" w14:paraId="20229E75"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6BE1213" w14:textId="0C4594D2"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54C8383F" w14:textId="7BD8D524" w:rsidR="00842DC5" w:rsidRPr="001428E9" w:rsidRDefault="00842DC5" w:rsidP="003A7CE7">
            <w:pPr>
              <w:rPr>
                <w:rFonts w:ascii="Arial Narrow" w:hAnsi="Arial Narrow"/>
                <w:color w:val="333333"/>
                <w:sz w:val="20"/>
                <w:szCs w:val="20"/>
              </w:rPr>
            </w:pPr>
            <w:r w:rsidRPr="001428E9">
              <w:rPr>
                <w:rFonts w:ascii="Arial Narrow" w:hAnsi="Arial Narrow"/>
                <w:b/>
                <w:bCs/>
                <w:color w:val="333333"/>
                <w:sz w:val="20"/>
                <w:szCs w:val="20"/>
              </w:rPr>
              <w:t>Clinical criteria:</w:t>
            </w:r>
            <w:r w:rsidR="00E56DE2">
              <w:rPr>
                <w:rFonts w:ascii="Arial Narrow" w:hAnsi="Arial Narrow"/>
                <w:b/>
                <w:bCs/>
                <w:color w:val="333333"/>
                <w:sz w:val="20"/>
                <w:szCs w:val="20"/>
              </w:rPr>
              <w:t xml:space="preserve"> </w:t>
            </w:r>
          </w:p>
        </w:tc>
      </w:tr>
      <w:tr w:rsidR="00F94B5F" w:rsidRPr="001428E9" w14:paraId="5875BE5B"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AEDEF2" w14:textId="77777777" w:rsidR="00F94B5F" w:rsidRPr="001428E9" w:rsidRDefault="00F94B5F" w:rsidP="003A7CE7">
            <w:pPr>
              <w:jc w:val="center"/>
              <w:rPr>
                <w:rFonts w:ascii="Arial Narrow" w:hAnsi="Arial Narrow"/>
                <w:color w:val="333333"/>
                <w:sz w:val="20"/>
                <w:szCs w:val="20"/>
              </w:rPr>
            </w:pPr>
          </w:p>
        </w:tc>
        <w:tc>
          <w:tcPr>
            <w:tcW w:w="7745" w:type="dxa"/>
            <w:gridSpan w:val="6"/>
            <w:vAlign w:val="center"/>
          </w:tcPr>
          <w:p w14:paraId="16ABD0CB" w14:textId="339078AC" w:rsidR="00F94B5F" w:rsidRPr="001428E9" w:rsidRDefault="00F94B5F" w:rsidP="003A7CE7">
            <w:pPr>
              <w:rPr>
                <w:rFonts w:ascii="Arial Narrow" w:hAnsi="Arial Narrow"/>
                <w:b/>
                <w:bCs/>
                <w:color w:val="333333"/>
                <w:sz w:val="20"/>
                <w:szCs w:val="20"/>
              </w:rPr>
            </w:pPr>
            <w:r w:rsidRPr="00AB243F">
              <w:rPr>
                <w:rFonts w:ascii="Arial Narrow" w:hAnsi="Arial Narrow" w:cs="Open Sans"/>
                <w:sz w:val="20"/>
                <w:szCs w:val="20"/>
              </w:rPr>
              <w:t>Patient must have received non-PBS-subsidised treatment with this drug for this PBS indication prior to [insert date of listing]</w:t>
            </w:r>
          </w:p>
        </w:tc>
      </w:tr>
      <w:tr w:rsidR="00842DC5" w:rsidRPr="001428E9" w14:paraId="4E6F43AE"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6840A83" w14:textId="77777777"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42944D88" w14:textId="77777777" w:rsidR="00842DC5" w:rsidRPr="001428E9" w:rsidRDefault="00842DC5" w:rsidP="003A7CE7">
            <w:pPr>
              <w:rPr>
                <w:rFonts w:ascii="Arial Narrow" w:hAnsi="Arial Narrow"/>
                <w:color w:val="333333"/>
                <w:sz w:val="20"/>
                <w:szCs w:val="20"/>
              </w:rPr>
            </w:pPr>
            <w:r w:rsidRPr="001428E9">
              <w:rPr>
                <w:rFonts w:ascii="Arial Narrow" w:hAnsi="Arial Narrow"/>
                <w:b/>
                <w:bCs/>
                <w:color w:val="333333"/>
                <w:sz w:val="20"/>
                <w:szCs w:val="20"/>
              </w:rPr>
              <w:t>AND</w:t>
            </w:r>
          </w:p>
        </w:tc>
      </w:tr>
      <w:tr w:rsidR="00842DC5" w:rsidRPr="001428E9" w14:paraId="6A800299"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844BEB" w14:textId="63FB6462"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77614AD0" w14:textId="77777777" w:rsidR="00842DC5" w:rsidRPr="001428E9" w:rsidRDefault="00842DC5" w:rsidP="003A7CE7">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842DC5" w:rsidRPr="001428E9" w14:paraId="3DE4AE24"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CF2DCB" w14:textId="646AE8F2"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6F1CC5FF" w14:textId="09CDD5A8" w:rsidR="00842DC5" w:rsidRPr="006270A2" w:rsidRDefault="00E56DE2" w:rsidP="003A7CE7">
            <w:pPr>
              <w:rPr>
                <w:rFonts w:ascii="Arial Narrow" w:hAnsi="Arial Narrow"/>
                <w:i/>
                <w:iCs/>
                <w:color w:val="333333"/>
                <w:sz w:val="20"/>
                <w:szCs w:val="20"/>
              </w:rPr>
            </w:pPr>
            <w:r w:rsidRPr="006270A2">
              <w:rPr>
                <w:rFonts w:ascii="Arial Narrow" w:hAnsi="Arial Narrow"/>
                <w:i/>
                <w:iCs/>
                <w:color w:val="333333"/>
                <w:sz w:val="20"/>
                <w:szCs w:val="20"/>
              </w:rPr>
              <w:t>Patient must have had a documented history of a Psoriasis Area and Severity Index (PASI) score of greater than 15 prior to commencing non-PBS- subsidised treatment with this drug,</w:t>
            </w:r>
          </w:p>
        </w:tc>
      </w:tr>
      <w:tr w:rsidR="00E56DE2" w:rsidRPr="001428E9" w14:paraId="11A0412B"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545BE7" w14:textId="77777777"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3E5658FA" w14:textId="3ADCF0F3" w:rsidR="00E56DE2" w:rsidRPr="001428E9" w:rsidRDefault="00E56DE2" w:rsidP="00E56DE2">
            <w:pPr>
              <w:rPr>
                <w:rFonts w:ascii="Arial Narrow" w:hAnsi="Arial Narrow"/>
                <w:color w:val="333333"/>
                <w:sz w:val="20"/>
                <w:szCs w:val="20"/>
              </w:rPr>
            </w:pPr>
            <w:r w:rsidRPr="001428E9">
              <w:rPr>
                <w:rFonts w:ascii="Arial Narrow" w:hAnsi="Arial Narrow"/>
                <w:b/>
                <w:bCs/>
                <w:color w:val="333333"/>
                <w:sz w:val="20"/>
                <w:szCs w:val="20"/>
              </w:rPr>
              <w:t>AND</w:t>
            </w:r>
          </w:p>
        </w:tc>
      </w:tr>
      <w:tr w:rsidR="00E56DE2" w:rsidRPr="001428E9" w14:paraId="680732E4"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C8E5A9F" w14:textId="7CFA5117"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2C377EC6" w14:textId="31F3A658" w:rsidR="00E56DE2" w:rsidRPr="001428E9" w:rsidRDefault="00E56DE2" w:rsidP="00E56DE2">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E56DE2" w:rsidRPr="001428E9" w14:paraId="164F6B57"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EA9B33" w14:textId="74776FA4"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3850FEE5" w14:textId="6F1F7249" w:rsidR="00E56DE2" w:rsidRPr="006270A2" w:rsidRDefault="00E56DE2" w:rsidP="00E56DE2">
            <w:pPr>
              <w:rPr>
                <w:rFonts w:ascii="Arial Narrow" w:hAnsi="Arial Narrow"/>
                <w:i/>
                <w:iCs/>
                <w:color w:val="333333"/>
                <w:sz w:val="20"/>
                <w:szCs w:val="20"/>
              </w:rPr>
            </w:pPr>
            <w:r w:rsidRPr="006270A2">
              <w:rPr>
                <w:rFonts w:ascii="Arial Narrow" w:hAnsi="Arial Narrow"/>
                <w:i/>
                <w:iCs/>
                <w:color w:val="333333"/>
                <w:sz w:val="20"/>
                <w:szCs w:val="20"/>
              </w:rPr>
              <w:t>Patient must have demonstrated an adequate response to their most recent course of non-PBS-subsidised treatment with this drug,</w:t>
            </w:r>
          </w:p>
        </w:tc>
      </w:tr>
      <w:tr w:rsidR="00E56DE2" w:rsidRPr="001428E9" w14:paraId="6A1C0AD3"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BD7097" w14:textId="77777777"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3794FF89" w14:textId="7C03A71C" w:rsidR="00E56DE2" w:rsidRPr="001428E9" w:rsidRDefault="00E56DE2" w:rsidP="00E56DE2">
            <w:pPr>
              <w:rPr>
                <w:rFonts w:ascii="Arial Narrow" w:hAnsi="Arial Narrow"/>
                <w:color w:val="333333"/>
                <w:sz w:val="20"/>
                <w:szCs w:val="20"/>
              </w:rPr>
            </w:pPr>
            <w:r w:rsidRPr="001428E9">
              <w:rPr>
                <w:rFonts w:ascii="Arial Narrow" w:hAnsi="Arial Narrow"/>
                <w:b/>
                <w:bCs/>
                <w:color w:val="333333"/>
                <w:sz w:val="20"/>
                <w:szCs w:val="20"/>
              </w:rPr>
              <w:t>AND</w:t>
            </w:r>
          </w:p>
        </w:tc>
      </w:tr>
      <w:tr w:rsidR="00E56DE2" w:rsidRPr="001428E9" w14:paraId="63DE7ACF"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AA53379" w14:textId="2502DDB7"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2EB4A9AF" w14:textId="24E1A0CD" w:rsidR="00E56DE2" w:rsidRPr="001428E9" w:rsidRDefault="00E56DE2" w:rsidP="00E56DE2">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E56DE2" w:rsidRPr="001428E9" w14:paraId="0193A426"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806C29" w14:textId="7A008820" w:rsidR="00E56DE2" w:rsidRPr="001428E9" w:rsidRDefault="00E56DE2" w:rsidP="007F44C7">
            <w:pPr>
              <w:jc w:val="center"/>
              <w:rPr>
                <w:rFonts w:ascii="Arial Narrow" w:hAnsi="Arial Narrow"/>
                <w:color w:val="333333"/>
                <w:sz w:val="20"/>
                <w:szCs w:val="20"/>
              </w:rPr>
            </w:pPr>
          </w:p>
        </w:tc>
        <w:tc>
          <w:tcPr>
            <w:tcW w:w="7745" w:type="dxa"/>
            <w:gridSpan w:val="6"/>
            <w:vAlign w:val="center"/>
          </w:tcPr>
          <w:p w14:paraId="31C22F0C" w14:textId="504188FE" w:rsidR="00E56DE2" w:rsidRPr="00E56DE2" w:rsidRDefault="00E56DE2" w:rsidP="00E56DE2">
            <w:pPr>
              <w:rPr>
                <w:rFonts w:ascii="Arial Narrow" w:hAnsi="Arial Narrow"/>
                <w:color w:val="333333"/>
                <w:sz w:val="20"/>
                <w:szCs w:val="20"/>
              </w:rPr>
            </w:pPr>
            <w:r w:rsidRPr="00E56DE2">
              <w:rPr>
                <w:rFonts w:ascii="Arial Narrow" w:hAnsi="Arial Narrow"/>
                <w:color w:val="333333"/>
                <w:sz w:val="20"/>
                <w:szCs w:val="20"/>
              </w:rPr>
              <w:t>The treatment must be as systemic monotherapy (other than methotrexate),</w:t>
            </w:r>
          </w:p>
        </w:tc>
      </w:tr>
      <w:tr w:rsidR="00E56DE2" w:rsidRPr="001428E9" w14:paraId="5A1643C0"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AC4458" w14:textId="77777777"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63C6BB8F" w14:textId="16D429D4" w:rsidR="00E56DE2" w:rsidRPr="00E56DE2" w:rsidRDefault="00E56DE2" w:rsidP="00E56DE2">
            <w:pPr>
              <w:rPr>
                <w:rFonts w:ascii="Arial Narrow" w:hAnsi="Arial Narrow"/>
                <w:color w:val="333333"/>
                <w:sz w:val="20"/>
                <w:szCs w:val="20"/>
              </w:rPr>
            </w:pPr>
            <w:r w:rsidRPr="001428E9">
              <w:rPr>
                <w:rFonts w:ascii="Arial Narrow" w:hAnsi="Arial Narrow"/>
                <w:b/>
                <w:bCs/>
                <w:color w:val="333333"/>
                <w:sz w:val="20"/>
                <w:szCs w:val="20"/>
              </w:rPr>
              <w:t>AND</w:t>
            </w:r>
          </w:p>
        </w:tc>
      </w:tr>
      <w:tr w:rsidR="00E56DE2" w:rsidRPr="001428E9" w14:paraId="08903CD5"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7A50A0" w14:textId="01731AE1"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4573DA73" w14:textId="3C773F59" w:rsidR="00E56DE2" w:rsidRPr="00E56DE2" w:rsidRDefault="00E56DE2" w:rsidP="00E56DE2">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E56DE2" w:rsidRPr="001428E9" w14:paraId="5164A7C0"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3EF47D" w14:textId="37DAE8E7" w:rsidR="00E56DE2" w:rsidRPr="001428E9" w:rsidRDefault="00E56DE2" w:rsidP="00E56DE2">
            <w:pPr>
              <w:jc w:val="center"/>
              <w:rPr>
                <w:rFonts w:ascii="Arial Narrow" w:hAnsi="Arial Narrow"/>
                <w:color w:val="333333"/>
                <w:sz w:val="20"/>
                <w:szCs w:val="20"/>
              </w:rPr>
            </w:pPr>
          </w:p>
        </w:tc>
        <w:tc>
          <w:tcPr>
            <w:tcW w:w="7745" w:type="dxa"/>
            <w:gridSpan w:val="6"/>
            <w:vAlign w:val="center"/>
          </w:tcPr>
          <w:p w14:paraId="0336338F" w14:textId="5294964F" w:rsidR="00E56DE2" w:rsidRPr="00E56DE2" w:rsidRDefault="00E56DE2" w:rsidP="00E56DE2">
            <w:pPr>
              <w:rPr>
                <w:rFonts w:ascii="Arial Narrow" w:hAnsi="Arial Narrow"/>
                <w:color w:val="333333"/>
                <w:sz w:val="20"/>
                <w:szCs w:val="20"/>
              </w:rPr>
            </w:pPr>
            <w:r w:rsidRPr="00E56DE2">
              <w:rPr>
                <w:rFonts w:ascii="Arial Narrow" w:hAnsi="Arial Narrow"/>
                <w:color w:val="333333"/>
                <w:sz w:val="20"/>
                <w:szCs w:val="20"/>
              </w:rPr>
              <w:t xml:space="preserve">Patient must not receive more than </w:t>
            </w:r>
            <w:r w:rsidRPr="00057A1E">
              <w:rPr>
                <w:rFonts w:ascii="Arial Narrow" w:hAnsi="Arial Narrow"/>
                <w:color w:val="333333"/>
                <w:sz w:val="20"/>
                <w:szCs w:val="20"/>
              </w:rPr>
              <w:t xml:space="preserve">24 </w:t>
            </w:r>
            <w:r w:rsidRPr="00E56DE2">
              <w:rPr>
                <w:rFonts w:ascii="Arial Narrow" w:hAnsi="Arial Narrow"/>
                <w:color w:val="333333"/>
                <w:sz w:val="20"/>
                <w:szCs w:val="20"/>
              </w:rPr>
              <w:t>weeks of treatment under this restriction</w:t>
            </w:r>
            <w:r w:rsidRPr="00E56DE2">
              <w:rPr>
                <w:rFonts w:ascii="Arial Narrow" w:hAnsi="Arial Narrow"/>
                <w:b/>
                <w:bCs/>
                <w:color w:val="333333"/>
                <w:sz w:val="20"/>
                <w:szCs w:val="20"/>
              </w:rPr>
              <w:t>.</w:t>
            </w:r>
          </w:p>
        </w:tc>
      </w:tr>
      <w:tr w:rsidR="00842DC5" w:rsidRPr="001428E9" w14:paraId="26BAA541"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F96124" w14:textId="6425C47A" w:rsidR="00842DC5" w:rsidRPr="001428E9" w:rsidRDefault="00842DC5" w:rsidP="003A7CE7">
            <w:pPr>
              <w:keepNext/>
              <w:jc w:val="center"/>
              <w:rPr>
                <w:rFonts w:ascii="Arial Narrow" w:hAnsi="Arial Narrow"/>
                <w:color w:val="333333"/>
                <w:sz w:val="20"/>
                <w:szCs w:val="20"/>
              </w:rPr>
            </w:pPr>
          </w:p>
        </w:tc>
        <w:tc>
          <w:tcPr>
            <w:tcW w:w="7745" w:type="dxa"/>
            <w:gridSpan w:val="6"/>
            <w:vAlign w:val="center"/>
            <w:hideMark/>
          </w:tcPr>
          <w:p w14:paraId="62104F2F" w14:textId="77777777" w:rsidR="00842DC5" w:rsidRPr="001428E9" w:rsidRDefault="00842DC5" w:rsidP="003A7CE7">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842DC5" w:rsidRPr="001428E9" w14:paraId="41D0F5FC"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093624" w14:textId="17EF6A78"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4FDF3A6B" w14:textId="55B5A2AD" w:rsidR="00842DC5" w:rsidRPr="00E56DE2" w:rsidRDefault="00E56DE2" w:rsidP="003A7CE7">
            <w:pPr>
              <w:autoSpaceDE w:val="0"/>
              <w:autoSpaceDN w:val="0"/>
              <w:adjustRightInd w:val="0"/>
              <w:rPr>
                <w:rFonts w:ascii="Arial Narrow" w:hAnsi="Arial Narrow" w:cs="Arial Narrow"/>
                <w:i/>
                <w:iCs/>
                <w:sz w:val="20"/>
                <w:szCs w:val="20"/>
              </w:rPr>
            </w:pPr>
            <w:r w:rsidRPr="00E56DE2">
              <w:rPr>
                <w:rFonts w:ascii="Arial Narrow" w:eastAsia="Calibri" w:hAnsi="Arial Narrow" w:cs="Arial Narrow"/>
                <w:sz w:val="20"/>
                <w:szCs w:val="20"/>
              </w:rPr>
              <w:t>Must be treated by a dermatologist</w:t>
            </w:r>
            <w:r w:rsidRPr="00E56DE2">
              <w:rPr>
                <w:rFonts w:ascii="Arial Narrow" w:eastAsia="Calibri" w:hAnsi="Arial Narrow" w:cs="Arial Narrow"/>
                <w:i/>
                <w:iCs/>
                <w:sz w:val="20"/>
                <w:szCs w:val="20"/>
              </w:rPr>
              <w:t>.</w:t>
            </w:r>
          </w:p>
        </w:tc>
      </w:tr>
      <w:tr w:rsidR="00842DC5" w:rsidRPr="001428E9" w14:paraId="015B8C5C"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195497" w14:textId="56D43185"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4ACEFA0C" w14:textId="77777777" w:rsidR="00842DC5" w:rsidRPr="001428E9" w:rsidRDefault="00842DC5" w:rsidP="003A7CE7">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842DC5" w:rsidRPr="001428E9" w14:paraId="23AACC14" w14:textId="77777777" w:rsidTr="008E308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6DD881" w14:textId="257C9070"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69F97FDA" w14:textId="46BB79AC" w:rsidR="00842DC5" w:rsidRPr="00E56DE2" w:rsidRDefault="007F44C7" w:rsidP="003A7CE7">
            <w:pPr>
              <w:rPr>
                <w:rFonts w:ascii="Arial Narrow" w:hAnsi="Arial Narrow"/>
                <w:color w:val="333333"/>
                <w:sz w:val="20"/>
                <w:szCs w:val="20"/>
              </w:rPr>
            </w:pPr>
            <w:r w:rsidRPr="00AB243F">
              <w:rPr>
                <w:rFonts w:ascii="Arial Narrow" w:hAnsi="Arial Narrow" w:cs="Open Sans"/>
                <w:sz w:val="20"/>
                <w:szCs w:val="20"/>
                <w:shd w:val="clear" w:color="auto" w:fill="FFFFFF"/>
              </w:rPr>
              <w:t>Patient must be at least 18 years of age</w:t>
            </w:r>
          </w:p>
        </w:tc>
      </w:tr>
      <w:tr w:rsidR="007F44C7" w:rsidRPr="001428E9" w14:paraId="2B8228F3"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D00C4A" w14:textId="36BDD95A" w:rsidR="007F44C7" w:rsidRPr="001428E9" w:rsidDel="007F44C7" w:rsidRDefault="007F44C7" w:rsidP="003A7CE7">
            <w:pPr>
              <w:jc w:val="center"/>
              <w:rPr>
                <w:rFonts w:ascii="Arial Narrow" w:hAnsi="Arial Narrow"/>
                <w:color w:val="333333"/>
                <w:sz w:val="20"/>
                <w:szCs w:val="20"/>
              </w:rPr>
            </w:pPr>
          </w:p>
        </w:tc>
        <w:tc>
          <w:tcPr>
            <w:tcW w:w="7745" w:type="dxa"/>
            <w:gridSpan w:val="6"/>
            <w:vAlign w:val="center"/>
          </w:tcPr>
          <w:p w14:paraId="26B6E937" w14:textId="77777777" w:rsidR="007F44C7" w:rsidRPr="00DC6311" w:rsidRDefault="007F44C7" w:rsidP="007F44C7">
            <w:pPr>
              <w:pStyle w:val="NormalWeb"/>
              <w:spacing w:before="0" w:beforeAutospacing="0" w:after="0" w:afterAutospacing="0"/>
              <w:textAlignment w:val="baseline"/>
              <w:rPr>
                <w:rFonts w:ascii="Arial Narrow" w:hAnsi="Arial Narrow" w:cs="Open Sans"/>
                <w:color w:val="333333"/>
                <w:sz w:val="20"/>
                <w:szCs w:val="20"/>
              </w:rPr>
            </w:pPr>
            <w:r w:rsidRPr="00DC6311">
              <w:rPr>
                <w:rStyle w:val="Strong"/>
                <w:rFonts w:ascii="Arial Narrow" w:hAnsi="Arial Narrow" w:cs="Open Sans"/>
                <w:color w:val="333333"/>
                <w:sz w:val="20"/>
                <w:szCs w:val="20"/>
                <w:bdr w:val="none" w:sz="0" w:space="0" w:color="auto" w:frame="1"/>
              </w:rPr>
              <w:t>Prescribing Instructions:</w:t>
            </w:r>
          </w:p>
          <w:p w14:paraId="521D9FE5" w14:textId="77777777" w:rsidR="007F44C7" w:rsidRPr="00DC6311" w:rsidRDefault="007F44C7" w:rsidP="007F44C7">
            <w:pPr>
              <w:pStyle w:val="NormalWeb"/>
              <w:spacing w:before="0" w:beforeAutospacing="0" w:after="0" w:afterAutospacing="0"/>
              <w:textAlignment w:val="baseline"/>
              <w:rPr>
                <w:rFonts w:ascii="Arial Narrow" w:hAnsi="Arial Narrow" w:cs="Open Sans"/>
                <w:color w:val="333333"/>
                <w:sz w:val="20"/>
                <w:szCs w:val="20"/>
              </w:rPr>
            </w:pPr>
            <w:r w:rsidRPr="00DC6311">
              <w:rPr>
                <w:rFonts w:ascii="Arial Narrow" w:hAnsi="Arial Narrow" w:cs="Open Sans"/>
                <w:color w:val="333333"/>
                <w:sz w:val="20"/>
                <w:szCs w:val="20"/>
              </w:rPr>
              <w:t>An adequate response to treatment is defined as:</w:t>
            </w:r>
          </w:p>
          <w:p w14:paraId="7F744B85" w14:textId="50DA2BF4" w:rsidR="007F44C7" w:rsidRPr="00E56DE2" w:rsidDel="007F44C7" w:rsidRDefault="007F44C7" w:rsidP="007F44C7">
            <w:pPr>
              <w:rPr>
                <w:rFonts w:ascii="Arial Narrow" w:hAnsi="Arial Narrow"/>
                <w:color w:val="333333"/>
                <w:sz w:val="20"/>
                <w:szCs w:val="20"/>
              </w:rPr>
            </w:pPr>
            <w:r w:rsidRPr="00DC6311">
              <w:rPr>
                <w:rFonts w:ascii="Arial Narrow" w:hAnsi="Arial Narrow" w:cs="Open Sans"/>
                <w:color w:val="333333"/>
                <w:sz w:val="20"/>
                <w:szCs w:val="20"/>
              </w:rPr>
              <w:t>A Psoriasis Area and Severity Index (PASI) score which is reduced by 75% or more, or is sustained at this level, when compared with the baseline value</w:t>
            </w:r>
            <w:r>
              <w:rPr>
                <w:rFonts w:ascii="Arial Narrow" w:hAnsi="Arial Narrow" w:cs="Open Sans"/>
                <w:color w:val="333333"/>
                <w:sz w:val="20"/>
                <w:szCs w:val="20"/>
              </w:rPr>
              <w:t xml:space="preserve"> taken prior to receiving non-PBS-subsidised treatment</w:t>
            </w:r>
            <w:r w:rsidR="009C1E6C">
              <w:rPr>
                <w:rFonts w:ascii="Arial Narrow" w:hAnsi="Arial Narrow" w:cs="Open Sans"/>
                <w:color w:val="333333"/>
                <w:sz w:val="20"/>
                <w:szCs w:val="20"/>
              </w:rPr>
              <w:t>.</w:t>
            </w:r>
          </w:p>
        </w:tc>
      </w:tr>
      <w:tr w:rsidR="009C1E6C" w:rsidRPr="00C02D56" w14:paraId="6A833BC7"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8A1CB7" w14:textId="2C48222B" w:rsidR="009C1E6C" w:rsidRPr="001428E9" w:rsidRDefault="009C1E6C" w:rsidP="003A7CE7">
            <w:pPr>
              <w:jc w:val="center"/>
              <w:rPr>
                <w:rFonts w:ascii="Arial Narrow" w:hAnsi="Arial Narrow"/>
                <w:color w:val="333333"/>
                <w:sz w:val="20"/>
                <w:szCs w:val="20"/>
              </w:rPr>
            </w:pPr>
          </w:p>
        </w:tc>
        <w:tc>
          <w:tcPr>
            <w:tcW w:w="7745" w:type="dxa"/>
            <w:gridSpan w:val="6"/>
            <w:vAlign w:val="center"/>
          </w:tcPr>
          <w:p w14:paraId="34562F92" w14:textId="77777777" w:rsidR="009C1E6C" w:rsidRPr="00680F08" w:rsidRDefault="009C1E6C" w:rsidP="009C1E6C">
            <w:pPr>
              <w:pStyle w:val="NormalWeb"/>
              <w:spacing w:before="0" w:beforeAutospacing="0" w:after="0" w:afterAutospacing="0"/>
              <w:textAlignment w:val="baseline"/>
              <w:rPr>
                <w:rFonts w:ascii="Arial Narrow" w:hAnsi="Arial Narrow" w:cs="Open Sans"/>
                <w:color w:val="333333"/>
                <w:sz w:val="20"/>
                <w:szCs w:val="20"/>
              </w:rPr>
            </w:pPr>
            <w:r w:rsidRPr="00680F08">
              <w:rPr>
                <w:rStyle w:val="Strong"/>
                <w:rFonts w:ascii="Arial Narrow" w:hAnsi="Arial Narrow" w:cs="Open Sans"/>
                <w:color w:val="333333"/>
                <w:sz w:val="20"/>
                <w:szCs w:val="20"/>
                <w:bdr w:val="none" w:sz="0" w:space="0" w:color="auto" w:frame="1"/>
              </w:rPr>
              <w:t>Prescribing Instructions:</w:t>
            </w:r>
          </w:p>
          <w:p w14:paraId="696BC915" w14:textId="77777777" w:rsidR="009C1E6C" w:rsidRPr="00262EB8" w:rsidRDefault="009C1E6C" w:rsidP="009C1E6C">
            <w:pPr>
              <w:shd w:val="clear" w:color="auto" w:fill="FFFFFF"/>
              <w:textAlignment w:val="baseline"/>
              <w:rPr>
                <w:rFonts w:ascii="Arial Narrow" w:hAnsi="Arial Narrow" w:cs="Open Sans"/>
                <w:color w:val="333333"/>
                <w:sz w:val="20"/>
                <w:szCs w:val="20"/>
              </w:rPr>
            </w:pPr>
            <w:r w:rsidRPr="00262EB8">
              <w:rPr>
                <w:rFonts w:ascii="Arial Narrow" w:hAnsi="Arial Narrow" w:cs="Open Sans"/>
                <w:color w:val="333333"/>
                <w:sz w:val="20"/>
                <w:szCs w:val="20"/>
              </w:rPr>
              <w:t>The authority application must be made in writing and must include:</w:t>
            </w:r>
          </w:p>
          <w:p w14:paraId="670E0AAF" w14:textId="77777777" w:rsidR="009C1E6C" w:rsidRPr="00262EB8" w:rsidRDefault="009C1E6C" w:rsidP="009C1E6C">
            <w:pPr>
              <w:shd w:val="clear" w:color="auto" w:fill="FFFFFF"/>
              <w:textAlignment w:val="baseline"/>
              <w:rPr>
                <w:rFonts w:ascii="Arial Narrow" w:hAnsi="Arial Narrow" w:cs="Open Sans"/>
                <w:color w:val="333333"/>
                <w:sz w:val="20"/>
                <w:szCs w:val="20"/>
              </w:rPr>
            </w:pPr>
            <w:r w:rsidRPr="00262EB8">
              <w:rPr>
                <w:rFonts w:ascii="Arial Narrow" w:hAnsi="Arial Narrow" w:cs="Open Sans"/>
                <w:color w:val="333333"/>
                <w:sz w:val="20"/>
                <w:szCs w:val="20"/>
              </w:rPr>
              <w:t>(1) a completed authority prescription form(s); and</w:t>
            </w:r>
          </w:p>
          <w:p w14:paraId="20BCD689" w14:textId="77777777" w:rsidR="009C1E6C" w:rsidRPr="00262EB8" w:rsidRDefault="009C1E6C" w:rsidP="009C1E6C">
            <w:pPr>
              <w:shd w:val="clear" w:color="auto" w:fill="FFFFFF"/>
              <w:textAlignment w:val="baseline"/>
              <w:rPr>
                <w:rFonts w:ascii="Arial Narrow" w:hAnsi="Arial Narrow" w:cs="Open Sans"/>
                <w:color w:val="333333"/>
                <w:sz w:val="20"/>
                <w:szCs w:val="20"/>
              </w:rPr>
            </w:pPr>
            <w:r w:rsidRPr="00262EB8">
              <w:rPr>
                <w:rFonts w:ascii="Arial Narrow" w:hAnsi="Arial Narrow" w:cs="Open Sans"/>
                <w:color w:val="333333"/>
                <w:sz w:val="20"/>
                <w:szCs w:val="20"/>
              </w:rPr>
              <w:t>(2) a completed authority application form relevant to the indication and treatment phase (the latest version is located on the website specified in the Administrative Advice) which includes the following:</w:t>
            </w:r>
          </w:p>
          <w:p w14:paraId="077EFC05" w14:textId="77777777" w:rsidR="009C1E6C" w:rsidRPr="00262EB8" w:rsidRDefault="009C1E6C" w:rsidP="009C1E6C">
            <w:pPr>
              <w:shd w:val="clear" w:color="auto" w:fill="FFFFFF"/>
              <w:textAlignment w:val="baseline"/>
              <w:rPr>
                <w:rFonts w:ascii="Arial Narrow" w:hAnsi="Arial Narrow" w:cs="Open Sans"/>
                <w:color w:val="333333"/>
                <w:sz w:val="20"/>
                <w:szCs w:val="20"/>
              </w:rPr>
            </w:pPr>
            <w:r w:rsidRPr="00262EB8">
              <w:rPr>
                <w:rFonts w:ascii="Arial Narrow" w:hAnsi="Arial Narrow" w:cs="Open Sans"/>
                <w:color w:val="333333"/>
                <w:sz w:val="20"/>
                <w:szCs w:val="20"/>
              </w:rPr>
              <w:t>(i) the completed current and previous Psoriasis Area and Severity Index (PASI) calculation sheets including the dates of assessment of the patient's condition</w:t>
            </w:r>
            <w:r>
              <w:rPr>
                <w:rFonts w:ascii="Arial Narrow" w:hAnsi="Arial Narrow" w:cs="Open Sans"/>
                <w:color w:val="333333"/>
                <w:sz w:val="20"/>
                <w:szCs w:val="20"/>
              </w:rPr>
              <w:t xml:space="preserve"> at baseline </w:t>
            </w:r>
            <w:r w:rsidRPr="005E12EE">
              <w:rPr>
                <w:rFonts w:ascii="Arial Narrow" w:hAnsi="Arial Narrow" w:cs="Open Sans"/>
                <w:color w:val="333333"/>
                <w:sz w:val="20"/>
                <w:szCs w:val="20"/>
              </w:rPr>
              <w:t>(prior to initiation of non-PBS-subsidised therapy with this drug) and the most recent PASI assessment</w:t>
            </w:r>
            <w:r w:rsidRPr="00262EB8">
              <w:rPr>
                <w:rFonts w:ascii="Arial Narrow" w:hAnsi="Arial Narrow" w:cs="Open Sans"/>
                <w:color w:val="333333"/>
                <w:sz w:val="20"/>
                <w:szCs w:val="20"/>
              </w:rPr>
              <w:t>; and</w:t>
            </w:r>
          </w:p>
          <w:p w14:paraId="067C52DA" w14:textId="7DC6C51C" w:rsidR="009C1E6C" w:rsidRPr="00AB243F" w:rsidDel="009C1E6C" w:rsidRDefault="009C1E6C" w:rsidP="00AB243F">
            <w:pPr>
              <w:shd w:val="clear" w:color="auto" w:fill="FFFFFF"/>
              <w:textAlignment w:val="baseline"/>
              <w:rPr>
                <w:rFonts w:ascii="Arial Narrow" w:hAnsi="Arial Narrow" w:cs="Open Sans"/>
                <w:color w:val="333333"/>
                <w:sz w:val="20"/>
                <w:szCs w:val="20"/>
              </w:rPr>
            </w:pPr>
            <w:r w:rsidRPr="00262EB8">
              <w:rPr>
                <w:rFonts w:ascii="Arial Narrow" w:hAnsi="Arial Narrow" w:cs="Open Sans"/>
                <w:color w:val="333333"/>
                <w:sz w:val="20"/>
                <w:szCs w:val="20"/>
              </w:rPr>
              <w:t>(ii) details of previous phototherapy and systemic drug therapy [dosage (where applicable), date of commencement and duration of therapy].</w:t>
            </w:r>
          </w:p>
        </w:tc>
      </w:tr>
      <w:tr w:rsidR="009C1E6C" w:rsidRPr="00C02D56" w14:paraId="770032F2"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944D149" w14:textId="6653A89B" w:rsidR="009C1E6C" w:rsidRDefault="009C1E6C" w:rsidP="003A7CE7">
            <w:pPr>
              <w:jc w:val="center"/>
              <w:rPr>
                <w:rFonts w:ascii="Arial Narrow" w:hAnsi="Arial Narrow"/>
                <w:color w:val="333333"/>
                <w:sz w:val="20"/>
                <w:szCs w:val="20"/>
              </w:rPr>
            </w:pPr>
          </w:p>
        </w:tc>
        <w:tc>
          <w:tcPr>
            <w:tcW w:w="7745" w:type="dxa"/>
            <w:gridSpan w:val="6"/>
            <w:vAlign w:val="center"/>
          </w:tcPr>
          <w:p w14:paraId="14E3DB54" w14:textId="77777777" w:rsidR="009C1E6C" w:rsidRPr="003D6B22" w:rsidRDefault="009C1E6C" w:rsidP="009C1E6C">
            <w:pPr>
              <w:pStyle w:val="NormalWeb"/>
              <w:spacing w:before="0" w:beforeAutospacing="0" w:after="0" w:afterAutospacing="0"/>
              <w:textAlignment w:val="baseline"/>
              <w:rPr>
                <w:rFonts w:ascii="Arial Narrow" w:hAnsi="Arial Narrow" w:cs="Open Sans"/>
                <w:color w:val="333333"/>
                <w:sz w:val="20"/>
                <w:szCs w:val="20"/>
              </w:rPr>
            </w:pPr>
            <w:r w:rsidRPr="003D6B22">
              <w:rPr>
                <w:rStyle w:val="Strong"/>
                <w:rFonts w:ascii="Arial Narrow" w:hAnsi="Arial Narrow" w:cs="Open Sans"/>
                <w:color w:val="333333"/>
                <w:sz w:val="20"/>
                <w:szCs w:val="20"/>
                <w:bdr w:val="none" w:sz="0" w:space="0" w:color="auto" w:frame="1"/>
              </w:rPr>
              <w:t>Prescribing Instructions:</w:t>
            </w:r>
          </w:p>
          <w:p w14:paraId="301D8190" w14:textId="0461D46D" w:rsidR="009C1E6C" w:rsidRPr="00680F08" w:rsidRDefault="009C1E6C" w:rsidP="009C1E6C">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3D6B22">
              <w:rPr>
                <w:rFonts w:ascii="Arial Narrow" w:hAnsi="Arial Narrow" w:cs="Open Sans"/>
                <w:color w:val="333333"/>
                <w:sz w:val="20"/>
                <w:szCs w:val="20"/>
              </w:rPr>
              <w:t>The most recent PASI assessment must be no more than 4 weeks old at the time of application.</w:t>
            </w:r>
          </w:p>
        </w:tc>
      </w:tr>
      <w:tr w:rsidR="009C1E6C" w:rsidRPr="00C02D56" w14:paraId="72525784" w14:textId="77777777" w:rsidTr="00AB243F">
        <w:tblPrEx>
          <w:tblCellMar>
            <w:top w:w="15" w:type="dxa"/>
            <w:bottom w:w="15" w:type="dxa"/>
          </w:tblCellMar>
        </w:tblPrEx>
        <w:trPr>
          <w:cantSplit/>
          <w:trHeight w:val="20"/>
        </w:trPr>
        <w:tc>
          <w:tcPr>
            <w:tcW w:w="1271" w:type="dxa"/>
            <w:gridSpan w:val="2"/>
          </w:tcPr>
          <w:p w14:paraId="78F91A50" w14:textId="32782C1C" w:rsidR="009C1E6C" w:rsidRDefault="009C1E6C" w:rsidP="009C1E6C">
            <w:pPr>
              <w:jc w:val="center"/>
              <w:rPr>
                <w:rFonts w:ascii="Arial Narrow" w:hAnsi="Arial Narrow"/>
                <w:color w:val="333333"/>
                <w:sz w:val="20"/>
                <w:szCs w:val="20"/>
              </w:rPr>
            </w:pPr>
          </w:p>
        </w:tc>
        <w:tc>
          <w:tcPr>
            <w:tcW w:w="7745" w:type="dxa"/>
            <w:gridSpan w:val="6"/>
          </w:tcPr>
          <w:p w14:paraId="2479ABAD" w14:textId="77777777" w:rsidR="009C1E6C" w:rsidRPr="00680F08" w:rsidRDefault="009C1E6C" w:rsidP="009C1E6C">
            <w:pPr>
              <w:pStyle w:val="NormalWeb"/>
              <w:spacing w:before="0" w:beforeAutospacing="0" w:after="0" w:afterAutospacing="0"/>
              <w:textAlignment w:val="baseline"/>
              <w:rPr>
                <w:rFonts w:ascii="Arial Narrow" w:hAnsi="Arial Narrow" w:cs="Open Sans"/>
                <w:color w:val="333333"/>
                <w:sz w:val="20"/>
                <w:szCs w:val="20"/>
              </w:rPr>
            </w:pPr>
            <w:r w:rsidRPr="00680F08">
              <w:rPr>
                <w:rStyle w:val="Strong"/>
                <w:rFonts w:ascii="Arial Narrow" w:hAnsi="Arial Narrow" w:cs="Open Sans"/>
                <w:color w:val="333333"/>
                <w:sz w:val="20"/>
                <w:szCs w:val="20"/>
                <w:bdr w:val="none" w:sz="0" w:space="0" w:color="auto" w:frame="1"/>
              </w:rPr>
              <w:t>Prescribing Instructions:</w:t>
            </w:r>
          </w:p>
          <w:p w14:paraId="07736E12" w14:textId="49CE5A95" w:rsidR="009C1E6C" w:rsidRPr="003D6B22" w:rsidRDefault="009C1E6C" w:rsidP="009C1E6C">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680F08">
              <w:rPr>
                <w:rFonts w:ascii="Arial Narrow" w:hAnsi="Arial Narrow" w:cs="Open Sans"/>
                <w:color w:val="333333"/>
                <w:sz w:val="20"/>
                <w:szCs w:val="20"/>
              </w:rPr>
              <w:t>If a patient fails to demonstrate a response to treatment with this drug under this restriction they will not be eligible to receive further PBS-subsidised treatment with this drug for this condition.</w:t>
            </w:r>
          </w:p>
        </w:tc>
      </w:tr>
      <w:tr w:rsidR="009C1E6C" w:rsidRPr="00C02D56" w14:paraId="25771CA9" w14:textId="77777777" w:rsidTr="00F72134">
        <w:tblPrEx>
          <w:tblCellMar>
            <w:top w:w="15" w:type="dxa"/>
            <w:bottom w:w="15" w:type="dxa"/>
          </w:tblCellMar>
          <w:tblLook w:val="04A0" w:firstRow="1" w:lastRow="0" w:firstColumn="1" w:lastColumn="0" w:noHBand="0" w:noVBand="1"/>
        </w:tblPrEx>
        <w:trPr>
          <w:cantSplit/>
          <w:trHeight w:val="20"/>
        </w:trPr>
        <w:tc>
          <w:tcPr>
            <w:tcW w:w="1271" w:type="dxa"/>
            <w:gridSpan w:val="2"/>
          </w:tcPr>
          <w:p w14:paraId="4C315854" w14:textId="4740F3EE" w:rsidR="009C1E6C" w:rsidRPr="00680F08" w:rsidRDefault="009C1E6C" w:rsidP="009C1E6C">
            <w:pPr>
              <w:jc w:val="center"/>
              <w:rPr>
                <w:rFonts w:ascii="Arial Narrow" w:hAnsi="Arial Narrow" w:cs="Open Sans"/>
                <w:color w:val="333333"/>
                <w:sz w:val="20"/>
                <w:szCs w:val="20"/>
              </w:rPr>
            </w:pPr>
          </w:p>
        </w:tc>
        <w:tc>
          <w:tcPr>
            <w:tcW w:w="7745" w:type="dxa"/>
            <w:gridSpan w:val="6"/>
          </w:tcPr>
          <w:p w14:paraId="47FE0AE5" w14:textId="77777777" w:rsidR="009C1E6C" w:rsidRPr="00E2654D" w:rsidRDefault="009C1E6C" w:rsidP="009C1E6C">
            <w:pPr>
              <w:pStyle w:val="NormalWeb"/>
              <w:spacing w:before="0" w:beforeAutospacing="0" w:after="0" w:afterAutospacing="0"/>
              <w:textAlignment w:val="baseline"/>
              <w:rPr>
                <w:rFonts w:ascii="Arial Narrow" w:hAnsi="Arial Narrow" w:cs="Open Sans"/>
                <w:color w:val="333333"/>
                <w:sz w:val="20"/>
                <w:szCs w:val="20"/>
              </w:rPr>
            </w:pPr>
            <w:r w:rsidRPr="00E2654D">
              <w:rPr>
                <w:rStyle w:val="Strong"/>
                <w:rFonts w:ascii="Arial Narrow" w:hAnsi="Arial Narrow" w:cs="Open Sans"/>
                <w:color w:val="333333"/>
                <w:sz w:val="20"/>
                <w:szCs w:val="20"/>
                <w:bdr w:val="none" w:sz="0" w:space="0" w:color="auto" w:frame="1"/>
              </w:rPr>
              <w:t>Administrative Advice:</w:t>
            </w:r>
          </w:p>
          <w:p w14:paraId="1C167AF0" w14:textId="77F4DDF6" w:rsidR="009C1E6C" w:rsidRPr="00680F08" w:rsidRDefault="009C1E6C" w:rsidP="009C1E6C">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E2654D">
              <w:rPr>
                <w:rFonts w:ascii="Arial Narrow" w:hAnsi="Arial Narrow" w:cs="Open Sans"/>
                <w:color w:val="333333"/>
                <w:sz w:val="20"/>
                <w:szCs w:val="20"/>
              </w:rPr>
              <w:t>A Grandfathered patient may qualify for PBS-subsidised treatment under this restriction once only. For continuing PBS-subsidised treatment, a Grandfathered patient must qualify under the continuing treatment criteria.</w:t>
            </w:r>
          </w:p>
        </w:tc>
      </w:tr>
      <w:tr w:rsidR="009C1E6C" w:rsidRPr="00C02D56" w14:paraId="7FC19264" w14:textId="77777777" w:rsidTr="00F72134">
        <w:tblPrEx>
          <w:tblCellMar>
            <w:top w:w="15" w:type="dxa"/>
            <w:bottom w:w="15" w:type="dxa"/>
          </w:tblCellMar>
          <w:tblLook w:val="04A0" w:firstRow="1" w:lastRow="0" w:firstColumn="1" w:lastColumn="0" w:noHBand="0" w:noVBand="1"/>
        </w:tblPrEx>
        <w:trPr>
          <w:cantSplit/>
          <w:trHeight w:val="20"/>
        </w:trPr>
        <w:tc>
          <w:tcPr>
            <w:tcW w:w="1271" w:type="dxa"/>
            <w:gridSpan w:val="2"/>
          </w:tcPr>
          <w:p w14:paraId="45CA72C2" w14:textId="21DACF6C" w:rsidR="009C1E6C" w:rsidRPr="00E2654D" w:rsidRDefault="009C1E6C" w:rsidP="009C1E6C">
            <w:pPr>
              <w:jc w:val="center"/>
              <w:rPr>
                <w:rFonts w:ascii="Arial Narrow" w:hAnsi="Arial Narrow" w:cs="Open Sans"/>
                <w:color w:val="333333"/>
                <w:sz w:val="20"/>
                <w:szCs w:val="20"/>
              </w:rPr>
            </w:pPr>
          </w:p>
        </w:tc>
        <w:tc>
          <w:tcPr>
            <w:tcW w:w="7745" w:type="dxa"/>
            <w:gridSpan w:val="6"/>
          </w:tcPr>
          <w:p w14:paraId="4A6636F8" w14:textId="77777777" w:rsidR="009C1E6C" w:rsidRPr="00E2654D" w:rsidRDefault="009C1E6C" w:rsidP="009C1E6C">
            <w:pPr>
              <w:pStyle w:val="NormalWeb"/>
              <w:spacing w:before="0" w:beforeAutospacing="0" w:after="0" w:afterAutospacing="0"/>
              <w:textAlignment w:val="baseline"/>
              <w:rPr>
                <w:rFonts w:ascii="Arial Narrow" w:hAnsi="Arial Narrow" w:cs="Open Sans"/>
                <w:color w:val="333333"/>
                <w:sz w:val="20"/>
                <w:szCs w:val="20"/>
              </w:rPr>
            </w:pPr>
            <w:r w:rsidRPr="00E2654D">
              <w:rPr>
                <w:rStyle w:val="Strong"/>
                <w:rFonts w:ascii="Arial Narrow" w:hAnsi="Arial Narrow" w:cs="Open Sans"/>
                <w:color w:val="333333"/>
                <w:sz w:val="20"/>
                <w:szCs w:val="20"/>
                <w:bdr w:val="none" w:sz="0" w:space="0" w:color="auto" w:frame="1"/>
              </w:rPr>
              <w:t>Administrative Advice:</w:t>
            </w:r>
          </w:p>
          <w:p w14:paraId="02A14430" w14:textId="4E57B4F7" w:rsidR="009C1E6C" w:rsidRPr="00E2654D" w:rsidRDefault="009C1E6C" w:rsidP="009C1E6C">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E2654D">
              <w:rPr>
                <w:rFonts w:ascii="Arial Narrow" w:hAnsi="Arial Narrow" w:cs="Open Sans"/>
                <w:color w:val="333333"/>
                <w:sz w:val="20"/>
                <w:szCs w:val="20"/>
              </w:rPr>
              <w:t>This grandfather restriction will cease to operate from 1</w:t>
            </w:r>
            <w:r>
              <w:rPr>
                <w:rFonts w:ascii="Arial Narrow" w:hAnsi="Arial Narrow" w:cs="Open Sans"/>
                <w:color w:val="333333"/>
                <w:sz w:val="20"/>
                <w:szCs w:val="20"/>
              </w:rPr>
              <w:t>2</w:t>
            </w:r>
            <w:r w:rsidRPr="00E2654D">
              <w:rPr>
                <w:rFonts w:ascii="Arial Narrow" w:hAnsi="Arial Narrow" w:cs="Open Sans"/>
                <w:color w:val="333333"/>
                <w:sz w:val="20"/>
                <w:szCs w:val="20"/>
              </w:rPr>
              <w:t xml:space="preserve"> months after the date specified in the clinical criteria.</w:t>
            </w:r>
          </w:p>
        </w:tc>
      </w:tr>
      <w:tr w:rsidR="009C1E6C" w:rsidRPr="001428E9" w14:paraId="4FBD2D67" w14:textId="77777777" w:rsidTr="0061412E">
        <w:tblPrEx>
          <w:tblCellMar>
            <w:top w:w="15" w:type="dxa"/>
            <w:bottom w:w="15" w:type="dxa"/>
          </w:tblCellMar>
        </w:tblPrEx>
        <w:trPr>
          <w:trHeight w:val="20"/>
        </w:trPr>
        <w:tc>
          <w:tcPr>
            <w:tcW w:w="1271" w:type="dxa"/>
            <w:gridSpan w:val="2"/>
          </w:tcPr>
          <w:p w14:paraId="0317D988" w14:textId="62543388" w:rsidR="009C1E6C" w:rsidRPr="001428E9" w:rsidDel="009C1E6C" w:rsidRDefault="009C1E6C" w:rsidP="009C1E6C">
            <w:pPr>
              <w:jc w:val="center"/>
              <w:rPr>
                <w:rFonts w:ascii="Arial Narrow" w:hAnsi="Arial Narrow"/>
                <w:color w:val="333333"/>
                <w:sz w:val="20"/>
                <w:szCs w:val="20"/>
              </w:rPr>
            </w:pPr>
          </w:p>
        </w:tc>
        <w:tc>
          <w:tcPr>
            <w:tcW w:w="7745" w:type="dxa"/>
            <w:gridSpan w:val="6"/>
          </w:tcPr>
          <w:p w14:paraId="215F54EF" w14:textId="77777777" w:rsidR="009C1E6C" w:rsidRPr="00680F08" w:rsidRDefault="009C1E6C" w:rsidP="009C1E6C">
            <w:pPr>
              <w:pStyle w:val="NormalWeb"/>
              <w:spacing w:before="0" w:beforeAutospacing="0" w:after="0" w:afterAutospacing="0"/>
              <w:textAlignment w:val="baseline"/>
              <w:rPr>
                <w:rFonts w:ascii="Arial Narrow" w:hAnsi="Arial Narrow" w:cs="Open Sans"/>
                <w:color w:val="333333"/>
                <w:sz w:val="20"/>
                <w:szCs w:val="20"/>
              </w:rPr>
            </w:pPr>
            <w:r w:rsidRPr="00680F08">
              <w:rPr>
                <w:rStyle w:val="Strong"/>
                <w:rFonts w:ascii="Arial Narrow" w:hAnsi="Arial Narrow" w:cs="Open Sans"/>
                <w:color w:val="333333"/>
                <w:sz w:val="20"/>
                <w:szCs w:val="20"/>
                <w:bdr w:val="none" w:sz="0" w:space="0" w:color="auto" w:frame="1"/>
              </w:rPr>
              <w:t>Administrative Advice:</w:t>
            </w:r>
          </w:p>
          <w:p w14:paraId="614A1A22" w14:textId="77777777" w:rsidR="009C1E6C" w:rsidRPr="00680F08" w:rsidRDefault="009C1E6C" w:rsidP="009C1E6C">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72D964DD" w14:textId="77777777" w:rsidR="009C1E6C" w:rsidRPr="00680F08" w:rsidRDefault="009C1E6C" w:rsidP="009C1E6C">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18FF5C50" w14:textId="77777777" w:rsidR="009C1E6C" w:rsidRPr="00680F08" w:rsidRDefault="009C1E6C" w:rsidP="009C1E6C">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17851D71" w14:textId="77777777" w:rsidR="009C1E6C" w:rsidRPr="00680F08" w:rsidRDefault="009C1E6C" w:rsidP="009C1E6C">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Or mailed to:</w:t>
            </w:r>
          </w:p>
          <w:p w14:paraId="68C72A40" w14:textId="77777777" w:rsidR="009C1E6C" w:rsidRPr="00680F08" w:rsidRDefault="009C1E6C" w:rsidP="009C1E6C">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Services Australia</w:t>
            </w:r>
          </w:p>
          <w:p w14:paraId="3BACCDEA" w14:textId="77777777" w:rsidR="009C1E6C" w:rsidRPr="00680F08" w:rsidRDefault="009C1E6C" w:rsidP="009C1E6C">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Complex Drugs</w:t>
            </w:r>
          </w:p>
          <w:p w14:paraId="6F645CBA" w14:textId="77777777" w:rsidR="009C1E6C" w:rsidRPr="00680F08" w:rsidRDefault="009C1E6C" w:rsidP="009C1E6C">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Reply Paid 9826</w:t>
            </w:r>
          </w:p>
          <w:p w14:paraId="4500EE27" w14:textId="784639C9" w:rsidR="009C1E6C" w:rsidRPr="001428E9" w:rsidDel="009C1E6C" w:rsidRDefault="009C1E6C" w:rsidP="009C1E6C">
            <w:pPr>
              <w:rPr>
                <w:rFonts w:ascii="Arial Narrow" w:hAnsi="Arial Narrow"/>
                <w:b/>
                <w:bCs/>
                <w:color w:val="333333"/>
                <w:sz w:val="20"/>
                <w:szCs w:val="20"/>
              </w:rPr>
            </w:pPr>
            <w:r w:rsidRPr="00680F08">
              <w:rPr>
                <w:rFonts w:ascii="Arial Narrow" w:hAnsi="Arial Narrow" w:cs="Open Sans"/>
                <w:color w:val="333333"/>
                <w:sz w:val="20"/>
                <w:szCs w:val="20"/>
              </w:rPr>
              <w:t>HOBART TAS 7001</w:t>
            </w:r>
          </w:p>
        </w:tc>
      </w:tr>
      <w:tr w:rsidR="00842DC5" w:rsidRPr="001428E9" w14:paraId="2B282C5C" w14:textId="77777777" w:rsidTr="003A7CE7">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526901C9" w14:textId="77777777" w:rsidR="00842DC5" w:rsidRDefault="00842DC5" w:rsidP="003A7CE7">
            <w:pPr>
              <w:rPr>
                <w:rFonts w:ascii="Arial Narrow" w:hAnsi="Arial Narrow"/>
                <w:bCs/>
                <w:color w:val="FF0000"/>
                <w:sz w:val="20"/>
                <w:szCs w:val="20"/>
              </w:rPr>
            </w:pPr>
          </w:p>
          <w:p w14:paraId="03353468" w14:textId="4B1A7E38" w:rsidR="00722C1C" w:rsidRPr="001428E9" w:rsidRDefault="00722C1C" w:rsidP="003A7CE7">
            <w:pPr>
              <w:rPr>
                <w:rFonts w:ascii="Arial Narrow" w:hAnsi="Arial Narrow"/>
                <w:bCs/>
                <w:color w:val="FF0000"/>
                <w:sz w:val="20"/>
                <w:szCs w:val="20"/>
              </w:rPr>
            </w:pPr>
          </w:p>
        </w:tc>
      </w:tr>
      <w:tr w:rsidR="00842DC5" w:rsidRPr="001428E9" w14:paraId="44BAF002" w14:textId="77777777" w:rsidTr="003A7CE7">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F3A9034" w14:textId="474417CC" w:rsidR="00842DC5" w:rsidRPr="001428E9" w:rsidRDefault="00842DC5" w:rsidP="003A7CE7">
            <w:pPr>
              <w:keepNext/>
              <w:keepLines/>
              <w:rPr>
                <w:rFonts w:ascii="Arial Narrow" w:hAnsi="Arial Narrow"/>
                <w:b/>
                <w:bCs/>
                <w:color w:val="333333"/>
                <w:sz w:val="20"/>
                <w:szCs w:val="20"/>
              </w:rPr>
            </w:pPr>
            <w:r w:rsidRPr="001428E9">
              <w:rPr>
                <w:rFonts w:ascii="Arial Narrow" w:hAnsi="Arial Narrow"/>
                <w:b/>
                <w:bCs/>
                <w:color w:val="333333"/>
                <w:sz w:val="20"/>
                <w:szCs w:val="20"/>
              </w:rPr>
              <w:t xml:space="preserve">Restriction Summary [new] / Treatment of Concept: [new] </w:t>
            </w:r>
          </w:p>
        </w:tc>
      </w:tr>
      <w:tr w:rsidR="00842DC5" w:rsidRPr="001428E9" w14:paraId="09BCB7CC"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529663C1" w14:textId="77777777" w:rsidR="00842DC5" w:rsidRPr="001428E9" w:rsidRDefault="00842DC5" w:rsidP="003A7CE7">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br/>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3EFEAC" w14:textId="01D0FB84" w:rsidR="00842DC5" w:rsidRPr="001428E9" w:rsidRDefault="00842DC5" w:rsidP="003A7CE7">
            <w:pPr>
              <w:keepNext/>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 (Code GE)</w:t>
            </w:r>
            <w:r w:rsidRPr="001428E9">
              <w:rPr>
                <w:rFonts w:ascii="Arial Narrow" w:hAnsi="Arial Narrow" w:cs="Arial"/>
                <w:color w:val="FF0000"/>
                <w:sz w:val="20"/>
                <w:szCs w:val="20"/>
              </w:rPr>
              <w:t xml:space="preserve"> </w:t>
            </w:r>
          </w:p>
        </w:tc>
      </w:tr>
      <w:tr w:rsidR="00842DC5" w:rsidRPr="001428E9" w14:paraId="5519054D"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27E3C023" w14:textId="77777777" w:rsidR="00842DC5" w:rsidRPr="001428E9" w:rsidRDefault="00842DC5" w:rsidP="003A7C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74ECCF0" w14:textId="1DF49BD4" w:rsidR="00842DC5" w:rsidRPr="001428E9" w:rsidRDefault="00842DC5" w:rsidP="003A7CE7">
            <w:pPr>
              <w:keepNext/>
              <w:keepLines/>
              <w:rPr>
                <w:rFonts w:ascii="Arial Narrow" w:hAnsi="Arial Narrow" w:cs="Arial"/>
                <w:b/>
                <w:sz w:val="20"/>
                <w:szCs w:val="20"/>
              </w:rPr>
            </w:pPr>
            <w:r w:rsidRPr="001428E9">
              <w:rPr>
                <w:rFonts w:ascii="Arial Narrow" w:hAnsi="Arial Narrow" w:cs="Arial"/>
                <w:b/>
                <w:sz w:val="20"/>
                <w:szCs w:val="20"/>
              </w:rPr>
              <w:t xml:space="preserve">Prescriber type: </w:t>
            </w:r>
            <w:r w:rsidR="00722C1C">
              <w:rPr>
                <w:rFonts w:ascii="Arial Narrow" w:hAnsi="Arial Narrow" w:cs="Arial"/>
                <w:sz w:val="20"/>
                <w:szCs w:val="20"/>
              </w:rPr>
              <w:fldChar w:fldCharType="begin">
                <w:ffData>
                  <w:name w:val=""/>
                  <w:enabled/>
                  <w:calcOnExit w:val="0"/>
                  <w:checkBox>
                    <w:sizeAuto/>
                    <w:default w:val="1"/>
                  </w:checkBox>
                </w:ffData>
              </w:fldChar>
            </w:r>
            <w:r w:rsidR="00722C1C">
              <w:rPr>
                <w:rFonts w:ascii="Arial Narrow" w:hAnsi="Arial Narrow" w:cs="Arial"/>
                <w:sz w:val="20"/>
                <w:szCs w:val="20"/>
              </w:rPr>
              <w:instrText xml:space="preserve"> FORMCHECKBOX </w:instrText>
            </w:r>
            <w:r w:rsidR="009D0A8D">
              <w:rPr>
                <w:rFonts w:ascii="Arial Narrow" w:hAnsi="Arial Narrow" w:cs="Arial"/>
                <w:sz w:val="20"/>
                <w:szCs w:val="20"/>
              </w:rPr>
            </w:r>
            <w:r w:rsidR="009D0A8D">
              <w:rPr>
                <w:rFonts w:ascii="Arial Narrow" w:hAnsi="Arial Narrow" w:cs="Arial"/>
                <w:sz w:val="20"/>
                <w:szCs w:val="20"/>
              </w:rPr>
              <w:fldChar w:fldCharType="separate"/>
            </w:r>
            <w:r w:rsidR="00722C1C">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842DC5" w:rsidRPr="00C02D56" w14:paraId="5631D66F"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3BED4D50" w14:textId="77777777" w:rsidR="00842DC5" w:rsidRPr="001428E9" w:rsidRDefault="00842DC5" w:rsidP="003A7C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BBD6F3" w14:textId="0EC55B3B" w:rsidR="00842DC5" w:rsidRPr="00C02D56" w:rsidRDefault="00842DC5" w:rsidP="003A7CE7">
            <w:pPr>
              <w:keepNext/>
              <w:keepLines/>
              <w:rPr>
                <w:rFonts w:ascii="Arial Narrow" w:eastAsia="Calibri" w:hAnsi="Arial Narrow" w:cs="Arial"/>
                <w:sz w:val="20"/>
                <w:szCs w:val="20"/>
              </w:rPr>
            </w:pPr>
            <w:r w:rsidRPr="001428E9">
              <w:rPr>
                <w:rFonts w:ascii="Arial Narrow" w:hAnsi="Arial Narrow" w:cs="Arial"/>
                <w:b/>
                <w:sz w:val="20"/>
                <w:szCs w:val="20"/>
              </w:rPr>
              <w:t>Restriction type:</w:t>
            </w:r>
            <w:r w:rsidR="00722C1C" w:rsidRPr="001428E9">
              <w:rPr>
                <w:rFonts w:ascii="Arial Narrow" w:eastAsia="Calibri" w:hAnsi="Arial Narrow" w:cs="Arial"/>
                <w:sz w:val="20"/>
                <w:szCs w:val="20"/>
              </w:rPr>
              <w:t xml:space="preserve"> </w:t>
            </w:r>
            <w:r w:rsidR="00722C1C">
              <w:rPr>
                <w:rFonts w:ascii="Arial Narrow" w:eastAsia="Calibri" w:hAnsi="Arial Narrow" w:cs="Arial"/>
                <w:sz w:val="20"/>
                <w:szCs w:val="20"/>
              </w:rPr>
              <w:fldChar w:fldCharType="begin">
                <w:ffData>
                  <w:name w:val=""/>
                  <w:enabled/>
                  <w:calcOnExit w:val="0"/>
                  <w:checkBox>
                    <w:sizeAuto/>
                    <w:default w:val="1"/>
                  </w:checkBox>
                </w:ffData>
              </w:fldChar>
            </w:r>
            <w:r w:rsidR="00722C1C">
              <w:rPr>
                <w:rFonts w:ascii="Arial Narrow" w:eastAsia="Calibri" w:hAnsi="Arial Narrow" w:cs="Arial"/>
                <w:sz w:val="20"/>
                <w:szCs w:val="20"/>
              </w:rPr>
              <w:instrText xml:space="preserve"> FORMCHECKBOX </w:instrText>
            </w:r>
            <w:r w:rsidR="009D0A8D">
              <w:rPr>
                <w:rFonts w:ascii="Arial Narrow" w:eastAsia="Calibri" w:hAnsi="Arial Narrow" w:cs="Arial"/>
                <w:sz w:val="20"/>
                <w:szCs w:val="20"/>
              </w:rPr>
            </w:r>
            <w:r w:rsidR="009D0A8D">
              <w:rPr>
                <w:rFonts w:ascii="Arial Narrow" w:eastAsia="Calibri" w:hAnsi="Arial Narrow" w:cs="Arial"/>
                <w:sz w:val="20"/>
                <w:szCs w:val="20"/>
              </w:rPr>
              <w:fldChar w:fldCharType="separate"/>
            </w:r>
            <w:r w:rsidR="00722C1C">
              <w:rPr>
                <w:rFonts w:ascii="Arial Narrow" w:eastAsia="Calibri" w:hAnsi="Arial Narrow" w:cs="Arial"/>
                <w:sz w:val="20"/>
                <w:szCs w:val="20"/>
              </w:rPr>
              <w:fldChar w:fldCharType="end"/>
            </w:r>
            <w:r w:rsidR="00722C1C" w:rsidRPr="001428E9">
              <w:rPr>
                <w:rFonts w:ascii="Arial Narrow" w:eastAsia="Calibri" w:hAnsi="Arial Narrow" w:cs="Arial"/>
                <w:sz w:val="20"/>
                <w:szCs w:val="20"/>
              </w:rPr>
              <w:t xml:space="preserve">Authority Required (in writing only via post/HPOS upload) </w:t>
            </w:r>
            <w:r w:rsidRPr="001428E9">
              <w:rPr>
                <w:rFonts w:ascii="Arial Narrow" w:hAnsi="Arial Narrow" w:cs="Arial"/>
                <w:b/>
                <w:sz w:val="20"/>
                <w:szCs w:val="20"/>
              </w:rPr>
              <w:t xml:space="preserve"> </w:t>
            </w:r>
          </w:p>
        </w:tc>
      </w:tr>
      <w:tr w:rsidR="00593623" w:rsidRPr="00C02D56" w14:paraId="66349E9B" w14:textId="77777777" w:rsidTr="00A3107E">
        <w:tblPrEx>
          <w:tblCellMar>
            <w:top w:w="15" w:type="dxa"/>
            <w:bottom w:w="15" w:type="dxa"/>
          </w:tblCellMar>
        </w:tblPrEx>
        <w:trPr>
          <w:trHeight w:val="20"/>
        </w:trPr>
        <w:tc>
          <w:tcPr>
            <w:tcW w:w="562" w:type="dxa"/>
            <w:tcBorders>
              <w:left w:val="single" w:sz="4" w:space="0" w:color="auto"/>
              <w:bottom w:val="single" w:sz="4" w:space="0" w:color="auto"/>
              <w:right w:val="single" w:sz="4" w:space="0" w:color="auto"/>
            </w:tcBorders>
            <w:vAlign w:val="center"/>
          </w:tcPr>
          <w:p w14:paraId="33FA4978" w14:textId="1E5EF668" w:rsidR="00593623" w:rsidRPr="001428E9" w:rsidRDefault="00593623" w:rsidP="00593623">
            <w:pPr>
              <w:rPr>
                <w:rFonts w:ascii="Arial Narrow" w:hAnsi="Arial Narrow" w:cs="Arial"/>
                <w:sz w:val="20"/>
                <w:szCs w:val="20"/>
              </w:rPr>
            </w:pPr>
            <w:r>
              <w:rPr>
                <w:rFonts w:ascii="Arial Narrow" w:hAnsi="Arial Narrow"/>
                <w:color w:val="333333"/>
                <w:sz w:val="20"/>
                <w:szCs w:val="20"/>
              </w:rPr>
              <w:t>PR level</w:t>
            </w:r>
          </w:p>
        </w:tc>
        <w:tc>
          <w:tcPr>
            <w:tcW w:w="709" w:type="dxa"/>
            <w:tcBorders>
              <w:left w:val="single" w:sz="4" w:space="0" w:color="auto"/>
              <w:bottom w:val="single" w:sz="4" w:space="0" w:color="auto"/>
              <w:right w:val="single" w:sz="4" w:space="0" w:color="auto"/>
            </w:tcBorders>
          </w:tcPr>
          <w:p w14:paraId="0D3D9171" w14:textId="5349C551" w:rsidR="00593623" w:rsidRPr="001428E9" w:rsidRDefault="00593623" w:rsidP="0059362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81A60FF"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0707ED2F"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b/>
                <w:bCs/>
                <w:color w:val="333333"/>
                <w:sz w:val="20"/>
                <w:szCs w:val="20"/>
                <w:bdr w:val="none" w:sz="0" w:space="0" w:color="auto" w:frame="1"/>
              </w:rPr>
              <w:t>TREATMENT OF ADULT PATIENTS WITH SEVERE CHRONIC PLAQUE PSORIASIS</w:t>
            </w:r>
          </w:p>
          <w:p w14:paraId="5622CFAE"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 following information applies to the prescribing under the Pharmaceutical Benefits Scheme (PBS) of the biological medicines adalimumab, etanercept, guselkumab, infliximab, ixekizumab, risankizumab, secukinumab, tildrakizumab and ustekinumab for adult patients with severe chronic plaque psoriasis. Therefore, where the term 'biological medicines' appears in notes and restrictions, it refers to adalimumab, etanercept, guselkumab, infliximab, ixekizumab, risankizumab, secukinumab, tildrakizumab, and ustekinumab only.</w:t>
            </w:r>
          </w:p>
          <w:p w14:paraId="10863B7A"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lastRenderedPageBreak/>
              <w:t>A patient is eligible for PBS-subsidised treatment with only 1 of the above biological medicines at any 1 time.</w:t>
            </w:r>
          </w:p>
          <w:p w14:paraId="08A47511"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received PBS-subsidised adalimumab, etanercept, guselkumab, infliximab, ixekizumab, risankizumab, secukinumab, tildrakizumab, and ustekinumab treatment prior to 1 February 2019 is considered to start their first cycle as of 1 February 2019.</w:t>
            </w:r>
          </w:p>
          <w:p w14:paraId="282BB411"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receiving PBS-subsidised treatment for chronic plaque psoriasis is able to commence a 'treatment cycle', where they may trial biological medicines without having to experience a disease flare, when swapping to an alternate biological medicine. Under these arrangements, within a single cycle, a patient may receive long-term treatment with a biological medicine as long as they sustain a response to therapy.</w:t>
            </w:r>
          </w:p>
          <w:p w14:paraId="2FA7AE11"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Within the same treatment cycle, a patient cannot trial and fail, or cease to respond to, the same PBS-subsidised biological medicine more than once. Therefore, once a patient fails to meet the response criteria for a PBS-subsidised biological medicine, they must change to an alternate biological medicine if they wish to continue PBS-subsidised biological treatment.</w:t>
            </w:r>
          </w:p>
          <w:p w14:paraId="4ECD9D5D"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411AD4CC"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must be assessed for response to each course of treatment according to the criteria included in the relevant continuing treatment restriction.</w:t>
            </w:r>
          </w:p>
          <w:p w14:paraId="3D62720C"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Once a patient has either failed or ceased to sustain a response to treatment 3 times, they are deemed to have completed a treatment cycle and they must have, at a minimum, a 5-year break in PBS-subsidised biological medicine therapy before they are eligible to commence the next cycle.</w:t>
            </w:r>
          </w:p>
          <w:p w14:paraId="04BE0B55"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 duration of the break in therapy will be measured from the date the last prescription for PBS-subsidised treatment was approved in the most recent cycle to the date of the first application for initial treatment with a biological medicine under the new cycle.</w:t>
            </w:r>
          </w:p>
          <w:p w14:paraId="09C56E9C"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has failed fewer than 3 biological medicines in a treatment cycle and who has a break in therapy of more than 5 years may commence a new treatment cycle under Initial 3 treatment restriction.</w:t>
            </w:r>
          </w:p>
          <w:p w14:paraId="76310905"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has failed fewer than 3 biological medicines in a treatment cycle and who has a break in therapy of less than 5 years may commence a further course of treatment within the same treatment cycle under Initial 2 treatment restriction.</w:t>
            </w:r>
          </w:p>
          <w:p w14:paraId="5234076A"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There is no limit to the number of treatment cycles a patient may undertake in their lifetime.</w:t>
            </w:r>
          </w:p>
          <w:p w14:paraId="310D5E6D"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How to prescribe PBS-subsidised biological medicine treatment for severe chronic plaque psoriasis.</w:t>
            </w:r>
          </w:p>
          <w:p w14:paraId="68EC4B2B"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There are separate restrictions for both the initial and continuing treatment for psoriasis affecting the whole body, versus psoriasis affecting the face, hands and feet.</w:t>
            </w:r>
          </w:p>
          <w:p w14:paraId="4C0CAD14"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(1) Initial treatment.</w:t>
            </w:r>
          </w:p>
          <w:p w14:paraId="1D58A6CB"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An application for initial treatment should be made where:</w:t>
            </w:r>
          </w:p>
          <w:p w14:paraId="6D037B02"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 a patient has not received prior PBS-subsidised biological medicine treatment for this condition and wishes to commence such therapy (Initial 1 - New patient); or</w:t>
            </w:r>
          </w:p>
          <w:p w14:paraId="3992DD95"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(ii) a patient who has received prior PBS-subsidised biological medicine therapy for this condition (initial or continuing) and wishes to trial an alternate biological medicine (Initial 2 - Change or Recommencement of treatment after a break in biological medicine of less than 5 years) [further details are under (4) 'Swapping therapy' below]; or</w:t>
            </w:r>
          </w:p>
          <w:p w14:paraId="524B7FA9"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(iii)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356D4AC4"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(iv) a patient wishes to recommence treatment with a biological medicine following a break in PBS-subsidised therapy of more than 5 years (Initial 3 - Recommencement of treatment after a break in biological medicine of more than 5 years).</w:t>
            </w:r>
          </w:p>
          <w:p w14:paraId="3CDA08E9"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An application for initial treatment will be limited to provide for a maximum of 16 weeks of therapy for adalimumab, etanercept, ixekizumab, and secukinumab, 20 weeks of therapy for guselkumab, 22 weeks of therapy for infliximab and 28 weeks of therapy for risankizumab, tildrakizumab and ustekinumab.</w:t>
            </w:r>
          </w:p>
          <w:p w14:paraId="1394A5F8"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lastRenderedPageBreak/>
              <w:t>It is recommended that a patient is reviewed for response following a minimum of 12 weeks of therapy and no later than 4 weeks from the completion of their course of initial treatment to ensure uninterrupted biological medicine supply.</w:t>
            </w:r>
          </w:p>
          <w:p w14:paraId="48AFCDF8"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Grandfather patients (risankizumab</w:t>
            </w:r>
            <w:r>
              <w:rPr>
                <w:rFonts w:ascii="Arial Narrow" w:hAnsi="Arial Narrow" w:cs="Open Sans"/>
                <w:color w:val="333333"/>
                <w:sz w:val="20"/>
                <w:szCs w:val="20"/>
              </w:rPr>
              <w:t xml:space="preserve"> and</w:t>
            </w:r>
            <w:r w:rsidRPr="003D6B22">
              <w:rPr>
                <w:rFonts w:ascii="Arial Narrow" w:hAnsi="Arial Narrow" w:cs="Open Sans"/>
                <w:i/>
                <w:iCs/>
                <w:color w:val="333333"/>
                <w:sz w:val="20"/>
                <w:szCs w:val="20"/>
              </w:rPr>
              <w:t xml:space="preserve"> tildrakizumab</w:t>
            </w:r>
            <w:r w:rsidRPr="00E5138C">
              <w:rPr>
                <w:rFonts w:ascii="Arial Narrow" w:hAnsi="Arial Narrow" w:cs="Open Sans"/>
                <w:color w:val="333333"/>
                <w:sz w:val="20"/>
                <w:szCs w:val="20"/>
              </w:rPr>
              <w:t xml:space="preserve"> only).</w:t>
            </w:r>
          </w:p>
          <w:p w14:paraId="1B7D89C0"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commenced treatment with risankizumab for chronic plaque psoriasis prior to 1 August 2022</w:t>
            </w:r>
            <w:r>
              <w:rPr>
                <w:rFonts w:ascii="Arial Narrow" w:hAnsi="Arial Narrow" w:cs="Open Sans"/>
                <w:color w:val="333333"/>
                <w:sz w:val="20"/>
                <w:szCs w:val="20"/>
              </w:rPr>
              <w:t xml:space="preserve">, </w:t>
            </w:r>
            <w:r w:rsidRPr="001B1F80">
              <w:rPr>
                <w:rFonts w:ascii="Arial Narrow" w:hAnsi="Arial Narrow" w:cs="Open Sans"/>
                <w:i/>
                <w:iCs/>
                <w:color w:val="333333"/>
                <w:sz w:val="20"/>
                <w:szCs w:val="20"/>
              </w:rPr>
              <w:t>or tildrakizumab</w:t>
            </w:r>
            <w:r>
              <w:rPr>
                <w:rFonts w:ascii="Arial Narrow" w:hAnsi="Arial Narrow" w:cs="Open Sans"/>
                <w:color w:val="333333"/>
                <w:sz w:val="20"/>
                <w:szCs w:val="20"/>
              </w:rPr>
              <w:t xml:space="preserve"> </w:t>
            </w:r>
            <w:r>
              <w:rPr>
                <w:rFonts w:ascii="Arial Narrow" w:hAnsi="Arial Narrow" w:cs="Open Sans"/>
                <w:i/>
                <w:iCs/>
                <w:color w:val="333333"/>
                <w:sz w:val="20"/>
                <w:szCs w:val="20"/>
              </w:rPr>
              <w:t>prior to [date of listing],</w:t>
            </w:r>
            <w:r w:rsidRPr="00E5138C">
              <w:rPr>
                <w:rFonts w:ascii="Arial Narrow" w:hAnsi="Arial Narrow" w:cs="Open Sans"/>
                <w:color w:val="333333"/>
                <w:sz w:val="20"/>
                <w:szCs w:val="20"/>
              </w:rPr>
              <w:t xml:space="preserve"> and who continues to receive treatment at the time of application, may qualify for treatment under the Initial treatment Grandfather treatment restriction.</w:t>
            </w:r>
          </w:p>
          <w:p w14:paraId="3A1A3862"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(2) Assessment of response to initial treatment.</w:t>
            </w:r>
          </w:p>
          <w:p w14:paraId="1AF1D2D5"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When prescribing initial treatment with a biological medicine, it is recommended that a PASI assessment is conducted after at least 12 weeks of treatment and no later than 4 weeks from the completion of this initial treatment course.</w:t>
            </w:r>
          </w:p>
          <w:p w14:paraId="4A31F6F1"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The PASI assessment for continuing treatment must be performed on the same affected area as assessed at baseline.</w:t>
            </w:r>
          </w:p>
          <w:p w14:paraId="79DB52EA"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(3) Continuing treatment.</w:t>
            </w:r>
          </w:p>
          <w:p w14:paraId="6E08D344"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is reviewed for response following a minimum of 12 weeks of therapy and no later than 4 weeks from the completion of the most recent course of treatment.</w:t>
            </w:r>
          </w:p>
          <w:p w14:paraId="639DC612"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must be assessed for response to a course of continuing therapy, and the assessment must be submitted to Services Australia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14:paraId="36C48FCF"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Infliximab, adalimumab and etanercept only:</w:t>
            </w:r>
          </w:p>
          <w:p w14:paraId="2DCDC7ED"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For the first continuing treatment course of PBS-subsidised biological medicine treatment, it is recommended that a patient is reviewed for response following a minimum of 12 weeks of therapy under the Initial 1 or Initial 2 treatment restrictions.</w:t>
            </w:r>
          </w:p>
          <w:p w14:paraId="4A7B8CC3"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For second and subsequent continuing courses of PBS-subsidised biological medicine treatment, it is recommended that a patient is reviewed for response following a minimum of 12 weeks of therapy and no later than 4 weeks from the completion of the most recent course of treatment.</w:t>
            </w:r>
          </w:p>
          <w:p w14:paraId="00D4017D"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(4) Swapping therapy.</w:t>
            </w:r>
          </w:p>
          <w:p w14:paraId="6049DA6C"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Once initial treatment with the first PBS-subsidised biological medicine is approved, a patient may swap to an alternate biological medicine without having to requalify with respect to the indices of disease severity (i.e. a PASI score of greater than 15), or the prior non-biological therapy requirements, except if the patient has had a break in therapy of more than 5 years who would need to requalify with respect to the indices of disease severity.</w:t>
            </w:r>
          </w:p>
          <w:p w14:paraId="0C4D3C0D"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0A05835C"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A patient may trial an alternate biological medicine at any time, regardless of whether they are receiving therapy (initial or continuing) with a biological medicine at the time of the application. However, they cannot swap to a particular biological medicine if they have failed to respond to prior treatment with that particular biological medicine within the same cycle or have experienced treatment failure with that particular biological medicine that required permanent treatment withdrawal.</w:t>
            </w:r>
          </w:p>
          <w:p w14:paraId="108D2296"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To ensure a patient receives the maximum treatment opportunities allowed under these arrangements, it is important that they are assessed for response to every course of treatment.</w:t>
            </w:r>
          </w:p>
          <w:p w14:paraId="117496E2"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(5) Baseline measurements to determine response.</w:t>
            </w:r>
          </w:p>
          <w:p w14:paraId="40CD0D08"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 xml:space="preserve">A response to treatment is to be determined by comparison of current disease activity measurements relative to the baseline PASI assessment submitted with the first authority application for a biological medicine. However, prescribers may provide new baseline PASI assessments any time that an initial or change or recommencement treatment application is submitted within a treatment cycle and this </w:t>
            </w:r>
            <w:r w:rsidRPr="00E5138C">
              <w:rPr>
                <w:rFonts w:ascii="Arial Narrow" w:hAnsi="Arial Narrow" w:cs="Open Sans"/>
                <w:color w:val="333333"/>
                <w:sz w:val="20"/>
                <w:szCs w:val="20"/>
              </w:rPr>
              <w:lastRenderedPageBreak/>
              <w:t>revised baseline PASI score will be used to assess the patient's response to the PBS-subsidised treatment.</w:t>
            </w:r>
          </w:p>
          <w:p w14:paraId="1579B6D6"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To ensure consistency in determining response, the same body area assessed at the baseline PASI assessment must be assessed for demonstration of response to treatment for the purposes of all continuing treatments.</w:t>
            </w:r>
          </w:p>
          <w:p w14:paraId="7967FBCB"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Fonts w:ascii="Arial Narrow" w:hAnsi="Arial Narrow" w:cs="Open Sans"/>
                <w:color w:val="333333"/>
                <w:sz w:val="20"/>
                <w:szCs w:val="20"/>
              </w:rPr>
              <w:t>(6) Recommencement of treatment after a 5-year break in PBS-subsidised therapy.</w:t>
            </w:r>
          </w:p>
          <w:p w14:paraId="0E0162B6" w14:textId="25338299" w:rsidR="00593623" w:rsidRPr="001428E9" w:rsidRDefault="00593623" w:rsidP="00593623">
            <w:pPr>
              <w:keepNext/>
              <w:keepLines/>
              <w:rPr>
                <w:rFonts w:ascii="Arial Narrow" w:hAnsi="Arial Narrow" w:cs="Arial"/>
                <w:b/>
                <w:sz w:val="20"/>
                <w:szCs w:val="20"/>
              </w:rPr>
            </w:pPr>
            <w:r w:rsidRPr="00E5138C">
              <w:rPr>
                <w:rFonts w:ascii="Arial Narrow" w:hAnsi="Arial Narrow" w:cs="Open Sans"/>
                <w:color w:val="333333"/>
                <w:sz w:val="20"/>
                <w:szCs w:val="20"/>
              </w:rPr>
              <w:t>A patient who wishes to trial a second or subsequent treatment cycle following a break in PBS-subsidised biological therapy of at least 5 years, must qualify under Initial 3 treatment according to the criteria of the relevant restriction and index of disease severity. A PASI assessment must be conducted prior to application and patient must have a PASI score of greater than 15 for whole body. For the face, hand, foot at least 2 of the 3 PASI symptom subscores for erythema, thickness and scaling are rated as severe or very severe; or the skin area affected is 30% or more of the face, palm of a hand or sole of a foot. The PASI assessment must be no older than 4 weeks at the time of application.</w:t>
            </w:r>
          </w:p>
        </w:tc>
      </w:tr>
      <w:tr w:rsidR="00593623" w:rsidRPr="00C02D56" w14:paraId="7D093814" w14:textId="77777777" w:rsidTr="0061412E">
        <w:tblPrEx>
          <w:tblCellMar>
            <w:top w:w="15" w:type="dxa"/>
            <w:bottom w:w="15" w:type="dxa"/>
          </w:tblCellMar>
        </w:tblPrEx>
        <w:trPr>
          <w:cantSplit/>
          <w:trHeight w:val="20"/>
        </w:trPr>
        <w:tc>
          <w:tcPr>
            <w:tcW w:w="562" w:type="dxa"/>
            <w:vMerge w:val="restart"/>
            <w:tcBorders>
              <w:left w:val="single" w:sz="4" w:space="0" w:color="auto"/>
              <w:right w:val="single" w:sz="4" w:space="0" w:color="auto"/>
            </w:tcBorders>
            <w:vAlign w:val="center"/>
          </w:tcPr>
          <w:p w14:paraId="49F44C8B" w14:textId="28311C3B" w:rsidR="00593623" w:rsidRPr="001428E9" w:rsidRDefault="00593623" w:rsidP="00593623">
            <w:pPr>
              <w:rPr>
                <w:rFonts w:ascii="Arial Narrow" w:hAnsi="Arial Narrow" w:cs="Arial"/>
                <w:sz w:val="20"/>
                <w:szCs w:val="20"/>
              </w:rPr>
            </w:pPr>
            <w:r>
              <w:rPr>
                <w:rFonts w:ascii="Arial Narrow" w:hAnsi="Arial Narrow"/>
                <w:color w:val="333333"/>
                <w:sz w:val="20"/>
                <w:szCs w:val="20"/>
              </w:rPr>
              <w:lastRenderedPageBreak/>
              <w:t>PR level</w:t>
            </w:r>
          </w:p>
        </w:tc>
        <w:tc>
          <w:tcPr>
            <w:tcW w:w="709" w:type="dxa"/>
            <w:tcBorders>
              <w:left w:val="single" w:sz="4" w:space="0" w:color="auto"/>
              <w:bottom w:val="single" w:sz="4" w:space="0" w:color="auto"/>
              <w:right w:val="single" w:sz="4" w:space="0" w:color="auto"/>
            </w:tcBorders>
          </w:tcPr>
          <w:p w14:paraId="46D3CB4C" w14:textId="50239741" w:rsidR="00593623" w:rsidRPr="001428E9" w:rsidRDefault="00593623" w:rsidP="0059362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B8879FC"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462B0FC8" w14:textId="1DBC977C" w:rsidR="00593623" w:rsidRPr="001428E9" w:rsidRDefault="00593623" w:rsidP="00593623">
            <w:pPr>
              <w:keepNext/>
              <w:keepLines/>
              <w:rPr>
                <w:rFonts w:ascii="Arial Narrow" w:hAnsi="Arial Narrow" w:cs="Arial"/>
                <w:b/>
                <w:sz w:val="20"/>
                <w:szCs w:val="20"/>
              </w:rPr>
            </w:pPr>
            <w:r w:rsidRPr="00E5138C">
              <w:rPr>
                <w:rFonts w:ascii="Arial Narrow" w:hAnsi="Arial Narrow" w:cs="Open Sans"/>
                <w:color w:val="333333"/>
                <w:sz w:val="20"/>
                <w:szCs w:val="20"/>
              </w:rPr>
              <w:t>No increase in the maximum quantity or number of units may be authorised.</w:t>
            </w:r>
          </w:p>
        </w:tc>
      </w:tr>
      <w:tr w:rsidR="00593623" w:rsidRPr="00C02D56" w14:paraId="4D18179A" w14:textId="77777777" w:rsidTr="0061412E">
        <w:tblPrEx>
          <w:tblCellMar>
            <w:top w:w="15" w:type="dxa"/>
            <w:bottom w:w="15" w:type="dxa"/>
          </w:tblCellMar>
        </w:tblPrEx>
        <w:trPr>
          <w:cantSplit/>
          <w:trHeight w:val="20"/>
        </w:trPr>
        <w:tc>
          <w:tcPr>
            <w:tcW w:w="562" w:type="dxa"/>
            <w:vMerge/>
            <w:tcBorders>
              <w:left w:val="single" w:sz="4" w:space="0" w:color="auto"/>
              <w:right w:val="single" w:sz="4" w:space="0" w:color="auto"/>
            </w:tcBorders>
            <w:vAlign w:val="center"/>
          </w:tcPr>
          <w:p w14:paraId="6815EDFF" w14:textId="77777777" w:rsidR="00593623" w:rsidRPr="001428E9" w:rsidRDefault="00593623" w:rsidP="00593623">
            <w:pPr>
              <w:rPr>
                <w:rFonts w:ascii="Arial Narrow" w:hAnsi="Arial Narrow" w:cs="Arial"/>
                <w:sz w:val="20"/>
                <w:szCs w:val="20"/>
              </w:rPr>
            </w:pPr>
          </w:p>
        </w:tc>
        <w:tc>
          <w:tcPr>
            <w:tcW w:w="709" w:type="dxa"/>
            <w:tcBorders>
              <w:left w:val="single" w:sz="4" w:space="0" w:color="auto"/>
              <w:bottom w:val="single" w:sz="4" w:space="0" w:color="auto"/>
              <w:right w:val="single" w:sz="4" w:space="0" w:color="auto"/>
            </w:tcBorders>
          </w:tcPr>
          <w:p w14:paraId="72FA9AA7" w14:textId="006E88DC" w:rsidR="00593623" w:rsidRPr="001428E9" w:rsidRDefault="00593623" w:rsidP="0059362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887B42B"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130BF73A" w14:textId="6917BD52" w:rsidR="00593623" w:rsidRPr="001428E9" w:rsidRDefault="00593623" w:rsidP="00593623">
            <w:pPr>
              <w:keepNext/>
              <w:keepLines/>
              <w:rPr>
                <w:rFonts w:ascii="Arial Narrow" w:hAnsi="Arial Narrow" w:cs="Arial"/>
                <w:b/>
                <w:sz w:val="20"/>
                <w:szCs w:val="20"/>
              </w:rPr>
            </w:pPr>
            <w:r w:rsidRPr="00E5138C">
              <w:rPr>
                <w:rFonts w:ascii="Arial Narrow" w:hAnsi="Arial Narrow" w:cs="Open Sans"/>
                <w:color w:val="333333"/>
                <w:sz w:val="20"/>
                <w:szCs w:val="20"/>
              </w:rPr>
              <w:t>No increase in the maximum number of repeats may be authorised.</w:t>
            </w:r>
          </w:p>
        </w:tc>
      </w:tr>
      <w:tr w:rsidR="00593623" w:rsidRPr="00C02D56" w14:paraId="1474A3F9" w14:textId="77777777" w:rsidTr="0061412E">
        <w:tblPrEx>
          <w:tblCellMar>
            <w:top w:w="15" w:type="dxa"/>
            <w:bottom w:w="15" w:type="dxa"/>
          </w:tblCellMar>
        </w:tblPrEx>
        <w:trPr>
          <w:cantSplit/>
          <w:trHeight w:val="20"/>
        </w:trPr>
        <w:tc>
          <w:tcPr>
            <w:tcW w:w="562" w:type="dxa"/>
            <w:vMerge/>
            <w:tcBorders>
              <w:left w:val="single" w:sz="4" w:space="0" w:color="auto"/>
              <w:bottom w:val="single" w:sz="4" w:space="0" w:color="auto"/>
              <w:right w:val="single" w:sz="4" w:space="0" w:color="auto"/>
            </w:tcBorders>
            <w:vAlign w:val="center"/>
          </w:tcPr>
          <w:p w14:paraId="60B30F90" w14:textId="77777777" w:rsidR="00593623" w:rsidRPr="001428E9" w:rsidRDefault="00593623" w:rsidP="00593623">
            <w:pPr>
              <w:rPr>
                <w:rFonts w:ascii="Arial Narrow" w:hAnsi="Arial Narrow" w:cs="Arial"/>
                <w:sz w:val="20"/>
                <w:szCs w:val="20"/>
              </w:rPr>
            </w:pPr>
          </w:p>
        </w:tc>
        <w:tc>
          <w:tcPr>
            <w:tcW w:w="709" w:type="dxa"/>
            <w:tcBorders>
              <w:left w:val="single" w:sz="4" w:space="0" w:color="auto"/>
              <w:bottom w:val="single" w:sz="4" w:space="0" w:color="auto"/>
              <w:right w:val="single" w:sz="4" w:space="0" w:color="auto"/>
            </w:tcBorders>
          </w:tcPr>
          <w:p w14:paraId="139CEB61" w14:textId="2B851725" w:rsidR="00593623" w:rsidRPr="001428E9" w:rsidRDefault="00593623" w:rsidP="0059362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3DE3F44C" w14:textId="77777777" w:rsidR="00593623" w:rsidRPr="00E5138C" w:rsidRDefault="00593623" w:rsidP="00593623">
            <w:pPr>
              <w:pStyle w:val="NormalWeb"/>
              <w:spacing w:before="0" w:beforeAutospacing="0" w:after="0" w:afterAutospacing="0"/>
              <w:textAlignment w:val="baseline"/>
              <w:rPr>
                <w:rFonts w:ascii="Arial Narrow" w:hAnsi="Arial Narrow" w:cs="Open Sans"/>
                <w:color w:val="333333"/>
                <w:sz w:val="20"/>
                <w:szCs w:val="20"/>
              </w:rPr>
            </w:pPr>
            <w:r w:rsidRPr="00E5138C">
              <w:rPr>
                <w:rStyle w:val="Strong"/>
                <w:rFonts w:ascii="Arial Narrow" w:hAnsi="Arial Narrow" w:cs="Open Sans"/>
                <w:color w:val="333333"/>
                <w:sz w:val="20"/>
                <w:szCs w:val="20"/>
                <w:bdr w:val="none" w:sz="0" w:space="0" w:color="auto" w:frame="1"/>
              </w:rPr>
              <w:t>Administrative Advice:</w:t>
            </w:r>
          </w:p>
          <w:p w14:paraId="05FEA10A" w14:textId="6D1FCE6A" w:rsidR="00593623" w:rsidRPr="001428E9" w:rsidRDefault="00593623" w:rsidP="00593623">
            <w:pPr>
              <w:keepNext/>
              <w:keepLines/>
              <w:rPr>
                <w:rFonts w:ascii="Arial Narrow" w:hAnsi="Arial Narrow" w:cs="Arial"/>
                <w:b/>
                <w:sz w:val="20"/>
                <w:szCs w:val="20"/>
              </w:rPr>
            </w:pPr>
            <w:r w:rsidRPr="00E5138C">
              <w:rPr>
                <w:rFonts w:ascii="Arial Narrow" w:hAnsi="Arial Narrow" w:cs="Open Sans"/>
                <w:color w:val="333333"/>
                <w:sz w:val="20"/>
                <w:szCs w:val="20"/>
              </w:rPr>
              <w:t>Special Pricing Arrangements apply.</w:t>
            </w:r>
          </w:p>
        </w:tc>
      </w:tr>
      <w:tr w:rsidR="00842DC5" w:rsidRPr="001428E9" w14:paraId="2877A324" w14:textId="77777777" w:rsidTr="008E308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6AF362B" w14:textId="2BD5BB43" w:rsidR="00593623" w:rsidRPr="001428E9" w:rsidRDefault="00593623" w:rsidP="003A7CE7">
            <w:pPr>
              <w:jc w:val="center"/>
              <w:rPr>
                <w:rFonts w:ascii="Arial Narrow" w:hAnsi="Arial Narrow"/>
                <w:color w:val="333333"/>
                <w:sz w:val="20"/>
                <w:szCs w:val="20"/>
              </w:rPr>
            </w:pPr>
          </w:p>
        </w:tc>
        <w:tc>
          <w:tcPr>
            <w:tcW w:w="7745" w:type="dxa"/>
            <w:gridSpan w:val="6"/>
            <w:vAlign w:val="center"/>
            <w:hideMark/>
          </w:tcPr>
          <w:p w14:paraId="3ABE0FF9" w14:textId="548F7E39" w:rsidR="00842DC5" w:rsidRPr="001428E9" w:rsidRDefault="00842DC5" w:rsidP="003A7CE7">
            <w:pPr>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00722C1C">
              <w:rPr>
                <w:rFonts w:ascii="Arial Narrow" w:hAnsi="Arial Narrow"/>
                <w:color w:val="333333"/>
                <w:sz w:val="20"/>
                <w:szCs w:val="20"/>
              </w:rPr>
              <w:t>Severe chronic plaque psoriasis</w:t>
            </w:r>
          </w:p>
        </w:tc>
      </w:tr>
      <w:tr w:rsidR="00842DC5" w:rsidRPr="00C02D56" w14:paraId="4A4B1DE6" w14:textId="77777777" w:rsidTr="008E308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BA7432" w14:textId="77777777" w:rsidR="00842DC5" w:rsidRPr="001428E9" w:rsidRDefault="00842DC5" w:rsidP="003A7CE7">
            <w:pPr>
              <w:jc w:val="center"/>
              <w:rPr>
                <w:rFonts w:ascii="Arial Narrow" w:hAnsi="Arial Narrow"/>
                <w:color w:val="333333"/>
                <w:sz w:val="20"/>
                <w:szCs w:val="20"/>
              </w:rPr>
            </w:pPr>
          </w:p>
        </w:tc>
        <w:tc>
          <w:tcPr>
            <w:tcW w:w="7745" w:type="dxa"/>
            <w:gridSpan w:val="6"/>
            <w:vAlign w:val="center"/>
            <w:hideMark/>
          </w:tcPr>
          <w:p w14:paraId="5C086D04" w14:textId="3939EB8B" w:rsidR="00842DC5" w:rsidRPr="00C02D56" w:rsidRDefault="00842DC5" w:rsidP="003A7CE7">
            <w:pPr>
              <w:rPr>
                <w:rFonts w:ascii="Arial Narrow" w:hAnsi="Arial Narrow"/>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00722C1C" w:rsidRPr="00FA2389">
              <w:rPr>
                <w:rFonts w:ascii="Arial Narrow" w:hAnsi="Arial Narrow"/>
                <w:i/>
                <w:iCs/>
                <w:color w:val="333333"/>
                <w:sz w:val="20"/>
                <w:szCs w:val="20"/>
              </w:rPr>
              <w:t>Grandfather treatment- Face, hand and foot (initial PBS-subsidised supply for continuing treatment in a patient commenced on non-PBS-subsidised therapy)</w:t>
            </w:r>
          </w:p>
        </w:tc>
      </w:tr>
      <w:tr w:rsidR="00FA2389" w:rsidRPr="00C02D56" w14:paraId="3F22B781"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7BE1F9" w14:textId="417DCFFF"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4B98C74D" w14:textId="18190086" w:rsidR="00FA2389" w:rsidRPr="001428E9" w:rsidRDefault="00FA2389" w:rsidP="00FA2389">
            <w:pPr>
              <w:rPr>
                <w:rFonts w:ascii="Arial Narrow" w:hAnsi="Arial Narrow"/>
                <w:b/>
                <w:bCs/>
                <w:color w:val="333333"/>
                <w:sz w:val="20"/>
                <w:szCs w:val="20"/>
              </w:rPr>
            </w:pPr>
            <w:r w:rsidRPr="001428E9">
              <w:rPr>
                <w:rFonts w:ascii="Arial Narrow" w:hAnsi="Arial Narrow"/>
                <w:b/>
                <w:bCs/>
                <w:color w:val="333333"/>
                <w:sz w:val="20"/>
                <w:szCs w:val="20"/>
              </w:rPr>
              <w:t xml:space="preserve">Clinical criteria: </w:t>
            </w:r>
          </w:p>
        </w:tc>
      </w:tr>
      <w:tr w:rsidR="00593623" w:rsidRPr="00C02D56" w14:paraId="1B84ACDB"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AF1B1FE" w14:textId="12A132E2" w:rsidR="00593623" w:rsidRPr="001428E9" w:rsidRDefault="00593623" w:rsidP="00FA2389">
            <w:pPr>
              <w:jc w:val="center"/>
              <w:rPr>
                <w:rFonts w:ascii="Arial Narrow" w:hAnsi="Arial Narrow"/>
                <w:color w:val="333333"/>
                <w:sz w:val="20"/>
                <w:szCs w:val="20"/>
              </w:rPr>
            </w:pPr>
          </w:p>
        </w:tc>
        <w:tc>
          <w:tcPr>
            <w:tcW w:w="7745" w:type="dxa"/>
            <w:gridSpan w:val="6"/>
            <w:vAlign w:val="center"/>
          </w:tcPr>
          <w:p w14:paraId="75460D99" w14:textId="264C6FBC" w:rsidR="00593623" w:rsidRPr="001428E9" w:rsidRDefault="00593623" w:rsidP="00FA2389">
            <w:pPr>
              <w:rPr>
                <w:rFonts w:ascii="Arial Narrow" w:hAnsi="Arial Narrow"/>
                <w:b/>
                <w:bCs/>
                <w:color w:val="333333"/>
                <w:sz w:val="20"/>
                <w:szCs w:val="20"/>
              </w:rPr>
            </w:pPr>
            <w:r w:rsidRPr="00FF3047">
              <w:rPr>
                <w:rFonts w:ascii="Arial Narrow" w:hAnsi="Arial Narrow" w:cs="Open Sans"/>
                <w:color w:val="333333"/>
                <w:sz w:val="20"/>
                <w:szCs w:val="20"/>
              </w:rPr>
              <w:t>Patient must have severe chronic plaque psoriasis of the face, or palm of a hand or sole of a foot, where lesions have been present for at least 6 months from the time of initial diagnosis prior to initiating non-PBS-subsidised treatment</w:t>
            </w:r>
          </w:p>
        </w:tc>
      </w:tr>
      <w:tr w:rsidR="00FA2389" w:rsidRPr="00C02D56" w14:paraId="388EDCCA"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717D2E" w14:textId="77777777"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62DC4D50" w14:textId="1B85C461" w:rsidR="00FA2389" w:rsidRPr="001428E9" w:rsidRDefault="00FA2389" w:rsidP="00FA2389">
            <w:pPr>
              <w:rPr>
                <w:rFonts w:ascii="Arial Narrow" w:hAnsi="Arial Narrow"/>
                <w:b/>
                <w:bCs/>
                <w:color w:val="333333"/>
                <w:sz w:val="20"/>
                <w:szCs w:val="20"/>
              </w:rPr>
            </w:pPr>
            <w:r w:rsidRPr="001428E9">
              <w:rPr>
                <w:rFonts w:ascii="Arial Narrow" w:hAnsi="Arial Narrow"/>
                <w:b/>
                <w:bCs/>
                <w:color w:val="333333"/>
                <w:sz w:val="20"/>
                <w:szCs w:val="20"/>
              </w:rPr>
              <w:t>AND</w:t>
            </w:r>
          </w:p>
        </w:tc>
      </w:tr>
      <w:tr w:rsidR="00FA2389" w:rsidRPr="00C02D56" w14:paraId="34F705C5"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0EA5FC" w14:textId="4D29BD9A"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4F02AEC1" w14:textId="13FC1E35" w:rsidR="00FA2389" w:rsidRPr="001428E9" w:rsidRDefault="00FA2389" w:rsidP="00FA2389">
            <w:pPr>
              <w:rPr>
                <w:rFonts w:ascii="Arial Narrow" w:hAnsi="Arial Narrow"/>
                <w:b/>
                <w:bCs/>
                <w:color w:val="333333"/>
                <w:sz w:val="20"/>
                <w:szCs w:val="20"/>
              </w:rPr>
            </w:pPr>
            <w:r w:rsidRPr="001428E9">
              <w:rPr>
                <w:rFonts w:ascii="Arial Narrow" w:hAnsi="Arial Narrow"/>
                <w:b/>
                <w:bCs/>
                <w:color w:val="333333"/>
                <w:sz w:val="20"/>
                <w:szCs w:val="20"/>
              </w:rPr>
              <w:t>Clinical criteria:</w:t>
            </w:r>
            <w:r>
              <w:rPr>
                <w:rFonts w:ascii="Arial Narrow" w:hAnsi="Arial Narrow"/>
                <w:b/>
                <w:bCs/>
                <w:color w:val="333333"/>
                <w:sz w:val="20"/>
                <w:szCs w:val="20"/>
              </w:rPr>
              <w:t xml:space="preserve"> </w:t>
            </w:r>
          </w:p>
        </w:tc>
      </w:tr>
      <w:tr w:rsidR="00593623" w:rsidRPr="00C02D56" w14:paraId="7460F6B0"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7940F2" w14:textId="77777777" w:rsidR="00593623" w:rsidRPr="001428E9" w:rsidRDefault="00593623" w:rsidP="00FA2389">
            <w:pPr>
              <w:jc w:val="center"/>
              <w:rPr>
                <w:rFonts w:ascii="Arial Narrow" w:hAnsi="Arial Narrow"/>
                <w:color w:val="333333"/>
                <w:sz w:val="20"/>
                <w:szCs w:val="20"/>
              </w:rPr>
            </w:pPr>
          </w:p>
        </w:tc>
        <w:tc>
          <w:tcPr>
            <w:tcW w:w="7745" w:type="dxa"/>
            <w:gridSpan w:val="6"/>
            <w:vAlign w:val="center"/>
          </w:tcPr>
          <w:p w14:paraId="42BD5489" w14:textId="0F8A72C6" w:rsidR="00593623" w:rsidRPr="001428E9" w:rsidRDefault="00593623" w:rsidP="00FA2389">
            <w:pPr>
              <w:rPr>
                <w:rFonts w:ascii="Arial Narrow" w:hAnsi="Arial Narrow"/>
                <w:b/>
                <w:bCs/>
                <w:color w:val="333333"/>
                <w:sz w:val="20"/>
                <w:szCs w:val="20"/>
              </w:rPr>
            </w:pPr>
            <w:r w:rsidRPr="00911F26">
              <w:rPr>
                <w:rFonts w:ascii="Arial Narrow" w:hAnsi="Arial Narrow" w:cs="Open Sans"/>
                <w:sz w:val="20"/>
                <w:szCs w:val="20"/>
              </w:rPr>
              <w:t>Patient must have received non-PBS-subsidised treatment with this drug for this PBS indication prior to [insert date of listing]</w:t>
            </w:r>
          </w:p>
        </w:tc>
      </w:tr>
      <w:tr w:rsidR="00FA2389" w:rsidRPr="00C02D56" w14:paraId="07398283"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FFD1EE" w14:textId="77777777"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7A256250" w14:textId="6132AD67" w:rsidR="00FA2389" w:rsidRPr="001428E9" w:rsidRDefault="00FA2389" w:rsidP="00FA2389">
            <w:pPr>
              <w:rPr>
                <w:rFonts w:ascii="Arial Narrow" w:hAnsi="Arial Narrow"/>
                <w:b/>
                <w:bCs/>
                <w:color w:val="333333"/>
                <w:sz w:val="20"/>
                <w:szCs w:val="20"/>
              </w:rPr>
            </w:pPr>
            <w:r w:rsidRPr="001428E9">
              <w:rPr>
                <w:rFonts w:ascii="Arial Narrow" w:hAnsi="Arial Narrow"/>
                <w:b/>
                <w:bCs/>
                <w:color w:val="333333"/>
                <w:sz w:val="20"/>
                <w:szCs w:val="20"/>
              </w:rPr>
              <w:t>AND</w:t>
            </w:r>
          </w:p>
        </w:tc>
      </w:tr>
      <w:tr w:rsidR="00FA2389" w:rsidRPr="00C02D56" w14:paraId="2396389D"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805B8C" w14:textId="555B8AF2"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7744C067" w14:textId="78A70240" w:rsidR="00FA2389" w:rsidRPr="001428E9" w:rsidRDefault="00FA2389" w:rsidP="00FA2389">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FA2389" w:rsidRPr="00C02D56" w14:paraId="4E03E337"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6963EF" w14:textId="33EE4320"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652B6D10" w14:textId="4AA33B79" w:rsidR="00FA2389" w:rsidRPr="006270A2" w:rsidRDefault="00FA2389" w:rsidP="00FA2389">
            <w:pPr>
              <w:rPr>
                <w:rFonts w:ascii="Arial Narrow" w:hAnsi="Arial Narrow"/>
                <w:b/>
                <w:bCs/>
                <w:color w:val="333333"/>
                <w:sz w:val="20"/>
                <w:szCs w:val="20"/>
              </w:rPr>
            </w:pPr>
            <w:r w:rsidRPr="006270A2">
              <w:rPr>
                <w:rFonts w:ascii="Arial Narrow" w:hAnsi="Arial Narrow"/>
                <w:color w:val="333333"/>
                <w:sz w:val="20"/>
                <w:szCs w:val="20"/>
              </w:rPr>
              <w:t xml:space="preserve">Patient must have had a documented history of disease, prior to commencing non-PBS- subsidised treatment with this drug, classified as severe due to a plaque or plaques on the face, palm of a hand or sole of a foot where: (i) at least 2 of the 3 Psoriasis Area and Severity Index (PASI) symptom subscores for erythema, thickness and scaling </w:t>
            </w:r>
            <w:r w:rsidR="00B46484">
              <w:rPr>
                <w:rFonts w:ascii="Arial Narrow" w:hAnsi="Arial Narrow"/>
                <w:i/>
                <w:iCs/>
                <w:color w:val="333333"/>
                <w:sz w:val="20"/>
                <w:szCs w:val="20"/>
              </w:rPr>
              <w:t xml:space="preserve">are </w:t>
            </w:r>
            <w:r w:rsidRPr="00B46484">
              <w:rPr>
                <w:rFonts w:ascii="Arial Narrow" w:hAnsi="Arial Narrow"/>
                <w:strike/>
                <w:color w:val="333333"/>
                <w:sz w:val="20"/>
                <w:szCs w:val="20"/>
              </w:rPr>
              <w:t>were</w:t>
            </w:r>
            <w:r w:rsidRPr="006270A2">
              <w:rPr>
                <w:rFonts w:ascii="Arial Narrow" w:hAnsi="Arial Narrow"/>
                <w:color w:val="333333"/>
                <w:sz w:val="20"/>
                <w:szCs w:val="20"/>
              </w:rPr>
              <w:t xml:space="preserve"> rated as severe or very severe; or (ii) the skin area affected </w:t>
            </w:r>
            <w:r w:rsidR="00280906">
              <w:rPr>
                <w:rFonts w:ascii="Arial Narrow" w:hAnsi="Arial Narrow"/>
                <w:i/>
                <w:iCs/>
                <w:color w:val="333333"/>
                <w:sz w:val="20"/>
                <w:szCs w:val="20"/>
              </w:rPr>
              <w:t xml:space="preserve">is </w:t>
            </w:r>
            <w:r w:rsidRPr="00280906">
              <w:rPr>
                <w:rFonts w:ascii="Arial Narrow" w:hAnsi="Arial Narrow"/>
                <w:strike/>
                <w:color w:val="333333"/>
                <w:sz w:val="20"/>
                <w:szCs w:val="20"/>
              </w:rPr>
              <w:t>was</w:t>
            </w:r>
            <w:r w:rsidRPr="006270A2">
              <w:rPr>
                <w:rFonts w:ascii="Arial Narrow" w:hAnsi="Arial Narrow"/>
                <w:color w:val="333333"/>
                <w:sz w:val="20"/>
                <w:szCs w:val="20"/>
              </w:rPr>
              <w:t xml:space="preserve"> 30% or more of the face, palm of a hand or sole of a foot,</w:t>
            </w:r>
          </w:p>
        </w:tc>
      </w:tr>
      <w:tr w:rsidR="00FA2389" w:rsidRPr="00C02D56" w14:paraId="72DB056A"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301B74" w14:textId="77777777"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1499FF12" w14:textId="0A7F9A5D" w:rsidR="00FA2389" w:rsidRPr="001428E9" w:rsidRDefault="00FA2389" w:rsidP="00FA2389">
            <w:pPr>
              <w:rPr>
                <w:rFonts w:ascii="Arial Narrow" w:hAnsi="Arial Narrow"/>
                <w:b/>
                <w:bCs/>
                <w:color w:val="333333"/>
                <w:sz w:val="20"/>
                <w:szCs w:val="20"/>
              </w:rPr>
            </w:pPr>
            <w:r w:rsidRPr="001428E9">
              <w:rPr>
                <w:rFonts w:ascii="Arial Narrow" w:hAnsi="Arial Narrow"/>
                <w:b/>
                <w:bCs/>
                <w:color w:val="333333"/>
                <w:sz w:val="20"/>
                <w:szCs w:val="20"/>
              </w:rPr>
              <w:t>AND</w:t>
            </w:r>
          </w:p>
        </w:tc>
      </w:tr>
      <w:tr w:rsidR="00FA2389" w:rsidRPr="00C02D56" w14:paraId="24E6529B"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3823EB0" w14:textId="5691FAF7"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26ABB909" w14:textId="423C6CFA" w:rsidR="00FA2389" w:rsidRPr="001428E9" w:rsidRDefault="00FA2389" w:rsidP="00FA2389">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FA2389" w:rsidRPr="00C02D56" w14:paraId="6F81F050"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C8939F3" w14:textId="3955B57D" w:rsidR="00FA2389" w:rsidRPr="001428E9" w:rsidRDefault="00FA2389" w:rsidP="00FA2389">
            <w:pPr>
              <w:jc w:val="center"/>
              <w:rPr>
                <w:rFonts w:ascii="Arial Narrow" w:hAnsi="Arial Narrow"/>
                <w:color w:val="333333"/>
                <w:sz w:val="20"/>
                <w:szCs w:val="20"/>
              </w:rPr>
            </w:pPr>
          </w:p>
        </w:tc>
        <w:tc>
          <w:tcPr>
            <w:tcW w:w="7745" w:type="dxa"/>
            <w:gridSpan w:val="6"/>
            <w:vAlign w:val="center"/>
          </w:tcPr>
          <w:p w14:paraId="37811EA8" w14:textId="2C70CA5A" w:rsidR="00FA2389" w:rsidRPr="00280906" w:rsidRDefault="006270A2" w:rsidP="00FA2389">
            <w:pPr>
              <w:rPr>
                <w:rFonts w:ascii="Arial Narrow" w:hAnsi="Arial Narrow"/>
                <w:b/>
                <w:bCs/>
                <w:i/>
                <w:iCs/>
                <w:color w:val="333333"/>
                <w:sz w:val="20"/>
                <w:szCs w:val="20"/>
              </w:rPr>
            </w:pPr>
            <w:r w:rsidRPr="00280906">
              <w:rPr>
                <w:rFonts w:ascii="Arial Narrow" w:hAnsi="Arial Narrow"/>
                <w:i/>
                <w:iCs/>
                <w:color w:val="333333"/>
                <w:sz w:val="20"/>
                <w:szCs w:val="20"/>
              </w:rPr>
              <w:t>Patient must have demonstrated an adequate response to their most recent course of non-PBS-subsidised treatment with this drug (face, hand and foot),</w:t>
            </w:r>
          </w:p>
        </w:tc>
      </w:tr>
      <w:tr w:rsidR="006270A2" w:rsidRPr="00C02D56" w14:paraId="68DC35E4"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F171AD" w14:textId="77777777"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13A2D543" w14:textId="06342510" w:rsidR="006270A2" w:rsidRPr="006270A2" w:rsidRDefault="006270A2" w:rsidP="006270A2">
            <w:pPr>
              <w:rPr>
                <w:rFonts w:ascii="Arial Narrow" w:hAnsi="Arial Narrow"/>
                <w:color w:val="333333"/>
                <w:sz w:val="20"/>
                <w:szCs w:val="20"/>
              </w:rPr>
            </w:pPr>
            <w:r w:rsidRPr="001428E9">
              <w:rPr>
                <w:rFonts w:ascii="Arial Narrow" w:hAnsi="Arial Narrow"/>
                <w:b/>
                <w:bCs/>
                <w:color w:val="333333"/>
                <w:sz w:val="20"/>
                <w:szCs w:val="20"/>
              </w:rPr>
              <w:t>AND</w:t>
            </w:r>
          </w:p>
        </w:tc>
      </w:tr>
      <w:tr w:rsidR="006270A2" w:rsidRPr="00C02D56" w14:paraId="35DC77AD"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4A09C23" w14:textId="28205B7F"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2092ABFB" w14:textId="290A2DD9" w:rsidR="006270A2" w:rsidRPr="006270A2" w:rsidRDefault="006270A2" w:rsidP="006270A2">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6270A2" w:rsidRPr="00C02D56" w14:paraId="2D0B679A"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FE7F798" w14:textId="7C62DDDE"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31127B27" w14:textId="786F6591" w:rsidR="006270A2" w:rsidRPr="006270A2" w:rsidRDefault="006270A2" w:rsidP="006270A2">
            <w:pPr>
              <w:rPr>
                <w:rFonts w:ascii="Arial Narrow" w:hAnsi="Arial Narrow"/>
                <w:color w:val="333333"/>
                <w:sz w:val="20"/>
                <w:szCs w:val="20"/>
              </w:rPr>
            </w:pPr>
            <w:r w:rsidRPr="006270A2">
              <w:rPr>
                <w:rFonts w:ascii="Arial Narrow" w:hAnsi="Arial Narrow"/>
                <w:color w:val="333333"/>
                <w:sz w:val="20"/>
                <w:szCs w:val="20"/>
              </w:rPr>
              <w:t>The treatment must be as systemic monotherapy (other than methotrexate),</w:t>
            </w:r>
          </w:p>
        </w:tc>
      </w:tr>
      <w:tr w:rsidR="006270A2" w:rsidRPr="00C02D56" w14:paraId="40A53BA0"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11427B" w14:textId="77777777"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133057CE" w14:textId="334A417F" w:rsidR="006270A2" w:rsidRPr="006270A2" w:rsidRDefault="006270A2" w:rsidP="006270A2">
            <w:pPr>
              <w:rPr>
                <w:rFonts w:ascii="Arial Narrow" w:hAnsi="Arial Narrow"/>
                <w:color w:val="333333"/>
                <w:sz w:val="20"/>
                <w:szCs w:val="20"/>
              </w:rPr>
            </w:pPr>
            <w:r w:rsidRPr="001428E9">
              <w:rPr>
                <w:rFonts w:ascii="Arial Narrow" w:hAnsi="Arial Narrow"/>
                <w:b/>
                <w:bCs/>
                <w:color w:val="333333"/>
                <w:sz w:val="20"/>
                <w:szCs w:val="20"/>
              </w:rPr>
              <w:t>AND</w:t>
            </w:r>
          </w:p>
        </w:tc>
      </w:tr>
      <w:tr w:rsidR="006270A2" w:rsidRPr="00C02D56" w14:paraId="24399333"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3AD74E4" w14:textId="77E67978"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206A2C7E" w14:textId="485D0425" w:rsidR="006270A2" w:rsidRPr="006270A2" w:rsidRDefault="006270A2" w:rsidP="006270A2">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6270A2" w:rsidRPr="00C02D56" w14:paraId="013538D4"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473720" w14:textId="5FCED91E"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511A838A" w14:textId="07F1AAC8" w:rsidR="006270A2" w:rsidRPr="006270A2" w:rsidRDefault="006270A2" w:rsidP="006270A2">
            <w:pPr>
              <w:rPr>
                <w:rFonts w:ascii="Arial Narrow" w:hAnsi="Arial Narrow"/>
                <w:color w:val="333333"/>
                <w:sz w:val="20"/>
                <w:szCs w:val="20"/>
              </w:rPr>
            </w:pPr>
            <w:r w:rsidRPr="006270A2">
              <w:rPr>
                <w:rFonts w:ascii="Arial Narrow" w:hAnsi="Arial Narrow"/>
                <w:color w:val="333333"/>
                <w:sz w:val="20"/>
                <w:szCs w:val="20"/>
              </w:rPr>
              <w:t>Patient must not receive more than</w:t>
            </w:r>
            <w:r w:rsidRPr="000C472D">
              <w:rPr>
                <w:rFonts w:ascii="Arial Narrow" w:hAnsi="Arial Narrow"/>
                <w:color w:val="333333"/>
                <w:sz w:val="20"/>
                <w:szCs w:val="20"/>
              </w:rPr>
              <w:t xml:space="preserve"> 24</w:t>
            </w:r>
            <w:r w:rsidRPr="006270A2">
              <w:rPr>
                <w:rFonts w:ascii="Arial Narrow" w:hAnsi="Arial Narrow"/>
                <w:color w:val="333333"/>
                <w:sz w:val="20"/>
                <w:szCs w:val="20"/>
              </w:rPr>
              <w:t xml:space="preserve"> weeks of treatment under this restriction</w:t>
            </w:r>
            <w:r w:rsidRPr="006270A2">
              <w:rPr>
                <w:rFonts w:ascii="Arial Narrow" w:hAnsi="Arial Narrow"/>
                <w:b/>
                <w:bCs/>
                <w:color w:val="333333"/>
                <w:sz w:val="20"/>
                <w:szCs w:val="20"/>
              </w:rPr>
              <w:t>.</w:t>
            </w:r>
          </w:p>
        </w:tc>
      </w:tr>
      <w:tr w:rsidR="006270A2" w:rsidRPr="00C02D56" w14:paraId="2CB25B69"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17C7FF6" w14:textId="1D6C3CBA"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2045B15F" w14:textId="6ECD5412" w:rsidR="006270A2" w:rsidRPr="006270A2" w:rsidRDefault="006270A2" w:rsidP="006270A2">
            <w:pPr>
              <w:rPr>
                <w:rFonts w:ascii="Arial Narrow" w:hAnsi="Arial Narrow"/>
                <w:color w:val="333333"/>
                <w:sz w:val="20"/>
                <w:szCs w:val="20"/>
              </w:rPr>
            </w:pPr>
            <w:r w:rsidRPr="001428E9">
              <w:rPr>
                <w:rFonts w:ascii="Arial Narrow" w:hAnsi="Arial Narrow"/>
                <w:b/>
                <w:bCs/>
                <w:color w:val="333333"/>
                <w:sz w:val="20"/>
                <w:szCs w:val="20"/>
              </w:rPr>
              <w:t>Treatment criteria:</w:t>
            </w:r>
          </w:p>
        </w:tc>
      </w:tr>
      <w:tr w:rsidR="006270A2" w:rsidRPr="00C02D56" w14:paraId="56E0AB67"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14C51E" w14:textId="5C626377" w:rsidR="006270A2" w:rsidRPr="001428E9" w:rsidRDefault="006270A2" w:rsidP="00AE741B">
            <w:pPr>
              <w:jc w:val="center"/>
              <w:rPr>
                <w:rFonts w:ascii="Arial Narrow" w:hAnsi="Arial Narrow"/>
                <w:color w:val="333333"/>
                <w:sz w:val="20"/>
                <w:szCs w:val="20"/>
              </w:rPr>
            </w:pPr>
          </w:p>
        </w:tc>
        <w:tc>
          <w:tcPr>
            <w:tcW w:w="7745" w:type="dxa"/>
            <w:gridSpan w:val="6"/>
            <w:vAlign w:val="center"/>
          </w:tcPr>
          <w:p w14:paraId="67DAFB1E" w14:textId="1FBE9856" w:rsidR="006270A2" w:rsidRPr="006270A2" w:rsidRDefault="006270A2" w:rsidP="006270A2">
            <w:pPr>
              <w:rPr>
                <w:rFonts w:ascii="Arial Narrow" w:hAnsi="Arial Narrow"/>
                <w:color w:val="333333"/>
                <w:sz w:val="20"/>
                <w:szCs w:val="20"/>
              </w:rPr>
            </w:pPr>
            <w:r w:rsidRPr="00E56DE2">
              <w:rPr>
                <w:rFonts w:ascii="Arial Narrow" w:eastAsia="Calibri" w:hAnsi="Arial Narrow" w:cs="Arial Narrow"/>
                <w:sz w:val="20"/>
                <w:szCs w:val="20"/>
              </w:rPr>
              <w:t>Must be treated by a dermatologist</w:t>
            </w:r>
            <w:r w:rsidRPr="00E56DE2">
              <w:rPr>
                <w:rFonts w:ascii="Arial Narrow" w:eastAsia="Calibri" w:hAnsi="Arial Narrow" w:cs="Arial Narrow"/>
                <w:i/>
                <w:iCs/>
                <w:sz w:val="20"/>
                <w:szCs w:val="20"/>
              </w:rPr>
              <w:t>.</w:t>
            </w:r>
          </w:p>
        </w:tc>
      </w:tr>
      <w:tr w:rsidR="006270A2" w:rsidRPr="00C02D56" w14:paraId="0C82D272"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47AACF" w14:textId="458EB967" w:rsidR="006270A2" w:rsidRPr="001428E9" w:rsidRDefault="006270A2" w:rsidP="006270A2">
            <w:pPr>
              <w:jc w:val="center"/>
              <w:rPr>
                <w:rFonts w:ascii="Arial Narrow" w:hAnsi="Arial Narrow"/>
                <w:color w:val="333333"/>
                <w:sz w:val="20"/>
                <w:szCs w:val="20"/>
              </w:rPr>
            </w:pPr>
          </w:p>
        </w:tc>
        <w:tc>
          <w:tcPr>
            <w:tcW w:w="7745" w:type="dxa"/>
            <w:gridSpan w:val="6"/>
            <w:vAlign w:val="center"/>
          </w:tcPr>
          <w:p w14:paraId="45709EA4" w14:textId="4A337EEA" w:rsidR="006270A2" w:rsidRPr="006270A2" w:rsidRDefault="006270A2" w:rsidP="006270A2">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AE741B" w:rsidRPr="00C02D56" w14:paraId="5BC2C012"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14395A" w14:textId="0F6B70D9" w:rsidR="00AE741B" w:rsidRPr="001428E9" w:rsidRDefault="00AE741B" w:rsidP="00AE741B">
            <w:pPr>
              <w:jc w:val="center"/>
              <w:rPr>
                <w:rFonts w:ascii="Arial Narrow" w:hAnsi="Arial Narrow"/>
                <w:color w:val="333333"/>
                <w:sz w:val="20"/>
                <w:szCs w:val="20"/>
              </w:rPr>
            </w:pPr>
          </w:p>
        </w:tc>
        <w:tc>
          <w:tcPr>
            <w:tcW w:w="7745" w:type="dxa"/>
            <w:gridSpan w:val="6"/>
            <w:vAlign w:val="center"/>
          </w:tcPr>
          <w:p w14:paraId="59E9071D" w14:textId="07D60FAE" w:rsidR="00AE741B" w:rsidRPr="00911F26" w:rsidRDefault="00AE741B" w:rsidP="00AE741B">
            <w:pPr>
              <w:rPr>
                <w:rFonts w:ascii="Arial Narrow" w:hAnsi="Arial Narrow"/>
                <w:sz w:val="20"/>
                <w:szCs w:val="20"/>
              </w:rPr>
            </w:pPr>
            <w:r w:rsidRPr="00911F26">
              <w:rPr>
                <w:rFonts w:ascii="Arial Narrow" w:hAnsi="Arial Narrow" w:cs="Open Sans"/>
                <w:sz w:val="20"/>
                <w:szCs w:val="20"/>
                <w:shd w:val="clear" w:color="auto" w:fill="FFFFFF"/>
              </w:rPr>
              <w:t>Patient must be at least 18 years of age</w:t>
            </w:r>
          </w:p>
        </w:tc>
      </w:tr>
      <w:tr w:rsidR="00AE741B" w:rsidRPr="00C02D56" w14:paraId="0AC286DD" w14:textId="77777777" w:rsidTr="00911F26">
        <w:tblPrEx>
          <w:tblCellMar>
            <w:top w:w="15" w:type="dxa"/>
            <w:bottom w:w="15" w:type="dxa"/>
          </w:tblCellMar>
        </w:tblPrEx>
        <w:trPr>
          <w:cantSplit/>
          <w:trHeight w:val="20"/>
        </w:trPr>
        <w:tc>
          <w:tcPr>
            <w:tcW w:w="1271" w:type="dxa"/>
            <w:gridSpan w:val="2"/>
          </w:tcPr>
          <w:p w14:paraId="3C0D7446" w14:textId="27D4F2CD" w:rsidR="00AE741B" w:rsidRDefault="00AE741B" w:rsidP="00AE741B">
            <w:pPr>
              <w:jc w:val="center"/>
              <w:rPr>
                <w:rFonts w:ascii="Arial Narrow" w:hAnsi="Arial Narrow"/>
                <w:color w:val="333333"/>
                <w:sz w:val="20"/>
                <w:szCs w:val="20"/>
              </w:rPr>
            </w:pPr>
          </w:p>
        </w:tc>
        <w:tc>
          <w:tcPr>
            <w:tcW w:w="7745" w:type="dxa"/>
            <w:gridSpan w:val="6"/>
          </w:tcPr>
          <w:p w14:paraId="5F5498E1" w14:textId="77777777" w:rsidR="00AE741B" w:rsidRPr="000F0C0D" w:rsidRDefault="00AE741B" w:rsidP="00AE741B">
            <w:pPr>
              <w:pStyle w:val="NormalWeb"/>
              <w:spacing w:before="0" w:beforeAutospacing="0" w:after="0" w:afterAutospacing="0"/>
              <w:textAlignment w:val="baseline"/>
              <w:rPr>
                <w:rFonts w:ascii="Arial Narrow" w:hAnsi="Arial Narrow" w:cs="Open Sans"/>
                <w:color w:val="333333"/>
                <w:sz w:val="20"/>
                <w:szCs w:val="20"/>
              </w:rPr>
            </w:pPr>
            <w:bookmarkStart w:id="3" w:name="_Hlk127782071"/>
            <w:r w:rsidRPr="000F0C0D">
              <w:rPr>
                <w:rStyle w:val="Strong"/>
                <w:rFonts w:ascii="Arial Narrow" w:hAnsi="Arial Narrow" w:cs="Open Sans"/>
                <w:color w:val="333333"/>
                <w:sz w:val="20"/>
                <w:szCs w:val="20"/>
                <w:bdr w:val="none" w:sz="0" w:space="0" w:color="auto" w:frame="1"/>
              </w:rPr>
              <w:t>Prescribing Instructions:</w:t>
            </w:r>
          </w:p>
          <w:p w14:paraId="4B79CC46" w14:textId="77777777" w:rsidR="00AE741B" w:rsidRPr="000F0C0D"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0F0C0D">
              <w:rPr>
                <w:rFonts w:ascii="Arial Narrow" w:hAnsi="Arial Narrow" w:cs="Open Sans"/>
                <w:color w:val="333333"/>
                <w:sz w:val="20"/>
                <w:szCs w:val="20"/>
              </w:rPr>
              <w:t>An adequate response to treatment is defined as the plaque or plaques assessed prior to biological treatment showing:</w:t>
            </w:r>
          </w:p>
          <w:p w14:paraId="1A9E7FC9" w14:textId="77777777" w:rsidR="00AE741B" w:rsidRPr="000F0C0D"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0F0C0D">
              <w:rPr>
                <w:rFonts w:ascii="Arial Narrow" w:hAnsi="Arial Narrow" w:cs="Open Sans"/>
                <w:color w:val="333333"/>
                <w:sz w:val="20"/>
                <w:szCs w:val="20"/>
              </w:rPr>
              <w:t>(i) a reduction in the Psoriasis Area and Severity Index (PASI) symptom subscores for all 3 of erythema, thickness and scaling, to slight or better, or sustained at this level, as compared to the baseline values; or</w:t>
            </w:r>
          </w:p>
          <w:p w14:paraId="6B327BC1" w14:textId="4D98FA24" w:rsidR="00AE741B" w:rsidRPr="005E12EE" w:rsidRDefault="00AE741B" w:rsidP="00AE741B">
            <w:pPr>
              <w:rPr>
                <w:rFonts w:ascii="Arial Narrow" w:hAnsi="Arial Narrow" w:cs="Open Sans"/>
                <w:color w:val="F79646" w:themeColor="accent6"/>
                <w:sz w:val="20"/>
                <w:szCs w:val="20"/>
                <w:shd w:val="clear" w:color="auto" w:fill="FFFFFF"/>
              </w:rPr>
            </w:pPr>
            <w:r w:rsidRPr="000F0C0D">
              <w:rPr>
                <w:rFonts w:ascii="Arial Narrow" w:hAnsi="Arial Narrow" w:cs="Open Sans"/>
                <w:color w:val="333333"/>
                <w:sz w:val="20"/>
                <w:szCs w:val="20"/>
              </w:rPr>
              <w:t>(ii) a reduction by 75% or more in the skin area affected, or sustained at this level, as compared to the baseline value for this treatment cycle.</w:t>
            </w:r>
            <w:bookmarkEnd w:id="3"/>
          </w:p>
        </w:tc>
      </w:tr>
      <w:tr w:rsidR="00AE741B" w:rsidRPr="00C02D56" w14:paraId="1D31D59A" w14:textId="77777777" w:rsidTr="003A7CE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86B84CB" w14:textId="2F735E44" w:rsidR="004E2E0F" w:rsidRPr="001428E9" w:rsidRDefault="004E2E0F" w:rsidP="006270A2">
            <w:pPr>
              <w:jc w:val="center"/>
              <w:rPr>
                <w:rFonts w:ascii="Arial Narrow" w:hAnsi="Arial Narrow"/>
                <w:color w:val="333333"/>
                <w:sz w:val="20"/>
                <w:szCs w:val="20"/>
              </w:rPr>
            </w:pPr>
          </w:p>
        </w:tc>
        <w:tc>
          <w:tcPr>
            <w:tcW w:w="7745" w:type="dxa"/>
            <w:gridSpan w:val="6"/>
            <w:vAlign w:val="center"/>
          </w:tcPr>
          <w:p w14:paraId="5324D01B" w14:textId="77777777" w:rsidR="00AE741B" w:rsidRPr="00262EB8"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262EB8">
              <w:rPr>
                <w:rStyle w:val="Strong"/>
                <w:rFonts w:ascii="Arial Narrow" w:hAnsi="Arial Narrow" w:cs="Open Sans"/>
                <w:color w:val="333333"/>
                <w:sz w:val="20"/>
                <w:szCs w:val="20"/>
                <w:bdr w:val="none" w:sz="0" w:space="0" w:color="auto" w:frame="1"/>
              </w:rPr>
              <w:t>Prescribing Instructions:</w:t>
            </w:r>
          </w:p>
          <w:p w14:paraId="4650878E" w14:textId="77777777" w:rsidR="00AE741B" w:rsidRPr="005263F9" w:rsidRDefault="00AE741B" w:rsidP="00AE741B">
            <w:pPr>
              <w:shd w:val="clear" w:color="auto" w:fill="FFFFFF"/>
              <w:textAlignment w:val="baseline"/>
              <w:rPr>
                <w:rFonts w:ascii="Arial Narrow" w:hAnsi="Arial Narrow" w:cs="Open Sans"/>
                <w:color w:val="333333"/>
                <w:sz w:val="20"/>
                <w:szCs w:val="20"/>
              </w:rPr>
            </w:pPr>
            <w:r w:rsidRPr="005263F9">
              <w:rPr>
                <w:rFonts w:ascii="Arial Narrow" w:hAnsi="Arial Narrow" w:cs="Open Sans"/>
                <w:color w:val="333333"/>
                <w:sz w:val="20"/>
                <w:szCs w:val="20"/>
              </w:rPr>
              <w:t>The authority application must be made in writing and must include:</w:t>
            </w:r>
          </w:p>
          <w:p w14:paraId="1A6D3412" w14:textId="77777777" w:rsidR="00AE741B" w:rsidRPr="005263F9" w:rsidRDefault="00AE741B" w:rsidP="00AE741B">
            <w:pPr>
              <w:shd w:val="clear" w:color="auto" w:fill="FFFFFF"/>
              <w:textAlignment w:val="baseline"/>
              <w:rPr>
                <w:rFonts w:ascii="Arial Narrow" w:hAnsi="Arial Narrow" w:cs="Open Sans"/>
                <w:color w:val="333333"/>
                <w:sz w:val="20"/>
                <w:szCs w:val="20"/>
              </w:rPr>
            </w:pPr>
            <w:r w:rsidRPr="005263F9">
              <w:rPr>
                <w:rFonts w:ascii="Arial Narrow" w:hAnsi="Arial Narrow" w:cs="Open Sans"/>
                <w:color w:val="333333"/>
                <w:sz w:val="20"/>
                <w:szCs w:val="20"/>
              </w:rPr>
              <w:t>(1) a completed authority prescription form(s); and</w:t>
            </w:r>
          </w:p>
          <w:p w14:paraId="6A735613" w14:textId="77777777" w:rsidR="00AE741B" w:rsidRPr="005263F9" w:rsidRDefault="00AE741B" w:rsidP="00AE741B">
            <w:pPr>
              <w:shd w:val="clear" w:color="auto" w:fill="FFFFFF"/>
              <w:textAlignment w:val="baseline"/>
              <w:rPr>
                <w:rFonts w:ascii="Arial Narrow" w:hAnsi="Arial Narrow" w:cs="Open Sans"/>
                <w:color w:val="333333"/>
                <w:sz w:val="20"/>
                <w:szCs w:val="20"/>
              </w:rPr>
            </w:pPr>
            <w:r w:rsidRPr="005263F9">
              <w:rPr>
                <w:rFonts w:ascii="Arial Narrow" w:hAnsi="Arial Narrow" w:cs="Open Sans"/>
                <w:color w:val="333333"/>
                <w:sz w:val="20"/>
                <w:szCs w:val="20"/>
              </w:rPr>
              <w:t>(2) a completed authority application form relevant to the indication and treatment phase (the latest version is located on the website specified in the Administrative Advice) which includes the following:</w:t>
            </w:r>
          </w:p>
          <w:p w14:paraId="65BA184D" w14:textId="77777777" w:rsidR="00AE741B" w:rsidRPr="005263F9" w:rsidRDefault="00AE741B" w:rsidP="00AE741B">
            <w:pPr>
              <w:shd w:val="clear" w:color="auto" w:fill="FFFFFF"/>
              <w:textAlignment w:val="baseline"/>
              <w:rPr>
                <w:rFonts w:ascii="Arial Narrow" w:hAnsi="Arial Narrow" w:cs="Open Sans"/>
                <w:color w:val="333333"/>
                <w:sz w:val="20"/>
                <w:szCs w:val="20"/>
              </w:rPr>
            </w:pPr>
            <w:r w:rsidRPr="005263F9">
              <w:rPr>
                <w:rFonts w:ascii="Arial Narrow" w:hAnsi="Arial Narrow" w:cs="Open Sans"/>
                <w:color w:val="333333"/>
                <w:sz w:val="20"/>
                <w:szCs w:val="20"/>
              </w:rPr>
              <w:t>(i) the completed current and previous Psoriasis Area and Severity Index (PASI) calculation sheets, and the face, hand, foot area diagrams including the dates of assessment of the patient's condition</w:t>
            </w:r>
            <w:r>
              <w:rPr>
                <w:rFonts w:ascii="Arial Narrow" w:hAnsi="Arial Narrow" w:cs="Open Sans"/>
                <w:color w:val="333333"/>
                <w:sz w:val="20"/>
                <w:szCs w:val="20"/>
              </w:rPr>
              <w:t xml:space="preserve"> </w:t>
            </w:r>
            <w:r w:rsidRPr="003B4B70">
              <w:rPr>
                <w:rFonts w:ascii="Arial Narrow" w:hAnsi="Arial Narrow" w:cs="Open Sans"/>
                <w:color w:val="333333"/>
                <w:sz w:val="20"/>
                <w:szCs w:val="20"/>
              </w:rPr>
              <w:t>at baseline (prior to initiation of therapy with this drug) and the most recent PASI assessment</w:t>
            </w:r>
            <w:r w:rsidRPr="005263F9">
              <w:rPr>
                <w:rFonts w:ascii="Arial Narrow" w:hAnsi="Arial Narrow" w:cs="Open Sans"/>
                <w:color w:val="333333"/>
                <w:sz w:val="20"/>
                <w:szCs w:val="20"/>
              </w:rPr>
              <w:t>; and</w:t>
            </w:r>
          </w:p>
          <w:p w14:paraId="5FD22DBF" w14:textId="498375AB" w:rsidR="00AE741B" w:rsidRPr="00EA4BA1" w:rsidRDefault="00AE741B" w:rsidP="00EA4BA1">
            <w:pPr>
              <w:shd w:val="clear" w:color="auto" w:fill="FFFFFF"/>
              <w:textAlignment w:val="baseline"/>
              <w:rPr>
                <w:rFonts w:ascii="Arial Narrow" w:hAnsi="Arial Narrow" w:cs="Open Sans"/>
                <w:strike/>
                <w:color w:val="333333"/>
                <w:sz w:val="20"/>
                <w:szCs w:val="20"/>
              </w:rPr>
            </w:pPr>
            <w:r w:rsidRPr="005263F9">
              <w:rPr>
                <w:rFonts w:ascii="Arial Narrow" w:hAnsi="Arial Narrow" w:cs="Open Sans"/>
                <w:color w:val="333333"/>
                <w:sz w:val="20"/>
                <w:szCs w:val="20"/>
              </w:rPr>
              <w:t>(ii) details of previous phototherapy and systemic drug therapy [dosage (where applicable), date of commencement and duration of therapy]</w:t>
            </w:r>
          </w:p>
        </w:tc>
      </w:tr>
      <w:tr w:rsidR="00AE741B" w:rsidRPr="00C02D56" w14:paraId="57A54AFE" w14:textId="77777777" w:rsidTr="005E6D8D">
        <w:tblPrEx>
          <w:tblCellMar>
            <w:top w:w="15" w:type="dxa"/>
            <w:bottom w:w="15" w:type="dxa"/>
          </w:tblCellMar>
          <w:tblLook w:val="04A0" w:firstRow="1" w:lastRow="0" w:firstColumn="1" w:lastColumn="0" w:noHBand="0" w:noVBand="1"/>
        </w:tblPrEx>
        <w:trPr>
          <w:cantSplit/>
          <w:trHeight w:val="20"/>
        </w:trPr>
        <w:tc>
          <w:tcPr>
            <w:tcW w:w="1271" w:type="dxa"/>
            <w:gridSpan w:val="2"/>
          </w:tcPr>
          <w:p w14:paraId="60324032" w14:textId="77F42E97" w:rsidR="00AE741B" w:rsidRPr="000F0C0D" w:rsidRDefault="00AE741B" w:rsidP="00AE741B">
            <w:pPr>
              <w:jc w:val="center"/>
              <w:rPr>
                <w:rFonts w:ascii="Arial Narrow" w:hAnsi="Arial Narrow" w:cs="Open Sans"/>
                <w:color w:val="333333"/>
                <w:sz w:val="20"/>
                <w:szCs w:val="20"/>
              </w:rPr>
            </w:pPr>
          </w:p>
        </w:tc>
        <w:tc>
          <w:tcPr>
            <w:tcW w:w="7745" w:type="dxa"/>
            <w:gridSpan w:val="6"/>
          </w:tcPr>
          <w:p w14:paraId="11C1F2EC" w14:textId="77777777" w:rsidR="00AE741B" w:rsidRPr="003D6B22"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3D6B22">
              <w:rPr>
                <w:rStyle w:val="Strong"/>
                <w:rFonts w:ascii="Arial Narrow" w:hAnsi="Arial Narrow" w:cs="Open Sans"/>
                <w:color w:val="333333"/>
                <w:sz w:val="20"/>
                <w:szCs w:val="20"/>
                <w:bdr w:val="none" w:sz="0" w:space="0" w:color="auto" w:frame="1"/>
              </w:rPr>
              <w:t>Prescribing Instructions:</w:t>
            </w:r>
          </w:p>
          <w:p w14:paraId="02D59AEE" w14:textId="5890F5F7" w:rsidR="00AE741B" w:rsidRPr="000F0C0D" w:rsidRDefault="00AE741B" w:rsidP="00AE741B">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3D6B22">
              <w:rPr>
                <w:rFonts w:ascii="Arial Narrow" w:hAnsi="Arial Narrow" w:cs="Open Sans"/>
                <w:color w:val="333333"/>
                <w:sz w:val="20"/>
                <w:szCs w:val="20"/>
              </w:rPr>
              <w:t>The most recent PASI assessment must be no more than 4 weeks old at the time of application.</w:t>
            </w:r>
          </w:p>
        </w:tc>
      </w:tr>
      <w:tr w:rsidR="00AE741B" w:rsidRPr="00C02D56" w14:paraId="5D99CBE8" w14:textId="77777777" w:rsidTr="005E6D8D">
        <w:tblPrEx>
          <w:tblCellMar>
            <w:top w:w="15" w:type="dxa"/>
            <w:bottom w:w="15" w:type="dxa"/>
          </w:tblCellMar>
          <w:tblLook w:val="04A0" w:firstRow="1" w:lastRow="0" w:firstColumn="1" w:lastColumn="0" w:noHBand="0" w:noVBand="1"/>
        </w:tblPrEx>
        <w:trPr>
          <w:cantSplit/>
          <w:trHeight w:val="20"/>
        </w:trPr>
        <w:tc>
          <w:tcPr>
            <w:tcW w:w="1271" w:type="dxa"/>
            <w:gridSpan w:val="2"/>
          </w:tcPr>
          <w:p w14:paraId="2B905B69" w14:textId="6DAC5987" w:rsidR="00AE741B" w:rsidRPr="003D6B22" w:rsidRDefault="00AE741B" w:rsidP="00AE741B">
            <w:pPr>
              <w:jc w:val="center"/>
              <w:rPr>
                <w:rFonts w:ascii="Arial Narrow" w:hAnsi="Arial Narrow" w:cs="Open Sans"/>
                <w:color w:val="333333"/>
                <w:sz w:val="20"/>
                <w:szCs w:val="20"/>
              </w:rPr>
            </w:pPr>
          </w:p>
        </w:tc>
        <w:tc>
          <w:tcPr>
            <w:tcW w:w="7745" w:type="dxa"/>
            <w:gridSpan w:val="6"/>
          </w:tcPr>
          <w:p w14:paraId="55E28D70" w14:textId="77777777" w:rsidR="00AE741B" w:rsidRPr="00680F08"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680F08">
              <w:rPr>
                <w:rStyle w:val="Strong"/>
                <w:rFonts w:ascii="Arial Narrow" w:hAnsi="Arial Narrow" w:cs="Open Sans"/>
                <w:color w:val="333333"/>
                <w:sz w:val="20"/>
                <w:szCs w:val="20"/>
                <w:bdr w:val="none" w:sz="0" w:space="0" w:color="auto" w:frame="1"/>
              </w:rPr>
              <w:t>Prescribing Instructions:</w:t>
            </w:r>
          </w:p>
          <w:p w14:paraId="5C0F9A28" w14:textId="6F58E869" w:rsidR="00AE741B" w:rsidRPr="003D6B22" w:rsidRDefault="00AE741B" w:rsidP="00AE741B">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680F08">
              <w:rPr>
                <w:rFonts w:ascii="Arial Narrow" w:hAnsi="Arial Narrow" w:cs="Open Sans"/>
                <w:color w:val="333333"/>
                <w:sz w:val="20"/>
                <w:szCs w:val="20"/>
              </w:rPr>
              <w:t>If a patient fails to demonstrate a response to treatment with this drug under this restriction they will not be eligible to receive further PBS-subsidised treatment with this drug for this condition within this treatment cycle.</w:t>
            </w:r>
          </w:p>
        </w:tc>
      </w:tr>
      <w:tr w:rsidR="00385152" w:rsidRPr="00C02D56" w14:paraId="263EB559" w14:textId="77777777" w:rsidTr="005E6D8D">
        <w:tblPrEx>
          <w:tblCellMar>
            <w:top w:w="15" w:type="dxa"/>
            <w:bottom w:w="15" w:type="dxa"/>
          </w:tblCellMar>
          <w:tblLook w:val="04A0" w:firstRow="1" w:lastRow="0" w:firstColumn="1" w:lastColumn="0" w:noHBand="0" w:noVBand="1"/>
        </w:tblPrEx>
        <w:trPr>
          <w:cantSplit/>
          <w:trHeight w:val="20"/>
        </w:trPr>
        <w:tc>
          <w:tcPr>
            <w:tcW w:w="1271" w:type="dxa"/>
            <w:gridSpan w:val="2"/>
          </w:tcPr>
          <w:p w14:paraId="278E6C5B" w14:textId="77777777" w:rsidR="00385152" w:rsidRPr="00680F08" w:rsidRDefault="00385152" w:rsidP="00AE741B">
            <w:pPr>
              <w:jc w:val="center"/>
              <w:rPr>
                <w:rFonts w:ascii="Arial Narrow" w:hAnsi="Arial Narrow" w:cs="Open Sans"/>
                <w:color w:val="333333"/>
                <w:sz w:val="20"/>
                <w:szCs w:val="20"/>
              </w:rPr>
            </w:pPr>
          </w:p>
        </w:tc>
        <w:tc>
          <w:tcPr>
            <w:tcW w:w="7745" w:type="dxa"/>
            <w:gridSpan w:val="6"/>
          </w:tcPr>
          <w:p w14:paraId="3ABCEE47" w14:textId="69D0AD71" w:rsidR="00385152" w:rsidRPr="008E2F36" w:rsidRDefault="00385152" w:rsidP="00385152">
            <w:pPr>
              <w:rPr>
                <w:rFonts w:ascii="Arial Narrow" w:hAnsi="Arial Narrow"/>
                <w:b/>
                <w:bCs/>
                <w:i/>
                <w:iCs/>
                <w:sz w:val="20"/>
                <w:szCs w:val="20"/>
              </w:rPr>
            </w:pPr>
            <w:r w:rsidRPr="008E2F36">
              <w:rPr>
                <w:rFonts w:ascii="Arial Narrow" w:hAnsi="Arial Narrow"/>
                <w:b/>
                <w:bCs/>
                <w:i/>
                <w:iCs/>
                <w:sz w:val="20"/>
                <w:szCs w:val="20"/>
              </w:rPr>
              <w:t>Administrative Advice:</w:t>
            </w:r>
          </w:p>
          <w:p w14:paraId="1DDF9AB4" w14:textId="22D4047D" w:rsidR="00385152" w:rsidRPr="008E2F36" w:rsidRDefault="00385152" w:rsidP="008E2F36">
            <w:pPr>
              <w:rPr>
                <w:rStyle w:val="Strong"/>
                <w:rFonts w:ascii="Arial Narrow" w:hAnsi="Arial Narrow"/>
                <w:b w:val="0"/>
                <w:bCs w:val="0"/>
                <w:i/>
                <w:iCs/>
                <w:sz w:val="20"/>
                <w:szCs w:val="20"/>
              </w:rPr>
            </w:pPr>
            <w:r w:rsidRPr="008E2F36">
              <w:rPr>
                <w:rFonts w:ascii="Arial Narrow" w:hAnsi="Arial Narrow"/>
                <w:i/>
                <w:iCs/>
                <w:sz w:val="20"/>
                <w:szCs w:val="20"/>
              </w:rPr>
              <w:t xml:space="preserve">Where treatment has been commenced via non-PBS supply, the current PASI score of greater than 15 in (a) refers to a PASI measurement taken prior to commencing non-PBS supply of a biological medicine with the PBS indication of severe chronic plaque psoriasis, but following the specified prior therapies (i.e. phototherapy, methotrexate, ciclosporin, acitretin, apremilast). As a result, the PASI score can be more than 4 weeks old at the time of this application in these circumstances. For continuing treatment after this application, continued PBS subsidy is to be through either the Continuing treatment phase listing, or, an Initial 2 treatment phase listing. </w:t>
            </w:r>
          </w:p>
        </w:tc>
      </w:tr>
      <w:tr w:rsidR="00AE741B" w:rsidRPr="00C02D56" w14:paraId="5BE5E94C" w14:textId="77777777" w:rsidTr="005E6D8D">
        <w:tblPrEx>
          <w:tblCellMar>
            <w:top w:w="15" w:type="dxa"/>
            <w:bottom w:w="15" w:type="dxa"/>
          </w:tblCellMar>
          <w:tblLook w:val="04A0" w:firstRow="1" w:lastRow="0" w:firstColumn="1" w:lastColumn="0" w:noHBand="0" w:noVBand="1"/>
        </w:tblPrEx>
        <w:trPr>
          <w:cantSplit/>
          <w:trHeight w:val="20"/>
        </w:trPr>
        <w:tc>
          <w:tcPr>
            <w:tcW w:w="1271" w:type="dxa"/>
            <w:gridSpan w:val="2"/>
          </w:tcPr>
          <w:p w14:paraId="69FB9FDA" w14:textId="07F387DB" w:rsidR="00AE741B" w:rsidRPr="00680F08" w:rsidRDefault="00AE741B" w:rsidP="00AE741B">
            <w:pPr>
              <w:jc w:val="center"/>
              <w:rPr>
                <w:rFonts w:ascii="Arial Narrow" w:hAnsi="Arial Narrow" w:cs="Open Sans"/>
                <w:color w:val="333333"/>
                <w:sz w:val="20"/>
                <w:szCs w:val="20"/>
              </w:rPr>
            </w:pPr>
          </w:p>
        </w:tc>
        <w:tc>
          <w:tcPr>
            <w:tcW w:w="7745" w:type="dxa"/>
            <w:gridSpan w:val="6"/>
          </w:tcPr>
          <w:p w14:paraId="3F6BE946" w14:textId="77777777" w:rsidR="00AE741B" w:rsidRPr="00E2654D"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E2654D">
              <w:rPr>
                <w:rStyle w:val="Strong"/>
                <w:rFonts w:ascii="Arial Narrow" w:hAnsi="Arial Narrow" w:cs="Open Sans"/>
                <w:color w:val="333333"/>
                <w:sz w:val="20"/>
                <w:szCs w:val="20"/>
                <w:bdr w:val="none" w:sz="0" w:space="0" w:color="auto" w:frame="1"/>
              </w:rPr>
              <w:t>Administrative Advice:</w:t>
            </w:r>
          </w:p>
          <w:p w14:paraId="75306029" w14:textId="29E0EA70" w:rsidR="00AE741B" w:rsidRPr="00680F08" w:rsidRDefault="00AE741B" w:rsidP="00AE741B">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E2654D">
              <w:rPr>
                <w:rFonts w:ascii="Arial Narrow" w:hAnsi="Arial Narrow" w:cs="Open Sans"/>
                <w:color w:val="333333"/>
                <w:sz w:val="20"/>
                <w:szCs w:val="20"/>
              </w:rPr>
              <w:t>A Grandfathered patient may qualify for PBS-subsidised treatment under this restriction once only. For continuing PBS-subsidised treatment, a Grandfathered patient must qualify under the continuing treatment criteria.</w:t>
            </w:r>
          </w:p>
        </w:tc>
      </w:tr>
      <w:tr w:rsidR="00AE741B" w:rsidRPr="00C02D56" w14:paraId="40D812DC" w14:textId="77777777" w:rsidTr="005E6D8D">
        <w:tblPrEx>
          <w:tblCellMar>
            <w:top w:w="15" w:type="dxa"/>
            <w:bottom w:w="15" w:type="dxa"/>
          </w:tblCellMar>
          <w:tblLook w:val="04A0" w:firstRow="1" w:lastRow="0" w:firstColumn="1" w:lastColumn="0" w:noHBand="0" w:noVBand="1"/>
        </w:tblPrEx>
        <w:trPr>
          <w:cantSplit/>
          <w:trHeight w:val="20"/>
        </w:trPr>
        <w:tc>
          <w:tcPr>
            <w:tcW w:w="1271" w:type="dxa"/>
            <w:gridSpan w:val="2"/>
          </w:tcPr>
          <w:p w14:paraId="6DA9A1DC" w14:textId="24AFA11F" w:rsidR="00AE741B" w:rsidRPr="00680F08" w:rsidRDefault="00AE741B" w:rsidP="00AE741B">
            <w:pPr>
              <w:jc w:val="center"/>
              <w:rPr>
                <w:rFonts w:ascii="Arial Narrow" w:hAnsi="Arial Narrow" w:cs="Open Sans"/>
                <w:color w:val="333333"/>
                <w:sz w:val="20"/>
                <w:szCs w:val="20"/>
              </w:rPr>
            </w:pPr>
          </w:p>
        </w:tc>
        <w:tc>
          <w:tcPr>
            <w:tcW w:w="7745" w:type="dxa"/>
            <w:gridSpan w:val="6"/>
          </w:tcPr>
          <w:p w14:paraId="518C1838" w14:textId="77777777" w:rsidR="00AE741B" w:rsidRPr="00E2654D"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E2654D">
              <w:rPr>
                <w:rStyle w:val="Strong"/>
                <w:rFonts w:ascii="Arial Narrow" w:hAnsi="Arial Narrow" w:cs="Open Sans"/>
                <w:color w:val="333333"/>
                <w:sz w:val="20"/>
                <w:szCs w:val="20"/>
                <w:bdr w:val="none" w:sz="0" w:space="0" w:color="auto" w:frame="1"/>
              </w:rPr>
              <w:t>Administrative Advice:</w:t>
            </w:r>
          </w:p>
          <w:p w14:paraId="1FB36936" w14:textId="0689EC72" w:rsidR="00AE741B" w:rsidRPr="00680F08" w:rsidRDefault="00AE741B" w:rsidP="00AE741B">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E2654D">
              <w:rPr>
                <w:rFonts w:ascii="Arial Narrow" w:hAnsi="Arial Narrow" w:cs="Open Sans"/>
                <w:color w:val="333333"/>
                <w:sz w:val="20"/>
                <w:szCs w:val="20"/>
              </w:rPr>
              <w:t>This grandfather restriction will cease to operate from 1</w:t>
            </w:r>
            <w:r>
              <w:rPr>
                <w:rFonts w:ascii="Arial Narrow" w:hAnsi="Arial Narrow" w:cs="Open Sans"/>
                <w:color w:val="333333"/>
                <w:sz w:val="20"/>
                <w:szCs w:val="20"/>
              </w:rPr>
              <w:t>2</w:t>
            </w:r>
            <w:r w:rsidRPr="00E2654D">
              <w:rPr>
                <w:rFonts w:ascii="Arial Narrow" w:hAnsi="Arial Narrow" w:cs="Open Sans"/>
                <w:color w:val="333333"/>
                <w:sz w:val="20"/>
                <w:szCs w:val="20"/>
              </w:rPr>
              <w:t xml:space="preserve"> months after the date specified in the clinical criteria.</w:t>
            </w:r>
          </w:p>
        </w:tc>
      </w:tr>
      <w:tr w:rsidR="00AE741B" w:rsidRPr="00C02D56" w14:paraId="3DE280FB" w14:textId="77777777" w:rsidTr="008E652B">
        <w:tblPrEx>
          <w:tblCellMar>
            <w:top w:w="15" w:type="dxa"/>
            <w:bottom w:w="15" w:type="dxa"/>
          </w:tblCellMar>
        </w:tblPrEx>
        <w:trPr>
          <w:trHeight w:val="20"/>
        </w:trPr>
        <w:tc>
          <w:tcPr>
            <w:tcW w:w="1271" w:type="dxa"/>
            <w:gridSpan w:val="2"/>
          </w:tcPr>
          <w:p w14:paraId="15A6AAF7" w14:textId="00C4DD76" w:rsidR="00AE741B" w:rsidRPr="001428E9" w:rsidDel="00AE741B" w:rsidRDefault="00AE741B" w:rsidP="00AE741B">
            <w:pPr>
              <w:jc w:val="center"/>
              <w:rPr>
                <w:rFonts w:ascii="Arial Narrow" w:hAnsi="Arial Narrow"/>
                <w:color w:val="333333"/>
                <w:sz w:val="20"/>
                <w:szCs w:val="20"/>
              </w:rPr>
            </w:pPr>
          </w:p>
        </w:tc>
        <w:tc>
          <w:tcPr>
            <w:tcW w:w="7745" w:type="dxa"/>
            <w:gridSpan w:val="6"/>
          </w:tcPr>
          <w:p w14:paraId="44D31247" w14:textId="77777777" w:rsidR="00AE741B" w:rsidRPr="00680F08" w:rsidRDefault="00AE741B" w:rsidP="00AE741B">
            <w:pPr>
              <w:pStyle w:val="NormalWeb"/>
              <w:spacing w:before="0" w:beforeAutospacing="0" w:after="0" w:afterAutospacing="0"/>
              <w:textAlignment w:val="baseline"/>
              <w:rPr>
                <w:rFonts w:ascii="Arial Narrow" w:hAnsi="Arial Narrow" w:cs="Open Sans"/>
                <w:color w:val="333333"/>
                <w:sz w:val="20"/>
                <w:szCs w:val="20"/>
              </w:rPr>
            </w:pPr>
            <w:r w:rsidRPr="00680F08">
              <w:rPr>
                <w:rStyle w:val="Strong"/>
                <w:rFonts w:ascii="Arial Narrow" w:hAnsi="Arial Narrow" w:cs="Open Sans"/>
                <w:color w:val="333333"/>
                <w:sz w:val="20"/>
                <w:szCs w:val="20"/>
                <w:bdr w:val="none" w:sz="0" w:space="0" w:color="auto" w:frame="1"/>
              </w:rPr>
              <w:t>Administrative Advice:</w:t>
            </w:r>
          </w:p>
          <w:p w14:paraId="7070FA24" w14:textId="77777777" w:rsidR="00AE741B" w:rsidRPr="00680F08" w:rsidRDefault="00AE741B" w:rsidP="00AE741B">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39393ACE" w14:textId="77777777" w:rsidR="00AE741B" w:rsidRPr="00680F08" w:rsidRDefault="00AE741B" w:rsidP="00AE741B">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6391B0E6" w14:textId="77777777" w:rsidR="00AE741B" w:rsidRPr="00680F08" w:rsidRDefault="00AE741B" w:rsidP="00AE741B">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673C4D01" w14:textId="77777777" w:rsidR="00AE741B" w:rsidRPr="00680F08" w:rsidRDefault="00AE741B" w:rsidP="00AE741B">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Or mailed to:</w:t>
            </w:r>
          </w:p>
          <w:p w14:paraId="0F631D52" w14:textId="77777777" w:rsidR="00AE741B" w:rsidRPr="00680F08" w:rsidRDefault="00AE741B" w:rsidP="00AE741B">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Services Australia</w:t>
            </w:r>
          </w:p>
          <w:p w14:paraId="6868933A" w14:textId="77777777" w:rsidR="00AE741B" w:rsidRPr="00680F08" w:rsidRDefault="00AE741B" w:rsidP="00AE741B">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Complex Drugs</w:t>
            </w:r>
          </w:p>
          <w:p w14:paraId="0EE4FA01" w14:textId="77777777" w:rsidR="00AE741B" w:rsidRPr="00680F08" w:rsidRDefault="00AE741B" w:rsidP="00AE741B">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680F08">
              <w:rPr>
                <w:rFonts w:ascii="Arial Narrow" w:hAnsi="Arial Narrow" w:cs="Open Sans"/>
                <w:color w:val="333333"/>
                <w:sz w:val="20"/>
                <w:szCs w:val="20"/>
              </w:rPr>
              <w:t>Reply Paid 9826</w:t>
            </w:r>
          </w:p>
          <w:p w14:paraId="35F973F6" w14:textId="0157BB5A" w:rsidR="00AE741B" w:rsidRPr="001428E9" w:rsidDel="00AE741B" w:rsidRDefault="00AE741B" w:rsidP="00AE741B">
            <w:pPr>
              <w:rPr>
                <w:rFonts w:ascii="Arial Narrow" w:hAnsi="Arial Narrow"/>
                <w:b/>
                <w:bCs/>
                <w:color w:val="333333"/>
                <w:sz w:val="20"/>
                <w:szCs w:val="20"/>
              </w:rPr>
            </w:pPr>
            <w:r w:rsidRPr="00680F08">
              <w:rPr>
                <w:rFonts w:ascii="Arial Narrow" w:hAnsi="Arial Narrow" w:cs="Open Sans"/>
                <w:color w:val="333333"/>
                <w:sz w:val="20"/>
                <w:szCs w:val="20"/>
              </w:rPr>
              <w:t>HOBART TAS 7001</w:t>
            </w:r>
          </w:p>
        </w:tc>
      </w:tr>
    </w:tbl>
    <w:p w14:paraId="5BC66026" w14:textId="77777777" w:rsidR="00842DC5" w:rsidRPr="00040E8E" w:rsidRDefault="00842DC5" w:rsidP="00040E8E">
      <w:pPr>
        <w:pStyle w:val="3Bodytext"/>
        <w:numPr>
          <w:ilvl w:val="0"/>
          <w:numId w:val="0"/>
        </w:numPr>
        <w:ind w:left="720" w:hanging="720"/>
        <w:rPr>
          <w:rFonts w:ascii="Arial Narrow" w:hAnsi="Arial Narrow" w:cstheme="minorHAnsi"/>
          <w:sz w:val="20"/>
          <w:szCs w:val="20"/>
        </w:rPr>
      </w:pPr>
    </w:p>
    <w:p w14:paraId="54518329" w14:textId="24B9625F" w:rsidR="007B6BA3" w:rsidRPr="008E652B" w:rsidRDefault="001F556E" w:rsidP="009F029A">
      <w:pPr>
        <w:pStyle w:val="3Bodytext"/>
        <w:jc w:val="both"/>
      </w:pPr>
      <w:r>
        <w:lastRenderedPageBreak/>
        <w:t xml:space="preserve">Grandfather restrictions </w:t>
      </w:r>
      <w:r w:rsidR="00337D75">
        <w:t xml:space="preserve">were </w:t>
      </w:r>
      <w:r>
        <w:t>requested for</w:t>
      </w:r>
      <w:r w:rsidR="00803340">
        <w:t xml:space="preserve"> patients participating in</w:t>
      </w:r>
      <w:r>
        <w:t xml:space="preserve"> two tildrakizumab clinical trials: TILD-18-20 (Clinicaltrials.gov NCT03897088) and TILD-18-19 (Clinicaltrials.gov NCT03897075).</w:t>
      </w:r>
      <w:r w:rsidR="003444F1">
        <w:t xml:space="preserve"> The submission estimated that </w:t>
      </w:r>
      <w:r w:rsidR="009F029A" w:rsidRPr="009F029A">
        <w:t>&lt; 500</w:t>
      </w:r>
      <w:r w:rsidR="003444F1">
        <w:t xml:space="preserve"> patients from TILD-18-20 and </w:t>
      </w:r>
      <w:r w:rsidR="009F029A" w:rsidRPr="009F029A">
        <w:t>&lt; 500</w:t>
      </w:r>
      <w:r w:rsidR="003444F1">
        <w:t xml:space="preserve"> patients from TILD-18-19 would require PBS access through the grandfathering restriction </w:t>
      </w:r>
      <w:r w:rsidR="003444F1" w:rsidRPr="00A3107E">
        <w:t>if recommended by the PBAC</w:t>
      </w:r>
      <w:r w:rsidR="003444F1" w:rsidRPr="00D25130">
        <w:t>.</w:t>
      </w:r>
      <w:r w:rsidR="003444F1">
        <w:t xml:space="preserve"> TILD-18-20 ha</w:t>
      </w:r>
      <w:r w:rsidR="00337D75">
        <w:t>d</w:t>
      </w:r>
      <w:r w:rsidR="003444F1">
        <w:t xml:space="preserve"> been completed (</w:t>
      </w:r>
      <w:r w:rsidR="00337D75">
        <w:t xml:space="preserve">with </w:t>
      </w:r>
      <w:r w:rsidR="003444F1">
        <w:t>patients receiving ongoing compassionate access through the sponsor). TILD-18-19 is an ongoing clinical trial and is expected to be completed in May 2024.</w:t>
      </w:r>
      <w:r w:rsidR="007B6BA3" w:rsidRPr="009F029A">
        <w:rPr>
          <w:i/>
          <w:iCs/>
        </w:rPr>
        <w:t xml:space="preserve"> </w:t>
      </w:r>
    </w:p>
    <w:p w14:paraId="13A158BA" w14:textId="61328CBB" w:rsidR="00A3107E" w:rsidRPr="009D1592" w:rsidRDefault="00B36831" w:rsidP="008E3089">
      <w:pPr>
        <w:pStyle w:val="3Bodytext"/>
        <w:jc w:val="both"/>
      </w:pPr>
      <w:r w:rsidRPr="0014517F">
        <w:rPr>
          <w:rFonts w:cs="Calibri"/>
          <w:iCs/>
        </w:rPr>
        <w:t xml:space="preserve">The </w:t>
      </w:r>
      <w:r w:rsidRPr="00DB16DF">
        <w:rPr>
          <w:rFonts w:cs="Calibri"/>
          <w:iCs/>
        </w:rPr>
        <w:t>submission</w:t>
      </w:r>
      <w:r w:rsidRPr="0014517F">
        <w:rPr>
          <w:rFonts w:cs="Calibri"/>
          <w:iCs/>
        </w:rPr>
        <w:t xml:space="preserve"> requested </w:t>
      </w:r>
      <w:r>
        <w:rPr>
          <w:rFonts w:cs="Calibri"/>
          <w:iCs/>
        </w:rPr>
        <w:t>a grandfather</w:t>
      </w:r>
      <w:r w:rsidRPr="0014517F">
        <w:rPr>
          <w:rFonts w:cs="Calibri"/>
          <w:iCs/>
        </w:rPr>
        <w:t xml:space="preserve"> criterion </w:t>
      </w:r>
      <w:r>
        <w:rPr>
          <w:rFonts w:cs="Calibri"/>
          <w:iCs/>
        </w:rPr>
        <w:t xml:space="preserve">for </w:t>
      </w:r>
      <w:r w:rsidRPr="0014517F">
        <w:rPr>
          <w:rFonts w:cs="Calibri"/>
          <w:iCs/>
        </w:rPr>
        <w:t xml:space="preserve">patients </w:t>
      </w:r>
      <w:r>
        <w:rPr>
          <w:rFonts w:cs="Calibri"/>
          <w:iCs/>
        </w:rPr>
        <w:t xml:space="preserve">who met the </w:t>
      </w:r>
      <w:r w:rsidRPr="0014517F">
        <w:rPr>
          <w:rFonts w:cs="Calibri"/>
          <w:iCs/>
        </w:rPr>
        <w:t>requir</w:t>
      </w:r>
      <w:r>
        <w:rPr>
          <w:rFonts w:cs="Calibri"/>
          <w:iCs/>
        </w:rPr>
        <w:t>ement of</w:t>
      </w:r>
      <w:r w:rsidRPr="0014517F">
        <w:rPr>
          <w:rFonts w:cs="Calibri"/>
          <w:iCs/>
        </w:rPr>
        <w:t xml:space="preserve"> a Psoriasis Area and Severity Index (PASI) score of &gt;15</w:t>
      </w:r>
      <w:r>
        <w:rPr>
          <w:rFonts w:cs="Calibri"/>
          <w:iCs/>
        </w:rPr>
        <w:t xml:space="preserve"> at baseline when</w:t>
      </w:r>
      <w:r w:rsidRPr="00DB16DF">
        <w:rPr>
          <w:rFonts w:cs="Calibri"/>
          <w:iCs/>
        </w:rPr>
        <w:t xml:space="preserve"> entering the clinical trials</w:t>
      </w:r>
      <w:r>
        <w:rPr>
          <w:rFonts w:cs="Calibri"/>
          <w:iCs/>
        </w:rPr>
        <w:t xml:space="preserve"> but would not satisfy this initial treatment criterion when transitioning from the clinical trial to PBS treatment.</w:t>
      </w:r>
      <w:r w:rsidRPr="00DB16DF">
        <w:rPr>
          <w:rFonts w:cs="Calibri"/>
          <w:iCs/>
        </w:rPr>
        <w:t xml:space="preserve"> </w:t>
      </w:r>
      <w:r w:rsidR="00337D75">
        <w:rPr>
          <w:rFonts w:cs="Calibri"/>
          <w:iCs/>
        </w:rPr>
        <w:t>The PBAC n</w:t>
      </w:r>
      <w:r>
        <w:rPr>
          <w:rFonts w:cs="Calibri"/>
          <w:iCs/>
        </w:rPr>
        <w:t>ote</w:t>
      </w:r>
      <w:r w:rsidR="00337D75">
        <w:rPr>
          <w:rFonts w:cs="Calibri"/>
          <w:iCs/>
        </w:rPr>
        <w:t>d</w:t>
      </w:r>
      <w:r>
        <w:rPr>
          <w:rFonts w:cs="Calibri"/>
          <w:iCs/>
        </w:rPr>
        <w:t xml:space="preserve"> t</w:t>
      </w:r>
      <w:r w:rsidRPr="00DB16DF">
        <w:rPr>
          <w:rFonts w:cs="Calibri"/>
          <w:iCs/>
        </w:rPr>
        <w:t>he clinical trials presented in both this submission and the July 2018 submission</w:t>
      </w:r>
      <w:r w:rsidRPr="0014517F">
        <w:rPr>
          <w:rFonts w:cs="Calibri"/>
          <w:iCs/>
        </w:rPr>
        <w:t xml:space="preserve"> ha</w:t>
      </w:r>
      <w:r>
        <w:rPr>
          <w:rFonts w:cs="Calibri"/>
          <w:iCs/>
        </w:rPr>
        <w:t>d</w:t>
      </w:r>
      <w:r w:rsidRPr="0014517F">
        <w:rPr>
          <w:rFonts w:cs="Calibri"/>
          <w:iCs/>
        </w:rPr>
        <w:t xml:space="preserve"> an inclusion criterion of PASI score &gt;12.</w:t>
      </w:r>
    </w:p>
    <w:p w14:paraId="7BEEE9E6" w14:textId="415F1413" w:rsidR="002A27BA" w:rsidRDefault="00C27C1C" w:rsidP="008E3089">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1DBE9B2F" w14:textId="04DF72B6" w:rsidR="002A27BA" w:rsidRDefault="002A27BA" w:rsidP="008E3089">
      <w:pPr>
        <w:pStyle w:val="4-SubsectionHeading"/>
        <w:rPr>
          <w:lang w:eastAsia="en-US"/>
        </w:rPr>
      </w:pPr>
      <w:r>
        <w:rPr>
          <w:lang w:eastAsia="en-US"/>
        </w:rPr>
        <w:t>Sponsor hearing</w:t>
      </w:r>
    </w:p>
    <w:p w14:paraId="0B4053B6" w14:textId="4C9629DF" w:rsidR="002A27BA" w:rsidRPr="002A27BA" w:rsidRDefault="002A27BA" w:rsidP="008E3089">
      <w:pPr>
        <w:pStyle w:val="3Bodytext"/>
        <w:jc w:val="both"/>
        <w:rPr>
          <w:lang w:eastAsia="en-US"/>
        </w:rPr>
      </w:pPr>
      <w:r>
        <w:rPr>
          <w:lang w:eastAsia="en-US"/>
        </w:rPr>
        <w:t>There was no hearing for this item.</w:t>
      </w:r>
    </w:p>
    <w:p w14:paraId="669B8CD7" w14:textId="07C6A677" w:rsidR="002A27BA" w:rsidRDefault="002A27BA" w:rsidP="008E3089">
      <w:pPr>
        <w:pStyle w:val="4-SubsectionHeading"/>
        <w:rPr>
          <w:lang w:eastAsia="en-US"/>
        </w:rPr>
      </w:pPr>
      <w:r>
        <w:rPr>
          <w:lang w:eastAsia="en-US"/>
        </w:rPr>
        <w:t>Consumer comments</w:t>
      </w:r>
    </w:p>
    <w:p w14:paraId="2A9937F0" w14:textId="21538F49" w:rsidR="001576BE" w:rsidRPr="001576BE" w:rsidRDefault="001576BE" w:rsidP="008E3089">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The PBAC noted and welcomed the input from The Australasian College of Dermatologists which stated that the addition of th</w:t>
      </w:r>
      <w:r w:rsidR="00F53731">
        <w:rPr>
          <w:rFonts w:asciiTheme="minorHAnsi" w:hAnsiTheme="minorHAnsi" w:cs="Arial"/>
          <w:bCs/>
          <w:snapToGrid w:val="0"/>
        </w:rPr>
        <w:t>e grandfathering</w:t>
      </w:r>
      <w:r>
        <w:rPr>
          <w:rFonts w:asciiTheme="minorHAnsi" w:hAnsiTheme="minorHAnsi" w:cs="Arial"/>
          <w:bCs/>
          <w:snapToGrid w:val="0"/>
        </w:rPr>
        <w:t xml:space="preserve"> restriction would enable patients to continue with timely, affordable and quality treatment.</w:t>
      </w:r>
    </w:p>
    <w:p w14:paraId="0EE68679" w14:textId="2E4D4D4F" w:rsidR="002A27BA" w:rsidRDefault="002A27BA" w:rsidP="008E3089">
      <w:pPr>
        <w:pStyle w:val="4-SubsectionHeading"/>
        <w:rPr>
          <w:lang w:eastAsia="en-US"/>
        </w:rPr>
      </w:pPr>
      <w:r>
        <w:rPr>
          <w:lang w:eastAsia="en-US"/>
        </w:rPr>
        <w:t xml:space="preserve">Clinical trials </w:t>
      </w:r>
    </w:p>
    <w:p w14:paraId="6DB949D8" w14:textId="5F568884" w:rsidR="003444F1" w:rsidRPr="00291A95" w:rsidRDefault="00BA25BE" w:rsidP="008E3089">
      <w:pPr>
        <w:pStyle w:val="3Bodytext"/>
        <w:jc w:val="both"/>
        <w:rPr>
          <w:i/>
          <w:iCs/>
        </w:rPr>
      </w:pPr>
      <w:r>
        <w:t>The submission included three clinical trials of tildrakizumab</w:t>
      </w:r>
      <w:r w:rsidR="00191FA7">
        <w:t xml:space="preserve">, </w:t>
      </w:r>
      <w:r w:rsidR="008E2F36">
        <w:t>comparing key eligibility criteria rather than outcomes</w:t>
      </w:r>
      <w:r>
        <w:t xml:space="preserve">. </w:t>
      </w:r>
      <w:r w:rsidRPr="00A3107E">
        <w:t xml:space="preserve">Two of the trials (Papp et al and Reich et al) were included in the submission considered by the PBAC in July 2018, and one was a new trial published in 2021. </w:t>
      </w:r>
      <w:r>
        <w:t>Details of the trials provided in the submission are presented in the table below.</w:t>
      </w:r>
    </w:p>
    <w:p w14:paraId="0998DBF2" w14:textId="6A5BBC35" w:rsidR="00BA25BE" w:rsidRPr="00291A95" w:rsidRDefault="00BA25BE" w:rsidP="00BA25BE">
      <w:pPr>
        <w:pStyle w:val="TableFigureHeading"/>
        <w:rPr>
          <w:rStyle w:val="CommentReference"/>
          <w:b w:val="0"/>
          <w:sz w:val="20"/>
          <w:szCs w:val="20"/>
        </w:rPr>
      </w:pPr>
      <w:bookmarkStart w:id="4" w:name="_Ref104803956"/>
      <w:r>
        <w:t xml:space="preserve">Table </w:t>
      </w:r>
      <w:bookmarkEnd w:id="4"/>
      <w:r>
        <w:t>1:</w:t>
      </w:r>
      <w:r w:rsidRPr="002E4F02">
        <w:rPr>
          <w:rStyle w:val="CommentReference"/>
        </w:rPr>
        <w:t xml:space="preserve"> </w:t>
      </w:r>
      <w:r w:rsidRPr="00291A95">
        <w:rPr>
          <w:rStyle w:val="CommentReference"/>
          <w:sz w:val="20"/>
          <w:szCs w:val="20"/>
        </w:rPr>
        <w:t xml:space="preserve">Trials </w:t>
      </w:r>
      <w:r w:rsidR="00326570">
        <w:rPr>
          <w:rStyle w:val="CommentReference"/>
          <w:sz w:val="20"/>
          <w:szCs w:val="20"/>
        </w:rPr>
        <w:t>provided</w:t>
      </w:r>
      <w:r w:rsidR="00326570" w:rsidRPr="00291A95">
        <w:rPr>
          <w:rStyle w:val="CommentReference"/>
          <w:sz w:val="20"/>
          <w:szCs w:val="20"/>
        </w:rPr>
        <w:t xml:space="preserve"> </w:t>
      </w:r>
      <w:r w:rsidRPr="00291A95">
        <w:rPr>
          <w:rStyle w:val="CommentReference"/>
          <w:sz w:val="20"/>
          <w:szCs w:val="20"/>
        </w:rPr>
        <w:t>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4"/>
        <w:gridCol w:w="2528"/>
      </w:tblGrid>
      <w:tr w:rsidR="00BA25BE" w:rsidRPr="00B41614" w14:paraId="11786D08" w14:textId="77777777" w:rsidTr="00A82A6B">
        <w:trPr>
          <w:cantSplit/>
          <w:tblHeader/>
        </w:trPr>
        <w:tc>
          <w:tcPr>
            <w:tcW w:w="795" w:type="pct"/>
            <w:vAlign w:val="center"/>
          </w:tcPr>
          <w:p w14:paraId="483A98AC" w14:textId="77777777" w:rsidR="00BA25BE" w:rsidRPr="00B41614" w:rsidRDefault="00BA25BE" w:rsidP="00A82A6B">
            <w:pPr>
              <w:pStyle w:val="In-tableHeading"/>
              <w:jc w:val="center"/>
            </w:pPr>
            <w:r w:rsidRPr="00B41614">
              <w:t>Trial ID</w:t>
            </w:r>
          </w:p>
        </w:tc>
        <w:tc>
          <w:tcPr>
            <w:tcW w:w="2803" w:type="pct"/>
            <w:vAlign w:val="center"/>
          </w:tcPr>
          <w:p w14:paraId="0AFFDC73" w14:textId="5C501A17" w:rsidR="00BA25BE" w:rsidRPr="00B41614" w:rsidRDefault="00BA25BE" w:rsidP="00A82A6B">
            <w:pPr>
              <w:pStyle w:val="In-tableHeading"/>
            </w:pPr>
            <w:r w:rsidRPr="00B41614">
              <w:t>Publication title</w:t>
            </w:r>
          </w:p>
        </w:tc>
        <w:tc>
          <w:tcPr>
            <w:tcW w:w="1402" w:type="pct"/>
            <w:vAlign w:val="center"/>
          </w:tcPr>
          <w:p w14:paraId="14B8D2B7" w14:textId="77777777" w:rsidR="00BA25BE" w:rsidRPr="00B41614" w:rsidRDefault="00BA25BE" w:rsidP="00A82A6B">
            <w:pPr>
              <w:pStyle w:val="In-tableHeading"/>
            </w:pPr>
            <w:r w:rsidRPr="00B41614">
              <w:t>Publication citation</w:t>
            </w:r>
          </w:p>
        </w:tc>
      </w:tr>
      <w:tr w:rsidR="00176336" w:rsidRPr="00CB38A8" w14:paraId="55884CFD" w14:textId="77777777" w:rsidTr="00291A95">
        <w:trPr>
          <w:cantSplit/>
          <w:trHeight w:val="708"/>
        </w:trPr>
        <w:tc>
          <w:tcPr>
            <w:tcW w:w="795" w:type="pct"/>
          </w:tcPr>
          <w:p w14:paraId="7087824D" w14:textId="36D15AE6" w:rsidR="00176336" w:rsidRDefault="00176336" w:rsidP="00176336">
            <w:pPr>
              <w:pStyle w:val="TableText0"/>
              <w:jc w:val="center"/>
            </w:pPr>
            <w:r w:rsidRPr="00424277">
              <w:t>reSURFACE 1 (TIL</w:t>
            </w:r>
            <w:r w:rsidRPr="00291A95">
              <w:rPr>
                <w:vertAlign w:val="subscript"/>
              </w:rPr>
              <w:t>1</w:t>
            </w:r>
            <w:r w:rsidRPr="00424277">
              <w:t>)</w:t>
            </w:r>
            <w:r w:rsidR="00326570">
              <w:t xml:space="preserve"> and reSURFACE 2 (TIL</w:t>
            </w:r>
            <w:r w:rsidR="00326570" w:rsidRPr="00291A95">
              <w:rPr>
                <w:vertAlign w:val="subscript"/>
              </w:rPr>
              <w:t>2</w:t>
            </w:r>
            <w:r w:rsidR="00326570">
              <w:t>)</w:t>
            </w:r>
          </w:p>
        </w:tc>
        <w:tc>
          <w:tcPr>
            <w:tcW w:w="2803" w:type="pct"/>
          </w:tcPr>
          <w:p w14:paraId="199EB7D1" w14:textId="01684DD4" w:rsidR="00176336" w:rsidRDefault="00176336" w:rsidP="00176336">
            <w:pPr>
              <w:pStyle w:val="TableText0"/>
            </w:pPr>
            <w:r w:rsidRPr="00424277">
              <w:t>Reich K, Papp K, Blauvelt A, et al. Tildrakizumab versus placebo or etanercept for chronic plaque psoriasis (reSURFACE 1 and reSURFACE 2): Results from two randomised controlled, phase 3 trials.</w:t>
            </w:r>
          </w:p>
        </w:tc>
        <w:tc>
          <w:tcPr>
            <w:tcW w:w="1402" w:type="pct"/>
          </w:tcPr>
          <w:p w14:paraId="78FE7981" w14:textId="197E7517" w:rsidR="00176336" w:rsidRDefault="00176336" w:rsidP="00176336">
            <w:pPr>
              <w:pStyle w:val="TableText0"/>
            </w:pPr>
            <w:r w:rsidRPr="00424277">
              <w:t>Lancet 2017; 390: 276-288</w:t>
            </w:r>
          </w:p>
        </w:tc>
      </w:tr>
      <w:tr w:rsidR="00F23B95" w:rsidRPr="00CB38A8" w14:paraId="498F8FDB" w14:textId="77777777" w:rsidTr="00D15732">
        <w:trPr>
          <w:cantSplit/>
          <w:trHeight w:val="708"/>
        </w:trPr>
        <w:tc>
          <w:tcPr>
            <w:tcW w:w="795" w:type="pct"/>
            <w:vAlign w:val="center"/>
          </w:tcPr>
          <w:p w14:paraId="73AB94C0" w14:textId="500CD969" w:rsidR="00F23B95" w:rsidRPr="00DF6341" w:rsidRDefault="00F23B95" w:rsidP="00A82A6B">
            <w:pPr>
              <w:pStyle w:val="TableText0"/>
              <w:jc w:val="center"/>
              <w:rPr>
                <w:szCs w:val="20"/>
              </w:rPr>
            </w:pPr>
            <w:r>
              <w:t>Phase IIb trial (TIL</w:t>
            </w:r>
            <w:r w:rsidRPr="00291A95">
              <w:rPr>
                <w:vertAlign w:val="subscript"/>
              </w:rPr>
              <w:t>3</w:t>
            </w:r>
            <w:r>
              <w:t>)</w:t>
            </w:r>
          </w:p>
        </w:tc>
        <w:tc>
          <w:tcPr>
            <w:tcW w:w="2803" w:type="pct"/>
            <w:vAlign w:val="center"/>
          </w:tcPr>
          <w:p w14:paraId="18768DB4" w14:textId="2960386D" w:rsidR="00F23B95" w:rsidRPr="00AB6248" w:rsidRDefault="00F23B95" w:rsidP="00A82A6B">
            <w:pPr>
              <w:pStyle w:val="TableText0"/>
            </w:pPr>
            <w:r>
              <w:t>Papp K, Thaci D, Reich K et al. Tildrakizumab (MK-3222), an anti-interleukin-23p19 monoclonal antibody, improves psoriasis in a phase IIb randomised placebo-controlled trial.</w:t>
            </w:r>
          </w:p>
        </w:tc>
        <w:tc>
          <w:tcPr>
            <w:tcW w:w="1402" w:type="pct"/>
            <w:vAlign w:val="center"/>
          </w:tcPr>
          <w:p w14:paraId="1726E0ED" w14:textId="3397E748" w:rsidR="00F23B95" w:rsidRPr="00CB38A8" w:rsidRDefault="00F23B95" w:rsidP="00A82A6B">
            <w:pPr>
              <w:pStyle w:val="TableText0"/>
              <w:rPr>
                <w:rFonts w:ascii="Times" w:hAnsi="Times"/>
              </w:rPr>
            </w:pPr>
            <w:r>
              <w:t>British Journal of Dermatology 2015; 173: 930-939</w:t>
            </w:r>
          </w:p>
        </w:tc>
      </w:tr>
      <w:tr w:rsidR="00F23B95" w:rsidRPr="00CB38A8" w14:paraId="187D9EC9" w14:textId="77777777" w:rsidTr="00BD457F">
        <w:trPr>
          <w:cantSplit/>
          <w:trHeight w:val="708"/>
        </w:trPr>
        <w:tc>
          <w:tcPr>
            <w:tcW w:w="795" w:type="pct"/>
            <w:vAlign w:val="center"/>
          </w:tcPr>
          <w:p w14:paraId="5A5C5A7C" w14:textId="46BBAA88" w:rsidR="00F23B95" w:rsidRPr="00291A95" w:rsidRDefault="00191FA7" w:rsidP="00A82A6B">
            <w:pPr>
              <w:pStyle w:val="TableText0"/>
              <w:jc w:val="center"/>
              <w:rPr>
                <w:szCs w:val="20"/>
              </w:rPr>
            </w:pPr>
            <w:r w:rsidRPr="00291A95">
              <w:rPr>
                <w:rFonts w:cs="AdvPSJOANNA"/>
                <w:szCs w:val="20"/>
              </w:rPr>
              <w:t>NCT01722331 and NCT01729754</w:t>
            </w:r>
          </w:p>
        </w:tc>
        <w:tc>
          <w:tcPr>
            <w:tcW w:w="2803" w:type="pct"/>
            <w:vAlign w:val="center"/>
          </w:tcPr>
          <w:p w14:paraId="24082F80" w14:textId="229AF2C4" w:rsidR="00F23B95" w:rsidRPr="00291A95" w:rsidRDefault="00176336" w:rsidP="00176336">
            <w:pPr>
              <w:pStyle w:val="TableText0"/>
            </w:pPr>
            <w:r>
              <w:t xml:space="preserve">Thaci D, Piaserico S, </w:t>
            </w:r>
            <w:r w:rsidR="008233CC">
              <w:t xml:space="preserve">Warren RB et al. </w:t>
            </w:r>
            <w:r w:rsidRPr="00291A95">
              <w:t>Five-year efficacy and safety of tildrakizumab in patients</w:t>
            </w:r>
            <w:r w:rsidR="008233CC">
              <w:t xml:space="preserve"> </w:t>
            </w:r>
            <w:r w:rsidRPr="00291A95">
              <w:t>with moderate-to-severe psoriasis who respond at week</w:t>
            </w:r>
            <w:r w:rsidR="008233CC">
              <w:t> </w:t>
            </w:r>
            <w:r w:rsidRPr="00291A95">
              <w:t>28: pooled analyses of two randomized phase III clinical</w:t>
            </w:r>
            <w:r w:rsidR="008233CC">
              <w:t xml:space="preserve"> </w:t>
            </w:r>
            <w:r w:rsidRPr="00291A95">
              <w:t>trials.</w:t>
            </w:r>
          </w:p>
        </w:tc>
        <w:tc>
          <w:tcPr>
            <w:tcW w:w="1402" w:type="pct"/>
            <w:vAlign w:val="center"/>
          </w:tcPr>
          <w:p w14:paraId="6912FCEA" w14:textId="7393B3FB" w:rsidR="00F23B95" w:rsidRPr="004A2558" w:rsidRDefault="00191FA7" w:rsidP="00A82A6B">
            <w:pPr>
              <w:pStyle w:val="TableText0"/>
            </w:pPr>
            <w:r>
              <w:t>British Journal of Dermatology 2021; 185: 323-334</w:t>
            </w:r>
          </w:p>
        </w:tc>
      </w:tr>
    </w:tbl>
    <w:p w14:paraId="24450BA4" w14:textId="77777777" w:rsidR="0083350C" w:rsidRDefault="0083350C" w:rsidP="009D1592">
      <w:pPr>
        <w:pStyle w:val="3Bodytext"/>
        <w:numPr>
          <w:ilvl w:val="0"/>
          <w:numId w:val="0"/>
        </w:numPr>
        <w:spacing w:after="0"/>
        <w:ind w:left="720"/>
      </w:pPr>
    </w:p>
    <w:p w14:paraId="45E13519" w14:textId="3F8C8508" w:rsidR="00A9182F" w:rsidRDefault="00A9182F" w:rsidP="008E3089">
      <w:pPr>
        <w:pStyle w:val="3Bodytext"/>
        <w:jc w:val="both"/>
      </w:pPr>
      <w:r>
        <w:lastRenderedPageBreak/>
        <w:t xml:space="preserve">The submission included details of the eligibility criteria for the three </w:t>
      </w:r>
      <w:r w:rsidR="007B6BA3">
        <w:t xml:space="preserve">published </w:t>
      </w:r>
      <w:r>
        <w:t>clinical trials</w:t>
      </w:r>
      <w:r w:rsidR="003422CC">
        <w:t xml:space="preserve"> presented in the 2018 submission</w:t>
      </w:r>
      <w:r>
        <w:t xml:space="preserve"> </w:t>
      </w:r>
      <w:r w:rsidR="007B6BA3">
        <w:t>and the</w:t>
      </w:r>
      <w:r w:rsidR="00B34EE7">
        <w:t xml:space="preserve"> two trials for which the new grandfathering restriction </w:t>
      </w:r>
      <w:r w:rsidR="0078507B">
        <w:t xml:space="preserve">was </w:t>
      </w:r>
      <w:r w:rsidR="00B34EE7">
        <w:t>requested</w:t>
      </w:r>
      <w:r>
        <w:t>.</w:t>
      </w:r>
    </w:p>
    <w:p w14:paraId="45D181E4" w14:textId="77777777" w:rsidR="00C27C1C" w:rsidRDefault="00C27C1C" w:rsidP="008E3089">
      <w:pPr>
        <w:pStyle w:val="4-SubsectionHeading"/>
        <w:rPr>
          <w:lang w:eastAsia="en-US"/>
        </w:rPr>
      </w:pPr>
      <w:bookmarkStart w:id="5" w:name="_Hlk129706372"/>
      <w:r w:rsidRPr="003C2FB5">
        <w:rPr>
          <w:lang w:eastAsia="en-US"/>
        </w:rPr>
        <w:t>Economic analysis</w:t>
      </w:r>
      <w:r>
        <w:rPr>
          <w:lang w:eastAsia="en-US"/>
        </w:rPr>
        <w:t xml:space="preserve"> </w:t>
      </w:r>
    </w:p>
    <w:bookmarkEnd w:id="5"/>
    <w:p w14:paraId="2F594F6E" w14:textId="32E5136C" w:rsidR="001206F9" w:rsidRPr="007C6F22" w:rsidRDefault="0059355C" w:rsidP="008E3089">
      <w:pPr>
        <w:pStyle w:val="3Bodytext"/>
        <w:jc w:val="both"/>
        <w:rPr>
          <w:rFonts w:cstheme="minorHAnsi"/>
          <w:i/>
          <w:szCs w:val="24"/>
        </w:rPr>
      </w:pPr>
      <w:r>
        <w:rPr>
          <w:rFonts w:cstheme="minorHAnsi"/>
          <w:iCs/>
          <w:szCs w:val="24"/>
        </w:rPr>
        <w:t xml:space="preserve">No changes to the price of tildrakizumab were proposed. </w:t>
      </w:r>
      <w:r w:rsidR="001206F9">
        <w:rPr>
          <w:rFonts w:cstheme="minorHAnsi"/>
          <w:iCs/>
          <w:szCs w:val="24"/>
        </w:rPr>
        <w:t xml:space="preserve">The submission stated that as tildrakizumab is currently listed on the PBS and the request </w:t>
      </w:r>
      <w:r w:rsidR="00603E03">
        <w:rPr>
          <w:rFonts w:cstheme="minorHAnsi"/>
          <w:iCs/>
          <w:szCs w:val="24"/>
        </w:rPr>
        <w:t xml:space="preserve">was </w:t>
      </w:r>
      <w:r w:rsidR="001206F9">
        <w:rPr>
          <w:rFonts w:cstheme="minorHAnsi"/>
          <w:iCs/>
          <w:szCs w:val="24"/>
        </w:rPr>
        <w:t xml:space="preserve">to reinstate the original grandfathering restriction, cost-effectiveness </w:t>
      </w:r>
      <w:r w:rsidR="00603E03">
        <w:rPr>
          <w:rFonts w:cstheme="minorHAnsi"/>
          <w:iCs/>
          <w:szCs w:val="24"/>
        </w:rPr>
        <w:t xml:space="preserve">had </w:t>
      </w:r>
      <w:r w:rsidR="001206F9">
        <w:rPr>
          <w:rFonts w:cstheme="minorHAnsi"/>
          <w:iCs/>
          <w:szCs w:val="24"/>
        </w:rPr>
        <w:t xml:space="preserve">already been established and no economic evaluation </w:t>
      </w:r>
      <w:r w:rsidR="00603E03">
        <w:rPr>
          <w:rFonts w:cstheme="minorHAnsi"/>
          <w:iCs/>
          <w:szCs w:val="24"/>
        </w:rPr>
        <w:t>was</w:t>
      </w:r>
      <w:r w:rsidR="001206F9">
        <w:rPr>
          <w:rFonts w:cstheme="minorHAnsi"/>
          <w:iCs/>
          <w:szCs w:val="24"/>
        </w:rPr>
        <w:t xml:space="preserve"> presented.</w:t>
      </w:r>
    </w:p>
    <w:p w14:paraId="1A7CAF7D" w14:textId="0AE2D888" w:rsidR="00EF4580" w:rsidRPr="00087E87" w:rsidRDefault="001206F9" w:rsidP="008E3089">
      <w:pPr>
        <w:pStyle w:val="3Bodytext"/>
        <w:jc w:val="both"/>
        <w:rPr>
          <w:rFonts w:cstheme="minorHAnsi"/>
          <w:szCs w:val="24"/>
        </w:rPr>
      </w:pPr>
      <w:r w:rsidRPr="00087E87">
        <w:rPr>
          <w:rFonts w:cstheme="minorHAnsi"/>
          <w:iCs/>
          <w:szCs w:val="24"/>
        </w:rPr>
        <w:t xml:space="preserve">The submission </w:t>
      </w:r>
      <w:r w:rsidR="008F0F27">
        <w:rPr>
          <w:rFonts w:cstheme="minorHAnsi"/>
          <w:iCs/>
          <w:szCs w:val="24"/>
        </w:rPr>
        <w:t xml:space="preserve">stated that the current </w:t>
      </w:r>
      <w:r w:rsidRPr="00087E87">
        <w:rPr>
          <w:rFonts w:cstheme="minorHAnsi"/>
          <w:iCs/>
          <w:szCs w:val="24"/>
        </w:rPr>
        <w:t>special pricing arrangement</w:t>
      </w:r>
      <w:r w:rsidR="005F2AEE" w:rsidRPr="00087E87">
        <w:rPr>
          <w:rFonts w:cstheme="minorHAnsi"/>
          <w:iCs/>
          <w:szCs w:val="24"/>
        </w:rPr>
        <w:t xml:space="preserve"> (SPA)</w:t>
      </w:r>
      <w:r w:rsidR="008F0F27">
        <w:rPr>
          <w:rFonts w:cstheme="minorHAnsi"/>
          <w:iCs/>
          <w:szCs w:val="24"/>
        </w:rPr>
        <w:t xml:space="preserve"> should still apply for the </w:t>
      </w:r>
      <w:r w:rsidR="00603E03">
        <w:rPr>
          <w:rFonts w:cstheme="minorHAnsi"/>
          <w:iCs/>
          <w:szCs w:val="24"/>
        </w:rPr>
        <w:t xml:space="preserve">requested </w:t>
      </w:r>
      <w:r w:rsidR="008F0F27">
        <w:rPr>
          <w:rFonts w:cstheme="minorHAnsi"/>
          <w:iCs/>
          <w:szCs w:val="24"/>
        </w:rPr>
        <w:t>updated listing</w:t>
      </w:r>
      <w:r w:rsidRPr="00087E87">
        <w:rPr>
          <w:rFonts w:cstheme="minorHAnsi"/>
          <w:iCs/>
          <w:szCs w:val="24"/>
        </w:rPr>
        <w:t>.</w:t>
      </w:r>
      <w:r w:rsidR="00326570">
        <w:rPr>
          <w:rFonts w:cstheme="minorHAnsi"/>
          <w:iCs/>
          <w:szCs w:val="24"/>
        </w:rPr>
        <w:t xml:space="preserve"> </w:t>
      </w:r>
    </w:p>
    <w:p w14:paraId="23F77C6C" w14:textId="562521C9" w:rsidR="00F85206" w:rsidRDefault="00F85206" w:rsidP="008E3089">
      <w:pPr>
        <w:pStyle w:val="4-SubsectionHeading"/>
        <w:rPr>
          <w:lang w:eastAsia="en-US"/>
        </w:rPr>
      </w:pPr>
      <w:r>
        <w:rPr>
          <w:lang w:eastAsia="en-US"/>
        </w:rPr>
        <w:t>Drug cost/patient/year: $</w:t>
      </w:r>
      <w:r w:rsidR="008D4587" w:rsidRPr="009D0A8D">
        <w:rPr>
          <w:color w:val="000000"/>
          <w:spacing w:val="0"/>
          <w:w w:val="46"/>
          <w:kern w:val="0"/>
          <w:shd w:val="solid" w:color="000000" w:fill="000000"/>
          <w:fitText w:val="795" w:id="-1233417216"/>
          <w:lang w:eastAsia="en-US"/>
          <w14:textFill>
            <w14:solidFill>
              <w14:srgbClr w14:val="000000">
                <w14:alpha w14:val="100000"/>
              </w14:srgbClr>
            </w14:solidFill>
          </w14:textFill>
        </w:rPr>
        <w:t>||||||  ||||||</w:t>
      </w:r>
    </w:p>
    <w:p w14:paraId="4B39D2CE" w14:textId="121AC485" w:rsidR="002F6F0F" w:rsidRPr="00673C5A" w:rsidRDefault="00F85206" w:rsidP="008E3089">
      <w:pPr>
        <w:pStyle w:val="3Bodytext"/>
        <w:jc w:val="both"/>
        <w:rPr>
          <w:rFonts w:cs="Calibri"/>
        </w:rPr>
      </w:pPr>
      <w:bookmarkStart w:id="6" w:name="_Hlk123728430"/>
      <w:r w:rsidRPr="009D507A">
        <w:t xml:space="preserve">The estimated drug cost/patient per year </w:t>
      </w:r>
      <w:r w:rsidR="00603E03" w:rsidRPr="009D507A">
        <w:t>w</w:t>
      </w:r>
      <w:r w:rsidR="00603E03">
        <w:t>as</w:t>
      </w:r>
      <w:r w:rsidRPr="009D507A">
        <w:t xml:space="preserve"> $</w:t>
      </w:r>
      <w:r w:rsidR="008D4587" w:rsidRPr="009D0A8D">
        <w:rPr>
          <w:color w:val="000000"/>
          <w:w w:val="64"/>
          <w:shd w:val="solid" w:color="000000" w:fill="000000"/>
          <w:fitText w:val="637" w:id="-1233417215"/>
          <w14:textFill>
            <w14:solidFill>
              <w14:srgbClr w14:val="000000">
                <w14:alpha w14:val="100000"/>
              </w14:srgbClr>
            </w14:solidFill>
          </w14:textFill>
        </w:rPr>
        <w:t>||||  ||||</w:t>
      </w:r>
      <w:r w:rsidRPr="009D507A">
        <w:t>, based on</w:t>
      </w:r>
      <w:r w:rsidR="00524F7A">
        <w:t xml:space="preserve"> an effective price of $</w:t>
      </w:r>
      <w:r w:rsidR="008D4587" w:rsidRPr="009D0A8D">
        <w:rPr>
          <w:color w:val="000000"/>
          <w:w w:val="15"/>
          <w:shd w:val="solid" w:color="000000" w:fill="000000"/>
          <w:fitText w:val="-20" w:id="-1233417214"/>
          <w14:textFill>
            <w14:solidFill>
              <w14:srgbClr w14:val="000000">
                <w14:alpha w14:val="100000"/>
              </w14:srgbClr>
            </w14:solidFill>
          </w14:textFill>
        </w:rPr>
        <w:t xml:space="preserve">|  </w:t>
      </w:r>
      <w:r w:rsidR="008D4587" w:rsidRPr="009D0A8D">
        <w:rPr>
          <w:color w:val="000000"/>
          <w:spacing w:val="-69"/>
          <w:w w:val="15"/>
          <w:shd w:val="solid" w:color="000000" w:fill="000000"/>
          <w:fitText w:val="-20" w:id="-1233417214"/>
          <w14:textFill>
            <w14:solidFill>
              <w14:srgbClr w14:val="000000">
                <w14:alpha w14:val="100000"/>
              </w14:srgbClr>
            </w14:solidFill>
          </w14:textFill>
        </w:rPr>
        <w:t>|</w:t>
      </w:r>
      <w:r w:rsidR="00524F7A">
        <w:t xml:space="preserve"> and</w:t>
      </w:r>
      <w:r w:rsidRPr="009D507A">
        <w:t xml:space="preserve"> </w:t>
      </w:r>
      <w:r w:rsidR="00524F7A">
        <w:t>one prescription dispensed every 12 weeks (</w:t>
      </w:r>
      <w:r w:rsidR="00187AD9">
        <w:t xml:space="preserve">4 </w:t>
      </w:r>
      <w:r w:rsidR="00524F7A">
        <w:t>times a year).</w:t>
      </w:r>
    </w:p>
    <w:bookmarkEnd w:id="6"/>
    <w:p w14:paraId="5EB16602" w14:textId="07C606E1" w:rsidR="00D70349" w:rsidRDefault="00D70349" w:rsidP="008E3089">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58F9BB4A" w14:textId="4EF7C691" w:rsidR="00002774" w:rsidRDefault="00002774" w:rsidP="008E3089">
      <w:pPr>
        <w:pStyle w:val="3-BodyText"/>
        <w:numPr>
          <w:ilvl w:val="1"/>
          <w:numId w:val="2"/>
        </w:numPr>
      </w:pPr>
      <w:r>
        <w:t xml:space="preserve">The </w:t>
      </w:r>
      <w:r w:rsidR="002B01C0">
        <w:t>estimated financial implications were based on an estimated treatment duration on the PBS of approximately 5 years, and a dosing regimen of 100 mg administered subcutaneously every 12 weeks.</w:t>
      </w:r>
    </w:p>
    <w:p w14:paraId="4FA1F909" w14:textId="53FB111D" w:rsidR="00D70349" w:rsidRDefault="00187AD9" w:rsidP="008E3089">
      <w:pPr>
        <w:pStyle w:val="3Bodytext"/>
        <w:jc w:val="both"/>
      </w:pPr>
      <w:r>
        <w:t>T</w:t>
      </w:r>
      <w:r w:rsidR="003C3CD2">
        <w:t>he estimated financial implications to the PBS/RPBS</w:t>
      </w:r>
      <w:r>
        <w:t xml:space="preserve"> are presented in Table 2</w:t>
      </w:r>
      <w:r w:rsidR="003C3CD2">
        <w:t>.</w:t>
      </w:r>
    </w:p>
    <w:p w14:paraId="13DBAE09" w14:textId="2FB44324" w:rsidR="00D70349" w:rsidRPr="00167C39" w:rsidRDefault="00D70349" w:rsidP="00E85F55">
      <w:pPr>
        <w:pStyle w:val="3Bodytext"/>
        <w:jc w:val="both"/>
      </w:pPr>
      <w:r>
        <w:t xml:space="preserve">The submission estimated that </w:t>
      </w:r>
      <w:r w:rsidR="00673C5A">
        <w:t xml:space="preserve">an additional </w:t>
      </w:r>
      <w:r w:rsidR="00E85F55" w:rsidRPr="00E85F55">
        <w:t>&lt; 500</w:t>
      </w:r>
      <w:r w:rsidRPr="00167C39">
        <w:t xml:space="preserve"> patients</w:t>
      </w:r>
      <w:r w:rsidR="003F41D3">
        <w:t xml:space="preserve"> (</w:t>
      </w:r>
      <w:r w:rsidR="00E85F55" w:rsidRPr="00E85F55">
        <w:t>&lt; 500</w:t>
      </w:r>
      <w:r w:rsidR="003F41D3" w:rsidRPr="007C6F22">
        <w:t xml:space="preserve"> patients from TILD-18-20 and </w:t>
      </w:r>
      <w:r w:rsidR="00E85F55" w:rsidRPr="00E85F55">
        <w:t>&lt; 500</w:t>
      </w:r>
      <w:r w:rsidR="003F41D3" w:rsidRPr="007C6F22">
        <w:t xml:space="preserve"> patients from TILD-18-19)</w:t>
      </w:r>
      <w:r w:rsidRPr="00167C39">
        <w:t xml:space="preserve"> </w:t>
      </w:r>
      <w:r>
        <w:t>would</w:t>
      </w:r>
      <w:r w:rsidRPr="00167C39">
        <w:t xml:space="preserve"> be </w:t>
      </w:r>
      <w:r w:rsidRPr="00B729D5">
        <w:t xml:space="preserve">supplied </w:t>
      </w:r>
      <w:r w:rsidR="00B729D5" w:rsidRPr="00B729D5">
        <w:t>tildrakizumab through the grandfather listings</w:t>
      </w:r>
      <w:r w:rsidRPr="00B729D5">
        <w:t xml:space="preserve"> over </w:t>
      </w:r>
      <w:r w:rsidRPr="00167C39">
        <w:t xml:space="preserve">the first </w:t>
      </w:r>
      <w:r w:rsidR="00187AD9">
        <w:t>6</w:t>
      </w:r>
      <w:r w:rsidR="00187AD9" w:rsidRPr="00167C39">
        <w:t xml:space="preserve"> </w:t>
      </w:r>
      <w:r w:rsidRPr="00167C39">
        <w:t>years of listing (</w:t>
      </w:r>
      <w:r w:rsidR="00E85F55" w:rsidRPr="00E85F55">
        <w:t>&lt; 500</w:t>
      </w:r>
      <w:r w:rsidR="00EE6203">
        <w:t xml:space="preserve"> in Year 1</w:t>
      </w:r>
      <w:r w:rsidRPr="00167C39">
        <w:t xml:space="preserve"> to </w:t>
      </w:r>
      <w:r w:rsidR="00E85F55" w:rsidRPr="00E85F55">
        <w:t>&lt; 500</w:t>
      </w:r>
      <w:r w:rsidR="00EE6203">
        <w:t xml:space="preserve"> in Year 6</w:t>
      </w:r>
      <w:r w:rsidRPr="00167C39">
        <w:t>).</w:t>
      </w:r>
      <w:r>
        <w:t xml:space="preserve"> </w:t>
      </w:r>
      <w:r w:rsidR="001768CC" w:rsidRPr="00A3107E">
        <w:t xml:space="preserve">It </w:t>
      </w:r>
      <w:r w:rsidR="00603E03">
        <w:t>was</w:t>
      </w:r>
      <w:r w:rsidR="00603E03" w:rsidRPr="00A3107E">
        <w:t xml:space="preserve"> </w:t>
      </w:r>
      <w:r w:rsidR="001768CC" w:rsidRPr="00A3107E">
        <w:t xml:space="preserve">unclear if </w:t>
      </w:r>
      <w:r w:rsidR="008E2F36" w:rsidRPr="00A3107E">
        <w:t xml:space="preserve">these </w:t>
      </w:r>
      <w:r w:rsidR="001768CC" w:rsidRPr="00A3107E">
        <w:t>patients were included in the financial forecast for the July 2018 submission.</w:t>
      </w:r>
      <w:r w:rsidR="003524FF">
        <w:t xml:space="preserve"> </w:t>
      </w:r>
    </w:p>
    <w:p w14:paraId="2849B537" w14:textId="2E55B7F9" w:rsidR="003E2E98" w:rsidRPr="003E2E98" w:rsidRDefault="000A02F8" w:rsidP="00E85F55">
      <w:pPr>
        <w:pStyle w:val="3Bodytext"/>
        <w:jc w:val="both"/>
      </w:pPr>
      <w:bookmarkStart w:id="7" w:name="_Hlk123728270"/>
      <w:r>
        <w:t>The submission stated that t</w:t>
      </w:r>
      <w:r w:rsidR="00D70349" w:rsidRPr="00167C39">
        <w:t>he estimated net financial impact to the PBS/R</w:t>
      </w:r>
      <w:r w:rsidR="00D70349">
        <w:t>P</w:t>
      </w:r>
      <w:r w:rsidR="00D70349" w:rsidRPr="00167C39">
        <w:t xml:space="preserve">BS for the listing of </w:t>
      </w:r>
      <w:r w:rsidR="003E2E98">
        <w:t>a grandfathering restriction for tildrakizumab</w:t>
      </w:r>
      <w:r w:rsidR="00D70349" w:rsidRPr="000C1AFF">
        <w:t xml:space="preserve"> </w:t>
      </w:r>
      <w:r w:rsidR="00D70349" w:rsidRPr="00167C39">
        <w:t xml:space="preserve">is </w:t>
      </w:r>
      <w:r w:rsidR="00E85F55" w:rsidRPr="00E85F55">
        <w:t>$0 to &lt; $10 million</w:t>
      </w:r>
      <w:r w:rsidR="00E85F55">
        <w:t xml:space="preserve"> </w:t>
      </w:r>
      <w:r w:rsidR="00D70349" w:rsidRPr="00167C39">
        <w:t xml:space="preserve">over </w:t>
      </w:r>
      <w:r w:rsidR="00187AD9">
        <w:t>6 </w:t>
      </w:r>
      <w:r w:rsidR="00D70349" w:rsidRPr="00167C39">
        <w:t xml:space="preserve">years (Year 1 </w:t>
      </w:r>
      <w:r w:rsidR="00E85F55" w:rsidRPr="00E85F55">
        <w:t>$0 to &lt; $10 million</w:t>
      </w:r>
      <w:r w:rsidR="00E85F55">
        <w:t xml:space="preserve"> </w:t>
      </w:r>
      <w:r w:rsidR="00D70349" w:rsidRPr="00167C39">
        <w:t xml:space="preserve">to Year 6 </w:t>
      </w:r>
      <w:r w:rsidR="00E85F55" w:rsidRPr="00E85F55">
        <w:t>$0 to &lt; $10 million</w:t>
      </w:r>
      <w:r w:rsidR="00D70349" w:rsidRPr="00167C39">
        <w:t>)</w:t>
      </w:r>
      <w:r w:rsidR="00673C5A">
        <w:t xml:space="preserve"> </w:t>
      </w:r>
      <w:bookmarkEnd w:id="7"/>
      <w:r w:rsidR="00673C5A">
        <w:t xml:space="preserve">(see Table </w:t>
      </w:r>
      <w:r w:rsidR="00BA25BE">
        <w:t>2</w:t>
      </w:r>
      <w:r w:rsidR="00673C5A">
        <w:t>)</w:t>
      </w:r>
      <w:r w:rsidR="00D70349" w:rsidRPr="00167C39">
        <w:t xml:space="preserve">. </w:t>
      </w:r>
    </w:p>
    <w:p w14:paraId="5C1B0A88" w14:textId="711657E6" w:rsidR="00D70349" w:rsidRPr="00E060AF" w:rsidRDefault="00D70349" w:rsidP="009152B8">
      <w:pPr>
        <w:pStyle w:val="Tabletitles"/>
        <w:keepNext/>
        <w:keepLines/>
        <w:spacing w:after="0"/>
        <w:rPr>
          <w:rFonts w:asciiTheme="minorHAnsi" w:hAnsiTheme="minorHAnsi" w:cstheme="minorHAnsi"/>
          <w:sz w:val="24"/>
          <w:szCs w:val="24"/>
        </w:rPr>
      </w:pPr>
      <w:r w:rsidRPr="00167C39">
        <w:rPr>
          <w:rStyle w:val="CommentReference"/>
          <w:sz w:val="20"/>
          <w:szCs w:val="22"/>
        </w:rPr>
        <w:lastRenderedPageBreak/>
        <w:t>Table</w:t>
      </w:r>
      <w:r w:rsidRPr="00167C39">
        <w:rPr>
          <w:rFonts w:eastAsiaTheme="majorEastAsia"/>
        </w:rPr>
        <w:t xml:space="preserve"> </w:t>
      </w:r>
      <w:bookmarkStart w:id="8" w:name="_Hlk121755068"/>
      <w:r w:rsidR="00BA25BE">
        <w:rPr>
          <w:rFonts w:eastAsiaTheme="majorEastAsia"/>
        </w:rPr>
        <w:t>2</w:t>
      </w:r>
      <w:r w:rsidRPr="00167C39">
        <w:rPr>
          <w:rFonts w:eastAsiaTheme="majorEastAsia"/>
        </w:rPr>
        <w:t>:</w:t>
      </w:r>
      <w:bookmarkEnd w:id="8"/>
      <w:r w:rsidRPr="00167C39">
        <w:rPr>
          <w:rFonts w:eastAsiaTheme="majorEastAsia"/>
        </w:rPr>
        <w:t xml:space="preserve"> </w:t>
      </w:r>
      <w:r w:rsidRPr="00167C39">
        <w:rPr>
          <w:rStyle w:val="CommentReference"/>
          <w:sz w:val="20"/>
          <w:szCs w:val="22"/>
        </w:rPr>
        <w:t>Estimated use and financial implications</w:t>
      </w:r>
      <w:r>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D70349" w:rsidRPr="00197F03" w14:paraId="50517F09" w14:textId="77777777" w:rsidTr="00762862">
        <w:trPr>
          <w:cantSplit/>
          <w:tblHeader/>
          <w:jc w:val="center"/>
        </w:trPr>
        <w:tc>
          <w:tcPr>
            <w:tcW w:w="1118" w:type="pct"/>
            <w:shd w:val="clear" w:color="auto" w:fill="auto"/>
            <w:vAlign w:val="center"/>
          </w:tcPr>
          <w:p w14:paraId="146FDDC6" w14:textId="77777777" w:rsidR="00D70349" w:rsidRPr="00167C39" w:rsidRDefault="00D70349" w:rsidP="00222680">
            <w:pPr>
              <w:pStyle w:val="TableText0"/>
              <w:keepLines/>
            </w:pPr>
          </w:p>
        </w:tc>
        <w:tc>
          <w:tcPr>
            <w:tcW w:w="647" w:type="pct"/>
            <w:shd w:val="clear" w:color="auto" w:fill="auto"/>
            <w:vAlign w:val="center"/>
          </w:tcPr>
          <w:p w14:paraId="229BAAA8" w14:textId="77777777" w:rsidR="00D70349" w:rsidRPr="00167C39" w:rsidRDefault="00D70349" w:rsidP="00222680">
            <w:pPr>
              <w:pStyle w:val="TableText0"/>
              <w:keepLines/>
              <w:rPr>
                <w:b/>
              </w:rPr>
            </w:pPr>
            <w:r w:rsidRPr="00167C39">
              <w:rPr>
                <w:b/>
              </w:rPr>
              <w:t>Year 1</w:t>
            </w:r>
          </w:p>
        </w:tc>
        <w:tc>
          <w:tcPr>
            <w:tcW w:w="647" w:type="pct"/>
            <w:shd w:val="clear" w:color="auto" w:fill="auto"/>
            <w:vAlign w:val="center"/>
          </w:tcPr>
          <w:p w14:paraId="48EEAB93" w14:textId="77777777" w:rsidR="00D70349" w:rsidRPr="00167C39" w:rsidRDefault="00D70349" w:rsidP="00222680">
            <w:pPr>
              <w:pStyle w:val="TableText0"/>
              <w:keepLines/>
              <w:rPr>
                <w:b/>
              </w:rPr>
            </w:pPr>
            <w:r w:rsidRPr="00167C39">
              <w:rPr>
                <w:b/>
              </w:rPr>
              <w:t>Year 2</w:t>
            </w:r>
          </w:p>
        </w:tc>
        <w:tc>
          <w:tcPr>
            <w:tcW w:w="647" w:type="pct"/>
            <w:shd w:val="clear" w:color="auto" w:fill="auto"/>
            <w:vAlign w:val="center"/>
          </w:tcPr>
          <w:p w14:paraId="0738F741" w14:textId="77777777" w:rsidR="00D70349" w:rsidRPr="00167C39" w:rsidRDefault="00D70349" w:rsidP="00222680">
            <w:pPr>
              <w:pStyle w:val="TableText0"/>
              <w:keepLines/>
              <w:rPr>
                <w:b/>
              </w:rPr>
            </w:pPr>
            <w:r w:rsidRPr="00167C39">
              <w:rPr>
                <w:b/>
              </w:rPr>
              <w:t>Year 3</w:t>
            </w:r>
          </w:p>
        </w:tc>
        <w:tc>
          <w:tcPr>
            <w:tcW w:w="647" w:type="pct"/>
            <w:shd w:val="clear" w:color="auto" w:fill="auto"/>
            <w:vAlign w:val="center"/>
          </w:tcPr>
          <w:p w14:paraId="2F722BB7" w14:textId="77777777" w:rsidR="00D70349" w:rsidRPr="00167C39" w:rsidRDefault="00D70349" w:rsidP="00222680">
            <w:pPr>
              <w:pStyle w:val="TableText0"/>
              <w:keepLines/>
              <w:rPr>
                <w:b/>
              </w:rPr>
            </w:pPr>
            <w:r w:rsidRPr="00167C39">
              <w:rPr>
                <w:b/>
              </w:rPr>
              <w:t>Year 4</w:t>
            </w:r>
          </w:p>
        </w:tc>
        <w:tc>
          <w:tcPr>
            <w:tcW w:w="647" w:type="pct"/>
            <w:shd w:val="clear" w:color="auto" w:fill="auto"/>
            <w:vAlign w:val="center"/>
          </w:tcPr>
          <w:p w14:paraId="4A03E0AC" w14:textId="77777777" w:rsidR="00D70349" w:rsidRPr="00167C39" w:rsidRDefault="00D70349" w:rsidP="00222680">
            <w:pPr>
              <w:pStyle w:val="TableText0"/>
              <w:keepLines/>
              <w:rPr>
                <w:b/>
              </w:rPr>
            </w:pPr>
            <w:r w:rsidRPr="00167C39">
              <w:rPr>
                <w:b/>
              </w:rPr>
              <w:t>Year 5</w:t>
            </w:r>
          </w:p>
        </w:tc>
        <w:tc>
          <w:tcPr>
            <w:tcW w:w="647" w:type="pct"/>
          </w:tcPr>
          <w:p w14:paraId="11CF147B" w14:textId="77777777" w:rsidR="00D70349" w:rsidRPr="00167C39" w:rsidRDefault="00D70349" w:rsidP="00222680">
            <w:pPr>
              <w:pStyle w:val="TableText0"/>
              <w:keepLines/>
              <w:rPr>
                <w:b/>
              </w:rPr>
            </w:pPr>
            <w:r w:rsidRPr="00167C39">
              <w:rPr>
                <w:b/>
              </w:rPr>
              <w:t>Year 6</w:t>
            </w:r>
          </w:p>
        </w:tc>
      </w:tr>
      <w:tr w:rsidR="00D70349" w:rsidRPr="00197F03" w14:paraId="07125BC5" w14:textId="77777777" w:rsidTr="00762862">
        <w:trPr>
          <w:cantSplit/>
          <w:jc w:val="center"/>
        </w:trPr>
        <w:tc>
          <w:tcPr>
            <w:tcW w:w="5000" w:type="pct"/>
            <w:gridSpan w:val="7"/>
            <w:shd w:val="clear" w:color="auto" w:fill="auto"/>
            <w:vAlign w:val="center"/>
          </w:tcPr>
          <w:p w14:paraId="618359A1" w14:textId="77777777" w:rsidR="00D70349" w:rsidRPr="00167C39" w:rsidRDefault="00D70349" w:rsidP="00222680">
            <w:pPr>
              <w:pStyle w:val="TableText0"/>
              <w:keepLines/>
              <w:rPr>
                <w:b/>
                <w:color w:val="000000"/>
              </w:rPr>
            </w:pPr>
            <w:r w:rsidRPr="00167C39">
              <w:rPr>
                <w:b/>
                <w:color w:val="000000"/>
              </w:rPr>
              <w:t>Estimated extent of use</w:t>
            </w:r>
          </w:p>
        </w:tc>
      </w:tr>
      <w:tr w:rsidR="00D70349" w:rsidRPr="00197F03" w14:paraId="5D4B879C" w14:textId="77777777" w:rsidTr="00906225">
        <w:trPr>
          <w:cantSplit/>
          <w:jc w:val="center"/>
        </w:trPr>
        <w:tc>
          <w:tcPr>
            <w:tcW w:w="1118" w:type="pct"/>
            <w:shd w:val="clear" w:color="auto" w:fill="auto"/>
            <w:vAlign w:val="center"/>
          </w:tcPr>
          <w:p w14:paraId="3D1A83AD" w14:textId="72702113" w:rsidR="00D70349" w:rsidRPr="00167C39" w:rsidRDefault="00D70349" w:rsidP="00222680">
            <w:pPr>
              <w:pStyle w:val="TableText0"/>
              <w:keepLines/>
            </w:pPr>
            <w:r w:rsidRPr="00167C39">
              <w:t>Number of patients treated</w:t>
            </w:r>
          </w:p>
        </w:tc>
        <w:tc>
          <w:tcPr>
            <w:tcW w:w="647" w:type="pct"/>
            <w:shd w:val="clear" w:color="auto" w:fill="auto"/>
            <w:vAlign w:val="center"/>
          </w:tcPr>
          <w:p w14:paraId="3D3A69E7" w14:textId="29387178"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04FD8588" w14:textId="43A91083"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0CF8783E" w14:textId="6F9DAF41"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3329A117" w14:textId="0E716EB2"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5F15BC88" w14:textId="2287DC44"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vAlign w:val="center"/>
          </w:tcPr>
          <w:p w14:paraId="5FEE8AB1" w14:textId="290BC846"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r>
      <w:tr w:rsidR="00D70349" w:rsidRPr="008D35F6" w14:paraId="5D5D440C" w14:textId="77777777" w:rsidTr="00906225">
        <w:trPr>
          <w:cantSplit/>
          <w:jc w:val="center"/>
        </w:trPr>
        <w:tc>
          <w:tcPr>
            <w:tcW w:w="1118" w:type="pct"/>
            <w:shd w:val="clear" w:color="auto" w:fill="auto"/>
            <w:vAlign w:val="center"/>
          </w:tcPr>
          <w:p w14:paraId="359E474F" w14:textId="77777777" w:rsidR="00D70349" w:rsidRPr="008D35F6" w:rsidRDefault="00D70349" w:rsidP="00222680">
            <w:pPr>
              <w:pStyle w:val="TableText0"/>
              <w:keepLines/>
              <w:rPr>
                <w:vertAlign w:val="superscript"/>
              </w:rPr>
            </w:pPr>
            <w:r w:rsidRPr="008D35F6">
              <w:t>Number of scripts dispensed</w:t>
            </w:r>
            <w:r w:rsidRPr="008D35F6">
              <w:rPr>
                <w:vertAlign w:val="superscript"/>
              </w:rPr>
              <w:t>a</w:t>
            </w:r>
          </w:p>
        </w:tc>
        <w:tc>
          <w:tcPr>
            <w:tcW w:w="647" w:type="pct"/>
            <w:shd w:val="clear" w:color="auto" w:fill="auto"/>
            <w:vAlign w:val="center"/>
          </w:tcPr>
          <w:p w14:paraId="14228129" w14:textId="0661F463"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0AC1C51C" w14:textId="5534886E"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46B37406" w14:textId="314A4436"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6D76F480" w14:textId="58826377"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shd w:val="clear" w:color="auto" w:fill="auto"/>
            <w:vAlign w:val="center"/>
          </w:tcPr>
          <w:p w14:paraId="078EC90A" w14:textId="08C83C31"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c>
          <w:tcPr>
            <w:tcW w:w="647" w:type="pct"/>
            <w:vAlign w:val="center"/>
          </w:tcPr>
          <w:p w14:paraId="0BC345E6" w14:textId="705C3CD3" w:rsidR="00D70349" w:rsidRPr="00E85F55" w:rsidRDefault="008D4587" w:rsidP="000C1AFF">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sidRPr="00E85F55">
              <w:rPr>
                <w:color w:val="000000"/>
                <w:vertAlign w:val="superscript"/>
              </w:rPr>
              <w:t>1</w:t>
            </w:r>
          </w:p>
        </w:tc>
      </w:tr>
      <w:tr w:rsidR="00EF4356" w:rsidRPr="008D35F6" w14:paraId="12049D1A" w14:textId="77777777" w:rsidTr="00EF4356">
        <w:trPr>
          <w:cantSplit/>
          <w:jc w:val="center"/>
        </w:trPr>
        <w:tc>
          <w:tcPr>
            <w:tcW w:w="5000" w:type="pct"/>
            <w:gridSpan w:val="7"/>
            <w:shd w:val="clear" w:color="auto" w:fill="auto"/>
            <w:vAlign w:val="center"/>
          </w:tcPr>
          <w:p w14:paraId="6606129A" w14:textId="1F8653F5" w:rsidR="00EF4356" w:rsidRDefault="00EF4356" w:rsidP="00EF4356">
            <w:pPr>
              <w:pStyle w:val="TableText0"/>
              <w:keepLines/>
              <w:rPr>
                <w:color w:val="000000"/>
              </w:rPr>
            </w:pPr>
            <w:r>
              <w:rPr>
                <w:b/>
                <w:color w:val="000000"/>
              </w:rPr>
              <w:t>Estimated financial implications of the grandfather restriction for tildrakizumab (published AEMP)</w:t>
            </w:r>
          </w:p>
        </w:tc>
      </w:tr>
      <w:tr w:rsidR="00EF4356" w:rsidRPr="008D35F6" w14:paraId="5C67070A" w14:textId="77777777" w:rsidTr="00225511">
        <w:trPr>
          <w:cantSplit/>
          <w:jc w:val="center"/>
        </w:trPr>
        <w:tc>
          <w:tcPr>
            <w:tcW w:w="1118" w:type="pct"/>
            <w:shd w:val="clear" w:color="auto" w:fill="auto"/>
          </w:tcPr>
          <w:p w14:paraId="6883B927" w14:textId="128A4299" w:rsidR="00EF4356" w:rsidRPr="00EF4356" w:rsidRDefault="00EF4356" w:rsidP="00EF4356">
            <w:pPr>
              <w:pStyle w:val="TableText0"/>
              <w:keepLines/>
              <w:rPr>
                <w:bCs w:val="0"/>
              </w:rPr>
            </w:pPr>
            <w:r>
              <w:rPr>
                <w:rFonts w:cstheme="minorHAnsi"/>
                <w:bCs w:val="0"/>
                <w:szCs w:val="20"/>
              </w:rPr>
              <w:t>Cost to PBS/RPBS</w:t>
            </w:r>
            <w:r w:rsidR="00E85F55">
              <w:rPr>
                <w:rFonts w:cstheme="minorHAnsi"/>
                <w:bCs w:val="0"/>
                <w:szCs w:val="20"/>
              </w:rPr>
              <w:t xml:space="preserve"> ($)</w:t>
            </w:r>
          </w:p>
        </w:tc>
        <w:tc>
          <w:tcPr>
            <w:tcW w:w="647" w:type="pct"/>
            <w:shd w:val="clear" w:color="auto" w:fill="auto"/>
            <w:vAlign w:val="center"/>
          </w:tcPr>
          <w:p w14:paraId="2062EE94" w14:textId="1C2998BF"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0E675C57" w14:textId="70D970B6"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2E4E2E67" w14:textId="1BB28F57"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0856F31F" w14:textId="3F77D271"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shd w:val="clear" w:color="auto" w:fill="auto"/>
            <w:vAlign w:val="center"/>
          </w:tcPr>
          <w:p w14:paraId="0AB9AD9A" w14:textId="3D0073C1"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vAlign w:val="center"/>
          </w:tcPr>
          <w:p w14:paraId="1045AF69" w14:textId="467AAE4A"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r>
      <w:tr w:rsidR="00EF4356" w:rsidRPr="008D35F6" w14:paraId="6D842146" w14:textId="77777777" w:rsidTr="00225511">
        <w:trPr>
          <w:cantSplit/>
          <w:jc w:val="center"/>
        </w:trPr>
        <w:tc>
          <w:tcPr>
            <w:tcW w:w="1118" w:type="pct"/>
            <w:shd w:val="clear" w:color="auto" w:fill="auto"/>
          </w:tcPr>
          <w:p w14:paraId="7949B2B9" w14:textId="32570B1E" w:rsidR="00EF4356" w:rsidRPr="00EF4356" w:rsidRDefault="00EF4356" w:rsidP="00EF4356">
            <w:pPr>
              <w:pStyle w:val="TableText0"/>
              <w:keepLines/>
              <w:rPr>
                <w:bCs w:val="0"/>
              </w:rPr>
            </w:pPr>
            <w:r w:rsidRPr="00EF4356">
              <w:rPr>
                <w:rFonts w:cstheme="minorHAnsi"/>
                <w:bCs w:val="0"/>
                <w:szCs w:val="20"/>
              </w:rPr>
              <w:t>Pat</w:t>
            </w:r>
            <w:r>
              <w:rPr>
                <w:rFonts w:cstheme="minorHAnsi"/>
                <w:bCs w:val="0"/>
                <w:szCs w:val="20"/>
              </w:rPr>
              <w:t>ient</w:t>
            </w:r>
            <w:r w:rsidRPr="00EF4356">
              <w:rPr>
                <w:rFonts w:cstheme="minorHAnsi"/>
                <w:bCs w:val="0"/>
                <w:szCs w:val="20"/>
              </w:rPr>
              <w:t xml:space="preserve"> co-pay</w:t>
            </w:r>
            <w:r>
              <w:rPr>
                <w:rFonts w:cstheme="minorHAnsi"/>
                <w:bCs w:val="0"/>
                <w:szCs w:val="20"/>
              </w:rPr>
              <w:t>ment</w:t>
            </w:r>
            <w:r w:rsidR="00E85F55">
              <w:rPr>
                <w:rFonts w:cstheme="minorHAnsi"/>
                <w:bCs w:val="0"/>
                <w:szCs w:val="20"/>
              </w:rPr>
              <w:t xml:space="preserve"> ($)</w:t>
            </w:r>
          </w:p>
        </w:tc>
        <w:tc>
          <w:tcPr>
            <w:tcW w:w="647" w:type="pct"/>
            <w:shd w:val="clear" w:color="auto" w:fill="auto"/>
            <w:vAlign w:val="center"/>
          </w:tcPr>
          <w:p w14:paraId="1B5A5746" w14:textId="211747CF"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73D2D9D7" w14:textId="6AFB5C6C"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7AFBFCE5" w14:textId="13B46E6B"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3021DDB2" w14:textId="0C7FE119"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shd w:val="clear" w:color="auto" w:fill="auto"/>
            <w:vAlign w:val="center"/>
          </w:tcPr>
          <w:p w14:paraId="1E42BCEC" w14:textId="2ED00010"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vAlign w:val="center"/>
          </w:tcPr>
          <w:p w14:paraId="0156799D" w14:textId="4FB7E6D8"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r>
      <w:tr w:rsidR="00EF4356" w:rsidRPr="008D35F6" w14:paraId="12DB60E0" w14:textId="77777777" w:rsidTr="00225511">
        <w:trPr>
          <w:cantSplit/>
          <w:jc w:val="center"/>
        </w:trPr>
        <w:tc>
          <w:tcPr>
            <w:tcW w:w="1118" w:type="pct"/>
            <w:shd w:val="clear" w:color="auto" w:fill="auto"/>
          </w:tcPr>
          <w:p w14:paraId="26C85B27" w14:textId="7DE66E67" w:rsidR="00EF4356" w:rsidRPr="00EF4356" w:rsidRDefault="00EF4356" w:rsidP="00EF4356">
            <w:pPr>
              <w:pStyle w:val="TableText0"/>
              <w:keepLines/>
              <w:rPr>
                <w:bCs w:val="0"/>
              </w:rPr>
            </w:pPr>
            <w:r>
              <w:rPr>
                <w:rFonts w:cstheme="minorHAnsi"/>
                <w:bCs w:val="0"/>
                <w:szCs w:val="20"/>
              </w:rPr>
              <w:t>Cost to PBS/RPBS less co-payment</w:t>
            </w:r>
            <w:r w:rsidR="00E85F55">
              <w:rPr>
                <w:rFonts w:cstheme="minorHAnsi"/>
                <w:bCs w:val="0"/>
                <w:szCs w:val="20"/>
              </w:rPr>
              <w:t xml:space="preserve"> ($)</w:t>
            </w:r>
          </w:p>
        </w:tc>
        <w:tc>
          <w:tcPr>
            <w:tcW w:w="647" w:type="pct"/>
            <w:shd w:val="clear" w:color="auto" w:fill="auto"/>
            <w:vAlign w:val="center"/>
          </w:tcPr>
          <w:p w14:paraId="6F5DB1B8" w14:textId="3A123E87"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7877D5C7" w14:textId="754178CD"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28512FE7" w14:textId="5D0EF010"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4DA76717" w14:textId="1326F388"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shd w:val="clear" w:color="auto" w:fill="auto"/>
            <w:vAlign w:val="center"/>
          </w:tcPr>
          <w:p w14:paraId="2A2AC3B6" w14:textId="5E48B0FB"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vAlign w:val="center"/>
          </w:tcPr>
          <w:p w14:paraId="45A2D53D" w14:textId="5B55B90A" w:rsidR="00EF4356" w:rsidRPr="00E85F55" w:rsidRDefault="008D4587" w:rsidP="00EF4356">
            <w:pPr>
              <w:pStyle w:val="TableText0"/>
              <w:keepLines/>
              <w:jc w:val="right"/>
              <w:rPr>
                <w:color w:val="00000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r>
      <w:tr w:rsidR="00EF4356" w:rsidRPr="008D35F6" w14:paraId="6EBD1C62" w14:textId="77777777" w:rsidTr="00EF4356">
        <w:trPr>
          <w:cantSplit/>
          <w:jc w:val="center"/>
        </w:trPr>
        <w:tc>
          <w:tcPr>
            <w:tcW w:w="5000" w:type="pct"/>
            <w:gridSpan w:val="7"/>
            <w:shd w:val="clear" w:color="auto" w:fill="auto"/>
          </w:tcPr>
          <w:p w14:paraId="793B3069" w14:textId="3899908F" w:rsidR="00EF4356" w:rsidRPr="003E2E98" w:rsidRDefault="00EF4356" w:rsidP="00EF4356">
            <w:pPr>
              <w:pStyle w:val="TableText0"/>
              <w:keepLines/>
              <w:rPr>
                <w:rFonts w:cstheme="minorHAnsi"/>
                <w:color w:val="000000"/>
                <w:szCs w:val="20"/>
              </w:rPr>
            </w:pPr>
            <w:r w:rsidRPr="003E2E98">
              <w:rPr>
                <w:rFonts w:cstheme="minorHAnsi"/>
                <w:b/>
                <w:szCs w:val="20"/>
              </w:rPr>
              <w:t>SPA Rebate</w:t>
            </w:r>
            <w:r w:rsidR="00E85F55">
              <w:rPr>
                <w:rFonts w:cstheme="minorHAnsi"/>
                <w:b/>
                <w:szCs w:val="20"/>
              </w:rPr>
              <w:t xml:space="preserve"> </w:t>
            </w:r>
            <w:r w:rsidR="00E85F55">
              <w:rPr>
                <w:rFonts w:cstheme="minorHAnsi"/>
                <w:bCs w:val="0"/>
                <w:szCs w:val="20"/>
              </w:rPr>
              <w:t>($)</w:t>
            </w:r>
          </w:p>
        </w:tc>
      </w:tr>
      <w:tr w:rsidR="00EF4356" w:rsidRPr="008D35F6" w14:paraId="7ADF8572" w14:textId="77777777" w:rsidTr="00225511">
        <w:trPr>
          <w:cantSplit/>
          <w:jc w:val="center"/>
        </w:trPr>
        <w:tc>
          <w:tcPr>
            <w:tcW w:w="1118" w:type="pct"/>
            <w:shd w:val="clear" w:color="auto" w:fill="auto"/>
          </w:tcPr>
          <w:p w14:paraId="2B4C8C33" w14:textId="55BB2938" w:rsidR="00EF4356" w:rsidRDefault="00EF4356" w:rsidP="00EF4356">
            <w:pPr>
              <w:pStyle w:val="TableText0"/>
              <w:keepLines/>
              <w:rPr>
                <w:rFonts w:cstheme="minorHAnsi"/>
                <w:bCs w:val="0"/>
                <w:szCs w:val="20"/>
              </w:rPr>
            </w:pPr>
          </w:p>
        </w:tc>
        <w:tc>
          <w:tcPr>
            <w:tcW w:w="647" w:type="pct"/>
            <w:shd w:val="clear" w:color="auto" w:fill="auto"/>
            <w:vAlign w:val="center"/>
          </w:tcPr>
          <w:p w14:paraId="32AB575F" w14:textId="22F593AA" w:rsidR="00EF4356" w:rsidRPr="00E85F55" w:rsidRDefault="008D4587" w:rsidP="00EF4356">
            <w:pPr>
              <w:pStyle w:val="TableText0"/>
              <w:keepLines/>
              <w:jc w:val="right"/>
              <w:rPr>
                <w:rFonts w:cstheme="minorHAnsi"/>
                <w:color w:val="000000"/>
                <w:szCs w:val="2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72439EFE" w14:textId="6A67C234" w:rsidR="00EF4356" w:rsidRPr="00E85F55" w:rsidRDefault="008D4587" w:rsidP="00EF4356">
            <w:pPr>
              <w:pStyle w:val="TableText0"/>
              <w:keepLines/>
              <w:jc w:val="right"/>
              <w:rPr>
                <w:rFonts w:cstheme="minorHAnsi"/>
                <w:color w:val="000000"/>
                <w:szCs w:val="2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27375B0E" w14:textId="629C6D20" w:rsidR="00EF4356" w:rsidRPr="00E85F55" w:rsidRDefault="008D4587" w:rsidP="00EF4356">
            <w:pPr>
              <w:pStyle w:val="TableText0"/>
              <w:keepLines/>
              <w:jc w:val="right"/>
              <w:rPr>
                <w:rFonts w:cstheme="minorHAnsi"/>
                <w:color w:val="000000"/>
                <w:szCs w:val="2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11ACE767" w14:textId="1FFE6681" w:rsidR="00EF4356" w:rsidRPr="00E85F55" w:rsidRDefault="008D4587" w:rsidP="00EF4356">
            <w:pPr>
              <w:pStyle w:val="TableText0"/>
              <w:keepLines/>
              <w:jc w:val="right"/>
              <w:rPr>
                <w:rFonts w:cstheme="minorHAnsi"/>
                <w:color w:val="000000"/>
                <w:szCs w:val="2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shd w:val="clear" w:color="auto" w:fill="auto"/>
            <w:vAlign w:val="center"/>
          </w:tcPr>
          <w:p w14:paraId="3136208D" w14:textId="6CAC847E" w:rsidR="00EF4356" w:rsidRPr="00E85F55" w:rsidRDefault="008D4587" w:rsidP="00EF4356">
            <w:pPr>
              <w:pStyle w:val="TableText0"/>
              <w:keepLines/>
              <w:jc w:val="right"/>
              <w:rPr>
                <w:rFonts w:cstheme="minorHAnsi"/>
                <w:color w:val="000000"/>
                <w:szCs w:val="2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vAlign w:val="center"/>
          </w:tcPr>
          <w:p w14:paraId="048B9BAA" w14:textId="2BE8953D" w:rsidR="00EF4356" w:rsidRPr="00E85F55" w:rsidRDefault="008D4587" w:rsidP="00EF4356">
            <w:pPr>
              <w:pStyle w:val="TableText0"/>
              <w:keepLines/>
              <w:jc w:val="right"/>
              <w:rPr>
                <w:rFonts w:cstheme="minorHAnsi"/>
                <w:color w:val="000000"/>
                <w:szCs w:val="20"/>
                <w:highlight w:val="darkGray"/>
              </w:rPr>
            </w:pPr>
            <w:r w:rsidRPr="008D4587">
              <w:rPr>
                <w:rFonts w:cstheme="minorHAnsi"/>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r>
      <w:tr w:rsidR="000C1AFF" w:rsidRPr="00197F03" w14:paraId="046AEB1E" w14:textId="77777777" w:rsidTr="001C20E1">
        <w:trPr>
          <w:cantSplit/>
          <w:jc w:val="center"/>
        </w:trPr>
        <w:tc>
          <w:tcPr>
            <w:tcW w:w="5000" w:type="pct"/>
            <w:gridSpan w:val="7"/>
            <w:shd w:val="clear" w:color="auto" w:fill="auto"/>
            <w:vAlign w:val="center"/>
          </w:tcPr>
          <w:p w14:paraId="750CBAE5" w14:textId="31D4972E" w:rsidR="000C1AFF" w:rsidRPr="00167C39" w:rsidRDefault="000C1AFF" w:rsidP="001C20E1">
            <w:pPr>
              <w:pStyle w:val="TableText0"/>
              <w:keepLines/>
              <w:rPr>
                <w:b/>
                <w:color w:val="000000"/>
              </w:rPr>
            </w:pPr>
            <w:r>
              <w:rPr>
                <w:b/>
                <w:color w:val="000000"/>
              </w:rPr>
              <w:t xml:space="preserve">Estimated financial implications of </w:t>
            </w:r>
            <w:r w:rsidR="00906225">
              <w:rPr>
                <w:b/>
                <w:color w:val="000000"/>
              </w:rPr>
              <w:t>the grandfather restriction for tildrakizumab</w:t>
            </w:r>
            <w:r w:rsidR="00EF4356">
              <w:rPr>
                <w:b/>
                <w:color w:val="000000"/>
              </w:rPr>
              <w:t xml:space="preserve"> (effective AEMP)</w:t>
            </w:r>
          </w:p>
        </w:tc>
      </w:tr>
      <w:tr w:rsidR="00906225" w:rsidRPr="00197F03" w14:paraId="3993658E" w14:textId="77777777" w:rsidTr="007836D9">
        <w:trPr>
          <w:cantSplit/>
          <w:jc w:val="center"/>
        </w:trPr>
        <w:tc>
          <w:tcPr>
            <w:tcW w:w="1118" w:type="pct"/>
            <w:shd w:val="clear" w:color="auto" w:fill="auto"/>
            <w:vAlign w:val="center"/>
          </w:tcPr>
          <w:p w14:paraId="375802A8" w14:textId="4E5B42EC" w:rsidR="00906225" w:rsidRPr="00167C39" w:rsidRDefault="00906225" w:rsidP="00906225">
            <w:pPr>
              <w:pStyle w:val="TableText0"/>
              <w:keepLines/>
            </w:pPr>
            <w:r>
              <w:t>Cost to PBS/RPBS less co-payment</w:t>
            </w:r>
            <w:r w:rsidR="00E85F55">
              <w:t xml:space="preserve"> </w:t>
            </w:r>
            <w:r w:rsidR="00E85F55">
              <w:rPr>
                <w:rFonts w:cstheme="minorHAnsi"/>
                <w:bCs w:val="0"/>
                <w:szCs w:val="20"/>
              </w:rPr>
              <w:t>($)</w:t>
            </w:r>
          </w:p>
        </w:tc>
        <w:tc>
          <w:tcPr>
            <w:tcW w:w="647" w:type="pct"/>
            <w:shd w:val="clear" w:color="auto" w:fill="auto"/>
          </w:tcPr>
          <w:p w14:paraId="466AAD3D" w14:textId="238CCE95" w:rsidR="00906225" w:rsidRPr="00E85F55" w:rsidRDefault="008D4587" w:rsidP="00906225">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tcPr>
          <w:p w14:paraId="0584DE92" w14:textId="08D92136" w:rsidR="00906225" w:rsidRPr="00E85F55" w:rsidRDefault="008D4587" w:rsidP="00906225">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tcPr>
          <w:p w14:paraId="555B3F9C" w14:textId="019F9E90" w:rsidR="00906225" w:rsidRPr="00E85F55" w:rsidRDefault="008D4587" w:rsidP="00906225">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tcPr>
          <w:p w14:paraId="28A422D5" w14:textId="728DAC02" w:rsidR="00906225" w:rsidRPr="00E85F55" w:rsidRDefault="008D4587" w:rsidP="00906225">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shd w:val="clear" w:color="auto" w:fill="auto"/>
          </w:tcPr>
          <w:p w14:paraId="3BD91315" w14:textId="7B018A68" w:rsidR="00906225" w:rsidRPr="00E85F55" w:rsidRDefault="008D4587" w:rsidP="00906225">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tcPr>
          <w:p w14:paraId="11BDCDF8" w14:textId="0EFD8D81" w:rsidR="00906225" w:rsidRPr="00E85F55" w:rsidRDefault="008D4587" w:rsidP="00906225">
            <w:pPr>
              <w:pStyle w:val="TableText0"/>
              <w:keepLines/>
              <w:jc w:val="right"/>
              <w:rPr>
                <w:color w:val="000000"/>
                <w:highlight w:val="darkGray"/>
              </w:rPr>
            </w:pPr>
            <w:r w:rsidRPr="008D4587">
              <w:rPr>
                <w:color w:val="000000"/>
                <w:shd w:val="solid" w:color="000000" w:fill="000000"/>
                <w14:textFill>
                  <w14:solidFill>
                    <w14:srgbClr w14:val="000000">
                      <w14:alpha w14:val="100000"/>
                    </w14:srgbClr>
                  </w14:solidFill>
                </w14:textFill>
              </w:rPr>
              <w:t>|</w:t>
            </w:r>
            <w:r w:rsidR="009F029A">
              <w:rPr>
                <w:color w:val="000000"/>
                <w:vertAlign w:val="superscript"/>
              </w:rPr>
              <w:t>2</w:t>
            </w:r>
          </w:p>
        </w:tc>
      </w:tr>
      <w:tr w:rsidR="000C1AFF" w:rsidRPr="00197F03" w14:paraId="3CD835A0" w14:textId="77777777" w:rsidTr="000C1AFF">
        <w:trPr>
          <w:cantSplit/>
          <w:jc w:val="center"/>
        </w:trPr>
        <w:tc>
          <w:tcPr>
            <w:tcW w:w="5000" w:type="pct"/>
            <w:gridSpan w:val="7"/>
            <w:shd w:val="clear" w:color="auto" w:fill="auto"/>
            <w:vAlign w:val="center"/>
          </w:tcPr>
          <w:p w14:paraId="0717F32A" w14:textId="599CB1D7" w:rsidR="000C1AFF" w:rsidRPr="000C1AFF" w:rsidRDefault="000C1AFF" w:rsidP="00222680">
            <w:pPr>
              <w:pStyle w:val="TableText0"/>
              <w:keepLines/>
              <w:rPr>
                <w:b/>
                <w:bCs w:val="0"/>
                <w:color w:val="000000"/>
              </w:rPr>
            </w:pPr>
            <w:r w:rsidRPr="000C1AFF">
              <w:rPr>
                <w:b/>
                <w:bCs w:val="0"/>
                <w:color w:val="000000"/>
              </w:rPr>
              <w:t>Net financial implications</w:t>
            </w:r>
          </w:p>
        </w:tc>
      </w:tr>
      <w:tr w:rsidR="00906225" w:rsidRPr="00197F03" w14:paraId="6DC7AAF7" w14:textId="77777777" w:rsidTr="005A2D20">
        <w:trPr>
          <w:cantSplit/>
          <w:jc w:val="center"/>
        </w:trPr>
        <w:tc>
          <w:tcPr>
            <w:tcW w:w="1118" w:type="pct"/>
            <w:shd w:val="clear" w:color="auto" w:fill="auto"/>
            <w:vAlign w:val="center"/>
          </w:tcPr>
          <w:p w14:paraId="41FA959D" w14:textId="499E8A24" w:rsidR="00906225" w:rsidRPr="00167C39" w:rsidRDefault="00906225" w:rsidP="00906225">
            <w:pPr>
              <w:pStyle w:val="TableText0"/>
              <w:keepLines/>
            </w:pPr>
            <w:r>
              <w:t>Net cost to PBS/RPBS</w:t>
            </w:r>
            <w:r w:rsidR="00E85F55">
              <w:t xml:space="preserve"> </w:t>
            </w:r>
            <w:r w:rsidR="00E85F55">
              <w:rPr>
                <w:rFonts w:cstheme="minorHAnsi"/>
                <w:bCs w:val="0"/>
                <w:szCs w:val="20"/>
              </w:rPr>
              <w:t>($)</w:t>
            </w:r>
          </w:p>
        </w:tc>
        <w:tc>
          <w:tcPr>
            <w:tcW w:w="647" w:type="pct"/>
            <w:shd w:val="clear" w:color="auto" w:fill="auto"/>
            <w:vAlign w:val="center"/>
          </w:tcPr>
          <w:p w14:paraId="454A7C1B" w14:textId="3405B5B4" w:rsidR="00906225" w:rsidRPr="00E85F55" w:rsidRDefault="008D4587" w:rsidP="00906225">
            <w:pPr>
              <w:pStyle w:val="TableText0"/>
              <w:keepLines/>
              <w:jc w:val="right"/>
              <w:rPr>
                <w:color w:val="000000"/>
                <w:highlight w:val="darkGray"/>
              </w:rPr>
            </w:pPr>
            <w:r w:rsidRPr="008D4587">
              <w:rPr>
                <w:rFonts w:cs="Arial"/>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5587EA01" w14:textId="218011CA" w:rsidR="00906225" w:rsidRPr="00E85F55" w:rsidRDefault="008D4587" w:rsidP="00906225">
            <w:pPr>
              <w:pStyle w:val="TableText0"/>
              <w:keepLines/>
              <w:jc w:val="right"/>
              <w:rPr>
                <w:color w:val="000000"/>
                <w:highlight w:val="darkGray"/>
              </w:rPr>
            </w:pPr>
            <w:r w:rsidRPr="008D4587">
              <w:rPr>
                <w:rFonts w:cs="Arial"/>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5A290C2B" w14:textId="3F1F9773" w:rsidR="00906225" w:rsidRPr="00E85F55" w:rsidRDefault="008D4587" w:rsidP="00906225">
            <w:pPr>
              <w:pStyle w:val="TableText0"/>
              <w:keepLines/>
              <w:jc w:val="right"/>
              <w:rPr>
                <w:color w:val="000000"/>
                <w:highlight w:val="darkGray"/>
              </w:rPr>
            </w:pPr>
            <w:r w:rsidRPr="008D4587">
              <w:rPr>
                <w:rFonts w:cs="Arial"/>
                <w:color w:val="000000"/>
                <w:szCs w:val="20"/>
                <w:shd w:val="solid" w:color="000000" w:fill="000000"/>
                <w14:textFill>
                  <w14:solidFill>
                    <w14:srgbClr w14:val="000000">
                      <w14:alpha w14:val="100000"/>
                    </w14:srgbClr>
                  </w14:solidFill>
                </w14:textFill>
              </w:rPr>
              <w:t>|</w:t>
            </w:r>
            <w:r w:rsidR="00E85F55">
              <w:rPr>
                <w:color w:val="000000"/>
                <w:vertAlign w:val="superscript"/>
              </w:rPr>
              <w:t>2</w:t>
            </w:r>
          </w:p>
        </w:tc>
        <w:tc>
          <w:tcPr>
            <w:tcW w:w="647" w:type="pct"/>
            <w:shd w:val="clear" w:color="auto" w:fill="auto"/>
            <w:vAlign w:val="center"/>
          </w:tcPr>
          <w:p w14:paraId="73C4A55C" w14:textId="3C4E90AE" w:rsidR="00906225" w:rsidRPr="00E85F55" w:rsidRDefault="008D4587" w:rsidP="00906225">
            <w:pPr>
              <w:pStyle w:val="TableText0"/>
              <w:keepLines/>
              <w:jc w:val="right"/>
              <w:rPr>
                <w:color w:val="000000"/>
                <w:highlight w:val="darkGray"/>
              </w:rPr>
            </w:pPr>
            <w:r w:rsidRPr="008D4587">
              <w:rPr>
                <w:rFonts w:cs="Arial"/>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shd w:val="clear" w:color="auto" w:fill="auto"/>
            <w:vAlign w:val="center"/>
          </w:tcPr>
          <w:p w14:paraId="5A08AF29" w14:textId="29F12985" w:rsidR="00906225" w:rsidRPr="00E85F55" w:rsidRDefault="008D4587" w:rsidP="00906225">
            <w:pPr>
              <w:pStyle w:val="TableText0"/>
              <w:keepLines/>
              <w:jc w:val="right"/>
              <w:rPr>
                <w:color w:val="000000"/>
                <w:highlight w:val="darkGray"/>
              </w:rPr>
            </w:pPr>
            <w:r w:rsidRPr="008D4587">
              <w:rPr>
                <w:rFonts w:cs="Arial"/>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c>
          <w:tcPr>
            <w:tcW w:w="647" w:type="pct"/>
            <w:vAlign w:val="center"/>
          </w:tcPr>
          <w:p w14:paraId="1A3491BC" w14:textId="3B292FB6" w:rsidR="00906225" w:rsidRPr="00E85F55" w:rsidRDefault="008D4587" w:rsidP="00906225">
            <w:pPr>
              <w:pStyle w:val="TableText0"/>
              <w:keepLines/>
              <w:jc w:val="right"/>
              <w:rPr>
                <w:color w:val="000000"/>
                <w:highlight w:val="darkGray"/>
              </w:rPr>
            </w:pPr>
            <w:r w:rsidRPr="008D4587">
              <w:rPr>
                <w:rFonts w:cs="Arial"/>
                <w:color w:val="000000"/>
                <w:szCs w:val="20"/>
                <w:shd w:val="solid" w:color="000000" w:fill="000000"/>
                <w14:textFill>
                  <w14:solidFill>
                    <w14:srgbClr w14:val="000000">
                      <w14:alpha w14:val="100000"/>
                    </w14:srgbClr>
                  </w14:solidFill>
                </w14:textFill>
              </w:rPr>
              <w:t>|</w:t>
            </w:r>
            <w:r w:rsidR="009F029A">
              <w:rPr>
                <w:color w:val="000000"/>
                <w:vertAlign w:val="superscript"/>
              </w:rPr>
              <w:t>2</w:t>
            </w:r>
          </w:p>
        </w:tc>
      </w:tr>
    </w:tbl>
    <w:p w14:paraId="73D968FF" w14:textId="47EED7BA" w:rsidR="00D11F22" w:rsidRPr="00D11F22" w:rsidRDefault="00D11F22" w:rsidP="00D11F22">
      <w:pPr>
        <w:pStyle w:val="TableFigureFooter"/>
        <w:keepNext/>
      </w:pPr>
      <w:r w:rsidRPr="00167C39">
        <w:t xml:space="preserve">Source: </w:t>
      </w:r>
      <w:r w:rsidRPr="00084DCD">
        <w:t>Attachment 4 – UCM of the Submission</w:t>
      </w:r>
      <w:r w:rsidR="00EF4356">
        <w:t xml:space="preserve">, </w:t>
      </w:r>
      <w:r w:rsidR="00EF4356" w:rsidRPr="00EF4356">
        <w:rPr>
          <w:szCs w:val="18"/>
        </w:rPr>
        <w:t>Submission main body, Table 2, p.3</w:t>
      </w:r>
    </w:p>
    <w:p w14:paraId="0C566A53" w14:textId="5D0DC207" w:rsidR="000F7C27" w:rsidRDefault="00D70349" w:rsidP="00D70349">
      <w:pPr>
        <w:pStyle w:val="TableFigureFooter"/>
        <w:keepNext/>
        <w:jc w:val="left"/>
      </w:pPr>
      <w:r w:rsidRPr="00167C39">
        <w:rPr>
          <w:vertAlign w:val="superscript"/>
        </w:rPr>
        <w:t>a</w:t>
      </w:r>
      <w:r w:rsidRPr="00167C39">
        <w:t xml:space="preserve"> </w:t>
      </w:r>
      <w:r w:rsidRPr="00084DCD">
        <w:t xml:space="preserve">Assuming </w:t>
      </w:r>
      <w:r w:rsidR="00084DCD" w:rsidRPr="00084DCD">
        <w:t>4.32</w:t>
      </w:r>
      <w:r w:rsidR="003C3CD2">
        <w:t xml:space="preserve"> prescriptions</w:t>
      </w:r>
      <w:r w:rsidRPr="00084DCD">
        <w:t xml:space="preserve"> per </w:t>
      </w:r>
      <w:r w:rsidRPr="00167C39">
        <w:t>patient per year as estimated by the submission.</w:t>
      </w:r>
      <w:r w:rsidR="00AB4684" w:rsidRPr="00AB4684">
        <w:t xml:space="preserve"> </w:t>
      </w:r>
    </w:p>
    <w:p w14:paraId="42320224" w14:textId="7424B744" w:rsidR="00D70349" w:rsidRDefault="00AB4684" w:rsidP="00E85F55">
      <w:pPr>
        <w:pStyle w:val="TableFigureFooter"/>
        <w:keepNext/>
        <w:spacing w:after="0"/>
        <w:jc w:val="left"/>
        <w:rPr>
          <w:szCs w:val="18"/>
        </w:rPr>
      </w:pPr>
      <w:r w:rsidRPr="00AB4684">
        <w:t xml:space="preserve">Abbreviations: </w:t>
      </w:r>
      <w:r w:rsidR="00EF4356">
        <w:t xml:space="preserve">AEMP = approved ex-manufacturer price; </w:t>
      </w:r>
      <w:r w:rsidRPr="00AB4684">
        <w:t>PBS = Pharmaceutical Benefits Scheme; RPBS = Repatriation Pharmaceutical Benefits Scheme</w:t>
      </w:r>
      <w:r w:rsidR="00EF4356">
        <w:t xml:space="preserve">; </w:t>
      </w:r>
      <w:r w:rsidR="00EF4356" w:rsidRPr="00EF4356">
        <w:rPr>
          <w:szCs w:val="18"/>
        </w:rPr>
        <w:t>SPA = special pricing arrangement</w:t>
      </w:r>
    </w:p>
    <w:p w14:paraId="7BE212D5" w14:textId="77777777" w:rsidR="00E85F55" w:rsidRDefault="00E85F55" w:rsidP="00E85F55">
      <w:pPr>
        <w:rPr>
          <w:rFonts w:ascii="Arial Narrow" w:hAnsi="Arial Narrow" w:cs="Arial"/>
          <w:i/>
          <w:sz w:val="18"/>
          <w:szCs w:val="18"/>
        </w:rPr>
      </w:pPr>
      <w:r>
        <w:rPr>
          <w:rFonts w:ascii="Arial Narrow" w:hAnsi="Arial Narrow" w:cs="Arial"/>
          <w:i/>
          <w:sz w:val="18"/>
          <w:szCs w:val="18"/>
        </w:rPr>
        <w:t xml:space="preserve">The redacted values correspond to the following ranges: </w:t>
      </w:r>
    </w:p>
    <w:p w14:paraId="2AF96506" w14:textId="216D2C80" w:rsidR="00E85F55" w:rsidRDefault="00E85F55" w:rsidP="00E85F55">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009F029A" w:rsidRPr="009F029A">
        <w:rPr>
          <w:rFonts w:ascii="Arial Narrow" w:hAnsi="Arial Narrow" w:cs="Arial"/>
          <w:i/>
          <w:sz w:val="18"/>
          <w:szCs w:val="18"/>
        </w:rPr>
        <w:t>&lt; 500</w:t>
      </w:r>
    </w:p>
    <w:p w14:paraId="3CA56388" w14:textId="61CFA032" w:rsidR="00E85F55" w:rsidRDefault="00E85F55" w:rsidP="009F029A">
      <w:pPr>
        <w:spacing w:after="120"/>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w:t>
      </w:r>
      <w:r w:rsidR="009F029A" w:rsidRPr="009F029A">
        <w:rPr>
          <w:rFonts w:ascii="Arial Narrow" w:hAnsi="Arial Narrow" w:cs="Arial"/>
          <w:i/>
          <w:sz w:val="18"/>
          <w:szCs w:val="18"/>
        </w:rPr>
        <w:t>$0 to &lt; $10 million</w:t>
      </w:r>
    </w:p>
    <w:p w14:paraId="66804007" w14:textId="79E7296E" w:rsidR="00087E87" w:rsidRDefault="00087E87" w:rsidP="008E3089">
      <w:pPr>
        <w:pStyle w:val="3Bodytext"/>
        <w:jc w:val="both"/>
        <w:rPr>
          <w:rFonts w:cstheme="minorHAnsi"/>
          <w:szCs w:val="24"/>
        </w:rPr>
      </w:pPr>
      <w:r w:rsidRPr="00A3107E">
        <w:rPr>
          <w:rFonts w:cstheme="minorHAnsi"/>
          <w:szCs w:val="24"/>
        </w:rPr>
        <w:t xml:space="preserve">As a Category 3 submission, the financial estimates </w:t>
      </w:r>
      <w:r w:rsidR="004F41EC">
        <w:rPr>
          <w:rFonts w:cstheme="minorHAnsi"/>
          <w:szCs w:val="24"/>
        </w:rPr>
        <w:t>were</w:t>
      </w:r>
      <w:r w:rsidR="004F41EC" w:rsidRPr="00A3107E">
        <w:rPr>
          <w:rFonts w:cstheme="minorHAnsi"/>
          <w:szCs w:val="24"/>
        </w:rPr>
        <w:t xml:space="preserve"> </w:t>
      </w:r>
      <w:r w:rsidR="00CF02F0" w:rsidRPr="00A3107E">
        <w:rPr>
          <w:rFonts w:cstheme="minorHAnsi"/>
          <w:szCs w:val="24"/>
        </w:rPr>
        <w:t>not</w:t>
      </w:r>
      <w:r w:rsidR="003F41D3" w:rsidRPr="00A3107E">
        <w:rPr>
          <w:rFonts w:cstheme="minorHAnsi"/>
          <w:szCs w:val="24"/>
        </w:rPr>
        <w:t xml:space="preserve"> </w:t>
      </w:r>
      <w:r w:rsidRPr="00A3107E">
        <w:rPr>
          <w:rFonts w:cstheme="minorHAnsi"/>
          <w:szCs w:val="24"/>
        </w:rPr>
        <w:t>independently evaluated.</w:t>
      </w:r>
      <w:r w:rsidRPr="00D25130">
        <w:rPr>
          <w:rFonts w:cstheme="minorHAnsi"/>
          <w:szCs w:val="24"/>
        </w:rPr>
        <w:t xml:space="preserve"> </w:t>
      </w:r>
    </w:p>
    <w:p w14:paraId="541F33A2" w14:textId="78157717" w:rsidR="002A27BA" w:rsidRPr="00A3107E" w:rsidRDefault="002A27BA" w:rsidP="00A3107E">
      <w:pPr>
        <w:pStyle w:val="3Bodytext"/>
        <w:numPr>
          <w:ilvl w:val="0"/>
          <w:numId w:val="0"/>
        </w:numPr>
        <w:ind w:left="720"/>
        <w:rPr>
          <w:rFonts w:cstheme="minorHAnsi"/>
          <w:i/>
          <w:iCs/>
          <w:szCs w:val="24"/>
        </w:rPr>
      </w:pPr>
      <w:r w:rsidRPr="00A3107E">
        <w:rPr>
          <w:rFonts w:cstheme="minorHAnsi"/>
          <w:i/>
          <w:iCs/>
          <w:szCs w:val="24"/>
        </w:rPr>
        <w:t>For more detail on PBAC’s view, see section 5 PBAC outcome.</w:t>
      </w:r>
    </w:p>
    <w:p w14:paraId="6028EA72" w14:textId="77777777" w:rsidR="00E143A4" w:rsidRPr="0090150D" w:rsidRDefault="00E143A4" w:rsidP="00A3107E">
      <w:pPr>
        <w:pStyle w:val="2-SectionHeading"/>
      </w:pPr>
      <w:bookmarkStart w:id="9" w:name="_Hlk76381249"/>
      <w:r w:rsidRPr="0090150D">
        <w:t>PBAC Outcome</w:t>
      </w:r>
    </w:p>
    <w:p w14:paraId="2F6831D5" w14:textId="0761B87E" w:rsidR="00FC6A82" w:rsidRDefault="00FC6A82" w:rsidP="008E308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did not recommend adding a </w:t>
      </w:r>
      <w:r w:rsidR="00353443">
        <w:rPr>
          <w:rFonts w:asciiTheme="minorHAnsi" w:hAnsiTheme="minorHAnsi" w:cs="Arial"/>
          <w:snapToGrid w:val="0"/>
          <w:lang w:val="en-GB"/>
        </w:rPr>
        <w:t xml:space="preserve">new </w:t>
      </w:r>
      <w:r>
        <w:rPr>
          <w:rFonts w:asciiTheme="minorHAnsi" w:hAnsiTheme="minorHAnsi" w:cs="Arial"/>
          <w:snapToGrid w:val="0"/>
          <w:lang w:val="en-GB"/>
        </w:rPr>
        <w:t>grandfathering restriction to the existing PBS</w:t>
      </w:r>
      <w:r w:rsidR="002825C0">
        <w:rPr>
          <w:rFonts w:asciiTheme="minorHAnsi" w:hAnsiTheme="minorHAnsi" w:cs="Arial"/>
          <w:snapToGrid w:val="0"/>
          <w:lang w:val="en-GB"/>
        </w:rPr>
        <w:t>-</w:t>
      </w:r>
      <w:r>
        <w:rPr>
          <w:rFonts w:asciiTheme="minorHAnsi" w:hAnsiTheme="minorHAnsi" w:cs="Arial"/>
          <w:snapToGrid w:val="0"/>
          <w:lang w:val="en-GB"/>
        </w:rPr>
        <w:t>listing for tildrakizumab injection 100 mg in 1 mL single dose pre-filled syringe (Ilumya) for the treatment of severe CPP for patients enrolled in two new clinical trials.</w:t>
      </w:r>
    </w:p>
    <w:p w14:paraId="4D844495" w14:textId="4065B763" w:rsidR="00FC6A82" w:rsidRDefault="001B2DB2" w:rsidP="008E308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that the clinical trials presented in both this submission and the July</w:t>
      </w:r>
      <w:r w:rsidR="002825C0">
        <w:rPr>
          <w:rFonts w:asciiTheme="minorHAnsi" w:hAnsiTheme="minorHAnsi" w:cs="Arial"/>
          <w:snapToGrid w:val="0"/>
          <w:lang w:val="en-GB"/>
        </w:rPr>
        <w:t> </w:t>
      </w:r>
      <w:r>
        <w:rPr>
          <w:rFonts w:asciiTheme="minorHAnsi" w:hAnsiTheme="minorHAnsi" w:cs="Arial"/>
          <w:snapToGrid w:val="0"/>
          <w:lang w:val="en-GB"/>
        </w:rPr>
        <w:t>2018 submission had an inclusion criterion of PASI score &gt;12, however the current PBS clinical criteria for</w:t>
      </w:r>
      <w:r w:rsidR="0073488F">
        <w:rPr>
          <w:rFonts w:asciiTheme="minorHAnsi" w:hAnsiTheme="minorHAnsi" w:cs="Arial"/>
          <w:snapToGrid w:val="0"/>
          <w:lang w:val="en-GB"/>
        </w:rPr>
        <w:t xml:space="preserve"> initial treatment with</w:t>
      </w:r>
      <w:r>
        <w:rPr>
          <w:rFonts w:asciiTheme="minorHAnsi" w:hAnsiTheme="minorHAnsi" w:cs="Arial"/>
          <w:snapToGrid w:val="0"/>
          <w:lang w:val="en-GB"/>
        </w:rPr>
        <w:t xml:space="preserve"> tildrakizumab states that the condition must have a PASI score &gt;15. The PBAC therefore </w:t>
      </w:r>
      <w:r w:rsidR="00352E16">
        <w:rPr>
          <w:rFonts w:asciiTheme="minorHAnsi" w:hAnsiTheme="minorHAnsi" w:cs="Arial"/>
          <w:snapToGrid w:val="0"/>
          <w:lang w:val="en-GB"/>
        </w:rPr>
        <w:t xml:space="preserve">considered that it was uncertain whether the patients in the clinical trials </w:t>
      </w:r>
      <w:r w:rsidR="0073488F">
        <w:rPr>
          <w:rFonts w:asciiTheme="minorHAnsi" w:hAnsiTheme="minorHAnsi" w:cs="Arial"/>
          <w:snapToGrid w:val="0"/>
          <w:lang w:val="en-GB"/>
        </w:rPr>
        <w:t>would have been eligible for treatment with tildrakizumab through the PBS prior to starting the trials.</w:t>
      </w:r>
    </w:p>
    <w:p w14:paraId="6CFDE7B4" w14:textId="3EC3F770" w:rsidR="0073488F" w:rsidRDefault="0073488F" w:rsidP="008E308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sponsor had previously agreed to the removal of the </w:t>
      </w:r>
      <w:r w:rsidR="002825C0">
        <w:rPr>
          <w:rFonts w:asciiTheme="minorHAnsi" w:hAnsiTheme="minorHAnsi" w:cs="Arial"/>
          <w:snapToGrid w:val="0"/>
          <w:lang w:val="en-GB"/>
        </w:rPr>
        <w:t xml:space="preserve">original </w:t>
      </w:r>
      <w:r>
        <w:rPr>
          <w:rFonts w:asciiTheme="minorHAnsi" w:hAnsiTheme="minorHAnsi" w:cs="Arial"/>
          <w:snapToGrid w:val="0"/>
          <w:lang w:val="en-GB"/>
        </w:rPr>
        <w:t>grandfathering restrictions</w:t>
      </w:r>
      <w:r w:rsidR="002E2FF1">
        <w:rPr>
          <w:rFonts w:asciiTheme="minorHAnsi" w:hAnsiTheme="minorHAnsi" w:cs="Arial"/>
          <w:snapToGrid w:val="0"/>
          <w:lang w:val="en-GB"/>
        </w:rPr>
        <w:t xml:space="preserve">, and </w:t>
      </w:r>
      <w:r>
        <w:rPr>
          <w:rFonts w:asciiTheme="minorHAnsi" w:hAnsiTheme="minorHAnsi" w:cs="Arial"/>
          <w:snapToGrid w:val="0"/>
          <w:lang w:val="en-GB"/>
        </w:rPr>
        <w:t>that the intent of</w:t>
      </w:r>
      <w:r w:rsidR="00E62B9C">
        <w:rPr>
          <w:rFonts w:asciiTheme="minorHAnsi" w:hAnsiTheme="minorHAnsi" w:cs="Arial"/>
          <w:snapToGrid w:val="0"/>
          <w:lang w:val="en-GB"/>
        </w:rPr>
        <w:t xml:space="preserve"> a</w:t>
      </w:r>
      <w:r>
        <w:rPr>
          <w:rFonts w:asciiTheme="minorHAnsi" w:hAnsiTheme="minorHAnsi" w:cs="Arial"/>
          <w:snapToGrid w:val="0"/>
          <w:lang w:val="en-GB"/>
        </w:rPr>
        <w:t xml:space="preserve"> grandfathering restriction </w:t>
      </w:r>
      <w:r w:rsidR="00735EB6">
        <w:rPr>
          <w:rFonts w:asciiTheme="minorHAnsi" w:hAnsiTheme="minorHAnsi" w:cs="Arial"/>
          <w:snapToGrid w:val="0"/>
          <w:lang w:val="en-GB"/>
        </w:rPr>
        <w:t>is</w:t>
      </w:r>
      <w:r>
        <w:rPr>
          <w:rFonts w:asciiTheme="minorHAnsi" w:hAnsiTheme="minorHAnsi" w:cs="Arial"/>
          <w:snapToGrid w:val="0"/>
          <w:lang w:val="en-GB"/>
        </w:rPr>
        <w:t xml:space="preserve"> to </w:t>
      </w:r>
      <w:r w:rsidR="00E62B9C">
        <w:rPr>
          <w:rFonts w:asciiTheme="minorHAnsi" w:hAnsiTheme="minorHAnsi" w:cs="Arial"/>
          <w:snapToGrid w:val="0"/>
          <w:lang w:val="en-GB"/>
        </w:rPr>
        <w:t>allow</w:t>
      </w:r>
      <w:r>
        <w:rPr>
          <w:rFonts w:asciiTheme="minorHAnsi" w:hAnsiTheme="minorHAnsi" w:cs="Arial"/>
          <w:snapToGrid w:val="0"/>
          <w:lang w:val="en-GB"/>
        </w:rPr>
        <w:t xml:space="preserve"> access to subsidised </w:t>
      </w:r>
      <w:r w:rsidR="00735EB6">
        <w:rPr>
          <w:rFonts w:asciiTheme="minorHAnsi" w:hAnsiTheme="minorHAnsi" w:cs="Arial"/>
          <w:snapToGrid w:val="0"/>
          <w:lang w:val="en-GB"/>
        </w:rPr>
        <w:t>treatment</w:t>
      </w:r>
      <w:r>
        <w:rPr>
          <w:rFonts w:asciiTheme="minorHAnsi" w:hAnsiTheme="minorHAnsi" w:cs="Arial"/>
          <w:snapToGrid w:val="0"/>
          <w:lang w:val="en-GB"/>
        </w:rPr>
        <w:t xml:space="preserve"> for</w:t>
      </w:r>
      <w:r w:rsidR="00735EB6">
        <w:rPr>
          <w:rFonts w:asciiTheme="minorHAnsi" w:hAnsiTheme="minorHAnsi" w:cs="Arial"/>
          <w:snapToGrid w:val="0"/>
          <w:lang w:val="en-GB"/>
        </w:rPr>
        <w:t xml:space="preserve"> eligible</w:t>
      </w:r>
      <w:r>
        <w:rPr>
          <w:rFonts w:asciiTheme="minorHAnsi" w:hAnsiTheme="minorHAnsi" w:cs="Arial"/>
          <w:snapToGrid w:val="0"/>
          <w:lang w:val="en-GB"/>
        </w:rPr>
        <w:t xml:space="preserve"> patients </w:t>
      </w:r>
      <w:r w:rsidR="00735EB6">
        <w:rPr>
          <w:rFonts w:asciiTheme="minorHAnsi" w:hAnsiTheme="minorHAnsi" w:cs="Arial"/>
          <w:snapToGrid w:val="0"/>
          <w:lang w:val="en-GB"/>
        </w:rPr>
        <w:t>who start</w:t>
      </w:r>
      <w:r>
        <w:rPr>
          <w:rFonts w:asciiTheme="minorHAnsi" w:hAnsiTheme="minorHAnsi" w:cs="Arial"/>
          <w:snapToGrid w:val="0"/>
          <w:lang w:val="en-GB"/>
        </w:rPr>
        <w:t xml:space="preserve"> t</w:t>
      </w:r>
      <w:r w:rsidR="00735EB6">
        <w:rPr>
          <w:rFonts w:asciiTheme="minorHAnsi" w:hAnsiTheme="minorHAnsi" w:cs="Arial"/>
          <w:snapToGrid w:val="0"/>
          <w:lang w:val="en-GB"/>
        </w:rPr>
        <w:t>herapy before the requested PBS listing is implemented</w:t>
      </w:r>
      <w:r>
        <w:rPr>
          <w:rFonts w:asciiTheme="minorHAnsi" w:hAnsiTheme="minorHAnsi" w:cs="Arial"/>
          <w:snapToGrid w:val="0"/>
          <w:lang w:val="en-GB"/>
        </w:rPr>
        <w:t xml:space="preserve">. </w:t>
      </w:r>
      <w:r w:rsidR="002E2FF1">
        <w:rPr>
          <w:rFonts w:asciiTheme="minorHAnsi" w:hAnsiTheme="minorHAnsi" w:cs="Arial"/>
          <w:snapToGrid w:val="0"/>
          <w:lang w:val="en-GB"/>
        </w:rPr>
        <w:t>The PBAC considered that p</w:t>
      </w:r>
      <w:r>
        <w:rPr>
          <w:rFonts w:asciiTheme="minorHAnsi" w:hAnsiTheme="minorHAnsi" w:cs="Arial"/>
          <w:snapToGrid w:val="0"/>
          <w:lang w:val="en-GB"/>
        </w:rPr>
        <w:t xml:space="preserve">atients who </w:t>
      </w:r>
      <w:r w:rsidR="00735EB6">
        <w:rPr>
          <w:rFonts w:asciiTheme="minorHAnsi" w:hAnsiTheme="minorHAnsi" w:cs="Arial"/>
          <w:snapToGrid w:val="0"/>
          <w:lang w:val="en-GB"/>
        </w:rPr>
        <w:t>start</w:t>
      </w:r>
      <w:r>
        <w:rPr>
          <w:rFonts w:asciiTheme="minorHAnsi" w:hAnsiTheme="minorHAnsi" w:cs="Arial"/>
          <w:snapToGrid w:val="0"/>
          <w:lang w:val="en-GB"/>
        </w:rPr>
        <w:t xml:space="preserve"> t</w:t>
      </w:r>
      <w:r w:rsidR="00735EB6">
        <w:rPr>
          <w:rFonts w:asciiTheme="minorHAnsi" w:hAnsiTheme="minorHAnsi" w:cs="Arial"/>
          <w:snapToGrid w:val="0"/>
          <w:lang w:val="en-GB"/>
        </w:rPr>
        <w:t>herapy</w:t>
      </w:r>
      <w:r>
        <w:rPr>
          <w:rFonts w:asciiTheme="minorHAnsi" w:hAnsiTheme="minorHAnsi" w:cs="Arial"/>
          <w:snapToGrid w:val="0"/>
          <w:lang w:val="en-GB"/>
        </w:rPr>
        <w:t xml:space="preserve"> </w:t>
      </w:r>
      <w:r w:rsidR="00735EB6">
        <w:rPr>
          <w:rFonts w:asciiTheme="minorHAnsi" w:hAnsiTheme="minorHAnsi" w:cs="Arial"/>
          <w:snapToGrid w:val="0"/>
          <w:lang w:val="en-GB"/>
        </w:rPr>
        <w:t>as part of</w:t>
      </w:r>
      <w:r>
        <w:rPr>
          <w:rFonts w:asciiTheme="minorHAnsi" w:hAnsiTheme="minorHAnsi" w:cs="Arial"/>
          <w:snapToGrid w:val="0"/>
          <w:lang w:val="en-GB"/>
        </w:rPr>
        <w:t xml:space="preserve"> clinical trials that </w:t>
      </w:r>
      <w:r w:rsidR="00735EB6">
        <w:rPr>
          <w:rFonts w:asciiTheme="minorHAnsi" w:hAnsiTheme="minorHAnsi" w:cs="Arial"/>
          <w:snapToGrid w:val="0"/>
          <w:lang w:val="en-GB"/>
        </w:rPr>
        <w:t>commence</w:t>
      </w:r>
      <w:r>
        <w:rPr>
          <w:rFonts w:asciiTheme="minorHAnsi" w:hAnsiTheme="minorHAnsi" w:cs="Arial"/>
          <w:snapToGrid w:val="0"/>
          <w:lang w:val="en-GB"/>
        </w:rPr>
        <w:t xml:space="preserve"> after the medicine has been </w:t>
      </w:r>
      <w:r w:rsidR="00735EB6">
        <w:rPr>
          <w:rFonts w:asciiTheme="minorHAnsi" w:hAnsiTheme="minorHAnsi" w:cs="Arial"/>
          <w:snapToGrid w:val="0"/>
          <w:lang w:val="en-GB"/>
        </w:rPr>
        <w:t>PBS</w:t>
      </w:r>
      <w:r w:rsidR="000A77A0">
        <w:rPr>
          <w:rFonts w:asciiTheme="minorHAnsi" w:hAnsiTheme="minorHAnsi" w:cs="Arial"/>
          <w:snapToGrid w:val="0"/>
          <w:lang w:val="en-GB"/>
        </w:rPr>
        <w:t xml:space="preserve"> </w:t>
      </w:r>
      <w:r w:rsidR="00735EB6">
        <w:rPr>
          <w:rFonts w:asciiTheme="minorHAnsi" w:hAnsiTheme="minorHAnsi" w:cs="Arial"/>
          <w:snapToGrid w:val="0"/>
          <w:lang w:val="en-GB"/>
        </w:rPr>
        <w:t>listed</w:t>
      </w:r>
      <w:r>
        <w:rPr>
          <w:rFonts w:asciiTheme="minorHAnsi" w:hAnsiTheme="minorHAnsi" w:cs="Arial"/>
          <w:snapToGrid w:val="0"/>
          <w:lang w:val="en-GB"/>
        </w:rPr>
        <w:t xml:space="preserve"> </w:t>
      </w:r>
      <w:r w:rsidR="00B54699">
        <w:rPr>
          <w:rFonts w:asciiTheme="minorHAnsi" w:hAnsiTheme="minorHAnsi" w:cs="Arial"/>
          <w:snapToGrid w:val="0"/>
          <w:lang w:val="en-GB"/>
        </w:rPr>
        <w:t>are not</w:t>
      </w:r>
      <w:r w:rsidR="00735EB6">
        <w:rPr>
          <w:rFonts w:asciiTheme="minorHAnsi" w:hAnsiTheme="minorHAnsi" w:cs="Arial"/>
          <w:snapToGrid w:val="0"/>
          <w:lang w:val="en-GB"/>
        </w:rPr>
        <w:t xml:space="preserve"> ‘</w:t>
      </w:r>
      <w:r w:rsidR="00B54699">
        <w:rPr>
          <w:rFonts w:asciiTheme="minorHAnsi" w:hAnsiTheme="minorHAnsi" w:cs="Arial"/>
          <w:snapToGrid w:val="0"/>
          <w:lang w:val="en-GB"/>
        </w:rPr>
        <w:t>g</w:t>
      </w:r>
      <w:r w:rsidR="00735EB6">
        <w:rPr>
          <w:rFonts w:asciiTheme="minorHAnsi" w:hAnsiTheme="minorHAnsi" w:cs="Arial"/>
          <w:snapToGrid w:val="0"/>
          <w:lang w:val="en-GB"/>
        </w:rPr>
        <w:t>randfathered’ patient</w:t>
      </w:r>
      <w:r w:rsidR="002E2FF1">
        <w:rPr>
          <w:rFonts w:asciiTheme="minorHAnsi" w:hAnsiTheme="minorHAnsi" w:cs="Arial"/>
          <w:snapToGrid w:val="0"/>
          <w:lang w:val="en-GB"/>
        </w:rPr>
        <w:t>s</w:t>
      </w:r>
      <w:r w:rsidR="00735EB6">
        <w:rPr>
          <w:rFonts w:asciiTheme="minorHAnsi" w:hAnsiTheme="minorHAnsi" w:cs="Arial"/>
          <w:snapToGrid w:val="0"/>
          <w:lang w:val="en-GB"/>
        </w:rPr>
        <w:t>.</w:t>
      </w:r>
    </w:p>
    <w:p w14:paraId="0FCF16F4" w14:textId="4EE1A2BB" w:rsidR="00735EB6" w:rsidRDefault="00735EB6" w:rsidP="008E308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w:t>
      </w:r>
      <w:r w:rsidR="001B765A">
        <w:rPr>
          <w:rFonts w:asciiTheme="minorHAnsi" w:hAnsiTheme="minorHAnsi" w:cs="Arial"/>
          <w:snapToGrid w:val="0"/>
          <w:lang w:val="en-GB"/>
        </w:rPr>
        <w:t>recalled its previous</w:t>
      </w:r>
      <w:r>
        <w:rPr>
          <w:rFonts w:asciiTheme="minorHAnsi" w:hAnsiTheme="minorHAnsi" w:cs="Arial"/>
          <w:snapToGrid w:val="0"/>
          <w:lang w:val="en-GB"/>
        </w:rPr>
        <w:t xml:space="preserve"> recommendation to extend the grandfathered listing</w:t>
      </w:r>
      <w:r w:rsidR="00861C76">
        <w:rPr>
          <w:rFonts w:asciiTheme="minorHAnsi" w:hAnsiTheme="minorHAnsi" w:cs="Arial"/>
          <w:snapToGrid w:val="0"/>
          <w:lang w:val="en-GB"/>
        </w:rPr>
        <w:t xml:space="preserve"> beyond 12 months</w:t>
      </w:r>
      <w:r>
        <w:rPr>
          <w:rFonts w:asciiTheme="minorHAnsi" w:hAnsiTheme="minorHAnsi" w:cs="Arial"/>
          <w:snapToGrid w:val="0"/>
          <w:lang w:val="en-GB"/>
        </w:rPr>
        <w:t xml:space="preserve"> for risa</w:t>
      </w:r>
      <w:r w:rsidR="006C4C1B">
        <w:rPr>
          <w:rFonts w:asciiTheme="minorHAnsi" w:hAnsiTheme="minorHAnsi" w:cs="Arial"/>
          <w:snapToGrid w:val="0"/>
          <w:lang w:val="en-GB"/>
        </w:rPr>
        <w:t>n</w:t>
      </w:r>
      <w:r>
        <w:rPr>
          <w:rFonts w:asciiTheme="minorHAnsi" w:hAnsiTheme="minorHAnsi" w:cs="Arial"/>
          <w:snapToGrid w:val="0"/>
          <w:lang w:val="en-GB"/>
        </w:rPr>
        <w:t>kizumab</w:t>
      </w:r>
      <w:r w:rsidR="00861C76">
        <w:rPr>
          <w:rFonts w:asciiTheme="minorHAnsi" w:hAnsiTheme="minorHAnsi" w:cs="Arial"/>
          <w:snapToGrid w:val="0"/>
          <w:lang w:val="en-GB"/>
        </w:rPr>
        <w:t xml:space="preserve"> for severe CPP</w:t>
      </w:r>
      <w:r>
        <w:rPr>
          <w:rFonts w:asciiTheme="minorHAnsi" w:hAnsiTheme="minorHAnsi" w:cs="Arial"/>
          <w:snapToGrid w:val="0"/>
          <w:lang w:val="en-GB"/>
        </w:rPr>
        <w:t xml:space="preserve"> to allow patients to transition to PBS-subsidised treatment from a clinical trial that finished after the standard grandfathering period elapsed. </w:t>
      </w:r>
      <w:r w:rsidR="001B765A">
        <w:rPr>
          <w:rFonts w:asciiTheme="minorHAnsi" w:hAnsiTheme="minorHAnsi" w:cs="Arial"/>
          <w:snapToGrid w:val="0"/>
          <w:lang w:val="en-GB"/>
        </w:rPr>
        <w:t xml:space="preserve">However, the PBAC </w:t>
      </w:r>
      <w:r w:rsidR="001630C0">
        <w:rPr>
          <w:rFonts w:asciiTheme="minorHAnsi" w:hAnsiTheme="minorHAnsi" w:cs="Arial"/>
          <w:snapToGrid w:val="0"/>
          <w:lang w:val="en-GB"/>
        </w:rPr>
        <w:t>recalled</w:t>
      </w:r>
      <w:r w:rsidR="00A17442">
        <w:rPr>
          <w:rFonts w:asciiTheme="minorHAnsi" w:hAnsiTheme="minorHAnsi" w:cs="Arial"/>
          <w:snapToGrid w:val="0"/>
          <w:lang w:val="en-GB"/>
        </w:rPr>
        <w:t xml:space="preserve"> that the situation differed in</w:t>
      </w:r>
      <w:r w:rsidR="001B765A">
        <w:rPr>
          <w:rFonts w:asciiTheme="minorHAnsi" w:hAnsiTheme="minorHAnsi" w:cs="Arial"/>
          <w:snapToGrid w:val="0"/>
          <w:lang w:val="en-GB"/>
        </w:rPr>
        <w:t xml:space="preserve"> that</w:t>
      </w:r>
      <w:r w:rsidR="001630C0">
        <w:rPr>
          <w:rFonts w:asciiTheme="minorHAnsi" w:hAnsiTheme="minorHAnsi" w:cs="Arial"/>
          <w:snapToGrid w:val="0"/>
          <w:lang w:val="en-GB"/>
        </w:rPr>
        <w:t xml:space="preserve"> the </w:t>
      </w:r>
      <w:r w:rsidR="000A77A0">
        <w:rPr>
          <w:rFonts w:asciiTheme="minorHAnsi" w:hAnsiTheme="minorHAnsi" w:cs="Arial"/>
          <w:snapToGrid w:val="0"/>
          <w:lang w:val="en-GB"/>
        </w:rPr>
        <w:t>patients had been enrolled in the trial</w:t>
      </w:r>
      <w:r w:rsidR="001630C0">
        <w:rPr>
          <w:rFonts w:asciiTheme="minorHAnsi" w:hAnsiTheme="minorHAnsi" w:cs="Arial"/>
          <w:snapToGrid w:val="0"/>
          <w:lang w:val="en-GB"/>
        </w:rPr>
        <w:t xml:space="preserve"> at the time of </w:t>
      </w:r>
      <w:r w:rsidR="00922EA0">
        <w:rPr>
          <w:rFonts w:asciiTheme="minorHAnsi" w:hAnsiTheme="minorHAnsi" w:cs="Arial"/>
          <w:snapToGrid w:val="0"/>
          <w:lang w:val="en-GB"/>
        </w:rPr>
        <w:t>the original submission</w:t>
      </w:r>
      <w:r w:rsidR="001630C0">
        <w:rPr>
          <w:rFonts w:asciiTheme="minorHAnsi" w:hAnsiTheme="minorHAnsi" w:cs="Arial"/>
          <w:snapToGrid w:val="0"/>
          <w:lang w:val="en-GB"/>
        </w:rPr>
        <w:t xml:space="preserve"> and </w:t>
      </w:r>
      <w:r w:rsidR="000A77A0">
        <w:rPr>
          <w:rFonts w:asciiTheme="minorHAnsi" w:hAnsiTheme="minorHAnsi" w:cs="Arial"/>
          <w:snapToGrid w:val="0"/>
          <w:lang w:val="en-GB"/>
        </w:rPr>
        <w:t>were accounted for</w:t>
      </w:r>
      <w:r w:rsidR="001630C0">
        <w:rPr>
          <w:rFonts w:asciiTheme="minorHAnsi" w:hAnsiTheme="minorHAnsi" w:cs="Arial"/>
          <w:snapToGrid w:val="0"/>
          <w:lang w:val="en-GB"/>
        </w:rPr>
        <w:t xml:space="preserve"> </w:t>
      </w:r>
      <w:r w:rsidR="00BC5F28">
        <w:rPr>
          <w:rFonts w:asciiTheme="minorHAnsi" w:hAnsiTheme="minorHAnsi" w:cs="Arial"/>
          <w:snapToGrid w:val="0"/>
          <w:lang w:val="en-GB"/>
        </w:rPr>
        <w:t xml:space="preserve">when </w:t>
      </w:r>
      <w:r w:rsidR="000A77A0">
        <w:rPr>
          <w:rFonts w:asciiTheme="minorHAnsi" w:hAnsiTheme="minorHAnsi" w:cs="Arial"/>
          <w:snapToGrid w:val="0"/>
          <w:lang w:val="en-GB"/>
        </w:rPr>
        <w:t>the PBAC</w:t>
      </w:r>
      <w:r w:rsidR="00BC5F28">
        <w:rPr>
          <w:rFonts w:asciiTheme="minorHAnsi" w:hAnsiTheme="minorHAnsi" w:cs="Arial"/>
          <w:snapToGrid w:val="0"/>
          <w:lang w:val="en-GB"/>
        </w:rPr>
        <w:t xml:space="preserve"> made its recommendation for the listing</w:t>
      </w:r>
      <w:r w:rsidR="00243AE1">
        <w:rPr>
          <w:rFonts w:asciiTheme="minorHAnsi" w:hAnsiTheme="minorHAnsi" w:cs="Arial"/>
          <w:snapToGrid w:val="0"/>
          <w:lang w:val="en-GB"/>
        </w:rPr>
        <w:t xml:space="preserve"> (</w:t>
      </w:r>
      <w:r w:rsidR="00243AE1" w:rsidRPr="00731BFA">
        <w:t>paragrap</w:t>
      </w:r>
      <w:r w:rsidR="00243AE1">
        <w:t>hs</w:t>
      </w:r>
      <w:r w:rsidR="00243AE1" w:rsidRPr="00731BFA">
        <w:t xml:space="preserve"> 2.</w:t>
      </w:r>
      <w:r w:rsidR="00243AE1">
        <w:t>4 and 7.8</w:t>
      </w:r>
      <w:r w:rsidR="00243AE1" w:rsidRPr="00731BFA">
        <w:t xml:space="preserve">, </w:t>
      </w:r>
      <w:r w:rsidR="00243AE1">
        <w:t>risankizumab</w:t>
      </w:r>
      <w:r w:rsidR="00243AE1" w:rsidRPr="00731BFA">
        <w:t>, PSD, July 201</w:t>
      </w:r>
      <w:r w:rsidR="00243AE1">
        <w:t>9</w:t>
      </w:r>
      <w:r w:rsidR="00243AE1" w:rsidRPr="00731BFA">
        <w:t xml:space="preserve"> PBAC Meeting</w:t>
      </w:r>
      <w:r w:rsidR="00243AE1">
        <w:t>)</w:t>
      </w:r>
      <w:r w:rsidR="001630C0">
        <w:rPr>
          <w:rFonts w:asciiTheme="minorHAnsi" w:hAnsiTheme="minorHAnsi" w:cs="Arial"/>
          <w:snapToGrid w:val="0"/>
          <w:lang w:val="en-GB"/>
        </w:rPr>
        <w:t xml:space="preserve">. </w:t>
      </w:r>
    </w:p>
    <w:p w14:paraId="1333F8D4" w14:textId="0BF6B411" w:rsidR="005B5092" w:rsidRDefault="005B5092" w:rsidP="008E3089">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that this submission is eligible for an Independent Review.</w:t>
      </w:r>
    </w:p>
    <w:p w14:paraId="455622AC" w14:textId="77777777" w:rsidR="00E143A4" w:rsidRPr="00525B39" w:rsidRDefault="00E143A4" w:rsidP="008E308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8BBDDEA" w14:textId="63CCB09F" w:rsidR="00E143A4" w:rsidRPr="009D1592" w:rsidRDefault="00E143A4" w:rsidP="008E3089">
      <w:pPr>
        <w:rPr>
          <w:rFonts w:asciiTheme="minorHAnsi" w:hAnsiTheme="minorHAnsi" w:cs="Arial"/>
          <w:bCs/>
          <w:snapToGrid w:val="0"/>
          <w:lang w:val="en-GB"/>
        </w:rPr>
      </w:pPr>
      <w:r>
        <w:rPr>
          <w:rFonts w:asciiTheme="minorHAnsi" w:hAnsiTheme="minorHAnsi" w:cs="Arial"/>
          <w:bCs/>
          <w:snapToGrid w:val="0"/>
          <w:lang w:val="en-GB"/>
        </w:rPr>
        <w:t>Not recommended</w:t>
      </w:r>
    </w:p>
    <w:bookmarkEnd w:id="9"/>
    <w:p w14:paraId="04EFD4C7" w14:textId="6FB32C30" w:rsidR="009D1592" w:rsidRPr="009D1592" w:rsidRDefault="009D1592" w:rsidP="008E3089">
      <w:pPr>
        <w:pStyle w:val="2-SectionHeading"/>
        <w:jc w:val="both"/>
      </w:pPr>
      <w:r w:rsidRPr="009D1592">
        <w:t>Context for Decision</w:t>
      </w:r>
    </w:p>
    <w:p w14:paraId="7FC292E8" w14:textId="77777777" w:rsidR="009D1592" w:rsidRDefault="009D1592" w:rsidP="008E3089">
      <w:pPr>
        <w:spacing w:after="120"/>
        <w:ind w:left="720"/>
        <w:rPr>
          <w:rFonts w:asciiTheme="minorHAnsi" w:hAnsiTheme="minorHAnsi" w:cs="Arial"/>
          <w:bCs/>
          <w:lang w:val="en-GB"/>
        </w:rPr>
      </w:pPr>
      <w:r>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68ACC75" w14:textId="162D52C3" w:rsidR="009D1592" w:rsidRPr="009D1592" w:rsidRDefault="009D1592" w:rsidP="008E3089">
      <w:pPr>
        <w:pStyle w:val="2-SectionHeading"/>
        <w:jc w:val="both"/>
      </w:pPr>
      <w:r>
        <w:t>S</w:t>
      </w:r>
      <w:r w:rsidRPr="009D1592">
        <w:t>ponsor’s Comment</w:t>
      </w:r>
    </w:p>
    <w:p w14:paraId="5F060CBA" w14:textId="78B0A28A" w:rsidR="00E732C4" w:rsidRPr="008E3089" w:rsidRDefault="009D1592" w:rsidP="008E3089">
      <w:pPr>
        <w:spacing w:after="120"/>
        <w:ind w:left="426" w:firstLine="294"/>
        <w:rPr>
          <w:rFonts w:asciiTheme="minorHAnsi" w:hAnsiTheme="minorHAnsi" w:cs="Arial"/>
          <w:bCs/>
          <w:szCs w:val="22"/>
        </w:rPr>
      </w:pPr>
      <w:r>
        <w:rPr>
          <w:rFonts w:asciiTheme="minorHAnsi" w:hAnsiTheme="minorHAnsi" w:cs="Arial"/>
          <w:bCs/>
        </w:rPr>
        <w:t>The sponsor had no comment.</w:t>
      </w:r>
    </w:p>
    <w:sectPr w:rsidR="00E732C4" w:rsidRPr="008E308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F013" w14:textId="77777777" w:rsidR="000425A2" w:rsidRDefault="000425A2">
      <w:r>
        <w:separator/>
      </w:r>
    </w:p>
    <w:p w14:paraId="6433FD90" w14:textId="77777777" w:rsidR="000425A2" w:rsidRDefault="000425A2"/>
  </w:endnote>
  <w:endnote w:type="continuationSeparator" w:id="0">
    <w:p w14:paraId="6934CEC8" w14:textId="77777777" w:rsidR="000425A2" w:rsidRDefault="000425A2">
      <w:r>
        <w:continuationSeparator/>
      </w:r>
    </w:p>
    <w:p w14:paraId="29EDABCB" w14:textId="77777777" w:rsidR="000425A2" w:rsidRDefault="000425A2"/>
  </w:endnote>
  <w:endnote w:type="continuationNotice" w:id="1">
    <w:p w14:paraId="5CAECEC7" w14:textId="77777777" w:rsidR="000425A2" w:rsidRDefault="00042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dvPSJOAN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03917"/>
      <w:docPartObj>
        <w:docPartGallery w:val="Page Numbers (Bottom of Page)"/>
        <w:docPartUnique/>
      </w:docPartObj>
    </w:sdtPr>
    <w:sdtEndPr>
      <w:rPr>
        <w:b/>
        <w:bCs/>
        <w:noProof/>
      </w:rPr>
    </w:sdtEndPr>
    <w:sdtContent>
      <w:p w14:paraId="4C71DE34" w14:textId="77777777" w:rsidR="00D25130" w:rsidRDefault="00D25130">
        <w:pPr>
          <w:pStyle w:val="Footer"/>
          <w:jc w:val="center"/>
        </w:pPr>
      </w:p>
      <w:p w14:paraId="355827FE" w14:textId="66E1C0DE" w:rsidR="009C26AA" w:rsidRPr="00A3107E" w:rsidRDefault="00D25130" w:rsidP="00A3107E">
        <w:pPr>
          <w:pStyle w:val="Footer"/>
          <w:jc w:val="center"/>
          <w:rPr>
            <w:b/>
            <w:bCs/>
          </w:rPr>
        </w:pPr>
        <w:r w:rsidRPr="00A3107E">
          <w:rPr>
            <w:b/>
            <w:bCs/>
          </w:rPr>
          <w:fldChar w:fldCharType="begin"/>
        </w:r>
        <w:r w:rsidRPr="00A3107E">
          <w:rPr>
            <w:b/>
            <w:bCs/>
          </w:rPr>
          <w:instrText xml:space="preserve"> PAGE   \* MERGEFORMAT </w:instrText>
        </w:r>
        <w:r w:rsidRPr="00A3107E">
          <w:rPr>
            <w:b/>
            <w:bCs/>
          </w:rPr>
          <w:fldChar w:fldCharType="separate"/>
        </w:r>
        <w:r w:rsidRPr="00A3107E">
          <w:rPr>
            <w:b/>
            <w:bCs/>
            <w:noProof/>
          </w:rPr>
          <w:t>2</w:t>
        </w:r>
        <w:r w:rsidRPr="00A3107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A5B4" w14:textId="77777777" w:rsidR="000425A2" w:rsidRDefault="000425A2">
      <w:r>
        <w:separator/>
      </w:r>
    </w:p>
    <w:p w14:paraId="4C30E606" w14:textId="77777777" w:rsidR="000425A2" w:rsidRDefault="000425A2"/>
  </w:footnote>
  <w:footnote w:type="continuationSeparator" w:id="0">
    <w:p w14:paraId="7E157AA0" w14:textId="77777777" w:rsidR="000425A2" w:rsidRDefault="000425A2">
      <w:r>
        <w:continuationSeparator/>
      </w:r>
    </w:p>
    <w:p w14:paraId="190E47FC" w14:textId="77777777" w:rsidR="000425A2" w:rsidRDefault="000425A2"/>
  </w:footnote>
  <w:footnote w:type="continuationNotice" w:id="1">
    <w:p w14:paraId="2B23610A" w14:textId="77777777" w:rsidR="000425A2" w:rsidRDefault="00042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4986C803" w:rsidR="00C56D78" w:rsidRPr="00C56D78" w:rsidRDefault="002A16B8"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D25130">
      <w:rPr>
        <w:rFonts w:asciiTheme="minorHAnsi" w:eastAsiaTheme="minorEastAsia" w:hAnsiTheme="minorHAnsi" w:cstheme="minorHAnsi"/>
        <w:i/>
        <w:color w:val="808080"/>
      </w:rPr>
      <w:t xml:space="preserve"> – </w:t>
    </w:r>
    <w:r w:rsidR="000A35F6">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0A35F6">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Pr="00A3107E"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D92F" w14:textId="77777777" w:rsidR="008D4587" w:rsidRDefault="008D4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543B18"/>
    <w:multiLevelType w:val="hybridMultilevel"/>
    <w:tmpl w:val="99DE5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6244933"/>
    <w:multiLevelType w:val="hybridMultilevel"/>
    <w:tmpl w:val="DC3C8D6A"/>
    <w:lvl w:ilvl="0" w:tplc="88F6AAB0">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3F2D7259"/>
    <w:multiLevelType w:val="hybridMultilevel"/>
    <w:tmpl w:val="15A6DE4E"/>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45436BF2"/>
    <w:multiLevelType w:val="hybridMultilevel"/>
    <w:tmpl w:val="ECF286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7C220D8"/>
    <w:multiLevelType w:val="hybridMultilevel"/>
    <w:tmpl w:val="571664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4C25709A"/>
    <w:multiLevelType w:val="multilevel"/>
    <w:tmpl w:val="01EC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F104424"/>
    <w:multiLevelType w:val="hybridMultilevel"/>
    <w:tmpl w:val="BF4AF9D8"/>
    <w:lvl w:ilvl="0" w:tplc="75E077CA">
      <w:start w:val="1"/>
      <w:numFmt w:val="decimal"/>
      <w:lvlText w:val="%1."/>
      <w:lvlJc w:val="left"/>
      <w:pPr>
        <w:ind w:left="360" w:hanging="360"/>
      </w:pPr>
      <w:rPr>
        <w:rFonts w:asciiTheme="minorHAnsi" w:hAnsiTheme="minorHAnsi" w:cstheme="minorHAnsi" w:hint="default"/>
        <w:i/>
        <w:i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BBB7FF1"/>
    <w:multiLevelType w:val="hybridMultilevel"/>
    <w:tmpl w:val="948439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35"/>
  </w:num>
  <w:num w:numId="3">
    <w:abstractNumId w:val="0"/>
  </w:num>
  <w:num w:numId="4">
    <w:abstractNumId w:val="26"/>
  </w:num>
  <w:num w:numId="5">
    <w:abstractNumId w:val="37"/>
  </w:num>
  <w:num w:numId="6">
    <w:abstractNumId w:val="33"/>
  </w:num>
  <w:num w:numId="7">
    <w:abstractNumId w:val="23"/>
  </w:num>
  <w:num w:numId="8">
    <w:abstractNumId w:val="17"/>
  </w:num>
  <w:num w:numId="9">
    <w:abstractNumId w:val="1"/>
  </w:num>
  <w:num w:numId="10">
    <w:abstractNumId w:val="35"/>
  </w:num>
  <w:num w:numId="11">
    <w:abstractNumId w:val="31"/>
  </w:num>
  <w:num w:numId="12">
    <w:abstractNumId w:val="34"/>
  </w:num>
  <w:num w:numId="13">
    <w:abstractNumId w:val="14"/>
  </w:num>
  <w:num w:numId="14">
    <w:abstractNumId w:val="10"/>
  </w:num>
  <w:num w:numId="15">
    <w:abstractNumId w:val="29"/>
  </w:num>
  <w:num w:numId="16">
    <w:abstractNumId w:val="4"/>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5"/>
  </w:num>
  <w:num w:numId="20">
    <w:abstractNumId w:val="8"/>
  </w:num>
  <w:num w:numId="21">
    <w:abstractNumId w:val="7"/>
  </w:num>
  <w:num w:numId="22">
    <w:abstractNumId w:val="21"/>
  </w:num>
  <w:num w:numId="23">
    <w:abstractNumId w:val="9"/>
  </w:num>
  <w:num w:numId="24">
    <w:abstractNumId w:val="6"/>
  </w:num>
  <w:num w:numId="25">
    <w:abstractNumId w:val="16"/>
  </w:num>
  <w:num w:numId="26">
    <w:abstractNumId w:val="20"/>
  </w:num>
  <w:num w:numId="27">
    <w:abstractNumId w:val="2"/>
  </w:num>
  <w:num w:numId="28">
    <w:abstractNumId w:val="19"/>
  </w:num>
  <w:num w:numId="29">
    <w:abstractNumId w:val="18"/>
  </w:num>
  <w:num w:numId="30">
    <w:abstractNumId w:val="27"/>
  </w:num>
  <w:num w:numId="31">
    <w:abstractNumId w:val="22"/>
  </w:num>
  <w:num w:numId="32">
    <w:abstractNumId w:val="24"/>
  </w:num>
  <w:num w:numId="33">
    <w:abstractNumId w:val="5"/>
  </w:num>
  <w:num w:numId="34">
    <w:abstractNumId w:val="3"/>
  </w:num>
  <w:num w:numId="35">
    <w:abstractNumId w:val="12"/>
  </w:num>
  <w:num w:numId="36">
    <w:abstractNumId w:val="13"/>
  </w:num>
  <w:num w:numId="37">
    <w:abstractNumId w:val="11"/>
  </w:num>
  <w:num w:numId="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5"/>
  </w:num>
  <w:num w:numId="41">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774"/>
    <w:rsid w:val="0000335D"/>
    <w:rsid w:val="00003EC5"/>
    <w:rsid w:val="00006782"/>
    <w:rsid w:val="0001179A"/>
    <w:rsid w:val="00011A59"/>
    <w:rsid w:val="00014D69"/>
    <w:rsid w:val="00016A41"/>
    <w:rsid w:val="000207C8"/>
    <w:rsid w:val="000214D1"/>
    <w:rsid w:val="00021F20"/>
    <w:rsid w:val="000244EE"/>
    <w:rsid w:val="0002464A"/>
    <w:rsid w:val="00025A04"/>
    <w:rsid w:val="0002693D"/>
    <w:rsid w:val="0003050E"/>
    <w:rsid w:val="0003106B"/>
    <w:rsid w:val="000335B9"/>
    <w:rsid w:val="00034905"/>
    <w:rsid w:val="00036E49"/>
    <w:rsid w:val="00037906"/>
    <w:rsid w:val="00040A30"/>
    <w:rsid w:val="00040E8E"/>
    <w:rsid w:val="000421A1"/>
    <w:rsid w:val="0004240E"/>
    <w:rsid w:val="000425A2"/>
    <w:rsid w:val="00044E52"/>
    <w:rsid w:val="00044EC4"/>
    <w:rsid w:val="00045E26"/>
    <w:rsid w:val="00046903"/>
    <w:rsid w:val="000514B5"/>
    <w:rsid w:val="000521ED"/>
    <w:rsid w:val="0005322E"/>
    <w:rsid w:val="00054E2B"/>
    <w:rsid w:val="00057A1E"/>
    <w:rsid w:val="00060E64"/>
    <w:rsid w:val="000621AB"/>
    <w:rsid w:val="00062C03"/>
    <w:rsid w:val="00062E88"/>
    <w:rsid w:val="00065120"/>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4DCD"/>
    <w:rsid w:val="00087C4C"/>
    <w:rsid w:val="00087E87"/>
    <w:rsid w:val="000918CB"/>
    <w:rsid w:val="00091B06"/>
    <w:rsid w:val="000951C4"/>
    <w:rsid w:val="00095ADA"/>
    <w:rsid w:val="00095F3A"/>
    <w:rsid w:val="000969AD"/>
    <w:rsid w:val="000975FB"/>
    <w:rsid w:val="000A02F8"/>
    <w:rsid w:val="000A2CE0"/>
    <w:rsid w:val="000A35F6"/>
    <w:rsid w:val="000A3AA2"/>
    <w:rsid w:val="000A42EF"/>
    <w:rsid w:val="000A44B2"/>
    <w:rsid w:val="000A52F6"/>
    <w:rsid w:val="000A58B8"/>
    <w:rsid w:val="000A77A0"/>
    <w:rsid w:val="000B44C3"/>
    <w:rsid w:val="000B558D"/>
    <w:rsid w:val="000B5A89"/>
    <w:rsid w:val="000B65F6"/>
    <w:rsid w:val="000B7767"/>
    <w:rsid w:val="000C1AFF"/>
    <w:rsid w:val="000C472D"/>
    <w:rsid w:val="000C5740"/>
    <w:rsid w:val="000C5F95"/>
    <w:rsid w:val="000C6996"/>
    <w:rsid w:val="000C7C46"/>
    <w:rsid w:val="000D09E9"/>
    <w:rsid w:val="000D113F"/>
    <w:rsid w:val="000D23BA"/>
    <w:rsid w:val="000E19B7"/>
    <w:rsid w:val="000E20FC"/>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B3"/>
    <w:rsid w:val="001053D5"/>
    <w:rsid w:val="00107409"/>
    <w:rsid w:val="001107BF"/>
    <w:rsid w:val="00113649"/>
    <w:rsid w:val="00113D5C"/>
    <w:rsid w:val="00116B03"/>
    <w:rsid w:val="001206F9"/>
    <w:rsid w:val="00120AA6"/>
    <w:rsid w:val="001239DB"/>
    <w:rsid w:val="0012417C"/>
    <w:rsid w:val="00124BF2"/>
    <w:rsid w:val="00125837"/>
    <w:rsid w:val="0012597F"/>
    <w:rsid w:val="00126B19"/>
    <w:rsid w:val="00126D3A"/>
    <w:rsid w:val="0012749D"/>
    <w:rsid w:val="00127A23"/>
    <w:rsid w:val="001306A5"/>
    <w:rsid w:val="00130918"/>
    <w:rsid w:val="001311AE"/>
    <w:rsid w:val="001366A8"/>
    <w:rsid w:val="001366C2"/>
    <w:rsid w:val="00136C17"/>
    <w:rsid w:val="00140B74"/>
    <w:rsid w:val="00140D94"/>
    <w:rsid w:val="00142395"/>
    <w:rsid w:val="0014250D"/>
    <w:rsid w:val="00142714"/>
    <w:rsid w:val="00144D09"/>
    <w:rsid w:val="0014517F"/>
    <w:rsid w:val="001452ED"/>
    <w:rsid w:val="00147D84"/>
    <w:rsid w:val="00151CBD"/>
    <w:rsid w:val="001533C3"/>
    <w:rsid w:val="001549C1"/>
    <w:rsid w:val="00156C8D"/>
    <w:rsid w:val="001576BE"/>
    <w:rsid w:val="00160F4D"/>
    <w:rsid w:val="00162BDD"/>
    <w:rsid w:val="00162D4E"/>
    <w:rsid w:val="001630C0"/>
    <w:rsid w:val="00163329"/>
    <w:rsid w:val="00164623"/>
    <w:rsid w:val="001652DE"/>
    <w:rsid w:val="001653EC"/>
    <w:rsid w:val="00165B64"/>
    <w:rsid w:val="00167C39"/>
    <w:rsid w:val="00176336"/>
    <w:rsid w:val="001768CC"/>
    <w:rsid w:val="00176B9D"/>
    <w:rsid w:val="00180713"/>
    <w:rsid w:val="00180720"/>
    <w:rsid w:val="001830CE"/>
    <w:rsid w:val="001836E3"/>
    <w:rsid w:val="00184659"/>
    <w:rsid w:val="001860E5"/>
    <w:rsid w:val="0018643B"/>
    <w:rsid w:val="00187AD9"/>
    <w:rsid w:val="00191FA7"/>
    <w:rsid w:val="0019283B"/>
    <w:rsid w:val="00196307"/>
    <w:rsid w:val="00197C70"/>
    <w:rsid w:val="00197F03"/>
    <w:rsid w:val="001A0D10"/>
    <w:rsid w:val="001A25F6"/>
    <w:rsid w:val="001A2B7A"/>
    <w:rsid w:val="001A3242"/>
    <w:rsid w:val="001A33EA"/>
    <w:rsid w:val="001A3615"/>
    <w:rsid w:val="001A4413"/>
    <w:rsid w:val="001A4C4F"/>
    <w:rsid w:val="001A5A2B"/>
    <w:rsid w:val="001A6A5B"/>
    <w:rsid w:val="001A76FB"/>
    <w:rsid w:val="001B017F"/>
    <w:rsid w:val="001B0B79"/>
    <w:rsid w:val="001B19EA"/>
    <w:rsid w:val="001B2BBC"/>
    <w:rsid w:val="001B2BCD"/>
    <w:rsid w:val="001B2DB2"/>
    <w:rsid w:val="001B3441"/>
    <w:rsid w:val="001B3A40"/>
    <w:rsid w:val="001B3FFE"/>
    <w:rsid w:val="001B5129"/>
    <w:rsid w:val="001B7450"/>
    <w:rsid w:val="001B765A"/>
    <w:rsid w:val="001C0B4C"/>
    <w:rsid w:val="001C0EC4"/>
    <w:rsid w:val="001C1195"/>
    <w:rsid w:val="001C12AE"/>
    <w:rsid w:val="001C1E84"/>
    <w:rsid w:val="001C20E1"/>
    <w:rsid w:val="001C2A0F"/>
    <w:rsid w:val="001C2E42"/>
    <w:rsid w:val="001D1F5F"/>
    <w:rsid w:val="001E06D2"/>
    <w:rsid w:val="001E17C4"/>
    <w:rsid w:val="001E2D65"/>
    <w:rsid w:val="001E369A"/>
    <w:rsid w:val="001F005B"/>
    <w:rsid w:val="001F1850"/>
    <w:rsid w:val="001F1FBF"/>
    <w:rsid w:val="001F2311"/>
    <w:rsid w:val="001F2B80"/>
    <w:rsid w:val="001F2F1C"/>
    <w:rsid w:val="001F3189"/>
    <w:rsid w:val="001F556E"/>
    <w:rsid w:val="00200BEA"/>
    <w:rsid w:val="00201FB8"/>
    <w:rsid w:val="00203FAC"/>
    <w:rsid w:val="002069A4"/>
    <w:rsid w:val="002133FB"/>
    <w:rsid w:val="00213CFB"/>
    <w:rsid w:val="0021553C"/>
    <w:rsid w:val="0021557B"/>
    <w:rsid w:val="002155CA"/>
    <w:rsid w:val="0021667E"/>
    <w:rsid w:val="00216B87"/>
    <w:rsid w:val="002174FD"/>
    <w:rsid w:val="00217BE1"/>
    <w:rsid w:val="00221361"/>
    <w:rsid w:val="002214B9"/>
    <w:rsid w:val="00222680"/>
    <w:rsid w:val="00223370"/>
    <w:rsid w:val="00224D1E"/>
    <w:rsid w:val="00226611"/>
    <w:rsid w:val="00227BC5"/>
    <w:rsid w:val="00230F63"/>
    <w:rsid w:val="00234252"/>
    <w:rsid w:val="0023466E"/>
    <w:rsid w:val="00237AC6"/>
    <w:rsid w:val="00242B64"/>
    <w:rsid w:val="00242BFD"/>
    <w:rsid w:val="00243AE1"/>
    <w:rsid w:val="00244139"/>
    <w:rsid w:val="00244490"/>
    <w:rsid w:val="00244BEC"/>
    <w:rsid w:val="002452BA"/>
    <w:rsid w:val="00245B9C"/>
    <w:rsid w:val="002517A0"/>
    <w:rsid w:val="00252587"/>
    <w:rsid w:val="00253499"/>
    <w:rsid w:val="002551A4"/>
    <w:rsid w:val="00257664"/>
    <w:rsid w:val="00260165"/>
    <w:rsid w:val="00265151"/>
    <w:rsid w:val="00265C2C"/>
    <w:rsid w:val="00266509"/>
    <w:rsid w:val="00271BA1"/>
    <w:rsid w:val="00272BEA"/>
    <w:rsid w:val="00273AC5"/>
    <w:rsid w:val="002762FA"/>
    <w:rsid w:val="00276BE3"/>
    <w:rsid w:val="00277505"/>
    <w:rsid w:val="00277873"/>
    <w:rsid w:val="00280906"/>
    <w:rsid w:val="0028158C"/>
    <w:rsid w:val="002823B6"/>
    <w:rsid w:val="002825C0"/>
    <w:rsid w:val="00290C03"/>
    <w:rsid w:val="00291A95"/>
    <w:rsid w:val="00292392"/>
    <w:rsid w:val="00292E3B"/>
    <w:rsid w:val="002933A8"/>
    <w:rsid w:val="00294274"/>
    <w:rsid w:val="0029458F"/>
    <w:rsid w:val="00297A63"/>
    <w:rsid w:val="002A018F"/>
    <w:rsid w:val="002A0E04"/>
    <w:rsid w:val="002A104C"/>
    <w:rsid w:val="002A16B8"/>
    <w:rsid w:val="002A1EF7"/>
    <w:rsid w:val="002A27BA"/>
    <w:rsid w:val="002A2B7B"/>
    <w:rsid w:val="002A3C16"/>
    <w:rsid w:val="002A494D"/>
    <w:rsid w:val="002A4960"/>
    <w:rsid w:val="002A636A"/>
    <w:rsid w:val="002A6BB6"/>
    <w:rsid w:val="002A755F"/>
    <w:rsid w:val="002B01C0"/>
    <w:rsid w:val="002B0AE0"/>
    <w:rsid w:val="002B1AE6"/>
    <w:rsid w:val="002B1D51"/>
    <w:rsid w:val="002B2DE8"/>
    <w:rsid w:val="002B30F8"/>
    <w:rsid w:val="002B388A"/>
    <w:rsid w:val="002B3BFE"/>
    <w:rsid w:val="002B3C1A"/>
    <w:rsid w:val="002B4C2A"/>
    <w:rsid w:val="002B5596"/>
    <w:rsid w:val="002B77D7"/>
    <w:rsid w:val="002C0763"/>
    <w:rsid w:val="002C212F"/>
    <w:rsid w:val="002C2F35"/>
    <w:rsid w:val="002C6AA9"/>
    <w:rsid w:val="002C7485"/>
    <w:rsid w:val="002D2641"/>
    <w:rsid w:val="002D283A"/>
    <w:rsid w:val="002D4543"/>
    <w:rsid w:val="002D711B"/>
    <w:rsid w:val="002D715F"/>
    <w:rsid w:val="002E022A"/>
    <w:rsid w:val="002E2FF1"/>
    <w:rsid w:val="002E3153"/>
    <w:rsid w:val="002E4A02"/>
    <w:rsid w:val="002E5292"/>
    <w:rsid w:val="002E72CA"/>
    <w:rsid w:val="002E75DD"/>
    <w:rsid w:val="002F1D07"/>
    <w:rsid w:val="002F5C5B"/>
    <w:rsid w:val="002F600D"/>
    <w:rsid w:val="002F6F0F"/>
    <w:rsid w:val="002F7E47"/>
    <w:rsid w:val="00300AD6"/>
    <w:rsid w:val="00300B1B"/>
    <w:rsid w:val="0030178B"/>
    <w:rsid w:val="003019D0"/>
    <w:rsid w:val="003019DE"/>
    <w:rsid w:val="0030311E"/>
    <w:rsid w:val="00303D67"/>
    <w:rsid w:val="003064AF"/>
    <w:rsid w:val="00307DC6"/>
    <w:rsid w:val="00310A8B"/>
    <w:rsid w:val="00310B68"/>
    <w:rsid w:val="00310CD7"/>
    <w:rsid w:val="00313593"/>
    <w:rsid w:val="003160D2"/>
    <w:rsid w:val="003173FC"/>
    <w:rsid w:val="00317885"/>
    <w:rsid w:val="00317C6C"/>
    <w:rsid w:val="00320B80"/>
    <w:rsid w:val="00320CD3"/>
    <w:rsid w:val="003215FF"/>
    <w:rsid w:val="00322667"/>
    <w:rsid w:val="0032607C"/>
    <w:rsid w:val="00326570"/>
    <w:rsid w:val="00326E79"/>
    <w:rsid w:val="0032748A"/>
    <w:rsid w:val="00327AA2"/>
    <w:rsid w:val="003301B1"/>
    <w:rsid w:val="00331189"/>
    <w:rsid w:val="003318BF"/>
    <w:rsid w:val="0033263D"/>
    <w:rsid w:val="00334E69"/>
    <w:rsid w:val="0033518A"/>
    <w:rsid w:val="00335535"/>
    <w:rsid w:val="003367EF"/>
    <w:rsid w:val="00337D75"/>
    <w:rsid w:val="00341AE4"/>
    <w:rsid w:val="003422CC"/>
    <w:rsid w:val="003425CA"/>
    <w:rsid w:val="00343FB7"/>
    <w:rsid w:val="00344087"/>
    <w:rsid w:val="003444F1"/>
    <w:rsid w:val="003476EE"/>
    <w:rsid w:val="003524FF"/>
    <w:rsid w:val="00352E16"/>
    <w:rsid w:val="00353443"/>
    <w:rsid w:val="003541DD"/>
    <w:rsid w:val="00356E5B"/>
    <w:rsid w:val="003577F3"/>
    <w:rsid w:val="00360887"/>
    <w:rsid w:val="0036249F"/>
    <w:rsid w:val="00363AAC"/>
    <w:rsid w:val="00366FE8"/>
    <w:rsid w:val="00371246"/>
    <w:rsid w:val="003736C9"/>
    <w:rsid w:val="00383B77"/>
    <w:rsid w:val="00384988"/>
    <w:rsid w:val="00385152"/>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378B"/>
    <w:rsid w:val="003C3CD2"/>
    <w:rsid w:val="003D24C5"/>
    <w:rsid w:val="003D4594"/>
    <w:rsid w:val="003D4AC4"/>
    <w:rsid w:val="003D5433"/>
    <w:rsid w:val="003D63B7"/>
    <w:rsid w:val="003D74C5"/>
    <w:rsid w:val="003E2E98"/>
    <w:rsid w:val="003E4374"/>
    <w:rsid w:val="003E468B"/>
    <w:rsid w:val="003E62BD"/>
    <w:rsid w:val="003E658D"/>
    <w:rsid w:val="003F044F"/>
    <w:rsid w:val="003F0C3A"/>
    <w:rsid w:val="003F15F0"/>
    <w:rsid w:val="003F2395"/>
    <w:rsid w:val="003F2AD9"/>
    <w:rsid w:val="003F3228"/>
    <w:rsid w:val="003F41D3"/>
    <w:rsid w:val="003F5C8C"/>
    <w:rsid w:val="003F63CE"/>
    <w:rsid w:val="003F775A"/>
    <w:rsid w:val="00400E55"/>
    <w:rsid w:val="0040128E"/>
    <w:rsid w:val="00401640"/>
    <w:rsid w:val="0040216B"/>
    <w:rsid w:val="00404852"/>
    <w:rsid w:val="004057FB"/>
    <w:rsid w:val="0040590E"/>
    <w:rsid w:val="00407CC8"/>
    <w:rsid w:val="00414321"/>
    <w:rsid w:val="00414F0C"/>
    <w:rsid w:val="00420400"/>
    <w:rsid w:val="00423DFE"/>
    <w:rsid w:val="00423E78"/>
    <w:rsid w:val="004252EC"/>
    <w:rsid w:val="00430D39"/>
    <w:rsid w:val="00442C91"/>
    <w:rsid w:val="00444E9D"/>
    <w:rsid w:val="00446206"/>
    <w:rsid w:val="004465BD"/>
    <w:rsid w:val="00446938"/>
    <w:rsid w:val="004528FA"/>
    <w:rsid w:val="00460186"/>
    <w:rsid w:val="00461A44"/>
    <w:rsid w:val="00462D26"/>
    <w:rsid w:val="0046368B"/>
    <w:rsid w:val="0046385A"/>
    <w:rsid w:val="00464039"/>
    <w:rsid w:val="00466ADA"/>
    <w:rsid w:val="004702BB"/>
    <w:rsid w:val="0047494B"/>
    <w:rsid w:val="0047545B"/>
    <w:rsid w:val="00476245"/>
    <w:rsid w:val="00477A9B"/>
    <w:rsid w:val="00482AE4"/>
    <w:rsid w:val="00483035"/>
    <w:rsid w:val="00485940"/>
    <w:rsid w:val="00486C95"/>
    <w:rsid w:val="004877C2"/>
    <w:rsid w:val="004904B9"/>
    <w:rsid w:val="00490D6A"/>
    <w:rsid w:val="0049219A"/>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1408"/>
    <w:rsid w:val="004D2CD1"/>
    <w:rsid w:val="004D4FF6"/>
    <w:rsid w:val="004D5ADD"/>
    <w:rsid w:val="004E0CC3"/>
    <w:rsid w:val="004E2E0F"/>
    <w:rsid w:val="004E692D"/>
    <w:rsid w:val="004E7230"/>
    <w:rsid w:val="004E7233"/>
    <w:rsid w:val="004E7D87"/>
    <w:rsid w:val="004F2553"/>
    <w:rsid w:val="004F306A"/>
    <w:rsid w:val="004F41EC"/>
    <w:rsid w:val="00501554"/>
    <w:rsid w:val="00502AFE"/>
    <w:rsid w:val="00502E64"/>
    <w:rsid w:val="00503AD7"/>
    <w:rsid w:val="00503E89"/>
    <w:rsid w:val="00504E0C"/>
    <w:rsid w:val="00504E13"/>
    <w:rsid w:val="005109D4"/>
    <w:rsid w:val="0051230A"/>
    <w:rsid w:val="00513056"/>
    <w:rsid w:val="00514CD7"/>
    <w:rsid w:val="00516000"/>
    <w:rsid w:val="005167EC"/>
    <w:rsid w:val="005170DA"/>
    <w:rsid w:val="00520D6A"/>
    <w:rsid w:val="00522DB6"/>
    <w:rsid w:val="00524F7A"/>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7D4F"/>
    <w:rsid w:val="0056122E"/>
    <w:rsid w:val="00561972"/>
    <w:rsid w:val="0056484E"/>
    <w:rsid w:val="00565999"/>
    <w:rsid w:val="00567D8A"/>
    <w:rsid w:val="00570231"/>
    <w:rsid w:val="005714B7"/>
    <w:rsid w:val="005764CD"/>
    <w:rsid w:val="00577C4D"/>
    <w:rsid w:val="00580532"/>
    <w:rsid w:val="00581932"/>
    <w:rsid w:val="00583002"/>
    <w:rsid w:val="005903BB"/>
    <w:rsid w:val="0059355C"/>
    <w:rsid w:val="00593623"/>
    <w:rsid w:val="00593893"/>
    <w:rsid w:val="005963BB"/>
    <w:rsid w:val="0059645C"/>
    <w:rsid w:val="00596D37"/>
    <w:rsid w:val="005A15D2"/>
    <w:rsid w:val="005A3173"/>
    <w:rsid w:val="005A3223"/>
    <w:rsid w:val="005A3690"/>
    <w:rsid w:val="005A3DA3"/>
    <w:rsid w:val="005A52C4"/>
    <w:rsid w:val="005A5B61"/>
    <w:rsid w:val="005A63A1"/>
    <w:rsid w:val="005A7E46"/>
    <w:rsid w:val="005B0486"/>
    <w:rsid w:val="005B1032"/>
    <w:rsid w:val="005B1473"/>
    <w:rsid w:val="005B36FA"/>
    <w:rsid w:val="005B5092"/>
    <w:rsid w:val="005B7514"/>
    <w:rsid w:val="005C2B17"/>
    <w:rsid w:val="005C4F73"/>
    <w:rsid w:val="005D03AB"/>
    <w:rsid w:val="005D401D"/>
    <w:rsid w:val="005D5017"/>
    <w:rsid w:val="005D5708"/>
    <w:rsid w:val="005D63FA"/>
    <w:rsid w:val="005D73C7"/>
    <w:rsid w:val="005E0C2D"/>
    <w:rsid w:val="005E0D82"/>
    <w:rsid w:val="005E0F59"/>
    <w:rsid w:val="005E1333"/>
    <w:rsid w:val="005E3136"/>
    <w:rsid w:val="005E4922"/>
    <w:rsid w:val="005E507D"/>
    <w:rsid w:val="005F0AD0"/>
    <w:rsid w:val="005F2AEE"/>
    <w:rsid w:val="005F46B7"/>
    <w:rsid w:val="00601A91"/>
    <w:rsid w:val="00602BA3"/>
    <w:rsid w:val="00603E03"/>
    <w:rsid w:val="00605B63"/>
    <w:rsid w:val="00605F9A"/>
    <w:rsid w:val="00606442"/>
    <w:rsid w:val="00606EED"/>
    <w:rsid w:val="00612A95"/>
    <w:rsid w:val="00612E34"/>
    <w:rsid w:val="0061412E"/>
    <w:rsid w:val="00614159"/>
    <w:rsid w:val="006158A3"/>
    <w:rsid w:val="00616C5F"/>
    <w:rsid w:val="00616DAC"/>
    <w:rsid w:val="00617725"/>
    <w:rsid w:val="00617C00"/>
    <w:rsid w:val="006263BF"/>
    <w:rsid w:val="006270A2"/>
    <w:rsid w:val="0062748A"/>
    <w:rsid w:val="00630546"/>
    <w:rsid w:val="00630A2C"/>
    <w:rsid w:val="00634A75"/>
    <w:rsid w:val="0063630E"/>
    <w:rsid w:val="0063682E"/>
    <w:rsid w:val="00640088"/>
    <w:rsid w:val="006406E3"/>
    <w:rsid w:val="00642672"/>
    <w:rsid w:val="00642DA8"/>
    <w:rsid w:val="006436CD"/>
    <w:rsid w:val="00650976"/>
    <w:rsid w:val="00651169"/>
    <w:rsid w:val="00653D69"/>
    <w:rsid w:val="006552E6"/>
    <w:rsid w:val="00655794"/>
    <w:rsid w:val="00656F2F"/>
    <w:rsid w:val="00657C63"/>
    <w:rsid w:val="00661CBC"/>
    <w:rsid w:val="00662B85"/>
    <w:rsid w:val="006670B3"/>
    <w:rsid w:val="006670BE"/>
    <w:rsid w:val="00670A76"/>
    <w:rsid w:val="006711AA"/>
    <w:rsid w:val="00672B57"/>
    <w:rsid w:val="00673C5A"/>
    <w:rsid w:val="00673F1F"/>
    <w:rsid w:val="00675622"/>
    <w:rsid w:val="00675DEB"/>
    <w:rsid w:val="0067747D"/>
    <w:rsid w:val="006818D5"/>
    <w:rsid w:val="00681CA4"/>
    <w:rsid w:val="00686559"/>
    <w:rsid w:val="00687525"/>
    <w:rsid w:val="0069039D"/>
    <w:rsid w:val="006906DB"/>
    <w:rsid w:val="00691900"/>
    <w:rsid w:val="00691E6C"/>
    <w:rsid w:val="00693425"/>
    <w:rsid w:val="0069342D"/>
    <w:rsid w:val="00693DFB"/>
    <w:rsid w:val="00694FD5"/>
    <w:rsid w:val="0069501D"/>
    <w:rsid w:val="00696129"/>
    <w:rsid w:val="00697CF2"/>
    <w:rsid w:val="006A12A5"/>
    <w:rsid w:val="006A2515"/>
    <w:rsid w:val="006A3CBE"/>
    <w:rsid w:val="006A572D"/>
    <w:rsid w:val="006A5E20"/>
    <w:rsid w:val="006B0D94"/>
    <w:rsid w:val="006B0ED3"/>
    <w:rsid w:val="006B16B6"/>
    <w:rsid w:val="006B36ED"/>
    <w:rsid w:val="006B485D"/>
    <w:rsid w:val="006B72D2"/>
    <w:rsid w:val="006B7DDA"/>
    <w:rsid w:val="006C0C45"/>
    <w:rsid w:val="006C2806"/>
    <w:rsid w:val="006C334C"/>
    <w:rsid w:val="006C4C1B"/>
    <w:rsid w:val="006C5C20"/>
    <w:rsid w:val="006C6C10"/>
    <w:rsid w:val="006C708E"/>
    <w:rsid w:val="006D14E7"/>
    <w:rsid w:val="006D4444"/>
    <w:rsid w:val="006D6493"/>
    <w:rsid w:val="006D6EC7"/>
    <w:rsid w:val="006D7B05"/>
    <w:rsid w:val="006D7C31"/>
    <w:rsid w:val="006D7E45"/>
    <w:rsid w:val="006E1143"/>
    <w:rsid w:val="006E1BCD"/>
    <w:rsid w:val="006E2732"/>
    <w:rsid w:val="006E59CD"/>
    <w:rsid w:val="006F00ED"/>
    <w:rsid w:val="006F026F"/>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2C1C"/>
    <w:rsid w:val="00723328"/>
    <w:rsid w:val="007235FD"/>
    <w:rsid w:val="007237DE"/>
    <w:rsid w:val="0072502E"/>
    <w:rsid w:val="0073137C"/>
    <w:rsid w:val="00731BFA"/>
    <w:rsid w:val="00733E9D"/>
    <w:rsid w:val="007340B9"/>
    <w:rsid w:val="00734686"/>
    <w:rsid w:val="0073488F"/>
    <w:rsid w:val="007353D3"/>
    <w:rsid w:val="00735EB6"/>
    <w:rsid w:val="0074156B"/>
    <w:rsid w:val="00741619"/>
    <w:rsid w:val="00742885"/>
    <w:rsid w:val="007432E5"/>
    <w:rsid w:val="00747092"/>
    <w:rsid w:val="007477FF"/>
    <w:rsid w:val="007526E6"/>
    <w:rsid w:val="00754DF9"/>
    <w:rsid w:val="007555E8"/>
    <w:rsid w:val="00755CC5"/>
    <w:rsid w:val="00755CED"/>
    <w:rsid w:val="00762862"/>
    <w:rsid w:val="0076420C"/>
    <w:rsid w:val="007713AE"/>
    <w:rsid w:val="00771D07"/>
    <w:rsid w:val="00772649"/>
    <w:rsid w:val="00773BE3"/>
    <w:rsid w:val="007743DD"/>
    <w:rsid w:val="00774E2C"/>
    <w:rsid w:val="0077503C"/>
    <w:rsid w:val="0077518D"/>
    <w:rsid w:val="007753C2"/>
    <w:rsid w:val="00776068"/>
    <w:rsid w:val="007838B8"/>
    <w:rsid w:val="0078507B"/>
    <w:rsid w:val="00785779"/>
    <w:rsid w:val="00787FD8"/>
    <w:rsid w:val="007915BA"/>
    <w:rsid w:val="00791844"/>
    <w:rsid w:val="00793CE9"/>
    <w:rsid w:val="00796667"/>
    <w:rsid w:val="00797068"/>
    <w:rsid w:val="007979BD"/>
    <w:rsid w:val="007A3D8E"/>
    <w:rsid w:val="007A4EF4"/>
    <w:rsid w:val="007A5C88"/>
    <w:rsid w:val="007A6A2F"/>
    <w:rsid w:val="007B024E"/>
    <w:rsid w:val="007B3BAF"/>
    <w:rsid w:val="007B3DDC"/>
    <w:rsid w:val="007B47B5"/>
    <w:rsid w:val="007B6BA3"/>
    <w:rsid w:val="007B72A6"/>
    <w:rsid w:val="007C06D2"/>
    <w:rsid w:val="007C08E0"/>
    <w:rsid w:val="007C0F57"/>
    <w:rsid w:val="007C216F"/>
    <w:rsid w:val="007C2F4B"/>
    <w:rsid w:val="007C40B6"/>
    <w:rsid w:val="007C5975"/>
    <w:rsid w:val="007C6F22"/>
    <w:rsid w:val="007C729F"/>
    <w:rsid w:val="007C72AD"/>
    <w:rsid w:val="007D503D"/>
    <w:rsid w:val="007D59E7"/>
    <w:rsid w:val="007D5F2A"/>
    <w:rsid w:val="007D7D9B"/>
    <w:rsid w:val="007E07AC"/>
    <w:rsid w:val="007E1014"/>
    <w:rsid w:val="007E12F8"/>
    <w:rsid w:val="007E1D28"/>
    <w:rsid w:val="007E4564"/>
    <w:rsid w:val="007E490F"/>
    <w:rsid w:val="007E6533"/>
    <w:rsid w:val="007F0021"/>
    <w:rsid w:val="007F2641"/>
    <w:rsid w:val="007F44C7"/>
    <w:rsid w:val="007F7C36"/>
    <w:rsid w:val="007F7F45"/>
    <w:rsid w:val="0080001F"/>
    <w:rsid w:val="00800901"/>
    <w:rsid w:val="00801958"/>
    <w:rsid w:val="00803340"/>
    <w:rsid w:val="008055AF"/>
    <w:rsid w:val="008057CD"/>
    <w:rsid w:val="008066B8"/>
    <w:rsid w:val="00806796"/>
    <w:rsid w:val="00810167"/>
    <w:rsid w:val="008104D0"/>
    <w:rsid w:val="00811CC0"/>
    <w:rsid w:val="00814276"/>
    <w:rsid w:val="008151D6"/>
    <w:rsid w:val="00820803"/>
    <w:rsid w:val="00821527"/>
    <w:rsid w:val="008225CE"/>
    <w:rsid w:val="00822696"/>
    <w:rsid w:val="008233CC"/>
    <w:rsid w:val="00825A6C"/>
    <w:rsid w:val="0082617E"/>
    <w:rsid w:val="008268BB"/>
    <w:rsid w:val="00826F6D"/>
    <w:rsid w:val="0082706E"/>
    <w:rsid w:val="008300C3"/>
    <w:rsid w:val="008306F3"/>
    <w:rsid w:val="00830E40"/>
    <w:rsid w:val="00832D9A"/>
    <w:rsid w:val="0083350C"/>
    <w:rsid w:val="00835C62"/>
    <w:rsid w:val="00836874"/>
    <w:rsid w:val="008368A1"/>
    <w:rsid w:val="00836B26"/>
    <w:rsid w:val="00840EF7"/>
    <w:rsid w:val="00842DC5"/>
    <w:rsid w:val="00844C0A"/>
    <w:rsid w:val="00846056"/>
    <w:rsid w:val="0084681F"/>
    <w:rsid w:val="00847D08"/>
    <w:rsid w:val="00847EC0"/>
    <w:rsid w:val="00854506"/>
    <w:rsid w:val="00855FD6"/>
    <w:rsid w:val="00856DDD"/>
    <w:rsid w:val="00860233"/>
    <w:rsid w:val="00861C76"/>
    <w:rsid w:val="00863620"/>
    <w:rsid w:val="00863E68"/>
    <w:rsid w:val="008647B5"/>
    <w:rsid w:val="00867D64"/>
    <w:rsid w:val="00872E8F"/>
    <w:rsid w:val="00875DCB"/>
    <w:rsid w:val="00876FBF"/>
    <w:rsid w:val="0087755A"/>
    <w:rsid w:val="00882085"/>
    <w:rsid w:val="008820D8"/>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43C7"/>
    <w:rsid w:val="008B6DCF"/>
    <w:rsid w:val="008C4C55"/>
    <w:rsid w:val="008C4D49"/>
    <w:rsid w:val="008D0945"/>
    <w:rsid w:val="008D1409"/>
    <w:rsid w:val="008D15CC"/>
    <w:rsid w:val="008D1729"/>
    <w:rsid w:val="008D1B5C"/>
    <w:rsid w:val="008D3C82"/>
    <w:rsid w:val="008D447E"/>
    <w:rsid w:val="008D4587"/>
    <w:rsid w:val="008D6ACF"/>
    <w:rsid w:val="008D7A41"/>
    <w:rsid w:val="008E2C72"/>
    <w:rsid w:val="008E2F36"/>
    <w:rsid w:val="008E3089"/>
    <w:rsid w:val="008E3680"/>
    <w:rsid w:val="008E4F87"/>
    <w:rsid w:val="008E5870"/>
    <w:rsid w:val="008E652B"/>
    <w:rsid w:val="008E77E4"/>
    <w:rsid w:val="008F0213"/>
    <w:rsid w:val="008F07ED"/>
    <w:rsid w:val="008F0F27"/>
    <w:rsid w:val="008F11D6"/>
    <w:rsid w:val="008F11F8"/>
    <w:rsid w:val="008F1434"/>
    <w:rsid w:val="008F2BB9"/>
    <w:rsid w:val="008F3D6A"/>
    <w:rsid w:val="008F54C3"/>
    <w:rsid w:val="008F7355"/>
    <w:rsid w:val="00901848"/>
    <w:rsid w:val="009023DC"/>
    <w:rsid w:val="009027C5"/>
    <w:rsid w:val="00904413"/>
    <w:rsid w:val="00906225"/>
    <w:rsid w:val="009067B7"/>
    <w:rsid w:val="00906E7A"/>
    <w:rsid w:val="00906E7F"/>
    <w:rsid w:val="0090775A"/>
    <w:rsid w:val="00907DFD"/>
    <w:rsid w:val="00911F26"/>
    <w:rsid w:val="009139F2"/>
    <w:rsid w:val="00913C99"/>
    <w:rsid w:val="009152B8"/>
    <w:rsid w:val="00917D69"/>
    <w:rsid w:val="00920B6D"/>
    <w:rsid w:val="00922EA0"/>
    <w:rsid w:val="00926560"/>
    <w:rsid w:val="00926B15"/>
    <w:rsid w:val="00930291"/>
    <w:rsid w:val="00930937"/>
    <w:rsid w:val="009324A6"/>
    <w:rsid w:val="00933B7D"/>
    <w:rsid w:val="00933E6C"/>
    <w:rsid w:val="00935A6E"/>
    <w:rsid w:val="00937958"/>
    <w:rsid w:val="009406E5"/>
    <w:rsid w:val="00941602"/>
    <w:rsid w:val="00942160"/>
    <w:rsid w:val="0094314D"/>
    <w:rsid w:val="00946921"/>
    <w:rsid w:val="00946EE4"/>
    <w:rsid w:val="00947343"/>
    <w:rsid w:val="0095146F"/>
    <w:rsid w:val="00951B05"/>
    <w:rsid w:val="00951F2D"/>
    <w:rsid w:val="00952278"/>
    <w:rsid w:val="00952839"/>
    <w:rsid w:val="0095307F"/>
    <w:rsid w:val="009534C7"/>
    <w:rsid w:val="00957944"/>
    <w:rsid w:val="009602C5"/>
    <w:rsid w:val="0096103A"/>
    <w:rsid w:val="00962223"/>
    <w:rsid w:val="0096252B"/>
    <w:rsid w:val="009644D9"/>
    <w:rsid w:val="00964A9F"/>
    <w:rsid w:val="00966D0D"/>
    <w:rsid w:val="00967732"/>
    <w:rsid w:val="0096783C"/>
    <w:rsid w:val="00967F16"/>
    <w:rsid w:val="00970023"/>
    <w:rsid w:val="009722B3"/>
    <w:rsid w:val="00973E24"/>
    <w:rsid w:val="00974C21"/>
    <w:rsid w:val="00974D5F"/>
    <w:rsid w:val="00975948"/>
    <w:rsid w:val="009772FD"/>
    <w:rsid w:val="00977BF3"/>
    <w:rsid w:val="009803E4"/>
    <w:rsid w:val="00980B0E"/>
    <w:rsid w:val="00982B39"/>
    <w:rsid w:val="009836A3"/>
    <w:rsid w:val="00983C07"/>
    <w:rsid w:val="00984C58"/>
    <w:rsid w:val="009855A8"/>
    <w:rsid w:val="00985CBE"/>
    <w:rsid w:val="00985D1A"/>
    <w:rsid w:val="00990CF8"/>
    <w:rsid w:val="009913F4"/>
    <w:rsid w:val="00991782"/>
    <w:rsid w:val="009937F7"/>
    <w:rsid w:val="0099465B"/>
    <w:rsid w:val="009951A1"/>
    <w:rsid w:val="00997A44"/>
    <w:rsid w:val="009A0CDD"/>
    <w:rsid w:val="009A3168"/>
    <w:rsid w:val="009A38B6"/>
    <w:rsid w:val="009A4621"/>
    <w:rsid w:val="009A4BDF"/>
    <w:rsid w:val="009A56E2"/>
    <w:rsid w:val="009A5D04"/>
    <w:rsid w:val="009A61CA"/>
    <w:rsid w:val="009B0C64"/>
    <w:rsid w:val="009B0F67"/>
    <w:rsid w:val="009B208A"/>
    <w:rsid w:val="009B2756"/>
    <w:rsid w:val="009B3D56"/>
    <w:rsid w:val="009B3F8C"/>
    <w:rsid w:val="009B5127"/>
    <w:rsid w:val="009B533B"/>
    <w:rsid w:val="009B546B"/>
    <w:rsid w:val="009C1E6C"/>
    <w:rsid w:val="009C26AA"/>
    <w:rsid w:val="009C3294"/>
    <w:rsid w:val="009C703C"/>
    <w:rsid w:val="009D0A8D"/>
    <w:rsid w:val="009D0C29"/>
    <w:rsid w:val="009D1592"/>
    <w:rsid w:val="009D206E"/>
    <w:rsid w:val="009D3827"/>
    <w:rsid w:val="009D3CAA"/>
    <w:rsid w:val="009D507A"/>
    <w:rsid w:val="009D6532"/>
    <w:rsid w:val="009D71FD"/>
    <w:rsid w:val="009E06F0"/>
    <w:rsid w:val="009E0755"/>
    <w:rsid w:val="009E10AD"/>
    <w:rsid w:val="009E2588"/>
    <w:rsid w:val="009E2E8E"/>
    <w:rsid w:val="009E40E1"/>
    <w:rsid w:val="009E43BB"/>
    <w:rsid w:val="009F029A"/>
    <w:rsid w:val="009F0EFA"/>
    <w:rsid w:val="009F4E46"/>
    <w:rsid w:val="009F5B65"/>
    <w:rsid w:val="009F5F2E"/>
    <w:rsid w:val="009F7B1D"/>
    <w:rsid w:val="00A01432"/>
    <w:rsid w:val="00A04E91"/>
    <w:rsid w:val="00A06225"/>
    <w:rsid w:val="00A066E6"/>
    <w:rsid w:val="00A110D1"/>
    <w:rsid w:val="00A12587"/>
    <w:rsid w:val="00A128E6"/>
    <w:rsid w:val="00A144D3"/>
    <w:rsid w:val="00A17442"/>
    <w:rsid w:val="00A17EA7"/>
    <w:rsid w:val="00A21D7D"/>
    <w:rsid w:val="00A22AC3"/>
    <w:rsid w:val="00A2351E"/>
    <w:rsid w:val="00A23F3F"/>
    <w:rsid w:val="00A24067"/>
    <w:rsid w:val="00A24868"/>
    <w:rsid w:val="00A24A4B"/>
    <w:rsid w:val="00A2744D"/>
    <w:rsid w:val="00A30D16"/>
    <w:rsid w:val="00A3107E"/>
    <w:rsid w:val="00A33542"/>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B87"/>
    <w:rsid w:val="00A801AD"/>
    <w:rsid w:val="00A81851"/>
    <w:rsid w:val="00A81FD8"/>
    <w:rsid w:val="00A828F7"/>
    <w:rsid w:val="00A8390C"/>
    <w:rsid w:val="00A86AE0"/>
    <w:rsid w:val="00A912B0"/>
    <w:rsid w:val="00A91362"/>
    <w:rsid w:val="00A9151C"/>
    <w:rsid w:val="00A9182F"/>
    <w:rsid w:val="00A919C6"/>
    <w:rsid w:val="00A922E4"/>
    <w:rsid w:val="00A928BD"/>
    <w:rsid w:val="00A97DE9"/>
    <w:rsid w:val="00AA12CD"/>
    <w:rsid w:val="00AA4300"/>
    <w:rsid w:val="00AA4D1C"/>
    <w:rsid w:val="00AA52FD"/>
    <w:rsid w:val="00AA7006"/>
    <w:rsid w:val="00AB243F"/>
    <w:rsid w:val="00AB3138"/>
    <w:rsid w:val="00AB4684"/>
    <w:rsid w:val="00AB5856"/>
    <w:rsid w:val="00AC0379"/>
    <w:rsid w:val="00AC081D"/>
    <w:rsid w:val="00AC0C6F"/>
    <w:rsid w:val="00AC1266"/>
    <w:rsid w:val="00AC193C"/>
    <w:rsid w:val="00AC196D"/>
    <w:rsid w:val="00AC30C1"/>
    <w:rsid w:val="00AC4DE5"/>
    <w:rsid w:val="00AC5206"/>
    <w:rsid w:val="00AD095B"/>
    <w:rsid w:val="00AD3106"/>
    <w:rsid w:val="00AD4322"/>
    <w:rsid w:val="00AE11A5"/>
    <w:rsid w:val="00AE13E2"/>
    <w:rsid w:val="00AE22D3"/>
    <w:rsid w:val="00AE5A49"/>
    <w:rsid w:val="00AE741B"/>
    <w:rsid w:val="00AF11D8"/>
    <w:rsid w:val="00AF2B1D"/>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3DE0"/>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4EE7"/>
    <w:rsid w:val="00B36831"/>
    <w:rsid w:val="00B37A23"/>
    <w:rsid w:val="00B37CF8"/>
    <w:rsid w:val="00B42AF4"/>
    <w:rsid w:val="00B43E90"/>
    <w:rsid w:val="00B44308"/>
    <w:rsid w:val="00B45722"/>
    <w:rsid w:val="00B46484"/>
    <w:rsid w:val="00B467DC"/>
    <w:rsid w:val="00B47A88"/>
    <w:rsid w:val="00B5188F"/>
    <w:rsid w:val="00B52303"/>
    <w:rsid w:val="00B5392A"/>
    <w:rsid w:val="00B539EF"/>
    <w:rsid w:val="00B54699"/>
    <w:rsid w:val="00B56118"/>
    <w:rsid w:val="00B566E1"/>
    <w:rsid w:val="00B56AFB"/>
    <w:rsid w:val="00B57D28"/>
    <w:rsid w:val="00B602F6"/>
    <w:rsid w:val="00B62EC1"/>
    <w:rsid w:val="00B64A96"/>
    <w:rsid w:val="00B6533B"/>
    <w:rsid w:val="00B6773F"/>
    <w:rsid w:val="00B70EB3"/>
    <w:rsid w:val="00B72906"/>
    <w:rsid w:val="00B729D5"/>
    <w:rsid w:val="00B74F48"/>
    <w:rsid w:val="00B7525E"/>
    <w:rsid w:val="00B75433"/>
    <w:rsid w:val="00B75F70"/>
    <w:rsid w:val="00B760FB"/>
    <w:rsid w:val="00B76765"/>
    <w:rsid w:val="00B767AB"/>
    <w:rsid w:val="00B801BA"/>
    <w:rsid w:val="00B812D6"/>
    <w:rsid w:val="00B84D5C"/>
    <w:rsid w:val="00B85AF6"/>
    <w:rsid w:val="00B92E46"/>
    <w:rsid w:val="00B9366C"/>
    <w:rsid w:val="00B956ED"/>
    <w:rsid w:val="00B963D6"/>
    <w:rsid w:val="00BA1774"/>
    <w:rsid w:val="00BA25BE"/>
    <w:rsid w:val="00BA2DA8"/>
    <w:rsid w:val="00BA347C"/>
    <w:rsid w:val="00BA4C79"/>
    <w:rsid w:val="00BB298A"/>
    <w:rsid w:val="00BB3469"/>
    <w:rsid w:val="00BB5C49"/>
    <w:rsid w:val="00BB6240"/>
    <w:rsid w:val="00BB6285"/>
    <w:rsid w:val="00BB69F5"/>
    <w:rsid w:val="00BB6E48"/>
    <w:rsid w:val="00BB7EC3"/>
    <w:rsid w:val="00BC04B1"/>
    <w:rsid w:val="00BC0D79"/>
    <w:rsid w:val="00BC470E"/>
    <w:rsid w:val="00BC4B9A"/>
    <w:rsid w:val="00BC5F28"/>
    <w:rsid w:val="00BD02C3"/>
    <w:rsid w:val="00BD7483"/>
    <w:rsid w:val="00BD784C"/>
    <w:rsid w:val="00BE020A"/>
    <w:rsid w:val="00BE13DF"/>
    <w:rsid w:val="00BE1EF0"/>
    <w:rsid w:val="00BE25D7"/>
    <w:rsid w:val="00BE59B9"/>
    <w:rsid w:val="00BE61D0"/>
    <w:rsid w:val="00BF092C"/>
    <w:rsid w:val="00BF1B79"/>
    <w:rsid w:val="00BF27A0"/>
    <w:rsid w:val="00BF4CB6"/>
    <w:rsid w:val="00BF51E1"/>
    <w:rsid w:val="00BF5D23"/>
    <w:rsid w:val="00BF6CBD"/>
    <w:rsid w:val="00C00DA7"/>
    <w:rsid w:val="00C034FB"/>
    <w:rsid w:val="00C04CDE"/>
    <w:rsid w:val="00C059D5"/>
    <w:rsid w:val="00C068A6"/>
    <w:rsid w:val="00C12768"/>
    <w:rsid w:val="00C12D70"/>
    <w:rsid w:val="00C16724"/>
    <w:rsid w:val="00C21B09"/>
    <w:rsid w:val="00C25EFF"/>
    <w:rsid w:val="00C2673A"/>
    <w:rsid w:val="00C278CD"/>
    <w:rsid w:val="00C27B58"/>
    <w:rsid w:val="00C27C1C"/>
    <w:rsid w:val="00C3166C"/>
    <w:rsid w:val="00C31D1A"/>
    <w:rsid w:val="00C33186"/>
    <w:rsid w:val="00C35996"/>
    <w:rsid w:val="00C42BCD"/>
    <w:rsid w:val="00C4485F"/>
    <w:rsid w:val="00C46C13"/>
    <w:rsid w:val="00C4747E"/>
    <w:rsid w:val="00C5151E"/>
    <w:rsid w:val="00C52256"/>
    <w:rsid w:val="00C5342C"/>
    <w:rsid w:val="00C536C0"/>
    <w:rsid w:val="00C53B2B"/>
    <w:rsid w:val="00C56D78"/>
    <w:rsid w:val="00C57465"/>
    <w:rsid w:val="00C57529"/>
    <w:rsid w:val="00C60272"/>
    <w:rsid w:val="00C603D4"/>
    <w:rsid w:val="00C6256A"/>
    <w:rsid w:val="00C63FDA"/>
    <w:rsid w:val="00C64EBC"/>
    <w:rsid w:val="00C664D2"/>
    <w:rsid w:val="00C677E1"/>
    <w:rsid w:val="00C700D9"/>
    <w:rsid w:val="00C70E6E"/>
    <w:rsid w:val="00C710E2"/>
    <w:rsid w:val="00C71C3F"/>
    <w:rsid w:val="00C7208F"/>
    <w:rsid w:val="00C73AEF"/>
    <w:rsid w:val="00C7409E"/>
    <w:rsid w:val="00C74D6D"/>
    <w:rsid w:val="00C76A3A"/>
    <w:rsid w:val="00C76E76"/>
    <w:rsid w:val="00C77891"/>
    <w:rsid w:val="00C77B74"/>
    <w:rsid w:val="00C80E80"/>
    <w:rsid w:val="00C82062"/>
    <w:rsid w:val="00C829A9"/>
    <w:rsid w:val="00C87B80"/>
    <w:rsid w:val="00C90330"/>
    <w:rsid w:val="00C91449"/>
    <w:rsid w:val="00C92D10"/>
    <w:rsid w:val="00C92F79"/>
    <w:rsid w:val="00C95200"/>
    <w:rsid w:val="00C96EC0"/>
    <w:rsid w:val="00CA06F9"/>
    <w:rsid w:val="00CA14BB"/>
    <w:rsid w:val="00CA230C"/>
    <w:rsid w:val="00CA3823"/>
    <w:rsid w:val="00CA48D9"/>
    <w:rsid w:val="00CB1193"/>
    <w:rsid w:val="00CB4767"/>
    <w:rsid w:val="00CB493D"/>
    <w:rsid w:val="00CC00C7"/>
    <w:rsid w:val="00CC043B"/>
    <w:rsid w:val="00CC3B97"/>
    <w:rsid w:val="00CC5C70"/>
    <w:rsid w:val="00CD613D"/>
    <w:rsid w:val="00CD6257"/>
    <w:rsid w:val="00CD66C7"/>
    <w:rsid w:val="00CD7C0B"/>
    <w:rsid w:val="00CE10C4"/>
    <w:rsid w:val="00CE2343"/>
    <w:rsid w:val="00CE27B5"/>
    <w:rsid w:val="00CE2BDF"/>
    <w:rsid w:val="00CE6D24"/>
    <w:rsid w:val="00CE6DAF"/>
    <w:rsid w:val="00CF02F0"/>
    <w:rsid w:val="00CF410A"/>
    <w:rsid w:val="00CF7528"/>
    <w:rsid w:val="00CF7FDE"/>
    <w:rsid w:val="00D012AF"/>
    <w:rsid w:val="00D0321E"/>
    <w:rsid w:val="00D05457"/>
    <w:rsid w:val="00D069EB"/>
    <w:rsid w:val="00D06F5E"/>
    <w:rsid w:val="00D07A8A"/>
    <w:rsid w:val="00D10E31"/>
    <w:rsid w:val="00D11199"/>
    <w:rsid w:val="00D11F22"/>
    <w:rsid w:val="00D127B3"/>
    <w:rsid w:val="00D136BF"/>
    <w:rsid w:val="00D1455A"/>
    <w:rsid w:val="00D14573"/>
    <w:rsid w:val="00D14A70"/>
    <w:rsid w:val="00D15D50"/>
    <w:rsid w:val="00D207EA"/>
    <w:rsid w:val="00D211FB"/>
    <w:rsid w:val="00D22093"/>
    <w:rsid w:val="00D25130"/>
    <w:rsid w:val="00D31150"/>
    <w:rsid w:val="00D3138B"/>
    <w:rsid w:val="00D31EA0"/>
    <w:rsid w:val="00D31FCE"/>
    <w:rsid w:val="00D3280C"/>
    <w:rsid w:val="00D3406A"/>
    <w:rsid w:val="00D34D24"/>
    <w:rsid w:val="00D365EA"/>
    <w:rsid w:val="00D40B11"/>
    <w:rsid w:val="00D42864"/>
    <w:rsid w:val="00D429EC"/>
    <w:rsid w:val="00D441F1"/>
    <w:rsid w:val="00D4572C"/>
    <w:rsid w:val="00D469B2"/>
    <w:rsid w:val="00D52B24"/>
    <w:rsid w:val="00D52EAA"/>
    <w:rsid w:val="00D52ECF"/>
    <w:rsid w:val="00D5452B"/>
    <w:rsid w:val="00D54B09"/>
    <w:rsid w:val="00D6243E"/>
    <w:rsid w:val="00D65658"/>
    <w:rsid w:val="00D67EB2"/>
    <w:rsid w:val="00D70349"/>
    <w:rsid w:val="00D72B6F"/>
    <w:rsid w:val="00D741EB"/>
    <w:rsid w:val="00D74CEA"/>
    <w:rsid w:val="00D7561B"/>
    <w:rsid w:val="00D7679C"/>
    <w:rsid w:val="00D77412"/>
    <w:rsid w:val="00D80948"/>
    <w:rsid w:val="00D816A1"/>
    <w:rsid w:val="00D820F3"/>
    <w:rsid w:val="00D83605"/>
    <w:rsid w:val="00D84934"/>
    <w:rsid w:val="00D866EB"/>
    <w:rsid w:val="00D87D1A"/>
    <w:rsid w:val="00D906DA"/>
    <w:rsid w:val="00D91271"/>
    <w:rsid w:val="00D919F5"/>
    <w:rsid w:val="00D945F6"/>
    <w:rsid w:val="00D94F03"/>
    <w:rsid w:val="00D95161"/>
    <w:rsid w:val="00D955DB"/>
    <w:rsid w:val="00D95C23"/>
    <w:rsid w:val="00DA0A82"/>
    <w:rsid w:val="00DA0D14"/>
    <w:rsid w:val="00DA1FC9"/>
    <w:rsid w:val="00DA2CB5"/>
    <w:rsid w:val="00DA358F"/>
    <w:rsid w:val="00DA383E"/>
    <w:rsid w:val="00DA4BAC"/>
    <w:rsid w:val="00DA4CA9"/>
    <w:rsid w:val="00DA722E"/>
    <w:rsid w:val="00DA792A"/>
    <w:rsid w:val="00DB0151"/>
    <w:rsid w:val="00DB0160"/>
    <w:rsid w:val="00DB04D7"/>
    <w:rsid w:val="00DB16DF"/>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54F8"/>
    <w:rsid w:val="00DE6D27"/>
    <w:rsid w:val="00DE76EA"/>
    <w:rsid w:val="00DE7A75"/>
    <w:rsid w:val="00DF01F8"/>
    <w:rsid w:val="00DF021D"/>
    <w:rsid w:val="00DF14EE"/>
    <w:rsid w:val="00DF217D"/>
    <w:rsid w:val="00DF26A7"/>
    <w:rsid w:val="00DF3277"/>
    <w:rsid w:val="00DF6A31"/>
    <w:rsid w:val="00DF77A1"/>
    <w:rsid w:val="00DF7919"/>
    <w:rsid w:val="00E0207E"/>
    <w:rsid w:val="00E02AE6"/>
    <w:rsid w:val="00E03912"/>
    <w:rsid w:val="00E04748"/>
    <w:rsid w:val="00E04934"/>
    <w:rsid w:val="00E060AF"/>
    <w:rsid w:val="00E078D9"/>
    <w:rsid w:val="00E10293"/>
    <w:rsid w:val="00E103A0"/>
    <w:rsid w:val="00E1043F"/>
    <w:rsid w:val="00E11F44"/>
    <w:rsid w:val="00E13E60"/>
    <w:rsid w:val="00E143A4"/>
    <w:rsid w:val="00E15627"/>
    <w:rsid w:val="00E164B3"/>
    <w:rsid w:val="00E16910"/>
    <w:rsid w:val="00E21164"/>
    <w:rsid w:val="00E217CA"/>
    <w:rsid w:val="00E22509"/>
    <w:rsid w:val="00E239E2"/>
    <w:rsid w:val="00E24116"/>
    <w:rsid w:val="00E24E09"/>
    <w:rsid w:val="00E27234"/>
    <w:rsid w:val="00E3495C"/>
    <w:rsid w:val="00E42BDB"/>
    <w:rsid w:val="00E47632"/>
    <w:rsid w:val="00E524A9"/>
    <w:rsid w:val="00E53F1A"/>
    <w:rsid w:val="00E55411"/>
    <w:rsid w:val="00E564C4"/>
    <w:rsid w:val="00E56DE2"/>
    <w:rsid w:val="00E5726D"/>
    <w:rsid w:val="00E57EEB"/>
    <w:rsid w:val="00E62B9C"/>
    <w:rsid w:val="00E62D94"/>
    <w:rsid w:val="00E62ECC"/>
    <w:rsid w:val="00E64F37"/>
    <w:rsid w:val="00E65091"/>
    <w:rsid w:val="00E65393"/>
    <w:rsid w:val="00E65E54"/>
    <w:rsid w:val="00E661C7"/>
    <w:rsid w:val="00E66679"/>
    <w:rsid w:val="00E732C4"/>
    <w:rsid w:val="00E74E41"/>
    <w:rsid w:val="00E80155"/>
    <w:rsid w:val="00E8134B"/>
    <w:rsid w:val="00E81DBC"/>
    <w:rsid w:val="00E81E0D"/>
    <w:rsid w:val="00E81F28"/>
    <w:rsid w:val="00E848C0"/>
    <w:rsid w:val="00E84BB8"/>
    <w:rsid w:val="00E85F55"/>
    <w:rsid w:val="00E86F92"/>
    <w:rsid w:val="00E91B96"/>
    <w:rsid w:val="00E92F2E"/>
    <w:rsid w:val="00E935DA"/>
    <w:rsid w:val="00E93D1E"/>
    <w:rsid w:val="00E941A1"/>
    <w:rsid w:val="00E95CE3"/>
    <w:rsid w:val="00E95F9A"/>
    <w:rsid w:val="00EA0856"/>
    <w:rsid w:val="00EA1DC4"/>
    <w:rsid w:val="00EA22FD"/>
    <w:rsid w:val="00EA252F"/>
    <w:rsid w:val="00EA2825"/>
    <w:rsid w:val="00EA4BA1"/>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0F55"/>
    <w:rsid w:val="00EE2F77"/>
    <w:rsid w:val="00EE3158"/>
    <w:rsid w:val="00EE31A2"/>
    <w:rsid w:val="00EE4329"/>
    <w:rsid w:val="00EE5E8F"/>
    <w:rsid w:val="00EE6203"/>
    <w:rsid w:val="00EF0069"/>
    <w:rsid w:val="00EF3C52"/>
    <w:rsid w:val="00EF4356"/>
    <w:rsid w:val="00EF44A0"/>
    <w:rsid w:val="00EF4580"/>
    <w:rsid w:val="00EF4FED"/>
    <w:rsid w:val="00EF59FB"/>
    <w:rsid w:val="00EF5F45"/>
    <w:rsid w:val="00EF6843"/>
    <w:rsid w:val="00EF6941"/>
    <w:rsid w:val="00EF6FB3"/>
    <w:rsid w:val="00F0068B"/>
    <w:rsid w:val="00F007C6"/>
    <w:rsid w:val="00F0172E"/>
    <w:rsid w:val="00F044C1"/>
    <w:rsid w:val="00F050BD"/>
    <w:rsid w:val="00F05657"/>
    <w:rsid w:val="00F05AB0"/>
    <w:rsid w:val="00F12C74"/>
    <w:rsid w:val="00F13214"/>
    <w:rsid w:val="00F13A09"/>
    <w:rsid w:val="00F1559A"/>
    <w:rsid w:val="00F17ED6"/>
    <w:rsid w:val="00F20676"/>
    <w:rsid w:val="00F209E2"/>
    <w:rsid w:val="00F2197C"/>
    <w:rsid w:val="00F21E06"/>
    <w:rsid w:val="00F2398F"/>
    <w:rsid w:val="00F23B95"/>
    <w:rsid w:val="00F25578"/>
    <w:rsid w:val="00F258E5"/>
    <w:rsid w:val="00F25B9C"/>
    <w:rsid w:val="00F2675A"/>
    <w:rsid w:val="00F26CC6"/>
    <w:rsid w:val="00F300BC"/>
    <w:rsid w:val="00F305FA"/>
    <w:rsid w:val="00F3263C"/>
    <w:rsid w:val="00F3334E"/>
    <w:rsid w:val="00F34FC9"/>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3731"/>
    <w:rsid w:val="00F54AF9"/>
    <w:rsid w:val="00F550CF"/>
    <w:rsid w:val="00F553D2"/>
    <w:rsid w:val="00F56A2D"/>
    <w:rsid w:val="00F57A6D"/>
    <w:rsid w:val="00F6044B"/>
    <w:rsid w:val="00F62F19"/>
    <w:rsid w:val="00F638CC"/>
    <w:rsid w:val="00F64C9E"/>
    <w:rsid w:val="00F64CC1"/>
    <w:rsid w:val="00F674F7"/>
    <w:rsid w:val="00F708B1"/>
    <w:rsid w:val="00F72317"/>
    <w:rsid w:val="00F73A7E"/>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19A9"/>
    <w:rsid w:val="00F9265D"/>
    <w:rsid w:val="00F94B5F"/>
    <w:rsid w:val="00F9629A"/>
    <w:rsid w:val="00F97EFC"/>
    <w:rsid w:val="00FA0B04"/>
    <w:rsid w:val="00FA0C7C"/>
    <w:rsid w:val="00FA1BDD"/>
    <w:rsid w:val="00FA2389"/>
    <w:rsid w:val="00FA305C"/>
    <w:rsid w:val="00FA462E"/>
    <w:rsid w:val="00FA4DD5"/>
    <w:rsid w:val="00FA5883"/>
    <w:rsid w:val="00FA6055"/>
    <w:rsid w:val="00FB0B39"/>
    <w:rsid w:val="00FB322F"/>
    <w:rsid w:val="00FB3EEB"/>
    <w:rsid w:val="00FB442F"/>
    <w:rsid w:val="00FB69A6"/>
    <w:rsid w:val="00FC0534"/>
    <w:rsid w:val="00FC118C"/>
    <w:rsid w:val="00FC1929"/>
    <w:rsid w:val="00FC5B46"/>
    <w:rsid w:val="00FC6A82"/>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Tabellengitternetz 9pt,PBAC table,HTAtableplain,new sty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NormalWeb">
    <w:name w:val="Normal (Web)"/>
    <w:basedOn w:val="Normal"/>
    <w:uiPriority w:val="99"/>
    <w:unhideWhenUsed/>
    <w:rsid w:val="00F94B5F"/>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F9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03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11638297">
      <w:bodyDiv w:val="1"/>
      <w:marLeft w:val="0"/>
      <w:marRight w:val="0"/>
      <w:marTop w:val="0"/>
      <w:marBottom w:val="0"/>
      <w:divBdr>
        <w:top w:val="none" w:sz="0" w:space="0" w:color="auto"/>
        <w:left w:val="none" w:sz="0" w:space="0" w:color="auto"/>
        <w:bottom w:val="none" w:sz="0" w:space="0" w:color="auto"/>
        <w:right w:val="none" w:sz="0" w:space="0" w:color="auto"/>
      </w:divBdr>
    </w:div>
    <w:div w:id="188226664">
      <w:bodyDiv w:val="1"/>
      <w:marLeft w:val="0"/>
      <w:marRight w:val="0"/>
      <w:marTop w:val="0"/>
      <w:marBottom w:val="0"/>
      <w:divBdr>
        <w:top w:val="none" w:sz="0" w:space="0" w:color="auto"/>
        <w:left w:val="none" w:sz="0" w:space="0" w:color="auto"/>
        <w:bottom w:val="none" w:sz="0" w:space="0" w:color="auto"/>
        <w:right w:val="none" w:sz="0" w:space="0" w:color="auto"/>
      </w:divBdr>
    </w:div>
    <w:div w:id="188883204">
      <w:bodyDiv w:val="1"/>
      <w:marLeft w:val="0"/>
      <w:marRight w:val="0"/>
      <w:marTop w:val="0"/>
      <w:marBottom w:val="0"/>
      <w:divBdr>
        <w:top w:val="none" w:sz="0" w:space="0" w:color="auto"/>
        <w:left w:val="none" w:sz="0" w:space="0" w:color="auto"/>
        <w:bottom w:val="none" w:sz="0" w:space="0" w:color="auto"/>
        <w:right w:val="none" w:sz="0" w:space="0" w:color="auto"/>
      </w:divBdr>
    </w:div>
    <w:div w:id="232469803">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55893231">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09199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2553281">
      <w:bodyDiv w:val="1"/>
      <w:marLeft w:val="0"/>
      <w:marRight w:val="0"/>
      <w:marTop w:val="0"/>
      <w:marBottom w:val="0"/>
      <w:divBdr>
        <w:top w:val="none" w:sz="0" w:space="0" w:color="auto"/>
        <w:left w:val="none" w:sz="0" w:space="0" w:color="auto"/>
        <w:bottom w:val="none" w:sz="0" w:space="0" w:color="auto"/>
        <w:right w:val="none" w:sz="0" w:space="0" w:color="auto"/>
      </w:divBdr>
    </w:div>
    <w:div w:id="94222180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04377850">
      <w:bodyDiv w:val="1"/>
      <w:marLeft w:val="0"/>
      <w:marRight w:val="0"/>
      <w:marTop w:val="0"/>
      <w:marBottom w:val="0"/>
      <w:divBdr>
        <w:top w:val="none" w:sz="0" w:space="0" w:color="auto"/>
        <w:left w:val="none" w:sz="0" w:space="0" w:color="auto"/>
        <w:bottom w:val="none" w:sz="0" w:space="0" w:color="auto"/>
        <w:right w:val="none" w:sz="0" w:space="0" w:color="auto"/>
      </w:divBdr>
    </w:div>
    <w:div w:id="114264934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3225930">
      <w:bodyDiv w:val="1"/>
      <w:marLeft w:val="0"/>
      <w:marRight w:val="0"/>
      <w:marTop w:val="0"/>
      <w:marBottom w:val="0"/>
      <w:divBdr>
        <w:top w:val="none" w:sz="0" w:space="0" w:color="auto"/>
        <w:left w:val="none" w:sz="0" w:space="0" w:color="auto"/>
        <w:bottom w:val="none" w:sz="0" w:space="0" w:color="auto"/>
        <w:right w:val="none" w:sz="0" w:space="0" w:color="auto"/>
      </w:divBdr>
    </w:div>
    <w:div w:id="1216620749">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316593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8350404">
      <w:bodyDiv w:val="1"/>
      <w:marLeft w:val="0"/>
      <w:marRight w:val="0"/>
      <w:marTop w:val="0"/>
      <w:marBottom w:val="0"/>
      <w:divBdr>
        <w:top w:val="none" w:sz="0" w:space="0" w:color="auto"/>
        <w:left w:val="none" w:sz="0" w:space="0" w:color="auto"/>
        <w:bottom w:val="none" w:sz="0" w:space="0" w:color="auto"/>
        <w:right w:val="none" w:sz="0" w:space="0" w:color="auto"/>
      </w:divBdr>
    </w:div>
    <w:div w:id="1842549293">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6640</Words>
  <Characters>37061</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2023-07-09T22:58:00Z</dcterms:created>
  <dcterms:modified xsi:type="dcterms:W3CDTF">2023-07-09T22:58:00Z</dcterms:modified>
</cp:coreProperties>
</file>