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FE05350" w:rsidR="00872E8F" w:rsidRPr="007A5C88" w:rsidRDefault="004B0C02" w:rsidP="007A5C88">
      <w:pPr>
        <w:pStyle w:val="1MainTitle"/>
        <w:jc w:val="left"/>
      </w:pPr>
      <w:r>
        <w:t>6</w:t>
      </w:r>
      <w:r w:rsidR="70971A32">
        <w:t>.</w:t>
      </w:r>
      <w:r>
        <w:t>20</w:t>
      </w:r>
      <w:r w:rsidR="00872E8F">
        <w:tab/>
      </w:r>
      <w:r w:rsidR="009E6A2A">
        <w:t>TICAGRELOR</w:t>
      </w:r>
      <w:r w:rsidR="005F133D">
        <w:t>,</w:t>
      </w:r>
      <w:r w:rsidR="00872E8F">
        <w:br/>
      </w:r>
      <w:r w:rsidR="009E6A2A">
        <w:t>Tablet 90 mg</w:t>
      </w:r>
      <w:r w:rsidR="005F133D">
        <w:t>,</w:t>
      </w:r>
      <w:r w:rsidR="00872E8F">
        <w:br/>
      </w:r>
      <w:r w:rsidR="70971A32">
        <w:t>B</w:t>
      </w:r>
      <w:r w:rsidR="009E6A2A">
        <w:t>rilinta</w:t>
      </w:r>
      <w:r w:rsidR="70971A32">
        <w:t>®,</w:t>
      </w:r>
      <w:r w:rsidR="00872E8F">
        <w:br/>
      </w:r>
      <w:r w:rsidR="009E6A2A">
        <w:t xml:space="preserve">AstraZeneca Pty Ltd </w:t>
      </w:r>
    </w:p>
    <w:p w14:paraId="5F4D54C1" w14:textId="109E42CE"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4D6562E" w14:textId="070B0820" w:rsidR="00E11F44" w:rsidRPr="009D507A" w:rsidRDefault="00551CE1" w:rsidP="000D1D2F">
      <w:pPr>
        <w:pStyle w:val="3Bodytext"/>
        <w:numPr>
          <w:ilvl w:val="0"/>
          <w:numId w:val="0"/>
        </w:numPr>
        <w:ind w:left="720"/>
        <w:jc w:val="both"/>
        <w:rPr>
          <w:rFonts w:cstheme="minorHAnsi"/>
        </w:rPr>
      </w:pPr>
      <w:r>
        <w:t>T</w:t>
      </w:r>
      <w:r w:rsidR="006C6C10" w:rsidRPr="007B4F46">
        <w:t xml:space="preserve">he Category </w:t>
      </w:r>
      <w:r w:rsidR="009E6A2A" w:rsidRPr="007B4F46">
        <w:t>3</w:t>
      </w:r>
      <w:r w:rsidR="00C96EC0" w:rsidRPr="007B4F46">
        <w:t xml:space="preserve"> </w:t>
      </w:r>
      <w:r w:rsidR="006C6C10" w:rsidRPr="008330C1">
        <w:t xml:space="preserve">submission </w:t>
      </w:r>
      <w:r w:rsidR="007813B8" w:rsidRPr="008330C1">
        <w:t xml:space="preserve">requested a change to the restriction level of </w:t>
      </w:r>
      <w:r w:rsidR="005B3F5D" w:rsidRPr="008330C1">
        <w:t xml:space="preserve">ticagrelor (Brilinta®) for </w:t>
      </w:r>
      <w:r w:rsidRPr="008F4CCE">
        <w:t xml:space="preserve">the treatment of </w:t>
      </w:r>
      <w:r w:rsidR="005B3F5D" w:rsidRPr="008F4CCE">
        <w:t xml:space="preserve">acute </w:t>
      </w:r>
      <w:r w:rsidR="00996E7F" w:rsidRPr="008F4CCE">
        <w:t>coronary syndrome</w:t>
      </w:r>
      <w:r w:rsidR="008B252F" w:rsidRPr="008F4CCE">
        <w:t xml:space="preserve"> (ACS)</w:t>
      </w:r>
      <w:r w:rsidR="005B3F5D" w:rsidRPr="008F4CCE">
        <w:t xml:space="preserve"> </w:t>
      </w:r>
      <w:r w:rsidR="007813B8" w:rsidRPr="007B4F46">
        <w:t xml:space="preserve">from Authority Required (STREAMLINED) to </w:t>
      </w:r>
      <w:r w:rsidR="005B3F5D" w:rsidRPr="007B4F46">
        <w:t>Un</w:t>
      </w:r>
      <w:r w:rsidR="007813B8" w:rsidRPr="007B4F46">
        <w:t xml:space="preserve">restricted </w:t>
      </w:r>
      <w:r w:rsidR="005B3F5D" w:rsidRPr="007B4F46">
        <w:t>B</w:t>
      </w:r>
      <w:r w:rsidR="007813B8" w:rsidRPr="007B4F46">
        <w:t>enefit</w:t>
      </w:r>
      <w:r>
        <w:t xml:space="preserve"> </w:t>
      </w:r>
      <w:r>
        <w:rPr>
          <w:rFonts w:cstheme="minorHAnsi"/>
          <w:szCs w:val="24"/>
        </w:rPr>
        <w:t xml:space="preserve">to align with the recent change in restriction level of clopidogrel </w:t>
      </w:r>
      <w:r w:rsidR="00B50AFB">
        <w:rPr>
          <w:rFonts w:cstheme="minorHAnsi"/>
          <w:szCs w:val="24"/>
        </w:rPr>
        <w:t>for</w:t>
      </w:r>
      <w:r>
        <w:rPr>
          <w:rFonts w:cstheme="minorHAnsi"/>
          <w:szCs w:val="24"/>
        </w:rPr>
        <w:t xml:space="preserve"> the treatment of ACS.</w:t>
      </w:r>
    </w:p>
    <w:p w14:paraId="3D1D4320" w14:textId="77777777" w:rsidR="007E490F" w:rsidRPr="00FD6D8E" w:rsidRDefault="007E490F" w:rsidP="001F2311">
      <w:pPr>
        <w:pStyle w:val="2-SectionHeading"/>
        <w:numPr>
          <w:ilvl w:val="0"/>
          <w:numId w:val="2"/>
        </w:numPr>
      </w:pPr>
      <w:r w:rsidRPr="009E2E8E">
        <w:t>Background</w:t>
      </w:r>
      <w:r>
        <w:t xml:space="preserve"> </w:t>
      </w:r>
    </w:p>
    <w:p w14:paraId="33C2C319" w14:textId="66DF215F" w:rsidR="007E490F" w:rsidRDefault="007E490F" w:rsidP="007E490F">
      <w:pPr>
        <w:pStyle w:val="4-SubsectionHeading"/>
      </w:pPr>
      <w:r>
        <w:t>Registration</w:t>
      </w:r>
      <w:r w:rsidRPr="009324A6">
        <w:t xml:space="preserve"> status</w:t>
      </w:r>
    </w:p>
    <w:p w14:paraId="0F456A9E" w14:textId="51E40A87" w:rsidR="00BC04B1" w:rsidRDefault="00691D57" w:rsidP="000D1D2F">
      <w:pPr>
        <w:pStyle w:val="3Bodytext"/>
        <w:jc w:val="both"/>
      </w:pPr>
      <w:r>
        <w:t>Ticagrelor was TGA registered on 21 June 2011 for use</w:t>
      </w:r>
      <w:r w:rsidRPr="007B4F46">
        <w:t xml:space="preserve"> in combination with aspirin, for the prevention of atherothrombotic events (cardiovascular death, myocardial infarction and stroke) in adult patients with acute coronary syndromes (unstable angina, non</w:t>
      </w:r>
      <w:r w:rsidR="008330C1">
        <w:t>-</w:t>
      </w:r>
      <w:r w:rsidRPr="007B4F46">
        <w:t>ST elevation Myocardial Infarction</w:t>
      </w:r>
      <w:r w:rsidR="008330C1">
        <w:t xml:space="preserve"> </w:t>
      </w:r>
      <w:r w:rsidRPr="007B4F46">
        <w:t>or ST elevation Myocardial Infarction) including patients managed medically, and those who are managed with percutaneous coronary intervention or coronary artery by-pass grafting</w:t>
      </w:r>
      <w:r w:rsidR="00E461F3">
        <w:t xml:space="preserve"> (CABG)</w:t>
      </w:r>
      <w:r w:rsidRPr="007B4F46">
        <w:t>.</w:t>
      </w:r>
    </w:p>
    <w:p w14:paraId="0094486E" w14:textId="77777777" w:rsidR="007E490F" w:rsidRDefault="007E490F" w:rsidP="007E490F">
      <w:pPr>
        <w:pStyle w:val="4-SubsectionHeading"/>
      </w:pPr>
      <w:r w:rsidRPr="0012749D">
        <w:t xml:space="preserve">Previous PBAC consideration </w:t>
      </w:r>
    </w:p>
    <w:p w14:paraId="532A120A" w14:textId="2B73CBC1" w:rsidR="00691D57" w:rsidRPr="00A823D6" w:rsidRDefault="00F60945" w:rsidP="000D1D2F">
      <w:pPr>
        <w:pStyle w:val="3Bodytext"/>
        <w:jc w:val="both"/>
      </w:pPr>
      <w:r>
        <w:t xml:space="preserve">In </w:t>
      </w:r>
      <w:r w:rsidR="00AA61F4">
        <w:t xml:space="preserve">its </w:t>
      </w:r>
      <w:r>
        <w:t>July 2011 meeting, the PBAC recommended t</w:t>
      </w:r>
      <w:r w:rsidR="00691D57">
        <w:t xml:space="preserve">icagrelor </w:t>
      </w:r>
      <w:r w:rsidR="007E490F" w:rsidRPr="006458AB">
        <w:t xml:space="preserve">for </w:t>
      </w:r>
      <w:r w:rsidR="00691D57" w:rsidRPr="006458AB">
        <w:t xml:space="preserve">the treatment of ACS </w:t>
      </w:r>
      <w:r w:rsidR="00691D57">
        <w:t xml:space="preserve">in combination with aspirin </w:t>
      </w:r>
      <w:r>
        <w:t>on the basis of acceptable cost-effectiveness compared with clopidogrel in combination with aspirin</w:t>
      </w:r>
      <w:r w:rsidR="007E490F" w:rsidRPr="006458AB">
        <w:t>.</w:t>
      </w:r>
      <w:r w:rsidR="00691D57">
        <w:t xml:space="preserve"> Ticagrelor was PBS-listed on 1</w:t>
      </w:r>
      <w:r w:rsidR="00E50E6B">
        <w:t> August </w:t>
      </w:r>
      <w:r w:rsidR="00691D57">
        <w:t>2012.</w:t>
      </w:r>
    </w:p>
    <w:p w14:paraId="1B8790B6" w14:textId="2DF9A091" w:rsidR="00964A9F" w:rsidRDefault="00964A9F" w:rsidP="00964A9F">
      <w:pPr>
        <w:pStyle w:val="2-SectionHeading"/>
      </w:pPr>
      <w:r w:rsidRPr="009D507A">
        <w:t>Requested listing</w:t>
      </w:r>
    </w:p>
    <w:p w14:paraId="640BC01F" w14:textId="3A574DFB" w:rsidR="00A37282" w:rsidRDefault="00964A9F" w:rsidP="000D1D2F">
      <w:pPr>
        <w:pStyle w:val="3Bodytext"/>
        <w:jc w:val="both"/>
      </w:pPr>
      <w:r w:rsidRPr="00E0207E">
        <w:t xml:space="preserve">The submission requested </w:t>
      </w:r>
      <w:r w:rsidR="00A91202">
        <w:t>the existing listing</w:t>
      </w:r>
      <w:r w:rsidR="00A37282">
        <w:t xml:space="preserve"> of ticagrelor</w:t>
      </w:r>
      <w:r w:rsidR="00A91202">
        <w:t xml:space="preserve"> </w:t>
      </w:r>
      <w:r w:rsidR="00D10D92">
        <w:t xml:space="preserve">to </w:t>
      </w:r>
      <w:r w:rsidR="00A91202">
        <w:t>be amended from</w:t>
      </w:r>
      <w:r w:rsidR="00CF219C">
        <w:t xml:space="preserve"> </w:t>
      </w:r>
      <w:r w:rsidR="00A91202">
        <w:t>Authority Required (STREAMLINED) to Unrestricted Benefit</w:t>
      </w:r>
      <w:r w:rsidR="00A37282">
        <w:t xml:space="preserve"> to align with the </w:t>
      </w:r>
      <w:r w:rsidR="00DC7D4D">
        <w:t xml:space="preserve">change in </w:t>
      </w:r>
      <w:r w:rsidR="00A37282">
        <w:t xml:space="preserve">restriction level of clopidogrel that was </w:t>
      </w:r>
      <w:r w:rsidR="00DC7D4D">
        <w:t>effective</w:t>
      </w:r>
      <w:r w:rsidR="00A37282">
        <w:t xml:space="preserve"> on 1 May 2022</w:t>
      </w:r>
      <w:r w:rsidR="00BC01B1">
        <w:t>.</w:t>
      </w:r>
    </w:p>
    <w:p w14:paraId="0F64056D" w14:textId="0D5CD50E" w:rsidR="00C37CF0" w:rsidRDefault="00A37282" w:rsidP="000D1D2F">
      <w:pPr>
        <w:pStyle w:val="3Bodytext"/>
        <w:jc w:val="both"/>
      </w:pPr>
      <w:r>
        <w:t>At</w:t>
      </w:r>
      <w:r w:rsidR="00D10D92">
        <w:t xml:space="preserve"> its</w:t>
      </w:r>
      <w:r>
        <w:t xml:space="preserve"> December 2021 Intracycle meeting, the PBAC recommended the listing of clopidogrel and clopidogrel with aspirin be changed from Authority Required (STREAMLINED) to Unrestricted Benefit. The PBAC noted clinician feedback received regarding the barriers that the current Authority Required (STREAMLINED) listings present in certain circumstances and how the place in therapy of clopidogrel has evolved over time. The PBAC considered that unrestricted listings</w:t>
      </w:r>
      <w:r w:rsidR="0022659D">
        <w:t xml:space="preserve"> for clopidogrel and clopidogrel with aspirin</w:t>
      </w:r>
      <w:r>
        <w:t xml:space="preserve"> would reduce the burden for prescribers and enable better access for patients in need of antiplatelet therapy.</w:t>
      </w:r>
    </w:p>
    <w:p w14:paraId="6824F851" w14:textId="741555CB" w:rsidR="00A37282" w:rsidRDefault="00C37CF0" w:rsidP="000D1D2F">
      <w:pPr>
        <w:pStyle w:val="3Bodytext"/>
        <w:jc w:val="both"/>
      </w:pPr>
      <w:r>
        <w:lastRenderedPageBreak/>
        <w:t xml:space="preserve">The submission </w:t>
      </w:r>
      <w:r w:rsidR="00572873">
        <w:t xml:space="preserve">claimed </w:t>
      </w:r>
      <w:r>
        <w:t>that unrestricting the listing of ticagrelor w</w:t>
      </w:r>
      <w:r w:rsidR="002462B4">
        <w:t>ould</w:t>
      </w:r>
      <w:r>
        <w:t xml:space="preserve"> reduce </w:t>
      </w:r>
      <w:r w:rsidR="003C4C51">
        <w:t xml:space="preserve">the administrative </w:t>
      </w:r>
      <w:r>
        <w:t xml:space="preserve">burden to Services Australia for processing authority prescriptions and </w:t>
      </w:r>
      <w:r w:rsidR="00213754">
        <w:t xml:space="preserve">would </w:t>
      </w:r>
      <w:r>
        <w:t>allow prescribers more consultation time with the</w:t>
      </w:r>
      <w:r w:rsidR="00DE0A0B">
        <w:t>ir</w:t>
      </w:r>
      <w:r>
        <w:t xml:space="preserve"> patient</w:t>
      </w:r>
      <w:r w:rsidR="0022659D">
        <w:t>s</w:t>
      </w:r>
      <w:r>
        <w:t xml:space="preserve"> as prescribers do not need to obtain and include an authority code.</w:t>
      </w:r>
    </w:p>
    <w:p w14:paraId="6861A93F" w14:textId="3F0A90E0" w:rsidR="000235E9" w:rsidRPr="008044A5" w:rsidRDefault="0082104E" w:rsidP="000D1D2F">
      <w:pPr>
        <w:pStyle w:val="3Bodytext"/>
        <w:jc w:val="both"/>
      </w:pPr>
      <w:r>
        <w:t xml:space="preserve">The submission </w:t>
      </w:r>
      <w:r w:rsidR="00700608">
        <w:t>further</w:t>
      </w:r>
      <w:r>
        <w:t xml:space="preserve"> </w:t>
      </w:r>
      <w:r w:rsidR="00572873">
        <w:t xml:space="preserve">stated </w:t>
      </w:r>
      <w:r>
        <w:t xml:space="preserve">that an unrestricted listing of ticagrelor will avoid confusion created by the disparity in restriction levels following the changes to the PBS restriction of clopidogrel, given </w:t>
      </w:r>
      <w:r w:rsidR="00690C14">
        <w:t xml:space="preserve">that </w:t>
      </w:r>
      <w:r>
        <w:t xml:space="preserve">switching from clopidogrel to ticagrelor is known to occur. </w:t>
      </w:r>
      <w:r w:rsidR="00663D36" w:rsidRPr="00A823D6">
        <w:rPr>
          <w:iCs/>
        </w:rPr>
        <w:t>Given the higher adverse events associated with ticagrelor (e.g. increased non-</w:t>
      </w:r>
      <w:r w:rsidR="00E36A5E" w:rsidRPr="00A823D6">
        <w:rPr>
          <w:iCs/>
        </w:rPr>
        <w:t>coronary artery bypass grafting</w:t>
      </w:r>
      <w:r w:rsidR="00663D36" w:rsidRPr="00A823D6">
        <w:rPr>
          <w:iCs/>
        </w:rPr>
        <w:t xml:space="preserve"> bleeding) and potentially lower compliance arising from a twice-daily dosing schedule compared to clopidogrel’s once daily dosing</w:t>
      </w:r>
      <w:r w:rsidR="00A6516D" w:rsidRPr="00A823D6">
        <w:rPr>
          <w:iCs/>
        </w:rPr>
        <w:t xml:space="preserve"> (para 5.14.34, ticagrelor </w:t>
      </w:r>
      <w:r w:rsidR="00161E55">
        <w:rPr>
          <w:iCs/>
        </w:rPr>
        <w:t>Public Summary Document (</w:t>
      </w:r>
      <w:r w:rsidR="00A6516D" w:rsidRPr="00A823D6">
        <w:rPr>
          <w:iCs/>
        </w:rPr>
        <w:t>PSD</w:t>
      </w:r>
      <w:r w:rsidR="00161E55">
        <w:rPr>
          <w:iCs/>
        </w:rPr>
        <w:t>)</w:t>
      </w:r>
      <w:r w:rsidR="00A6516D" w:rsidRPr="00A823D6">
        <w:rPr>
          <w:iCs/>
        </w:rPr>
        <w:t>, July 2011 PBAC meeting)</w:t>
      </w:r>
      <w:r w:rsidR="00663D36" w:rsidRPr="00A823D6">
        <w:rPr>
          <w:iCs/>
        </w:rPr>
        <w:t>, it is unclear to what extent switching from clopidogrel to ticagrelor occur</w:t>
      </w:r>
      <w:r w:rsidR="0022659D" w:rsidRPr="00A823D6">
        <w:rPr>
          <w:iCs/>
        </w:rPr>
        <w:t>s in practice</w:t>
      </w:r>
      <w:r w:rsidR="00663D36" w:rsidRPr="00A823D6">
        <w:rPr>
          <w:iCs/>
        </w:rPr>
        <w:t>.</w:t>
      </w:r>
    </w:p>
    <w:p w14:paraId="6B278D5D" w14:textId="21E429B0" w:rsidR="000235E9" w:rsidRPr="00A823D6" w:rsidRDefault="000235E9" w:rsidP="000D1D2F">
      <w:pPr>
        <w:pStyle w:val="3Bodytext"/>
        <w:jc w:val="both"/>
        <w:rPr>
          <w:iCs/>
        </w:rPr>
      </w:pPr>
      <w:r w:rsidRPr="006945C7">
        <w:t>Ticagrelor is not TGA indicated for use in the absence of aspirin.</w:t>
      </w:r>
      <w:r w:rsidRPr="00A823D6">
        <w:rPr>
          <w:iCs/>
        </w:rPr>
        <w:t xml:space="preserve"> </w:t>
      </w:r>
      <w:r w:rsidR="0022659D" w:rsidRPr="00A823D6">
        <w:rPr>
          <w:iCs/>
        </w:rPr>
        <w:t>Unrestricting ticagrelor would remove</w:t>
      </w:r>
      <w:r w:rsidRPr="00A823D6">
        <w:rPr>
          <w:iCs/>
        </w:rPr>
        <w:t xml:space="preserve"> the clinical criterion “treatment must be in combination with aspirin</w:t>
      </w:r>
      <w:r w:rsidR="0022659D" w:rsidRPr="00A823D6">
        <w:rPr>
          <w:iCs/>
        </w:rPr>
        <w:t>,</w:t>
      </w:r>
      <w:r w:rsidRPr="00A823D6">
        <w:rPr>
          <w:iCs/>
        </w:rPr>
        <w:t xml:space="preserve">” </w:t>
      </w:r>
      <w:r w:rsidR="0022659D" w:rsidRPr="00A823D6">
        <w:rPr>
          <w:iCs/>
        </w:rPr>
        <w:t xml:space="preserve">which </w:t>
      </w:r>
      <w:r w:rsidRPr="00A823D6">
        <w:rPr>
          <w:iCs/>
        </w:rPr>
        <w:t xml:space="preserve">may result in usage in a population that is sensitive/allergic/contraindicated to aspirin, </w:t>
      </w:r>
      <w:r w:rsidR="0022659D" w:rsidRPr="00A823D6">
        <w:rPr>
          <w:iCs/>
        </w:rPr>
        <w:t>who</w:t>
      </w:r>
      <w:r w:rsidRPr="00A823D6">
        <w:rPr>
          <w:iCs/>
        </w:rPr>
        <w:t xml:space="preserve"> would not have otherwise been PBS</w:t>
      </w:r>
      <w:r w:rsidR="0022659D" w:rsidRPr="00A823D6">
        <w:rPr>
          <w:iCs/>
        </w:rPr>
        <w:t xml:space="preserve"> eligible for ticagrelor</w:t>
      </w:r>
      <w:r w:rsidRPr="00A823D6">
        <w:rPr>
          <w:iCs/>
        </w:rPr>
        <w:t xml:space="preserve">. </w:t>
      </w:r>
      <w:r w:rsidR="0032215B">
        <w:rPr>
          <w:iCs/>
        </w:rPr>
        <w:t>The Pre-PBAC response argued prescribers would be familiar with prescribing ticagrelor as ticagrelor has been in the Australian market for over 10 years</w:t>
      </w:r>
      <w:r w:rsidR="00434D5D">
        <w:rPr>
          <w:iCs/>
        </w:rPr>
        <w:t>,</w:t>
      </w:r>
      <w:r w:rsidR="0032215B">
        <w:rPr>
          <w:iCs/>
        </w:rPr>
        <w:t xml:space="preserve"> however</w:t>
      </w:r>
      <w:r w:rsidR="00434D5D">
        <w:rPr>
          <w:iCs/>
        </w:rPr>
        <w:t>,</w:t>
      </w:r>
      <w:r w:rsidR="0032215B">
        <w:rPr>
          <w:iCs/>
        </w:rPr>
        <w:t xml:space="preserve"> acknowledged the concerns that an unrestrict</w:t>
      </w:r>
      <w:r w:rsidR="00434D5D">
        <w:rPr>
          <w:iCs/>
        </w:rPr>
        <w:t>ed</w:t>
      </w:r>
      <w:r w:rsidR="0032215B">
        <w:rPr>
          <w:iCs/>
        </w:rPr>
        <w:t xml:space="preserve"> </w:t>
      </w:r>
      <w:r w:rsidR="00434D5D">
        <w:rPr>
          <w:iCs/>
        </w:rPr>
        <w:t>listing</w:t>
      </w:r>
      <w:r w:rsidR="0032215B">
        <w:rPr>
          <w:iCs/>
        </w:rPr>
        <w:t xml:space="preserve"> would result in usage in a population that may be sensitive/allergic/contraindicated to aspirin because of the removal of the clinical criterion “treatment must be in combination with aspirin”. The Pre-PBAC response </w:t>
      </w:r>
      <w:r w:rsidR="00434D5D">
        <w:rPr>
          <w:iCs/>
        </w:rPr>
        <w:t xml:space="preserve">therefore </w:t>
      </w:r>
      <w:r w:rsidR="0032215B">
        <w:rPr>
          <w:iCs/>
        </w:rPr>
        <w:t>propo</w:t>
      </w:r>
      <w:r w:rsidR="00154C9E">
        <w:rPr>
          <w:iCs/>
        </w:rPr>
        <w:t>s</w:t>
      </w:r>
      <w:r w:rsidR="00FD5408">
        <w:rPr>
          <w:iCs/>
        </w:rPr>
        <w:t>ed</w:t>
      </w:r>
      <w:r w:rsidR="0032215B">
        <w:rPr>
          <w:iCs/>
        </w:rPr>
        <w:t xml:space="preserve"> that</w:t>
      </w:r>
      <w:r w:rsidR="00154C9E">
        <w:rPr>
          <w:iCs/>
        </w:rPr>
        <w:t xml:space="preserve"> the restriction level of</w:t>
      </w:r>
      <w:r w:rsidR="0032215B">
        <w:rPr>
          <w:iCs/>
        </w:rPr>
        <w:t xml:space="preserve"> ticagrelor be change</w:t>
      </w:r>
      <w:r w:rsidR="00434D5D">
        <w:rPr>
          <w:iCs/>
        </w:rPr>
        <w:t>d</w:t>
      </w:r>
      <w:r w:rsidR="0032215B">
        <w:rPr>
          <w:iCs/>
        </w:rPr>
        <w:t xml:space="preserve"> </w:t>
      </w:r>
      <w:r w:rsidR="00154C9E">
        <w:rPr>
          <w:iCs/>
        </w:rPr>
        <w:t xml:space="preserve">from Authority Required (STREAMLINED) to a </w:t>
      </w:r>
      <w:r w:rsidR="0032215B">
        <w:rPr>
          <w:iCs/>
        </w:rPr>
        <w:t>Restricted Benefit</w:t>
      </w:r>
      <w:r w:rsidR="00154C9E">
        <w:rPr>
          <w:iCs/>
        </w:rPr>
        <w:t>. The proposed requested PBS listing for ticagrelor has been updated in the table below.</w:t>
      </w:r>
    </w:p>
    <w:p w14:paraId="257B64D3" w14:textId="4F88CB3A" w:rsidR="00964A9F" w:rsidRPr="008044A5" w:rsidRDefault="000235E9" w:rsidP="000D1D2F">
      <w:pPr>
        <w:pStyle w:val="3Bodytext"/>
        <w:numPr>
          <w:ilvl w:val="0"/>
          <w:numId w:val="0"/>
        </w:numPr>
        <w:jc w:val="both"/>
        <w:rPr>
          <w:rFonts w:ascii="Arial Narrow" w:hAnsi="Arial Narrow" w:cstheme="minorHAnsi"/>
          <w:color w:val="FF0000"/>
          <w:sz w:val="20"/>
          <w:szCs w:val="20"/>
        </w:rPr>
      </w:pPr>
      <w:r>
        <w:t xml:space="preserve">3.6 </w:t>
      </w:r>
      <w:r>
        <w:tab/>
      </w:r>
      <w:r w:rsidR="00964A9F" w:rsidRPr="00120A12">
        <w:t xml:space="preserve">Suggested additions are in </w:t>
      </w:r>
      <w:r w:rsidR="00964A9F" w:rsidRPr="008330C1">
        <w:t>italics</w:t>
      </w:r>
      <w:r w:rsidR="00964A9F" w:rsidRPr="00120A12">
        <w:t xml:space="preserve"> and deletions are in </w:t>
      </w:r>
      <w:r w:rsidR="00964A9F" w:rsidRPr="00A97D6A">
        <w:t>strikethrough.</w:t>
      </w:r>
      <w:r w:rsidR="00B76765">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8AB" w:rsidRPr="001428E9" w14:paraId="7DA64CC6" w14:textId="77777777" w:rsidTr="00E317E3">
        <w:trPr>
          <w:cantSplit/>
          <w:trHeight w:val="20"/>
        </w:trPr>
        <w:tc>
          <w:tcPr>
            <w:tcW w:w="3939" w:type="dxa"/>
            <w:gridSpan w:val="2"/>
            <w:vAlign w:val="center"/>
          </w:tcPr>
          <w:p w14:paraId="165BB7A5" w14:textId="77777777" w:rsidR="006458AB" w:rsidRPr="001428E9" w:rsidRDefault="006458AB" w:rsidP="00E317E3">
            <w:pPr>
              <w:keepLines/>
              <w:rPr>
                <w:rFonts w:ascii="Arial Narrow" w:hAnsi="Arial Narrow" w:cs="Arial"/>
                <w:b/>
                <w:bCs/>
                <w:sz w:val="20"/>
                <w:szCs w:val="20"/>
              </w:rPr>
            </w:pPr>
            <w:r w:rsidRPr="001428E9">
              <w:rPr>
                <w:rFonts w:ascii="Arial Narrow" w:hAnsi="Arial Narrow" w:cs="Arial"/>
                <w:b/>
                <w:bCs/>
                <w:sz w:val="20"/>
                <w:szCs w:val="20"/>
              </w:rPr>
              <w:t>MEDICINAL PRODUCT</w:t>
            </w:r>
          </w:p>
          <w:p w14:paraId="57A0F634" w14:textId="77777777" w:rsidR="006458AB" w:rsidRPr="001428E9" w:rsidRDefault="006458AB" w:rsidP="00E317E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5120ABF" w14:textId="77777777" w:rsidR="006458AB" w:rsidRPr="001428E9" w:rsidRDefault="006458AB" w:rsidP="00E317E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03323C5" w14:textId="77777777" w:rsidR="006458AB" w:rsidRPr="001428E9" w:rsidRDefault="006458AB" w:rsidP="00E317E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4F00300" w14:textId="77777777" w:rsidR="006458AB" w:rsidRPr="001428E9" w:rsidRDefault="006458AB" w:rsidP="00E317E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6AFE6F2" w14:textId="77777777" w:rsidR="006458AB" w:rsidRPr="001428E9" w:rsidRDefault="006458AB" w:rsidP="00E317E3">
            <w:pPr>
              <w:keepLines/>
              <w:jc w:val="center"/>
              <w:rPr>
                <w:rFonts w:ascii="Arial Narrow" w:hAnsi="Arial Narrow" w:cs="Arial"/>
                <w:b/>
                <w:sz w:val="20"/>
                <w:szCs w:val="20"/>
              </w:rPr>
            </w:pPr>
            <w:r w:rsidRPr="001428E9">
              <w:rPr>
                <w:rFonts w:ascii="Arial Narrow" w:hAnsi="Arial Narrow" w:cs="Arial"/>
                <w:b/>
                <w:sz w:val="20"/>
                <w:szCs w:val="20"/>
              </w:rPr>
              <w:t>№.of</w:t>
            </w:r>
          </w:p>
          <w:p w14:paraId="553BCAD9" w14:textId="77777777" w:rsidR="006458AB" w:rsidRPr="001428E9" w:rsidRDefault="006458AB" w:rsidP="00E317E3">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71E1C743" w14:textId="77777777" w:rsidR="006458AB" w:rsidRPr="001428E9" w:rsidRDefault="006458AB" w:rsidP="00E317E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6458AB" w:rsidRPr="001428E9" w14:paraId="6E21B09E" w14:textId="77777777" w:rsidTr="00E317E3">
        <w:trPr>
          <w:cantSplit/>
          <w:trHeight w:val="20"/>
        </w:trPr>
        <w:tc>
          <w:tcPr>
            <w:tcW w:w="9016" w:type="dxa"/>
            <w:gridSpan w:val="7"/>
            <w:vAlign w:val="center"/>
          </w:tcPr>
          <w:p w14:paraId="6FDC3672" w14:textId="33705530" w:rsidR="006458AB" w:rsidRPr="001428E9" w:rsidRDefault="00CF219C" w:rsidP="00E317E3">
            <w:pPr>
              <w:keepLines/>
              <w:rPr>
                <w:rFonts w:ascii="Arial Narrow" w:hAnsi="Arial Narrow" w:cs="Arial"/>
                <w:sz w:val="20"/>
                <w:szCs w:val="20"/>
              </w:rPr>
            </w:pPr>
            <w:r>
              <w:rPr>
                <w:rFonts w:ascii="Arial Narrow" w:hAnsi="Arial Narrow" w:cs="Arial"/>
                <w:sz w:val="20"/>
                <w:szCs w:val="20"/>
              </w:rPr>
              <w:t>TICAGRELOR</w:t>
            </w:r>
          </w:p>
        </w:tc>
      </w:tr>
      <w:tr w:rsidR="006458AB" w:rsidRPr="001428E9" w14:paraId="6F29A993" w14:textId="77777777" w:rsidTr="00E317E3">
        <w:trPr>
          <w:cantSplit/>
          <w:trHeight w:val="20"/>
        </w:trPr>
        <w:tc>
          <w:tcPr>
            <w:tcW w:w="3939" w:type="dxa"/>
            <w:gridSpan w:val="2"/>
            <w:vAlign w:val="center"/>
          </w:tcPr>
          <w:p w14:paraId="1D818B52" w14:textId="7C8D2E76" w:rsidR="006458AB" w:rsidRPr="001428E9" w:rsidRDefault="00CF219C" w:rsidP="00E317E3">
            <w:pPr>
              <w:keepLines/>
              <w:rPr>
                <w:rFonts w:ascii="Arial Narrow" w:hAnsi="Arial Narrow" w:cs="Arial"/>
                <w:sz w:val="20"/>
                <w:szCs w:val="20"/>
              </w:rPr>
            </w:pPr>
            <w:r>
              <w:rPr>
                <w:rFonts w:ascii="Arial Narrow" w:hAnsi="Arial Narrow" w:cs="Arial"/>
                <w:sz w:val="20"/>
                <w:szCs w:val="20"/>
              </w:rPr>
              <w:t>ticagrelor 90 mg tablet, 56</w:t>
            </w:r>
          </w:p>
        </w:tc>
        <w:tc>
          <w:tcPr>
            <w:tcW w:w="811" w:type="dxa"/>
            <w:vAlign w:val="center"/>
          </w:tcPr>
          <w:p w14:paraId="0DCA8E40" w14:textId="6C2D6378" w:rsidR="006458AB" w:rsidRPr="001428E9" w:rsidRDefault="00CF219C" w:rsidP="00E317E3">
            <w:pPr>
              <w:keepLines/>
              <w:jc w:val="center"/>
              <w:rPr>
                <w:rFonts w:ascii="Arial Narrow" w:hAnsi="Arial Narrow" w:cs="Arial"/>
                <w:sz w:val="20"/>
                <w:szCs w:val="20"/>
              </w:rPr>
            </w:pPr>
            <w:r>
              <w:rPr>
                <w:rFonts w:ascii="Arial Narrow" w:hAnsi="Arial Narrow" w:cs="Arial"/>
                <w:sz w:val="20"/>
                <w:szCs w:val="20"/>
              </w:rPr>
              <w:t>1418P</w:t>
            </w:r>
          </w:p>
        </w:tc>
        <w:tc>
          <w:tcPr>
            <w:tcW w:w="812" w:type="dxa"/>
            <w:vAlign w:val="center"/>
          </w:tcPr>
          <w:p w14:paraId="2EBFEF57" w14:textId="5C73F8EC" w:rsidR="006458AB" w:rsidRPr="001428E9" w:rsidRDefault="00CF219C" w:rsidP="00E317E3">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44D9807" w14:textId="5358B949" w:rsidR="006458AB" w:rsidRPr="001428E9" w:rsidRDefault="00CF219C" w:rsidP="00E317E3">
            <w:pPr>
              <w:keepLines/>
              <w:jc w:val="center"/>
              <w:rPr>
                <w:rFonts w:ascii="Arial Narrow" w:hAnsi="Arial Narrow" w:cs="Arial"/>
                <w:sz w:val="20"/>
                <w:szCs w:val="20"/>
              </w:rPr>
            </w:pPr>
            <w:r>
              <w:rPr>
                <w:rFonts w:ascii="Arial Narrow" w:hAnsi="Arial Narrow" w:cs="Arial"/>
                <w:sz w:val="20"/>
                <w:szCs w:val="20"/>
              </w:rPr>
              <w:t>56</w:t>
            </w:r>
          </w:p>
        </w:tc>
        <w:tc>
          <w:tcPr>
            <w:tcW w:w="812" w:type="dxa"/>
            <w:vAlign w:val="center"/>
          </w:tcPr>
          <w:p w14:paraId="7FCDF997" w14:textId="77777777" w:rsidR="006458AB" w:rsidRPr="001428E9" w:rsidRDefault="006458AB" w:rsidP="00E317E3">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1BED06C6" w14:textId="44ABCC2C" w:rsidR="006458AB" w:rsidRPr="001428E9" w:rsidRDefault="00CF219C" w:rsidP="00E317E3">
            <w:pPr>
              <w:keepLines/>
              <w:rPr>
                <w:rFonts w:ascii="Arial Narrow" w:hAnsi="Arial Narrow" w:cs="Arial"/>
                <w:sz w:val="20"/>
                <w:szCs w:val="20"/>
              </w:rPr>
            </w:pPr>
            <w:r>
              <w:rPr>
                <w:rFonts w:ascii="Arial Narrow" w:hAnsi="Arial Narrow" w:cs="Arial"/>
                <w:sz w:val="20"/>
                <w:szCs w:val="20"/>
              </w:rPr>
              <w:t>Brilinta</w:t>
            </w:r>
          </w:p>
        </w:tc>
      </w:tr>
      <w:tr w:rsidR="006458AB" w:rsidRPr="001428E9" w14:paraId="1337956C" w14:textId="77777777" w:rsidTr="00E317E3">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5F35603" w14:textId="0DC49133" w:rsidR="006458AB" w:rsidRPr="001428E9" w:rsidRDefault="006458AB" w:rsidP="00E317E3">
            <w:pPr>
              <w:rPr>
                <w:rFonts w:ascii="Arial Narrow" w:hAnsi="Arial Narrow" w:cs="Arial"/>
                <w:sz w:val="20"/>
                <w:szCs w:val="20"/>
              </w:rPr>
            </w:pPr>
          </w:p>
        </w:tc>
      </w:tr>
      <w:tr w:rsidR="006458AB" w:rsidRPr="001428E9" w14:paraId="0A19204F" w14:textId="77777777" w:rsidTr="00E317E3">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66C0C1A" w14:textId="6E044B3C" w:rsidR="006458AB" w:rsidRPr="001428E9" w:rsidRDefault="006458AB" w:rsidP="00E317E3">
            <w:pPr>
              <w:keepLines/>
              <w:rPr>
                <w:rFonts w:ascii="Arial Narrow" w:hAnsi="Arial Narrow" w:cs="Arial"/>
                <w:b/>
                <w:sz w:val="20"/>
                <w:szCs w:val="20"/>
              </w:rPr>
            </w:pPr>
            <w:r w:rsidRPr="001428E9">
              <w:rPr>
                <w:rFonts w:ascii="Arial Narrow" w:hAnsi="Arial Narrow"/>
                <w:b/>
                <w:sz w:val="20"/>
                <w:szCs w:val="20"/>
              </w:rPr>
              <w:t xml:space="preserve">Restriction Summary </w:t>
            </w:r>
            <w:r w:rsidR="00CF219C">
              <w:rPr>
                <w:rFonts w:ascii="Arial Narrow" w:hAnsi="Arial Narrow"/>
                <w:b/>
                <w:sz w:val="20"/>
                <w:szCs w:val="20"/>
              </w:rPr>
              <w:t>5746</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sidR="00CF219C">
              <w:rPr>
                <w:rFonts w:ascii="Arial Narrow" w:hAnsi="Arial Narrow"/>
                <w:b/>
                <w:sz w:val="20"/>
                <w:szCs w:val="20"/>
              </w:rPr>
              <w:t>5746</w:t>
            </w:r>
          </w:p>
        </w:tc>
      </w:tr>
      <w:tr w:rsidR="006458AB" w:rsidRPr="001428E9" w14:paraId="55802C8F" w14:textId="77777777" w:rsidTr="00E317E3">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0F92888" w14:textId="2516AC95" w:rsidR="006458AB" w:rsidRPr="001428E9" w:rsidRDefault="006458AB" w:rsidP="00E317E3">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27249A5" w14:textId="032F64A9" w:rsidR="006458AB" w:rsidRPr="001428E9" w:rsidRDefault="006458AB">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6458AB" w:rsidRPr="001428E9" w14:paraId="4894AD09" w14:textId="77777777" w:rsidTr="00E317E3">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13A6030" w14:textId="77777777" w:rsidR="006458AB" w:rsidRPr="001428E9" w:rsidRDefault="006458AB" w:rsidP="00E317E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88DD0B" w14:textId="35C73E6C" w:rsidR="006458AB" w:rsidRPr="001428E9" w:rsidRDefault="006458AB" w:rsidP="00E317E3">
            <w:pPr>
              <w:keepLines/>
              <w:rPr>
                <w:rFonts w:ascii="Arial Narrow" w:hAnsi="Arial Narrow" w:cs="Arial"/>
                <w:b/>
                <w:sz w:val="20"/>
                <w:szCs w:val="20"/>
              </w:rPr>
            </w:pPr>
            <w:r w:rsidRPr="001428E9">
              <w:rPr>
                <w:rFonts w:ascii="Arial Narrow" w:hAnsi="Arial Narrow" w:cs="Arial"/>
                <w:b/>
                <w:sz w:val="20"/>
                <w:szCs w:val="20"/>
              </w:rPr>
              <w:t>Prescriber type:</w:t>
            </w:r>
            <w:r w:rsidR="00CF219C">
              <w:rPr>
                <w:rFonts w:ascii="Arial Narrow" w:hAnsi="Arial Narrow" w:cs="Arial"/>
                <w:b/>
                <w:sz w:val="20"/>
                <w:szCs w:val="20"/>
              </w:rPr>
              <w:t xml:space="preserve"> </w:t>
            </w:r>
            <w:r w:rsidR="00CF219C">
              <w:rPr>
                <w:rFonts w:ascii="Arial Narrow" w:hAnsi="Arial Narrow" w:cs="Arial"/>
                <w:sz w:val="20"/>
                <w:szCs w:val="20"/>
              </w:rPr>
              <w:fldChar w:fldCharType="begin">
                <w:ffData>
                  <w:name w:val=""/>
                  <w:enabled/>
                  <w:calcOnExit w:val="0"/>
                  <w:checkBox>
                    <w:sizeAuto/>
                    <w:default w:val="1"/>
                  </w:checkBox>
                </w:ffData>
              </w:fldChar>
            </w:r>
            <w:r w:rsidR="00CF219C">
              <w:rPr>
                <w:rFonts w:ascii="Arial Narrow" w:hAnsi="Arial Narrow" w:cs="Arial"/>
                <w:sz w:val="20"/>
                <w:szCs w:val="20"/>
              </w:rPr>
              <w:instrText xml:space="preserve"> FORMCHECKBOX </w:instrText>
            </w:r>
            <w:r w:rsidR="005A4410">
              <w:rPr>
                <w:rFonts w:ascii="Arial Narrow" w:hAnsi="Arial Narrow" w:cs="Arial"/>
                <w:sz w:val="20"/>
                <w:szCs w:val="20"/>
              </w:rPr>
            </w:r>
            <w:r w:rsidR="005A4410">
              <w:rPr>
                <w:rFonts w:ascii="Arial Narrow" w:hAnsi="Arial Narrow" w:cs="Arial"/>
                <w:sz w:val="20"/>
                <w:szCs w:val="20"/>
              </w:rPr>
              <w:fldChar w:fldCharType="separate"/>
            </w:r>
            <w:r w:rsidR="00CF219C">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CF219C">
              <w:rPr>
                <w:rFonts w:ascii="Arial Narrow" w:hAnsi="Arial Narrow" w:cs="Arial"/>
                <w:sz w:val="20"/>
                <w:szCs w:val="20"/>
              </w:rPr>
              <w:fldChar w:fldCharType="begin">
                <w:ffData>
                  <w:name w:val="Check3"/>
                  <w:enabled/>
                  <w:calcOnExit w:val="0"/>
                  <w:checkBox>
                    <w:sizeAuto/>
                    <w:default w:val="1"/>
                  </w:checkBox>
                </w:ffData>
              </w:fldChar>
            </w:r>
            <w:bookmarkStart w:id="0" w:name="Check3"/>
            <w:r w:rsidR="00CF219C">
              <w:rPr>
                <w:rFonts w:ascii="Arial Narrow" w:hAnsi="Arial Narrow" w:cs="Arial"/>
                <w:sz w:val="20"/>
                <w:szCs w:val="20"/>
              </w:rPr>
              <w:instrText xml:space="preserve"> FORMCHECKBOX </w:instrText>
            </w:r>
            <w:r w:rsidR="005A4410">
              <w:rPr>
                <w:rFonts w:ascii="Arial Narrow" w:hAnsi="Arial Narrow" w:cs="Arial"/>
                <w:sz w:val="20"/>
                <w:szCs w:val="20"/>
              </w:rPr>
            </w:r>
            <w:r w:rsidR="005A4410">
              <w:rPr>
                <w:rFonts w:ascii="Arial Narrow" w:hAnsi="Arial Narrow" w:cs="Arial"/>
                <w:sz w:val="20"/>
                <w:szCs w:val="20"/>
              </w:rPr>
              <w:fldChar w:fldCharType="separate"/>
            </w:r>
            <w:r w:rsidR="00CF219C">
              <w:rPr>
                <w:rFonts w:ascii="Arial Narrow" w:hAnsi="Arial Narrow" w:cs="Arial"/>
                <w:sz w:val="20"/>
                <w:szCs w:val="20"/>
              </w:rPr>
              <w:fldChar w:fldCharType="end"/>
            </w:r>
            <w:bookmarkEnd w:id="0"/>
            <w:r w:rsidRPr="001428E9">
              <w:rPr>
                <w:rFonts w:ascii="Arial Narrow" w:hAnsi="Arial Narrow" w:cs="Arial"/>
                <w:sz w:val="20"/>
                <w:szCs w:val="20"/>
              </w:rPr>
              <w:t xml:space="preserve">Nurse practitioners </w:t>
            </w:r>
          </w:p>
        </w:tc>
      </w:tr>
      <w:tr w:rsidR="006458AB" w:rsidRPr="001428E9" w14:paraId="39424183" w14:textId="77777777" w:rsidTr="007B4F46">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ABF1B66" w14:textId="77777777" w:rsidR="006458AB" w:rsidRPr="001428E9" w:rsidRDefault="006458AB" w:rsidP="00E317E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C61C8E" w14:textId="0492163D" w:rsidR="006458AB" w:rsidRPr="00D56F94" w:rsidRDefault="006458AB" w:rsidP="007B4F46">
            <w:pPr>
              <w:keepLines/>
              <w:jc w:val="left"/>
              <w:rPr>
                <w:rFonts w:ascii="Arial Narrow" w:eastAsia="Calibri" w:hAnsi="Arial Narrow" w:cs="Arial"/>
                <w:color w:val="FF0000"/>
                <w:sz w:val="20"/>
                <w:szCs w:val="20"/>
              </w:rPr>
            </w:pPr>
            <w:r w:rsidRPr="001428E9">
              <w:rPr>
                <w:rFonts w:ascii="Arial Narrow" w:hAnsi="Arial Narrow" w:cs="Arial"/>
                <w:b/>
                <w:sz w:val="20"/>
                <w:szCs w:val="20"/>
              </w:rPr>
              <w:t>Restriction type:</w:t>
            </w:r>
            <w:r w:rsidR="00154C9E" w:rsidRPr="007B4F46">
              <w:rPr>
                <w:rFonts w:ascii="Arial Narrow" w:eastAsia="Calibri" w:hAnsi="Arial Narrow" w:cs="Arial"/>
                <w:i/>
                <w:iCs/>
                <w:sz w:val="20"/>
                <w:szCs w:val="20"/>
              </w:rPr>
              <w:t xml:space="preserve"> </w:t>
            </w:r>
            <w:r w:rsidR="00154C9E" w:rsidRPr="007B4F46">
              <w:rPr>
                <w:rFonts w:ascii="Arial Narrow" w:eastAsia="Calibri" w:hAnsi="Arial Narrow" w:cs="Arial"/>
                <w:i/>
                <w:iCs/>
                <w:sz w:val="20"/>
                <w:szCs w:val="20"/>
              </w:rPr>
              <w:fldChar w:fldCharType="begin">
                <w:ffData>
                  <w:name w:val=""/>
                  <w:enabled/>
                  <w:calcOnExit w:val="0"/>
                  <w:checkBox>
                    <w:sizeAuto/>
                    <w:default w:val="1"/>
                  </w:checkBox>
                </w:ffData>
              </w:fldChar>
            </w:r>
            <w:r w:rsidR="00154C9E" w:rsidRPr="007B4F46">
              <w:rPr>
                <w:rFonts w:ascii="Arial Narrow" w:eastAsia="Calibri" w:hAnsi="Arial Narrow" w:cs="Arial"/>
                <w:i/>
                <w:iCs/>
                <w:sz w:val="20"/>
                <w:szCs w:val="20"/>
              </w:rPr>
              <w:instrText xml:space="preserve"> FORMCHECKBOX </w:instrText>
            </w:r>
            <w:r w:rsidR="005A4410">
              <w:rPr>
                <w:rFonts w:ascii="Arial Narrow" w:eastAsia="Calibri" w:hAnsi="Arial Narrow" w:cs="Arial"/>
                <w:i/>
                <w:iCs/>
                <w:sz w:val="20"/>
                <w:szCs w:val="20"/>
              </w:rPr>
            </w:r>
            <w:r w:rsidR="005A4410">
              <w:rPr>
                <w:rFonts w:ascii="Arial Narrow" w:eastAsia="Calibri" w:hAnsi="Arial Narrow" w:cs="Arial"/>
                <w:i/>
                <w:iCs/>
                <w:sz w:val="20"/>
                <w:szCs w:val="20"/>
              </w:rPr>
              <w:fldChar w:fldCharType="separate"/>
            </w:r>
            <w:r w:rsidR="00154C9E" w:rsidRPr="007B4F46">
              <w:rPr>
                <w:rFonts w:ascii="Arial Narrow" w:eastAsia="Calibri" w:hAnsi="Arial Narrow" w:cs="Arial"/>
                <w:i/>
                <w:iCs/>
                <w:sz w:val="20"/>
                <w:szCs w:val="20"/>
              </w:rPr>
              <w:fldChar w:fldCharType="end"/>
            </w:r>
            <w:r w:rsidR="00154C9E">
              <w:rPr>
                <w:rFonts w:ascii="Arial Narrow" w:eastAsia="Calibri" w:hAnsi="Arial Narrow" w:cs="Arial"/>
                <w:i/>
                <w:iCs/>
                <w:sz w:val="20"/>
                <w:szCs w:val="20"/>
              </w:rPr>
              <w:t xml:space="preserve">Restricted Benefit </w:t>
            </w:r>
            <w:r w:rsidRPr="001428E9">
              <w:rPr>
                <w:rFonts w:ascii="Arial Narrow" w:hAnsi="Arial Narrow" w:cs="Arial"/>
                <w:b/>
                <w:sz w:val="20"/>
                <w:szCs w:val="20"/>
              </w:rPr>
              <w:t xml:space="preserve"> </w:t>
            </w:r>
            <w:r w:rsidR="001F7388" w:rsidRPr="002242A3">
              <w:rPr>
                <w:rFonts w:ascii="Arial Narrow" w:eastAsia="Calibri" w:hAnsi="Arial Narrow" w:cs="Arial"/>
                <w:i/>
                <w:iCs/>
                <w:strike/>
                <w:sz w:val="20"/>
                <w:szCs w:val="20"/>
              </w:rPr>
              <w:fldChar w:fldCharType="begin">
                <w:ffData>
                  <w:name w:val=""/>
                  <w:enabled/>
                  <w:calcOnExit w:val="0"/>
                  <w:checkBox>
                    <w:sizeAuto/>
                    <w:default w:val="1"/>
                  </w:checkBox>
                </w:ffData>
              </w:fldChar>
            </w:r>
            <w:r w:rsidR="001F7388" w:rsidRPr="002242A3">
              <w:rPr>
                <w:rFonts w:ascii="Arial Narrow" w:eastAsia="Calibri" w:hAnsi="Arial Narrow" w:cs="Arial"/>
                <w:i/>
                <w:iCs/>
                <w:strike/>
                <w:sz w:val="20"/>
                <w:szCs w:val="20"/>
              </w:rPr>
              <w:instrText xml:space="preserve"> FORMCHECKBOX </w:instrText>
            </w:r>
            <w:r w:rsidR="005A4410">
              <w:rPr>
                <w:rFonts w:ascii="Arial Narrow" w:eastAsia="Calibri" w:hAnsi="Arial Narrow" w:cs="Arial"/>
                <w:i/>
                <w:iCs/>
                <w:strike/>
                <w:sz w:val="20"/>
                <w:szCs w:val="20"/>
              </w:rPr>
            </w:r>
            <w:r w:rsidR="005A4410">
              <w:rPr>
                <w:rFonts w:ascii="Arial Narrow" w:eastAsia="Calibri" w:hAnsi="Arial Narrow" w:cs="Arial"/>
                <w:i/>
                <w:iCs/>
                <w:strike/>
                <w:sz w:val="20"/>
                <w:szCs w:val="20"/>
              </w:rPr>
              <w:fldChar w:fldCharType="separate"/>
            </w:r>
            <w:r w:rsidR="001F7388" w:rsidRPr="002242A3">
              <w:rPr>
                <w:rFonts w:ascii="Arial Narrow" w:eastAsia="Calibri" w:hAnsi="Arial Narrow" w:cs="Arial"/>
                <w:i/>
                <w:iCs/>
                <w:strike/>
                <w:sz w:val="20"/>
                <w:szCs w:val="20"/>
              </w:rPr>
              <w:fldChar w:fldCharType="end"/>
            </w:r>
            <w:r w:rsidRPr="002242A3">
              <w:rPr>
                <w:rFonts w:ascii="Arial Narrow" w:eastAsia="Calibri" w:hAnsi="Arial Narrow" w:cs="Arial"/>
                <w:i/>
                <w:iCs/>
                <w:strike/>
                <w:sz w:val="20"/>
                <w:szCs w:val="20"/>
              </w:rPr>
              <w:t>Unrestricted</w:t>
            </w:r>
            <w:r w:rsidR="00CF219C" w:rsidRPr="002242A3">
              <w:rPr>
                <w:rFonts w:ascii="Arial Narrow" w:eastAsia="Calibri" w:hAnsi="Arial Narrow" w:cs="Arial"/>
                <w:i/>
                <w:iCs/>
                <w:strike/>
                <w:sz w:val="20"/>
                <w:szCs w:val="20"/>
              </w:rPr>
              <w:t xml:space="preserve"> </w:t>
            </w:r>
            <w:r w:rsidRPr="002242A3">
              <w:rPr>
                <w:rFonts w:ascii="Arial Narrow" w:eastAsia="Calibri" w:hAnsi="Arial Narrow" w:cs="Arial"/>
                <w:i/>
                <w:iCs/>
                <w:strike/>
                <w:sz w:val="20"/>
                <w:szCs w:val="20"/>
              </w:rPr>
              <w:t>benefit</w:t>
            </w:r>
            <w:r w:rsidR="001F7388">
              <w:rPr>
                <w:rFonts w:ascii="Arial Narrow" w:eastAsia="Calibri" w:hAnsi="Arial Narrow" w:cs="Arial"/>
                <w:sz w:val="20"/>
                <w:szCs w:val="20"/>
              </w:rPr>
              <w:t xml:space="preserve"> </w:t>
            </w:r>
            <w:r w:rsidR="00CF219C" w:rsidRPr="007B4F46">
              <w:rPr>
                <w:rFonts w:ascii="Arial Narrow" w:eastAsia="Calibri" w:hAnsi="Arial Narrow" w:cs="Arial"/>
                <w:strike/>
                <w:sz w:val="20"/>
                <w:szCs w:val="20"/>
              </w:rPr>
              <w:fldChar w:fldCharType="begin">
                <w:ffData>
                  <w:name w:val=""/>
                  <w:enabled/>
                  <w:calcOnExit w:val="0"/>
                  <w:checkBox>
                    <w:sizeAuto/>
                    <w:default w:val="1"/>
                  </w:checkBox>
                </w:ffData>
              </w:fldChar>
            </w:r>
            <w:r w:rsidR="00CF219C" w:rsidRPr="007B4F46">
              <w:rPr>
                <w:rFonts w:ascii="Arial Narrow" w:eastAsia="Calibri" w:hAnsi="Arial Narrow" w:cs="Arial"/>
                <w:strike/>
                <w:sz w:val="20"/>
                <w:szCs w:val="20"/>
              </w:rPr>
              <w:instrText xml:space="preserve"> FORMCHECKBOX </w:instrText>
            </w:r>
            <w:r w:rsidR="005A4410">
              <w:rPr>
                <w:rFonts w:ascii="Arial Narrow" w:eastAsia="Calibri" w:hAnsi="Arial Narrow" w:cs="Arial"/>
                <w:strike/>
                <w:sz w:val="20"/>
                <w:szCs w:val="20"/>
              </w:rPr>
            </w:r>
            <w:r w:rsidR="005A4410">
              <w:rPr>
                <w:rFonts w:ascii="Arial Narrow" w:eastAsia="Calibri" w:hAnsi="Arial Narrow" w:cs="Arial"/>
                <w:strike/>
                <w:sz w:val="20"/>
                <w:szCs w:val="20"/>
              </w:rPr>
              <w:fldChar w:fldCharType="separate"/>
            </w:r>
            <w:r w:rsidR="00CF219C" w:rsidRPr="007B4F46">
              <w:rPr>
                <w:rFonts w:ascii="Arial Narrow" w:eastAsia="Calibri" w:hAnsi="Arial Narrow" w:cs="Arial"/>
                <w:strike/>
                <w:sz w:val="20"/>
                <w:szCs w:val="20"/>
              </w:rPr>
              <w:fldChar w:fldCharType="end"/>
            </w:r>
            <w:r w:rsidRPr="007B4F46">
              <w:rPr>
                <w:rFonts w:ascii="Arial Narrow" w:eastAsia="Calibri" w:hAnsi="Arial Narrow" w:cs="Arial"/>
                <w:strike/>
                <w:sz w:val="20"/>
                <w:szCs w:val="20"/>
              </w:rPr>
              <w:t>Authority Required (Streamlined)</w:t>
            </w:r>
            <w:r w:rsidRPr="001428E9">
              <w:rPr>
                <w:rFonts w:ascii="Arial Narrow" w:eastAsia="Calibri" w:hAnsi="Arial Narrow" w:cs="Arial"/>
                <w:sz w:val="20"/>
                <w:szCs w:val="20"/>
              </w:rPr>
              <w:t xml:space="preserve"> </w:t>
            </w:r>
          </w:p>
        </w:tc>
      </w:tr>
      <w:tr w:rsidR="006B6AE3" w:rsidRPr="001428E9" w14:paraId="66ACBEBA" w14:textId="77777777" w:rsidTr="007B4F46">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right w:val="single" w:sz="4" w:space="0" w:color="auto"/>
            </w:tcBorders>
          </w:tcPr>
          <w:p w14:paraId="128DAF68" w14:textId="77777777" w:rsidR="006B6AE3" w:rsidRPr="001428E9" w:rsidRDefault="006B6AE3" w:rsidP="00E317E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8EF07C" w14:textId="24AD3877" w:rsidR="006B6AE3" w:rsidRPr="002242A3" w:rsidRDefault="006B6AE3">
            <w:pPr>
              <w:keepLines/>
              <w:jc w:val="left"/>
              <w:rPr>
                <w:rFonts w:ascii="Arial Narrow" w:hAnsi="Arial Narrow" w:cs="Arial"/>
                <w:sz w:val="20"/>
                <w:szCs w:val="20"/>
              </w:rPr>
            </w:pPr>
            <w:r w:rsidRPr="002242A3">
              <w:rPr>
                <w:rFonts w:ascii="Arial Narrow" w:hAnsi="Arial Narrow"/>
                <w:b/>
                <w:bCs/>
                <w:sz w:val="20"/>
                <w:szCs w:val="20"/>
              </w:rPr>
              <w:t xml:space="preserve">Clinical criteria: </w:t>
            </w:r>
            <w:r w:rsidRPr="002242A3">
              <w:rPr>
                <w:rFonts w:ascii="Arial Narrow" w:hAnsi="Arial Narrow"/>
                <w:sz w:val="20"/>
                <w:szCs w:val="20"/>
              </w:rPr>
              <w:t>The treatment must be in combination with aspirin</w:t>
            </w:r>
          </w:p>
        </w:tc>
      </w:tr>
      <w:tr w:rsidR="00BE7CFD" w:rsidRPr="001428E9" w14:paraId="439CE042" w14:textId="77777777" w:rsidTr="000D1D2F">
        <w:tblPrEx>
          <w:tblCellMar>
            <w:top w:w="15" w:type="dxa"/>
            <w:bottom w:w="15" w:type="dxa"/>
          </w:tblCellMar>
        </w:tblPrEx>
        <w:trPr>
          <w:trHeight w:val="20"/>
        </w:trPr>
        <w:tc>
          <w:tcPr>
            <w:tcW w:w="1271" w:type="dxa"/>
            <w:tcBorders>
              <w:left w:val="single" w:sz="4" w:space="0" w:color="auto"/>
              <w:right w:val="single" w:sz="4" w:space="0" w:color="auto"/>
            </w:tcBorders>
          </w:tcPr>
          <w:p w14:paraId="1E736942" w14:textId="71E7A060" w:rsidR="00BE7CFD" w:rsidRPr="001428E9" w:rsidRDefault="00BE7CFD" w:rsidP="00BE7CF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6CAAFFE6" w14:textId="77777777" w:rsidR="00BE7CFD" w:rsidRPr="00A33B27" w:rsidRDefault="00BE7CFD" w:rsidP="00BE7CFD">
            <w:pPr>
              <w:pStyle w:val="NormalWeb"/>
              <w:spacing w:before="0" w:beforeAutospacing="0" w:after="0" w:afterAutospacing="0"/>
              <w:textAlignment w:val="baseline"/>
              <w:rPr>
                <w:rFonts w:ascii="Arial Narrow" w:hAnsi="Arial Narrow" w:cs="Open Sans"/>
                <w:color w:val="333333"/>
                <w:sz w:val="20"/>
                <w:szCs w:val="20"/>
              </w:rPr>
            </w:pPr>
            <w:r w:rsidRPr="00A33B27">
              <w:rPr>
                <w:rStyle w:val="Strong"/>
                <w:rFonts w:ascii="Arial Narrow" w:hAnsi="Arial Narrow" w:cs="Open Sans"/>
                <w:color w:val="333333"/>
                <w:sz w:val="20"/>
                <w:szCs w:val="20"/>
                <w:bdr w:val="none" w:sz="0" w:space="0" w:color="auto" w:frame="1"/>
              </w:rPr>
              <w:t>Administrative Advice:</w:t>
            </w:r>
          </w:p>
          <w:p w14:paraId="772803D3" w14:textId="77777777" w:rsidR="00BE7CFD" w:rsidRPr="000D1D2F" w:rsidRDefault="00BE7CFD" w:rsidP="00BE7CFD">
            <w:pPr>
              <w:pStyle w:val="NormalWeb"/>
              <w:spacing w:before="0" w:beforeAutospacing="0" w:after="0" w:afterAutospacing="0"/>
              <w:textAlignment w:val="baseline"/>
              <w:rPr>
                <w:rFonts w:ascii="Arial Narrow" w:hAnsi="Arial Narrow" w:cs="Open Sans"/>
                <w:i/>
                <w:iCs/>
                <w:color w:val="333333"/>
                <w:sz w:val="20"/>
                <w:szCs w:val="20"/>
              </w:rPr>
            </w:pPr>
            <w:r w:rsidRPr="000D1D2F">
              <w:rPr>
                <w:rFonts w:ascii="Arial Narrow" w:hAnsi="Arial Narrow" w:cs="Open Sans"/>
                <w:b/>
                <w:bCs/>
                <w:i/>
                <w:iCs/>
                <w:color w:val="333333"/>
                <w:sz w:val="20"/>
                <w:szCs w:val="20"/>
                <w:bdr w:val="none" w:sz="0" w:space="0" w:color="auto" w:frame="1"/>
              </w:rPr>
              <w:t>Shared Care Model</w:t>
            </w:r>
            <w:r w:rsidRPr="000D1D2F">
              <w:rPr>
                <w:rFonts w:ascii="Arial Narrow" w:hAnsi="Arial Narrow" w:cs="Open Sans"/>
                <w:i/>
                <w:iCs/>
                <w:color w:val="333333"/>
                <w:sz w:val="20"/>
                <w:szCs w:val="20"/>
              </w:rPr>
              <w:t>:</w:t>
            </w:r>
          </w:p>
          <w:p w14:paraId="4C99CEBC" w14:textId="5527BDCC" w:rsidR="00BE7CFD" w:rsidRPr="008044A5" w:rsidRDefault="00BE7CFD" w:rsidP="00BE7CFD">
            <w:pPr>
              <w:keepLines/>
              <w:jc w:val="left"/>
              <w:rPr>
                <w:rFonts w:ascii="Arial Narrow" w:hAnsi="Arial Narrow"/>
                <w:b/>
                <w:bCs/>
                <w:strike/>
                <w:sz w:val="20"/>
                <w:szCs w:val="20"/>
              </w:rPr>
            </w:pPr>
            <w:r w:rsidRPr="000D1D2F">
              <w:rPr>
                <w:rFonts w:ascii="Arial Narrow" w:hAnsi="Arial Narrow" w:cs="Open Sans"/>
                <w:i/>
                <w:iCs/>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29A96004" w14:textId="17557E87" w:rsidR="00C27C1C" w:rsidRPr="00980B0E" w:rsidRDefault="00C27C1C" w:rsidP="002242A3">
      <w:pPr>
        <w:pStyle w:val="4-SubsectionHeading"/>
        <w:spacing w:before="240"/>
        <w:rPr>
          <w:color w:val="FF0000"/>
        </w:rPr>
      </w:pPr>
      <w:r w:rsidRPr="003C2FB5">
        <w:t>Comparator</w:t>
      </w:r>
      <w:r>
        <w:t xml:space="preserve"> </w:t>
      </w:r>
    </w:p>
    <w:p w14:paraId="011638E9" w14:textId="004C092A" w:rsidR="00797453" w:rsidRDefault="00797453" w:rsidP="000D1D2F">
      <w:pPr>
        <w:pStyle w:val="3Bodytext"/>
        <w:jc w:val="both"/>
      </w:pPr>
      <w:r>
        <w:t xml:space="preserve">The submission nominated </w:t>
      </w:r>
      <w:r w:rsidR="0066372F">
        <w:t xml:space="preserve">ticagrelor </w:t>
      </w:r>
      <w:r>
        <w:t xml:space="preserve">as the </w:t>
      </w:r>
      <w:r w:rsidR="00484660">
        <w:t xml:space="preserve">only </w:t>
      </w:r>
      <w:r>
        <w:t>comparator.</w:t>
      </w:r>
      <w:r w:rsidR="004D230E">
        <w:t xml:space="preserve"> </w:t>
      </w:r>
      <w:r w:rsidR="0066372F">
        <w:t xml:space="preserve">This </w:t>
      </w:r>
      <w:r w:rsidR="00484660">
        <w:t xml:space="preserve">was not appropriate as clopidogrel is </w:t>
      </w:r>
      <w:r w:rsidR="009919DD">
        <w:t>a</w:t>
      </w:r>
      <w:r w:rsidR="00484660">
        <w:t xml:space="preserve"> relevant comparator.</w:t>
      </w:r>
    </w:p>
    <w:p w14:paraId="0D6B4B73" w14:textId="77777777" w:rsidR="007F7519" w:rsidRPr="007F7519" w:rsidRDefault="0079016C" w:rsidP="007F7519">
      <w:pPr>
        <w:pStyle w:val="3Bodytext"/>
        <w:jc w:val="both"/>
        <w:rPr>
          <w:iCs/>
        </w:rPr>
      </w:pPr>
      <w:r w:rsidRPr="000D1D2F">
        <w:t>In</w:t>
      </w:r>
      <w:r w:rsidR="0035315A" w:rsidRPr="000D1D2F">
        <w:t xml:space="preserve"> its</w:t>
      </w:r>
      <w:r w:rsidRPr="000D1D2F">
        <w:t xml:space="preserve"> July 2011 meeting, the PBAC </w:t>
      </w:r>
      <w:r w:rsidR="00AE6442" w:rsidRPr="000D1D2F">
        <w:t>noted</w:t>
      </w:r>
      <w:r w:rsidRPr="000D1D2F">
        <w:t xml:space="preserve"> </w:t>
      </w:r>
      <w:r w:rsidR="00432F56" w:rsidRPr="000D1D2F">
        <w:t>clopidogrel as the</w:t>
      </w:r>
      <w:r w:rsidR="0035315A" w:rsidRPr="000D1D2F">
        <w:t xml:space="preserve"> appropriate</w:t>
      </w:r>
      <w:r w:rsidR="00432F56" w:rsidRPr="000D1D2F">
        <w:t xml:space="preserve"> </w:t>
      </w:r>
      <w:r w:rsidRPr="000D1D2F">
        <w:t xml:space="preserve">main comparator </w:t>
      </w:r>
      <w:r w:rsidR="0035315A" w:rsidRPr="000D1D2F">
        <w:t>to ticagrelor</w:t>
      </w:r>
      <w:r w:rsidRPr="000D1D2F">
        <w:t xml:space="preserve">. </w:t>
      </w:r>
      <w:r w:rsidR="00967ADD" w:rsidRPr="000D1D2F">
        <w:t>The</w:t>
      </w:r>
      <w:r w:rsidR="00432F56" w:rsidRPr="000D1D2F">
        <w:t xml:space="preserve"> PBAC considered that the results of </w:t>
      </w:r>
      <w:r w:rsidR="00AE6442" w:rsidRPr="000D1D2F">
        <w:t>the head-to-head randomised trial</w:t>
      </w:r>
      <w:r w:rsidR="00432F56" w:rsidRPr="000D1D2F">
        <w:t xml:space="preserve"> </w:t>
      </w:r>
      <w:r w:rsidR="00AE6442" w:rsidRPr="000D1D2F">
        <w:t>(</w:t>
      </w:r>
      <w:r w:rsidR="00432F56" w:rsidRPr="000D1D2F">
        <w:t>PLATO</w:t>
      </w:r>
      <w:r w:rsidR="00AE6442" w:rsidRPr="000D1D2F">
        <w:t>)</w:t>
      </w:r>
      <w:r w:rsidR="00432F56" w:rsidRPr="000D1D2F">
        <w:t xml:space="preserve"> presented in the submission support</w:t>
      </w:r>
      <w:r w:rsidR="00AE6442" w:rsidRPr="000D1D2F">
        <w:t>ed</w:t>
      </w:r>
      <w:r w:rsidR="00432F56" w:rsidRPr="000D1D2F">
        <w:t xml:space="preserve"> the claim of </w:t>
      </w:r>
      <w:r w:rsidR="0037116B" w:rsidRPr="000D1D2F">
        <w:t xml:space="preserve">the </w:t>
      </w:r>
      <w:r w:rsidR="00432F56" w:rsidRPr="000D1D2F">
        <w:t xml:space="preserve">superior comparative effectiveness of ticagrelor over clopidogrel (para 5.14.29, ticagrelor PSD, July 2011). The PBAC considered the submission’s claim of </w:t>
      </w:r>
      <w:r w:rsidR="0035315A" w:rsidRPr="000D1D2F">
        <w:t xml:space="preserve">non-inferior </w:t>
      </w:r>
      <w:r w:rsidR="00432F56" w:rsidRPr="000D1D2F">
        <w:t xml:space="preserve">safety to clopidogrel </w:t>
      </w:r>
      <w:r w:rsidR="0035315A" w:rsidRPr="000D1D2F">
        <w:t>was un</w:t>
      </w:r>
      <w:r w:rsidR="00432F56" w:rsidRPr="000D1D2F">
        <w:t>reasonable (para 5.14.21, ticagrelor PSD, July 2011)</w:t>
      </w:r>
      <w:r w:rsidR="00CD6346" w:rsidRPr="000D1D2F">
        <w:t xml:space="preserve">, noting that </w:t>
      </w:r>
      <w:r w:rsidR="0041536F" w:rsidRPr="000D1D2F">
        <w:t xml:space="preserve">it </w:t>
      </w:r>
      <w:r w:rsidR="00CD6346" w:rsidRPr="000D1D2F">
        <w:t>lacked long term safety data beyond 12 months and FDA reports of discontinuations because of dyspnoea and ventricular pauses</w:t>
      </w:r>
      <w:r w:rsidR="00432F56" w:rsidRPr="000D1D2F">
        <w:t>.</w:t>
      </w:r>
      <w:bookmarkStart w:id="1" w:name="_Hlk76375324"/>
    </w:p>
    <w:p w14:paraId="7284CE4C" w14:textId="562D2F7E" w:rsidR="007F7519" w:rsidRPr="007F7519" w:rsidRDefault="007F7519" w:rsidP="007F7519">
      <w:pPr>
        <w:pStyle w:val="3Bodytext"/>
        <w:numPr>
          <w:ilvl w:val="0"/>
          <w:numId w:val="0"/>
        </w:numPr>
        <w:ind w:left="720"/>
        <w:jc w:val="both"/>
        <w:rPr>
          <w:i/>
          <w:iCs/>
        </w:rPr>
      </w:pPr>
      <w:r w:rsidRPr="007F7519">
        <w:rPr>
          <w:i/>
          <w:iCs/>
        </w:rPr>
        <w:t xml:space="preserve">For more detail on PBAC’s view, see section </w:t>
      </w:r>
      <w:r w:rsidR="00BB7A98">
        <w:rPr>
          <w:i/>
          <w:iCs/>
        </w:rPr>
        <w:t>5</w:t>
      </w:r>
      <w:r w:rsidRPr="007F7519">
        <w:rPr>
          <w:i/>
          <w:iCs/>
        </w:rPr>
        <w:t xml:space="preserve"> PBAC outcome.</w:t>
      </w:r>
      <w:bookmarkEnd w:id="1"/>
    </w:p>
    <w:p w14:paraId="6AC61E1D" w14:textId="29F6D313" w:rsidR="003B59B5" w:rsidRDefault="003B59B5" w:rsidP="003B59B5">
      <w:pPr>
        <w:pStyle w:val="Heading1"/>
        <w:keepLines/>
        <w:numPr>
          <w:ilvl w:val="0"/>
          <w:numId w:val="2"/>
        </w:numPr>
        <w:spacing w:before="240"/>
        <w:ind w:left="709" w:hanging="709"/>
        <w:rPr>
          <w:sz w:val="32"/>
          <w:szCs w:val="32"/>
        </w:rPr>
      </w:pPr>
      <w:r>
        <w:rPr>
          <w:sz w:val="32"/>
          <w:szCs w:val="32"/>
        </w:rPr>
        <w:t>Financial implications</w:t>
      </w:r>
    </w:p>
    <w:p w14:paraId="19969EBA" w14:textId="4F287E50" w:rsidR="001D0C18" w:rsidRDefault="001D0C18" w:rsidP="007B4F46">
      <w:pPr>
        <w:pStyle w:val="4-SubsectionHeading"/>
        <w:rPr>
          <w:color w:val="000000" w:themeColor="text1"/>
          <w:lang w:eastAsia="en-US"/>
        </w:rPr>
      </w:pPr>
      <w:r>
        <w:rPr>
          <w:color w:val="000000" w:themeColor="text1"/>
          <w:lang w:eastAsia="en-US"/>
        </w:rPr>
        <w:t>Sponsor hearing</w:t>
      </w:r>
    </w:p>
    <w:p w14:paraId="2D20F507" w14:textId="214629D4" w:rsidR="001D0C18" w:rsidRPr="001D0C18" w:rsidRDefault="001D0C18" w:rsidP="001D0C18">
      <w:pPr>
        <w:pStyle w:val="3Bodytext"/>
        <w:rPr>
          <w:lang w:eastAsia="en-US"/>
        </w:rPr>
      </w:pPr>
      <w:r>
        <w:rPr>
          <w:lang w:eastAsia="en-US"/>
        </w:rPr>
        <w:t>There was no hearing for this item.</w:t>
      </w:r>
    </w:p>
    <w:p w14:paraId="30C45BDA" w14:textId="20B7C0D2" w:rsidR="001D0C18" w:rsidRDefault="001D0C18" w:rsidP="007B4F46">
      <w:pPr>
        <w:pStyle w:val="4-SubsectionHeading"/>
        <w:rPr>
          <w:color w:val="000000" w:themeColor="text1"/>
          <w:lang w:eastAsia="en-US"/>
        </w:rPr>
      </w:pPr>
      <w:r>
        <w:rPr>
          <w:color w:val="000000" w:themeColor="text1"/>
          <w:lang w:eastAsia="en-US"/>
        </w:rPr>
        <w:t>Consumer comments</w:t>
      </w:r>
    </w:p>
    <w:p w14:paraId="446CE911" w14:textId="3FFCEE56" w:rsidR="001D0C18" w:rsidRPr="001D0C18" w:rsidRDefault="002D57C3" w:rsidP="001D0C18">
      <w:pPr>
        <w:pStyle w:val="3Bodytext"/>
        <w:rPr>
          <w:lang w:eastAsia="en-US"/>
        </w:rPr>
      </w:pPr>
      <w:r>
        <w:rPr>
          <w:lang w:eastAsia="en-US"/>
        </w:rPr>
        <w:t xml:space="preserve">The PBAC noted that no consumer comments were received for this item. </w:t>
      </w:r>
    </w:p>
    <w:p w14:paraId="73C1B580" w14:textId="5F829CC0" w:rsidR="003B59B5" w:rsidRPr="007B4F46" w:rsidRDefault="003B59B5" w:rsidP="007B4F46">
      <w:pPr>
        <w:pStyle w:val="4-SubsectionHeading"/>
        <w:rPr>
          <w:color w:val="000000" w:themeColor="text1"/>
          <w:lang w:eastAsia="en-US"/>
        </w:rPr>
      </w:pPr>
      <w:r w:rsidRPr="007B4F46">
        <w:rPr>
          <w:color w:val="000000" w:themeColor="text1"/>
          <w:lang w:eastAsia="en-US"/>
        </w:rPr>
        <w:t>Drug cost</w:t>
      </w:r>
    </w:p>
    <w:p w14:paraId="2A66480F" w14:textId="62B00ECE" w:rsidR="003B59B5" w:rsidRPr="007B4F46" w:rsidRDefault="009E65A5" w:rsidP="000D1D2F">
      <w:pPr>
        <w:pStyle w:val="3Bodytext"/>
        <w:jc w:val="both"/>
      </w:pPr>
      <w:r>
        <w:t>At 1 January 2023, t</w:t>
      </w:r>
      <w:r w:rsidR="003B59B5">
        <w:t xml:space="preserve">he AEMP of ticagrelor </w:t>
      </w:r>
      <w:r w:rsidR="00E75C6E">
        <w:t>wa</w:t>
      </w:r>
      <w:r w:rsidR="003B59B5">
        <w:t xml:space="preserve">s $114.52 and </w:t>
      </w:r>
      <w:r w:rsidR="00E75C6E">
        <w:t xml:space="preserve">the </w:t>
      </w:r>
      <w:r w:rsidR="003B59B5">
        <w:t xml:space="preserve">DPMQ </w:t>
      </w:r>
      <w:r w:rsidR="00E75C6E">
        <w:t>wa</w:t>
      </w:r>
      <w:r w:rsidR="003B59B5">
        <w:t>s $136.43</w:t>
      </w:r>
      <w:r w:rsidR="00BE13D2">
        <w:t>.</w:t>
      </w:r>
    </w:p>
    <w:p w14:paraId="5EB16602" w14:textId="12BFDFFD" w:rsidR="00D70349" w:rsidRDefault="00D70349" w:rsidP="00D70349">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0C65B8C8" w14:textId="4C0F68A6" w:rsidR="006109A7" w:rsidRPr="00A823D6" w:rsidRDefault="00A37282" w:rsidP="000D1D2F">
      <w:pPr>
        <w:pStyle w:val="3Bodytext"/>
        <w:jc w:val="both"/>
        <w:rPr>
          <w:iCs/>
        </w:rPr>
      </w:pPr>
      <w:r w:rsidRPr="00304C23">
        <w:t>The submission</w:t>
      </w:r>
      <w:r w:rsidR="0082104E" w:rsidRPr="00304C23">
        <w:t xml:space="preserve"> assumed </w:t>
      </w:r>
      <w:r w:rsidR="00BE13D2" w:rsidRPr="00304C23">
        <w:t xml:space="preserve">that </w:t>
      </w:r>
      <w:r w:rsidR="0082104E" w:rsidRPr="00304C23">
        <w:t xml:space="preserve">there </w:t>
      </w:r>
      <w:r w:rsidR="00BE13D2" w:rsidRPr="00304C23">
        <w:t xml:space="preserve">will </w:t>
      </w:r>
      <w:r w:rsidR="0082104E" w:rsidRPr="00304C23">
        <w:t xml:space="preserve">be no </w:t>
      </w:r>
      <w:r w:rsidRPr="00304C23">
        <w:t>increase in</w:t>
      </w:r>
      <w:r w:rsidR="00231E9F" w:rsidRPr="00304C23">
        <w:t xml:space="preserve"> </w:t>
      </w:r>
      <w:r w:rsidR="00BE13D2" w:rsidRPr="00304C23">
        <w:t xml:space="preserve">the </w:t>
      </w:r>
      <w:r w:rsidR="00231E9F" w:rsidRPr="00304C23">
        <w:t>uptake of</w:t>
      </w:r>
      <w:r w:rsidRPr="00304C23">
        <w:t xml:space="preserve"> ticagrelor</w:t>
      </w:r>
      <w:r w:rsidR="003109FE">
        <w:t xml:space="preserve"> due to the change in restriction</w:t>
      </w:r>
      <w:r w:rsidR="0039401D" w:rsidRPr="00304C23">
        <w:t xml:space="preserve"> and therefore no financial impact, stating that</w:t>
      </w:r>
      <w:r w:rsidRPr="00304C23">
        <w:t xml:space="preserve"> it has been PBS-listed for 10 years and prescribers are familiar with the drug.</w:t>
      </w:r>
      <w:r w:rsidR="003109FE">
        <w:t xml:space="preserve"> As such, the submission did not provide any financial estimates.</w:t>
      </w:r>
      <w:r w:rsidR="00832887">
        <w:t xml:space="preserve"> </w:t>
      </w:r>
      <w:r w:rsidR="00CE55FA" w:rsidRPr="009C3162">
        <w:t>C</w:t>
      </w:r>
      <w:r w:rsidR="00832887" w:rsidRPr="009C3162">
        <w:t>lopidogrel is unrestricted on the PBS</w:t>
      </w:r>
      <w:r w:rsidR="00CE55FA">
        <w:t xml:space="preserve"> and</w:t>
      </w:r>
      <w:r w:rsidR="00832887" w:rsidRPr="009C3162">
        <w:t xml:space="preserve"> </w:t>
      </w:r>
      <w:r w:rsidR="00956956" w:rsidRPr="009C3162">
        <w:t xml:space="preserve">is used for </w:t>
      </w:r>
      <w:r w:rsidR="003862C1">
        <w:t>ACS and non-ACS</w:t>
      </w:r>
      <w:r w:rsidR="003862C1" w:rsidRPr="009C3162">
        <w:t xml:space="preserve"> </w:t>
      </w:r>
      <w:r w:rsidR="00956956" w:rsidRPr="009C3162">
        <w:t>indications</w:t>
      </w:r>
      <w:r w:rsidR="00CE55FA">
        <w:t>.</w:t>
      </w:r>
      <w:r w:rsidR="00CE55FA" w:rsidRPr="00A823D6">
        <w:rPr>
          <w:iCs/>
        </w:rPr>
        <w:t xml:space="preserve"> As ticagrelor is </w:t>
      </w:r>
      <w:r w:rsidR="000A28C1" w:rsidRPr="00A823D6">
        <w:rPr>
          <w:iCs/>
        </w:rPr>
        <w:t xml:space="preserve">significantly more expensive than clopidogrel, </w:t>
      </w:r>
      <w:r w:rsidR="00D009D7" w:rsidRPr="00A823D6">
        <w:rPr>
          <w:iCs/>
        </w:rPr>
        <w:t>any</w:t>
      </w:r>
      <w:r w:rsidR="00BE13D2" w:rsidRPr="00A823D6">
        <w:rPr>
          <w:iCs/>
        </w:rPr>
        <w:t xml:space="preserve"> </w:t>
      </w:r>
      <w:r w:rsidR="00A33EFC">
        <w:rPr>
          <w:iCs/>
        </w:rPr>
        <w:t>substitution of</w:t>
      </w:r>
      <w:r w:rsidR="00CE55FA" w:rsidRPr="00A823D6">
        <w:rPr>
          <w:iCs/>
        </w:rPr>
        <w:t xml:space="preserve"> </w:t>
      </w:r>
      <w:r w:rsidR="00A33EFC">
        <w:rPr>
          <w:iCs/>
        </w:rPr>
        <w:t xml:space="preserve">clopidogrel with </w:t>
      </w:r>
      <w:r w:rsidR="00CE55FA" w:rsidRPr="00A823D6">
        <w:rPr>
          <w:iCs/>
        </w:rPr>
        <w:t>ticagrelor</w:t>
      </w:r>
      <w:r w:rsidR="008F0B24" w:rsidRPr="00A823D6">
        <w:rPr>
          <w:iCs/>
        </w:rPr>
        <w:t xml:space="preserve"> </w:t>
      </w:r>
      <w:r w:rsidR="00A33EFC">
        <w:rPr>
          <w:iCs/>
        </w:rPr>
        <w:t>for non-ACS indications</w:t>
      </w:r>
      <w:r w:rsidR="00D009D7" w:rsidRPr="00A823D6">
        <w:rPr>
          <w:iCs/>
        </w:rPr>
        <w:t xml:space="preserve"> will result in a cost to the Commonwealth.</w:t>
      </w:r>
      <w:r w:rsidR="00A33EFC">
        <w:rPr>
          <w:iCs/>
        </w:rPr>
        <w:t xml:space="preserve"> The Pre-PBAC response </w:t>
      </w:r>
      <w:r w:rsidR="00837179">
        <w:rPr>
          <w:iCs/>
        </w:rPr>
        <w:t>argued</w:t>
      </w:r>
      <w:r w:rsidR="00A33EFC">
        <w:rPr>
          <w:iCs/>
        </w:rPr>
        <w:t xml:space="preserve"> that </w:t>
      </w:r>
      <w:r w:rsidR="003C71D3">
        <w:rPr>
          <w:iCs/>
        </w:rPr>
        <w:t xml:space="preserve">removing the ACS indication from the restriction would not result in the </w:t>
      </w:r>
      <w:r w:rsidR="00837179">
        <w:rPr>
          <w:iCs/>
        </w:rPr>
        <w:t xml:space="preserve">PBS prescribing of </w:t>
      </w:r>
      <w:r w:rsidR="003C71D3">
        <w:rPr>
          <w:iCs/>
        </w:rPr>
        <w:t xml:space="preserve">ticagrelor for non-ACS </w:t>
      </w:r>
      <w:r w:rsidR="00837179">
        <w:rPr>
          <w:iCs/>
        </w:rPr>
        <w:t>indications and provided financial estimates of the projected growth of ticagrelor for the ACS indication.</w:t>
      </w:r>
      <w:r w:rsidR="00D009D7" w:rsidRPr="00A823D6">
        <w:rPr>
          <w:iCs/>
        </w:rPr>
        <w:t xml:space="preserve"> The PBAC </w:t>
      </w:r>
      <w:r w:rsidR="009F3E04">
        <w:rPr>
          <w:iCs/>
        </w:rPr>
        <w:t>considered that</w:t>
      </w:r>
      <w:r w:rsidR="003862C1">
        <w:rPr>
          <w:iCs/>
        </w:rPr>
        <w:t>,</w:t>
      </w:r>
      <w:r w:rsidR="009F3E04">
        <w:rPr>
          <w:iCs/>
        </w:rPr>
        <w:t xml:space="preserve"> </w:t>
      </w:r>
      <w:r w:rsidR="005660EE">
        <w:rPr>
          <w:iCs/>
        </w:rPr>
        <w:t xml:space="preserve">given </w:t>
      </w:r>
      <w:r w:rsidR="009F3E04">
        <w:rPr>
          <w:iCs/>
        </w:rPr>
        <w:t xml:space="preserve">there is a risk that </w:t>
      </w:r>
      <w:r w:rsidR="00D009D7" w:rsidRPr="00A823D6">
        <w:rPr>
          <w:iCs/>
        </w:rPr>
        <w:t xml:space="preserve">ticagrelor </w:t>
      </w:r>
      <w:r w:rsidR="009F3E04">
        <w:rPr>
          <w:iCs/>
        </w:rPr>
        <w:t>may be</w:t>
      </w:r>
      <w:r w:rsidR="00712CE4" w:rsidRPr="00A823D6">
        <w:rPr>
          <w:iCs/>
        </w:rPr>
        <w:t xml:space="preserve"> used for</w:t>
      </w:r>
      <w:r w:rsidR="00D009D7" w:rsidRPr="00A823D6">
        <w:rPr>
          <w:iCs/>
        </w:rPr>
        <w:t xml:space="preserve"> non-ACS indications if unrestricted</w:t>
      </w:r>
      <w:r w:rsidR="003862C1">
        <w:rPr>
          <w:iCs/>
        </w:rPr>
        <w:t>,</w:t>
      </w:r>
      <w:r w:rsidR="009C3162" w:rsidRPr="00A823D6">
        <w:rPr>
          <w:iCs/>
        </w:rPr>
        <w:t xml:space="preserve"> </w:t>
      </w:r>
      <w:r w:rsidR="009F3E04">
        <w:rPr>
          <w:iCs/>
        </w:rPr>
        <w:t>the</w:t>
      </w:r>
      <w:r w:rsidR="009C3162" w:rsidRPr="00A823D6">
        <w:rPr>
          <w:iCs/>
        </w:rPr>
        <w:t xml:space="preserve"> submission’s claim of nil financial impact</w:t>
      </w:r>
      <w:r w:rsidR="003862C1">
        <w:rPr>
          <w:iCs/>
        </w:rPr>
        <w:t xml:space="preserve"> was</w:t>
      </w:r>
      <w:r w:rsidR="009C3162" w:rsidRPr="00A823D6">
        <w:rPr>
          <w:iCs/>
        </w:rPr>
        <w:t xml:space="preserve"> </w:t>
      </w:r>
      <w:r w:rsidR="005660EE">
        <w:rPr>
          <w:iCs/>
        </w:rPr>
        <w:t>un</w:t>
      </w:r>
      <w:r w:rsidR="009C3162" w:rsidRPr="00A823D6">
        <w:rPr>
          <w:iCs/>
        </w:rPr>
        <w:t>reasonable</w:t>
      </w:r>
      <w:r w:rsidR="006736EC">
        <w:rPr>
          <w:iCs/>
        </w:rPr>
        <w:t xml:space="preserve"> and that the financial estimates should reflect the likely displacement of clopidogrel</w:t>
      </w:r>
      <w:r w:rsidR="00D009D7" w:rsidRPr="00A823D6">
        <w:rPr>
          <w:iCs/>
        </w:rPr>
        <w:t>.</w:t>
      </w:r>
    </w:p>
    <w:p w14:paraId="4F3E24CD" w14:textId="48DC3720" w:rsidR="00EE7B4A" w:rsidRPr="008044A5" w:rsidRDefault="006109A7">
      <w:pPr>
        <w:pStyle w:val="3Bodytext"/>
        <w:jc w:val="both"/>
        <w:rPr>
          <w:b/>
          <w:bCs/>
        </w:rPr>
      </w:pPr>
      <w:r w:rsidRPr="008044A5">
        <w:rPr>
          <w:bCs/>
        </w:rPr>
        <w:t>In its July 2011 PBAC meeting, the PBAC considered that the high potential for ticagrelor to be prescribed for non-ACS conditions was of particular concern as use in such conditions has the potential to result in high costs to the PBS.</w:t>
      </w:r>
      <w:r w:rsidR="00FD49FC">
        <w:rPr>
          <w:bCs/>
        </w:rPr>
        <w:t xml:space="preserve"> Despite the consequent uncertainty in the estimated utilisation, the PBAC</w:t>
      </w:r>
      <w:r w:rsidR="000B051B">
        <w:rPr>
          <w:bCs/>
        </w:rPr>
        <w:t xml:space="preserve"> had</w:t>
      </w:r>
      <w:r w:rsidR="00FD49FC">
        <w:rPr>
          <w:bCs/>
        </w:rPr>
        <w:t xml:space="preserve"> considered that</w:t>
      </w:r>
      <w:r w:rsidR="000B051B">
        <w:rPr>
          <w:bCs/>
        </w:rPr>
        <w:t xml:space="preserve"> the</w:t>
      </w:r>
      <w:r w:rsidR="00FD49FC">
        <w:rPr>
          <w:bCs/>
        </w:rPr>
        <w:t xml:space="preserve"> utilisation may be less than </w:t>
      </w:r>
      <w:r w:rsidR="000B051B">
        <w:rPr>
          <w:bCs/>
        </w:rPr>
        <w:t>estimated</w:t>
      </w:r>
      <w:r w:rsidR="00FD49FC">
        <w:rPr>
          <w:bCs/>
        </w:rPr>
        <w:t xml:space="preserve"> due to adverse events associated with ticagrelor (e.g. increased non-CABG bleeding) and potentially lower compliance arising from twice daily dosing compared to clopidogrel’s once daily dosing.</w:t>
      </w:r>
      <w:r w:rsidRPr="008044A5">
        <w:rPr>
          <w:bCs/>
        </w:rPr>
        <w:t xml:space="preserve"> </w:t>
      </w:r>
      <w:r w:rsidR="00316004">
        <w:rPr>
          <w:bCs/>
        </w:rPr>
        <w:t>Nonetheless</w:t>
      </w:r>
      <w:r w:rsidRPr="008044A5">
        <w:rPr>
          <w:bCs/>
        </w:rPr>
        <w:t>, the PBAC noted the sponsor’s willingness to enter into a risk share agreement</w:t>
      </w:r>
      <w:r w:rsidR="00316004">
        <w:rPr>
          <w:bCs/>
        </w:rPr>
        <w:t>,</w:t>
      </w:r>
      <w:r w:rsidR="00BD0DA5">
        <w:rPr>
          <w:bCs/>
        </w:rPr>
        <w:t xml:space="preserve"> t</w:t>
      </w:r>
      <w:r w:rsidRPr="008044A5">
        <w:rPr>
          <w:bCs/>
        </w:rPr>
        <w:t>o address the issue of ticagrelor’s potential use outside any PBS restriction</w:t>
      </w:r>
      <w:r w:rsidR="00BD0DA5">
        <w:rPr>
          <w:bCs/>
        </w:rPr>
        <w:t>. T</w:t>
      </w:r>
      <w:r w:rsidRPr="008044A5">
        <w:rPr>
          <w:bCs/>
        </w:rPr>
        <w:t xml:space="preserve">he PBAC </w:t>
      </w:r>
      <w:r w:rsidR="00BD0DA5">
        <w:rPr>
          <w:bCs/>
        </w:rPr>
        <w:t xml:space="preserve">therefore </w:t>
      </w:r>
      <w:r w:rsidRPr="008044A5">
        <w:rPr>
          <w:bCs/>
        </w:rPr>
        <w:t xml:space="preserve">recommended that the Department enter into a price-volume risk share agreement with the sponsor (para 5.14.34, ticagrelor PSD, July 2011 PBAC meeting). </w:t>
      </w:r>
      <w:r w:rsidR="00DF69ED" w:rsidRPr="00A823D6">
        <w:rPr>
          <w:bCs/>
          <w:iCs/>
        </w:rPr>
        <w:t>Ticagrelor was previously subject to a Deed of Agreement with</w:t>
      </w:r>
      <w:r w:rsidR="00023819">
        <w:rPr>
          <w:bCs/>
          <w:iCs/>
        </w:rPr>
        <w:t xml:space="preserve"> a</w:t>
      </w:r>
      <w:r w:rsidR="00DF69ED" w:rsidRPr="00A823D6">
        <w:rPr>
          <w:bCs/>
          <w:iCs/>
        </w:rPr>
        <w:t xml:space="preserve"> Risk Sharing Arrangement encompassing subsidisation caps</w:t>
      </w:r>
      <w:r w:rsidR="00023819">
        <w:rPr>
          <w:bCs/>
          <w:iCs/>
        </w:rPr>
        <w:t>, h</w:t>
      </w:r>
      <w:r w:rsidR="00DF69ED" w:rsidRPr="00A823D6">
        <w:rPr>
          <w:bCs/>
          <w:iCs/>
        </w:rPr>
        <w:t xml:space="preserve">owever, the Deed was terminated in 2017 following the </w:t>
      </w:r>
      <w:r w:rsidR="00321528" w:rsidRPr="00A823D6">
        <w:rPr>
          <w:bCs/>
          <w:iCs/>
        </w:rPr>
        <w:t>end of</w:t>
      </w:r>
      <w:r w:rsidR="00653939" w:rsidRPr="00A823D6">
        <w:rPr>
          <w:bCs/>
          <w:iCs/>
        </w:rPr>
        <w:t xml:space="preserve"> the</w:t>
      </w:r>
      <w:r w:rsidR="00321528" w:rsidRPr="00A823D6">
        <w:rPr>
          <w:bCs/>
          <w:iCs/>
        </w:rPr>
        <w:t xml:space="preserve"> </w:t>
      </w:r>
      <w:r w:rsidR="00DF69ED" w:rsidRPr="00A823D6">
        <w:rPr>
          <w:bCs/>
          <w:iCs/>
        </w:rPr>
        <w:t>nominal</w:t>
      </w:r>
      <w:r w:rsidR="00321528" w:rsidRPr="00A823D6">
        <w:rPr>
          <w:bCs/>
          <w:iCs/>
        </w:rPr>
        <w:t xml:space="preserve"> Deed</w:t>
      </w:r>
      <w:r w:rsidR="00DF69ED" w:rsidRPr="00A823D6">
        <w:rPr>
          <w:bCs/>
          <w:iCs/>
        </w:rPr>
        <w:t xml:space="preserve"> Term. The subsidisation caps over the term of Deed </w:t>
      </w:r>
      <w:r w:rsidR="00321528" w:rsidRPr="00A823D6">
        <w:rPr>
          <w:bCs/>
          <w:iCs/>
        </w:rPr>
        <w:t xml:space="preserve">were </w:t>
      </w:r>
      <w:r w:rsidR="00DF69ED" w:rsidRPr="00A823D6">
        <w:rPr>
          <w:bCs/>
          <w:iCs/>
        </w:rPr>
        <w:t>not exceeded.</w:t>
      </w:r>
    </w:p>
    <w:p w14:paraId="07EE7A69" w14:textId="18AAA908" w:rsidR="00DE29D5" w:rsidRPr="00E060AF" w:rsidRDefault="00DE29D5" w:rsidP="00DE29D5">
      <w:pPr>
        <w:pStyle w:val="Tabletitles"/>
        <w:keepNext/>
        <w:keepLines/>
        <w:rPr>
          <w:rFonts w:asciiTheme="minorHAnsi" w:hAnsiTheme="minorHAnsi" w:cstheme="minorHAnsi"/>
          <w:sz w:val="24"/>
          <w:szCs w:val="24"/>
        </w:rPr>
      </w:pPr>
      <w:r w:rsidRPr="00167C39">
        <w:rPr>
          <w:rStyle w:val="CommentReference"/>
          <w:sz w:val="20"/>
          <w:szCs w:val="22"/>
        </w:rPr>
        <w:t>Table</w:t>
      </w:r>
      <w:r w:rsidRPr="00167C39">
        <w:rPr>
          <w:rFonts w:eastAsiaTheme="majorEastAsia"/>
        </w:rPr>
        <w:t xml:space="preserve"> </w:t>
      </w:r>
      <w:bookmarkStart w:id="2" w:name="_Hlk121755068"/>
      <w:r>
        <w:rPr>
          <w:rFonts w:eastAsiaTheme="majorEastAsia"/>
        </w:rPr>
        <w:t>1</w:t>
      </w:r>
      <w:r w:rsidRPr="00167C39">
        <w:rPr>
          <w:rFonts w:eastAsiaTheme="majorEastAsia"/>
        </w:rPr>
        <w:t>:</w:t>
      </w:r>
      <w:bookmarkEnd w:id="2"/>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DE29D5" w:rsidRPr="00197F03" w14:paraId="56A9D110" w14:textId="77777777" w:rsidTr="00E01665">
        <w:trPr>
          <w:cantSplit/>
          <w:tblHeader/>
          <w:jc w:val="center"/>
        </w:trPr>
        <w:tc>
          <w:tcPr>
            <w:tcW w:w="1118" w:type="pct"/>
            <w:shd w:val="clear" w:color="auto" w:fill="auto"/>
            <w:vAlign w:val="center"/>
          </w:tcPr>
          <w:p w14:paraId="62DABC26" w14:textId="77777777" w:rsidR="00DE29D5" w:rsidRPr="00167C39" w:rsidRDefault="00DE29D5" w:rsidP="00FE11DD">
            <w:pPr>
              <w:pStyle w:val="TableText0"/>
              <w:keepLines/>
            </w:pPr>
          </w:p>
        </w:tc>
        <w:tc>
          <w:tcPr>
            <w:tcW w:w="647" w:type="pct"/>
            <w:shd w:val="clear" w:color="auto" w:fill="auto"/>
            <w:vAlign w:val="center"/>
          </w:tcPr>
          <w:p w14:paraId="7C70EBDF" w14:textId="77777777" w:rsidR="00DE29D5" w:rsidRPr="00167C39" w:rsidRDefault="00DE29D5" w:rsidP="00E01665">
            <w:pPr>
              <w:pStyle w:val="TableText0"/>
              <w:keepLines/>
              <w:jc w:val="center"/>
              <w:rPr>
                <w:b/>
              </w:rPr>
            </w:pPr>
            <w:r w:rsidRPr="00167C39">
              <w:rPr>
                <w:b/>
              </w:rPr>
              <w:t>Year 1</w:t>
            </w:r>
          </w:p>
        </w:tc>
        <w:tc>
          <w:tcPr>
            <w:tcW w:w="647" w:type="pct"/>
            <w:shd w:val="clear" w:color="auto" w:fill="auto"/>
            <w:vAlign w:val="center"/>
          </w:tcPr>
          <w:p w14:paraId="1315C3B3" w14:textId="77777777" w:rsidR="00DE29D5" w:rsidRPr="00167C39" w:rsidRDefault="00DE29D5" w:rsidP="00E01665">
            <w:pPr>
              <w:pStyle w:val="TableText0"/>
              <w:keepLines/>
              <w:jc w:val="center"/>
              <w:rPr>
                <w:b/>
              </w:rPr>
            </w:pPr>
            <w:r w:rsidRPr="00167C39">
              <w:rPr>
                <w:b/>
              </w:rPr>
              <w:t>Year 2</w:t>
            </w:r>
          </w:p>
        </w:tc>
        <w:tc>
          <w:tcPr>
            <w:tcW w:w="647" w:type="pct"/>
            <w:shd w:val="clear" w:color="auto" w:fill="auto"/>
            <w:vAlign w:val="center"/>
          </w:tcPr>
          <w:p w14:paraId="45015CE7" w14:textId="77777777" w:rsidR="00DE29D5" w:rsidRPr="00167C39" w:rsidRDefault="00DE29D5" w:rsidP="00E01665">
            <w:pPr>
              <w:pStyle w:val="TableText0"/>
              <w:keepLines/>
              <w:jc w:val="center"/>
              <w:rPr>
                <w:b/>
              </w:rPr>
            </w:pPr>
            <w:r w:rsidRPr="00167C39">
              <w:rPr>
                <w:b/>
              </w:rPr>
              <w:t>Year 3</w:t>
            </w:r>
          </w:p>
        </w:tc>
        <w:tc>
          <w:tcPr>
            <w:tcW w:w="647" w:type="pct"/>
            <w:shd w:val="clear" w:color="auto" w:fill="auto"/>
            <w:vAlign w:val="center"/>
          </w:tcPr>
          <w:p w14:paraId="6055F091" w14:textId="77777777" w:rsidR="00DE29D5" w:rsidRPr="00167C39" w:rsidRDefault="00DE29D5" w:rsidP="00E01665">
            <w:pPr>
              <w:pStyle w:val="TableText0"/>
              <w:keepLines/>
              <w:jc w:val="center"/>
              <w:rPr>
                <w:b/>
              </w:rPr>
            </w:pPr>
            <w:r w:rsidRPr="00167C39">
              <w:rPr>
                <w:b/>
              </w:rPr>
              <w:t>Year 4</w:t>
            </w:r>
          </w:p>
        </w:tc>
        <w:tc>
          <w:tcPr>
            <w:tcW w:w="647" w:type="pct"/>
            <w:shd w:val="clear" w:color="auto" w:fill="auto"/>
            <w:vAlign w:val="center"/>
          </w:tcPr>
          <w:p w14:paraId="5BFAE508" w14:textId="77777777" w:rsidR="00DE29D5" w:rsidRPr="00167C39" w:rsidRDefault="00DE29D5" w:rsidP="00E01665">
            <w:pPr>
              <w:pStyle w:val="TableText0"/>
              <w:keepLines/>
              <w:jc w:val="center"/>
              <w:rPr>
                <w:b/>
              </w:rPr>
            </w:pPr>
            <w:r w:rsidRPr="00167C39">
              <w:rPr>
                <w:b/>
              </w:rPr>
              <w:t>Year 5</w:t>
            </w:r>
          </w:p>
        </w:tc>
        <w:tc>
          <w:tcPr>
            <w:tcW w:w="647" w:type="pct"/>
            <w:vAlign w:val="center"/>
          </w:tcPr>
          <w:p w14:paraId="4331557F" w14:textId="77777777" w:rsidR="00DE29D5" w:rsidRPr="00167C39" w:rsidRDefault="00DE29D5" w:rsidP="00E01665">
            <w:pPr>
              <w:pStyle w:val="TableText0"/>
              <w:keepLines/>
              <w:jc w:val="center"/>
              <w:rPr>
                <w:b/>
              </w:rPr>
            </w:pPr>
            <w:r w:rsidRPr="00167C39">
              <w:rPr>
                <w:b/>
              </w:rPr>
              <w:t>Year 6</w:t>
            </w:r>
          </w:p>
        </w:tc>
      </w:tr>
      <w:tr w:rsidR="00DE29D5" w:rsidRPr="00197F03" w14:paraId="0C4CF89C" w14:textId="77777777" w:rsidTr="00FE11DD">
        <w:trPr>
          <w:cantSplit/>
          <w:jc w:val="center"/>
        </w:trPr>
        <w:tc>
          <w:tcPr>
            <w:tcW w:w="5000" w:type="pct"/>
            <w:gridSpan w:val="7"/>
            <w:shd w:val="clear" w:color="auto" w:fill="auto"/>
            <w:vAlign w:val="center"/>
          </w:tcPr>
          <w:p w14:paraId="4BC62A2E" w14:textId="77777777" w:rsidR="00DE29D5" w:rsidRPr="00167C39" w:rsidRDefault="00DE29D5" w:rsidP="00FE11DD">
            <w:pPr>
              <w:pStyle w:val="TableText0"/>
              <w:keepLines/>
              <w:rPr>
                <w:b/>
                <w:color w:val="000000"/>
              </w:rPr>
            </w:pPr>
            <w:r w:rsidRPr="00167C39">
              <w:rPr>
                <w:b/>
                <w:color w:val="000000"/>
              </w:rPr>
              <w:t>Estimated extent of use</w:t>
            </w:r>
          </w:p>
        </w:tc>
      </w:tr>
      <w:tr w:rsidR="00DE29D5" w:rsidRPr="008D35F6" w14:paraId="0A0BAEAE" w14:textId="77777777" w:rsidTr="008044A5">
        <w:trPr>
          <w:cantSplit/>
          <w:jc w:val="center"/>
        </w:trPr>
        <w:tc>
          <w:tcPr>
            <w:tcW w:w="1118" w:type="pct"/>
            <w:shd w:val="clear" w:color="auto" w:fill="auto"/>
            <w:vAlign w:val="center"/>
          </w:tcPr>
          <w:p w14:paraId="48FCDB53" w14:textId="7D7C375D" w:rsidR="00DE29D5" w:rsidRPr="008D35F6" w:rsidRDefault="00DE29D5" w:rsidP="00FE11DD">
            <w:pPr>
              <w:pStyle w:val="TableText0"/>
              <w:keepLines/>
              <w:rPr>
                <w:vertAlign w:val="superscript"/>
              </w:rPr>
            </w:pPr>
            <w:r w:rsidRPr="008D35F6">
              <w:t xml:space="preserve">Number of </w:t>
            </w:r>
            <w:r w:rsidR="006271E2">
              <w:t xml:space="preserve">PBS/RPBS </w:t>
            </w:r>
            <w:r w:rsidRPr="008D35F6">
              <w:t>scripts dispensed</w:t>
            </w:r>
            <w:r w:rsidRPr="008D35F6">
              <w:rPr>
                <w:vertAlign w:val="superscript"/>
              </w:rPr>
              <w:t>a</w:t>
            </w:r>
          </w:p>
        </w:tc>
        <w:tc>
          <w:tcPr>
            <w:tcW w:w="647" w:type="pct"/>
            <w:shd w:val="clear" w:color="auto" w:fill="auto"/>
            <w:vAlign w:val="center"/>
          </w:tcPr>
          <w:p w14:paraId="2776E37C" w14:textId="61D33EE9" w:rsidR="00DE29D5" w:rsidRPr="005C4D35" w:rsidRDefault="00A87357" w:rsidP="008044A5">
            <w:pPr>
              <w:pStyle w:val="TableText0"/>
              <w:keepLines/>
              <w:jc w:val="center"/>
              <w:rPr>
                <w:color w:val="000000"/>
                <w:highlight w:val="darkGray"/>
              </w:rPr>
            </w:pPr>
            <w:r w:rsidRPr="00A87357">
              <w:rPr>
                <w:color w:val="000000"/>
                <w:spacing w:val="106"/>
                <w:shd w:val="solid" w:color="000000" w:fill="000000"/>
                <w:fitText w:val="192" w:id="-1233419520"/>
                <w14:textFill>
                  <w14:solidFill>
                    <w14:srgbClr w14:val="000000">
                      <w14:alpha w14:val="100000"/>
                    </w14:srgbClr>
                  </w14:solidFill>
                </w14:textFill>
              </w:rPr>
              <w:t>|</w:t>
            </w:r>
            <w:r w:rsidRPr="00A87357">
              <w:rPr>
                <w:color w:val="000000"/>
                <w:shd w:val="solid" w:color="000000" w:fill="000000"/>
                <w:fitText w:val="192" w:id="-1233419520"/>
                <w14:textFill>
                  <w14:solidFill>
                    <w14:srgbClr w14:val="000000">
                      <w14:alpha w14:val="100000"/>
                    </w14:srgbClr>
                  </w14:solidFill>
                </w14:textFill>
              </w:rPr>
              <w:t>|</w:t>
            </w:r>
            <w:r w:rsidR="005C4D35">
              <w:rPr>
                <w:vertAlign w:val="superscript"/>
              </w:rPr>
              <w:t>1</w:t>
            </w:r>
          </w:p>
        </w:tc>
        <w:tc>
          <w:tcPr>
            <w:tcW w:w="647" w:type="pct"/>
            <w:shd w:val="clear" w:color="auto" w:fill="auto"/>
            <w:vAlign w:val="center"/>
          </w:tcPr>
          <w:p w14:paraId="1701C7D8" w14:textId="77F1FF2D" w:rsidR="00DE29D5" w:rsidRPr="005C4D35" w:rsidRDefault="00A87357" w:rsidP="008044A5">
            <w:pPr>
              <w:pStyle w:val="TableText0"/>
              <w:keepLines/>
              <w:jc w:val="center"/>
              <w:rPr>
                <w:color w:val="000000"/>
                <w:highlight w:val="darkGray"/>
              </w:rPr>
            </w:pPr>
            <w:r w:rsidRPr="00A87357">
              <w:rPr>
                <w:color w:val="000000"/>
                <w:spacing w:val="105"/>
                <w:shd w:val="solid" w:color="000000" w:fill="000000"/>
                <w:fitText w:val="191" w:id="-1233419519"/>
                <w14:textFill>
                  <w14:solidFill>
                    <w14:srgbClr w14:val="000000">
                      <w14:alpha w14:val="100000"/>
                    </w14:srgbClr>
                  </w14:solidFill>
                </w14:textFill>
              </w:rPr>
              <w:t>|</w:t>
            </w:r>
            <w:r w:rsidRPr="00A87357">
              <w:rPr>
                <w:color w:val="000000"/>
                <w:shd w:val="solid" w:color="000000" w:fill="000000"/>
                <w:fitText w:val="191" w:id="-1233419519"/>
                <w14:textFill>
                  <w14:solidFill>
                    <w14:srgbClr w14:val="000000">
                      <w14:alpha w14:val="100000"/>
                    </w14:srgbClr>
                  </w14:solidFill>
                </w14:textFill>
              </w:rPr>
              <w:t>|</w:t>
            </w:r>
            <w:r w:rsidR="005C4D35">
              <w:rPr>
                <w:vertAlign w:val="superscript"/>
              </w:rPr>
              <w:t>1</w:t>
            </w:r>
          </w:p>
        </w:tc>
        <w:tc>
          <w:tcPr>
            <w:tcW w:w="647" w:type="pct"/>
            <w:shd w:val="clear" w:color="auto" w:fill="auto"/>
            <w:vAlign w:val="center"/>
          </w:tcPr>
          <w:p w14:paraId="3A5C5AFF" w14:textId="78BE558E" w:rsidR="00DE29D5" w:rsidRPr="005C4D35" w:rsidRDefault="00A87357" w:rsidP="008044A5">
            <w:pPr>
              <w:pStyle w:val="TableText0"/>
              <w:keepLines/>
              <w:jc w:val="center"/>
              <w:rPr>
                <w:color w:val="000000"/>
                <w:highlight w:val="darkGray"/>
              </w:rPr>
            </w:pPr>
            <w:r w:rsidRPr="00A87357">
              <w:rPr>
                <w:color w:val="000000"/>
                <w:spacing w:val="106"/>
                <w:shd w:val="solid" w:color="000000" w:fill="000000"/>
                <w:fitText w:val="192" w:id="-1233419518"/>
                <w14:textFill>
                  <w14:solidFill>
                    <w14:srgbClr w14:val="000000">
                      <w14:alpha w14:val="100000"/>
                    </w14:srgbClr>
                  </w14:solidFill>
                </w14:textFill>
              </w:rPr>
              <w:t>|</w:t>
            </w:r>
            <w:r w:rsidRPr="00A87357">
              <w:rPr>
                <w:color w:val="000000"/>
                <w:shd w:val="solid" w:color="000000" w:fill="000000"/>
                <w:fitText w:val="192" w:id="-1233419518"/>
                <w14:textFill>
                  <w14:solidFill>
                    <w14:srgbClr w14:val="000000">
                      <w14:alpha w14:val="100000"/>
                    </w14:srgbClr>
                  </w14:solidFill>
                </w14:textFill>
              </w:rPr>
              <w:t>|</w:t>
            </w:r>
            <w:r w:rsidR="005C4D35">
              <w:rPr>
                <w:vertAlign w:val="superscript"/>
              </w:rPr>
              <w:t>1</w:t>
            </w:r>
          </w:p>
        </w:tc>
        <w:tc>
          <w:tcPr>
            <w:tcW w:w="647" w:type="pct"/>
            <w:shd w:val="clear" w:color="auto" w:fill="auto"/>
            <w:vAlign w:val="center"/>
          </w:tcPr>
          <w:p w14:paraId="041BC4F4" w14:textId="6BD0677F" w:rsidR="00DE29D5" w:rsidRPr="005C4D35" w:rsidRDefault="00A87357" w:rsidP="008044A5">
            <w:pPr>
              <w:pStyle w:val="TableText0"/>
              <w:keepLines/>
              <w:jc w:val="center"/>
              <w:rPr>
                <w:color w:val="000000"/>
                <w:highlight w:val="darkGray"/>
              </w:rPr>
            </w:pPr>
            <w:r w:rsidRPr="00A87357">
              <w:rPr>
                <w:color w:val="000000"/>
                <w:spacing w:val="105"/>
                <w:shd w:val="solid" w:color="000000" w:fill="000000"/>
                <w:fitText w:val="191" w:id="-1233419517"/>
                <w14:textFill>
                  <w14:solidFill>
                    <w14:srgbClr w14:val="000000">
                      <w14:alpha w14:val="100000"/>
                    </w14:srgbClr>
                  </w14:solidFill>
                </w14:textFill>
              </w:rPr>
              <w:t>|</w:t>
            </w:r>
            <w:r w:rsidRPr="00A87357">
              <w:rPr>
                <w:color w:val="000000"/>
                <w:shd w:val="solid" w:color="000000" w:fill="000000"/>
                <w:fitText w:val="191" w:id="-1233419517"/>
                <w14:textFill>
                  <w14:solidFill>
                    <w14:srgbClr w14:val="000000">
                      <w14:alpha w14:val="100000"/>
                    </w14:srgbClr>
                  </w14:solidFill>
                </w14:textFill>
              </w:rPr>
              <w:t>|</w:t>
            </w:r>
            <w:r w:rsidR="005C4D35">
              <w:rPr>
                <w:vertAlign w:val="superscript"/>
              </w:rPr>
              <w:t>1</w:t>
            </w:r>
          </w:p>
        </w:tc>
        <w:tc>
          <w:tcPr>
            <w:tcW w:w="647" w:type="pct"/>
            <w:shd w:val="clear" w:color="auto" w:fill="auto"/>
            <w:vAlign w:val="center"/>
          </w:tcPr>
          <w:p w14:paraId="385F6FBA" w14:textId="7EE82454" w:rsidR="00DE29D5" w:rsidRPr="005C4D35" w:rsidRDefault="00A87357" w:rsidP="008044A5">
            <w:pPr>
              <w:pStyle w:val="TableText0"/>
              <w:keepLines/>
              <w:jc w:val="center"/>
              <w:rPr>
                <w:color w:val="000000"/>
                <w:highlight w:val="darkGray"/>
              </w:rPr>
            </w:pPr>
            <w:r w:rsidRPr="00A87357">
              <w:rPr>
                <w:color w:val="000000"/>
                <w:spacing w:val="105"/>
                <w:shd w:val="solid" w:color="000000" w:fill="000000"/>
                <w:fitText w:val="191" w:id="-1233419516"/>
                <w14:textFill>
                  <w14:solidFill>
                    <w14:srgbClr w14:val="000000">
                      <w14:alpha w14:val="100000"/>
                    </w14:srgbClr>
                  </w14:solidFill>
                </w14:textFill>
              </w:rPr>
              <w:t>|</w:t>
            </w:r>
            <w:r w:rsidRPr="00A87357">
              <w:rPr>
                <w:color w:val="000000"/>
                <w:shd w:val="solid" w:color="000000" w:fill="000000"/>
                <w:fitText w:val="191" w:id="-1233419516"/>
                <w14:textFill>
                  <w14:solidFill>
                    <w14:srgbClr w14:val="000000">
                      <w14:alpha w14:val="100000"/>
                    </w14:srgbClr>
                  </w14:solidFill>
                </w14:textFill>
              </w:rPr>
              <w:t>|</w:t>
            </w:r>
            <w:r w:rsidR="005C4D35">
              <w:rPr>
                <w:vertAlign w:val="superscript"/>
              </w:rPr>
              <w:t>1</w:t>
            </w:r>
          </w:p>
        </w:tc>
        <w:tc>
          <w:tcPr>
            <w:tcW w:w="647" w:type="pct"/>
            <w:vAlign w:val="center"/>
          </w:tcPr>
          <w:p w14:paraId="404DF70E" w14:textId="09180224" w:rsidR="00DE29D5" w:rsidRPr="005C4D35" w:rsidRDefault="00A87357" w:rsidP="008044A5">
            <w:pPr>
              <w:pStyle w:val="TableText0"/>
              <w:keepLines/>
              <w:jc w:val="center"/>
              <w:rPr>
                <w:color w:val="000000"/>
                <w:highlight w:val="darkGray"/>
              </w:rPr>
            </w:pPr>
            <w:r w:rsidRPr="00A87357">
              <w:rPr>
                <w:color w:val="000000"/>
                <w:spacing w:val="105"/>
                <w:shd w:val="solid" w:color="000000" w:fill="000000"/>
                <w:fitText w:val="191" w:id="-1233419515"/>
                <w14:textFill>
                  <w14:solidFill>
                    <w14:srgbClr w14:val="000000">
                      <w14:alpha w14:val="100000"/>
                    </w14:srgbClr>
                  </w14:solidFill>
                </w14:textFill>
              </w:rPr>
              <w:t>|</w:t>
            </w:r>
            <w:r w:rsidRPr="00A87357">
              <w:rPr>
                <w:color w:val="000000"/>
                <w:shd w:val="solid" w:color="000000" w:fill="000000"/>
                <w:fitText w:val="191" w:id="-1233419515"/>
                <w14:textFill>
                  <w14:solidFill>
                    <w14:srgbClr w14:val="000000">
                      <w14:alpha w14:val="100000"/>
                    </w14:srgbClr>
                  </w14:solidFill>
                </w14:textFill>
              </w:rPr>
              <w:t>|</w:t>
            </w:r>
            <w:r w:rsidR="005C4D35">
              <w:rPr>
                <w:vertAlign w:val="superscript"/>
              </w:rPr>
              <w:t>1</w:t>
            </w:r>
          </w:p>
        </w:tc>
      </w:tr>
      <w:tr w:rsidR="00DE29D5" w:rsidRPr="00197F03" w14:paraId="0BFB37DE" w14:textId="77777777" w:rsidTr="00FE11DD">
        <w:trPr>
          <w:cantSplit/>
          <w:jc w:val="center"/>
        </w:trPr>
        <w:tc>
          <w:tcPr>
            <w:tcW w:w="5000" w:type="pct"/>
            <w:gridSpan w:val="7"/>
            <w:shd w:val="clear" w:color="auto" w:fill="auto"/>
            <w:vAlign w:val="center"/>
          </w:tcPr>
          <w:p w14:paraId="7D38ED79" w14:textId="53AACAB1" w:rsidR="00DE29D5" w:rsidRPr="00167C39" w:rsidRDefault="00DE29D5" w:rsidP="00FE11DD">
            <w:pPr>
              <w:pStyle w:val="TableText0"/>
              <w:keepLines/>
              <w:rPr>
                <w:b/>
                <w:color w:val="000000"/>
              </w:rPr>
            </w:pPr>
            <w:r>
              <w:rPr>
                <w:b/>
                <w:color w:val="000000"/>
              </w:rPr>
              <w:t xml:space="preserve">Estimated financial implications of </w:t>
            </w:r>
            <w:r w:rsidR="006271E2">
              <w:rPr>
                <w:b/>
                <w:color w:val="000000"/>
              </w:rPr>
              <w:t>ticagrelor</w:t>
            </w:r>
          </w:p>
        </w:tc>
      </w:tr>
      <w:tr w:rsidR="00DE29D5" w:rsidRPr="00197F03" w14:paraId="144EBF08" w14:textId="77777777" w:rsidTr="008044A5">
        <w:trPr>
          <w:cantSplit/>
          <w:jc w:val="center"/>
        </w:trPr>
        <w:tc>
          <w:tcPr>
            <w:tcW w:w="1118" w:type="pct"/>
            <w:shd w:val="clear" w:color="auto" w:fill="auto"/>
            <w:vAlign w:val="center"/>
          </w:tcPr>
          <w:p w14:paraId="3F9AEB55" w14:textId="77777777" w:rsidR="00DE29D5" w:rsidRPr="00167C39" w:rsidRDefault="00DE29D5" w:rsidP="00FE11DD">
            <w:pPr>
              <w:pStyle w:val="TableText0"/>
              <w:keepLines/>
            </w:pPr>
            <w:r>
              <w:t>Cost to PBS/RPBS less co-payment</w:t>
            </w:r>
          </w:p>
        </w:tc>
        <w:tc>
          <w:tcPr>
            <w:tcW w:w="647" w:type="pct"/>
            <w:shd w:val="clear" w:color="auto" w:fill="auto"/>
            <w:vAlign w:val="center"/>
          </w:tcPr>
          <w:p w14:paraId="3542F1BF" w14:textId="275E5BAB"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14"/>
                <w14:textFill>
                  <w14:solidFill>
                    <w14:srgbClr w14:val="000000">
                      <w14:alpha w14:val="100000"/>
                    </w14:srgbClr>
                  </w14:solidFill>
                </w14:textFill>
              </w:rPr>
              <w:t>|</w:t>
            </w:r>
            <w:r w:rsidRPr="00A87357">
              <w:rPr>
                <w:color w:val="000000"/>
                <w:shd w:val="solid" w:color="000000" w:fill="000000"/>
                <w:fitText w:val="192" w:id="-1233419514"/>
                <w14:textFill>
                  <w14:solidFill>
                    <w14:srgbClr w14:val="000000">
                      <w14:alpha w14:val="100000"/>
                    </w14:srgbClr>
                  </w14:solidFill>
                </w14:textFill>
              </w:rPr>
              <w:t>|</w:t>
            </w:r>
            <w:r w:rsidR="005C4D35">
              <w:rPr>
                <w:vertAlign w:val="superscript"/>
              </w:rPr>
              <w:t>2</w:t>
            </w:r>
          </w:p>
        </w:tc>
        <w:tc>
          <w:tcPr>
            <w:tcW w:w="647" w:type="pct"/>
            <w:shd w:val="clear" w:color="auto" w:fill="auto"/>
            <w:vAlign w:val="center"/>
          </w:tcPr>
          <w:p w14:paraId="64410C5E" w14:textId="55BD4101"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3"/>
                <w14:textFill>
                  <w14:solidFill>
                    <w14:srgbClr w14:val="000000">
                      <w14:alpha w14:val="100000"/>
                    </w14:srgbClr>
                  </w14:solidFill>
                </w14:textFill>
              </w:rPr>
              <w:t>|</w:t>
            </w:r>
            <w:r w:rsidRPr="00A87357">
              <w:rPr>
                <w:color w:val="000000"/>
                <w:shd w:val="solid" w:color="000000" w:fill="000000"/>
                <w:fitText w:val="191" w:id="-1233419513"/>
                <w14:textFill>
                  <w14:solidFill>
                    <w14:srgbClr w14:val="000000">
                      <w14:alpha w14:val="100000"/>
                    </w14:srgbClr>
                  </w14:solidFill>
                </w14:textFill>
              </w:rPr>
              <w:t>|</w:t>
            </w:r>
            <w:r w:rsidR="005C4D35">
              <w:rPr>
                <w:vertAlign w:val="superscript"/>
              </w:rPr>
              <w:t>3</w:t>
            </w:r>
          </w:p>
        </w:tc>
        <w:tc>
          <w:tcPr>
            <w:tcW w:w="647" w:type="pct"/>
            <w:shd w:val="clear" w:color="auto" w:fill="auto"/>
            <w:vAlign w:val="center"/>
          </w:tcPr>
          <w:p w14:paraId="2E846624" w14:textId="6F703342"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12"/>
                <w14:textFill>
                  <w14:solidFill>
                    <w14:srgbClr w14:val="000000">
                      <w14:alpha w14:val="100000"/>
                    </w14:srgbClr>
                  </w14:solidFill>
                </w14:textFill>
              </w:rPr>
              <w:t>|</w:t>
            </w:r>
            <w:r w:rsidRPr="00A87357">
              <w:rPr>
                <w:color w:val="000000"/>
                <w:shd w:val="solid" w:color="000000" w:fill="000000"/>
                <w:fitText w:val="192" w:id="-1233419512"/>
                <w14:textFill>
                  <w14:solidFill>
                    <w14:srgbClr w14:val="000000">
                      <w14:alpha w14:val="100000"/>
                    </w14:srgbClr>
                  </w14:solidFill>
                </w14:textFill>
              </w:rPr>
              <w:t>|</w:t>
            </w:r>
            <w:r w:rsidR="005C4D35">
              <w:rPr>
                <w:vertAlign w:val="superscript"/>
              </w:rPr>
              <w:t>3</w:t>
            </w:r>
          </w:p>
        </w:tc>
        <w:tc>
          <w:tcPr>
            <w:tcW w:w="647" w:type="pct"/>
            <w:shd w:val="clear" w:color="auto" w:fill="auto"/>
            <w:vAlign w:val="center"/>
          </w:tcPr>
          <w:p w14:paraId="284F2D73" w14:textId="2E09FDA1"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1"/>
                <w14:textFill>
                  <w14:solidFill>
                    <w14:srgbClr w14:val="000000">
                      <w14:alpha w14:val="100000"/>
                    </w14:srgbClr>
                  </w14:solidFill>
                </w14:textFill>
              </w:rPr>
              <w:t>|</w:t>
            </w:r>
            <w:r w:rsidRPr="00A87357">
              <w:rPr>
                <w:color w:val="000000"/>
                <w:shd w:val="solid" w:color="000000" w:fill="000000"/>
                <w:fitText w:val="191" w:id="-1233419511"/>
                <w14:textFill>
                  <w14:solidFill>
                    <w14:srgbClr w14:val="000000">
                      <w14:alpha w14:val="100000"/>
                    </w14:srgbClr>
                  </w14:solidFill>
                </w14:textFill>
              </w:rPr>
              <w:t>|</w:t>
            </w:r>
            <w:r w:rsidR="005C4D35">
              <w:rPr>
                <w:vertAlign w:val="superscript"/>
              </w:rPr>
              <w:t>3</w:t>
            </w:r>
          </w:p>
        </w:tc>
        <w:tc>
          <w:tcPr>
            <w:tcW w:w="647" w:type="pct"/>
            <w:shd w:val="clear" w:color="auto" w:fill="auto"/>
            <w:vAlign w:val="center"/>
          </w:tcPr>
          <w:p w14:paraId="008F5B5D" w14:textId="7979857B"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0"/>
                <w14:textFill>
                  <w14:solidFill>
                    <w14:srgbClr w14:val="000000">
                      <w14:alpha w14:val="100000"/>
                    </w14:srgbClr>
                  </w14:solidFill>
                </w14:textFill>
              </w:rPr>
              <w:t>|</w:t>
            </w:r>
            <w:r w:rsidRPr="00A87357">
              <w:rPr>
                <w:color w:val="000000"/>
                <w:shd w:val="solid" w:color="000000" w:fill="000000"/>
                <w:fitText w:val="191" w:id="-1233419510"/>
                <w14:textFill>
                  <w14:solidFill>
                    <w14:srgbClr w14:val="000000">
                      <w14:alpha w14:val="100000"/>
                    </w14:srgbClr>
                  </w14:solidFill>
                </w14:textFill>
              </w:rPr>
              <w:t>|</w:t>
            </w:r>
            <w:r w:rsidR="005C4D35">
              <w:rPr>
                <w:vertAlign w:val="superscript"/>
              </w:rPr>
              <w:t>3</w:t>
            </w:r>
          </w:p>
        </w:tc>
        <w:tc>
          <w:tcPr>
            <w:tcW w:w="647" w:type="pct"/>
            <w:vAlign w:val="center"/>
          </w:tcPr>
          <w:p w14:paraId="16B0B64F" w14:textId="77200812"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09"/>
                <w14:textFill>
                  <w14:solidFill>
                    <w14:srgbClr w14:val="000000">
                      <w14:alpha w14:val="100000"/>
                    </w14:srgbClr>
                  </w14:solidFill>
                </w14:textFill>
              </w:rPr>
              <w:t>|</w:t>
            </w:r>
            <w:r w:rsidRPr="00A87357">
              <w:rPr>
                <w:color w:val="000000"/>
                <w:shd w:val="solid" w:color="000000" w:fill="000000"/>
                <w:fitText w:val="191" w:id="-1233419509"/>
                <w14:textFill>
                  <w14:solidFill>
                    <w14:srgbClr w14:val="000000">
                      <w14:alpha w14:val="100000"/>
                    </w14:srgbClr>
                  </w14:solidFill>
                </w14:textFill>
              </w:rPr>
              <w:t>|</w:t>
            </w:r>
            <w:r w:rsidR="005C4D35">
              <w:rPr>
                <w:vertAlign w:val="superscript"/>
              </w:rPr>
              <w:t>3</w:t>
            </w:r>
          </w:p>
        </w:tc>
      </w:tr>
      <w:tr w:rsidR="00DE29D5" w:rsidRPr="00197F03" w14:paraId="78EC4398" w14:textId="77777777" w:rsidTr="00FE11DD">
        <w:trPr>
          <w:cantSplit/>
          <w:jc w:val="center"/>
        </w:trPr>
        <w:tc>
          <w:tcPr>
            <w:tcW w:w="1118" w:type="pct"/>
            <w:shd w:val="clear" w:color="auto" w:fill="auto"/>
            <w:vAlign w:val="center"/>
          </w:tcPr>
          <w:p w14:paraId="7554B889" w14:textId="55160121" w:rsidR="00DE29D5" w:rsidRPr="00167C39" w:rsidRDefault="006271E2" w:rsidP="00FE11DD">
            <w:pPr>
              <w:pStyle w:val="TableText0"/>
              <w:keepLines/>
            </w:pPr>
            <w:bookmarkStart w:id="3" w:name="_Hlk88815214"/>
            <w:r>
              <w:t>Changed listing</w:t>
            </w:r>
          </w:p>
        </w:tc>
        <w:tc>
          <w:tcPr>
            <w:tcW w:w="647" w:type="pct"/>
            <w:shd w:val="clear" w:color="auto" w:fill="auto"/>
            <w:vAlign w:val="center"/>
          </w:tcPr>
          <w:p w14:paraId="4E38651B" w14:textId="09B17701"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08"/>
                <w14:textFill>
                  <w14:solidFill>
                    <w14:srgbClr w14:val="000000">
                      <w14:alpha w14:val="100000"/>
                    </w14:srgbClr>
                  </w14:solidFill>
                </w14:textFill>
              </w:rPr>
              <w:t>|</w:t>
            </w:r>
            <w:r w:rsidRPr="00A87357">
              <w:rPr>
                <w:color w:val="000000"/>
                <w:shd w:val="solid" w:color="000000" w:fill="000000"/>
                <w:fitText w:val="192" w:id="-1233419508"/>
                <w14:textFill>
                  <w14:solidFill>
                    <w14:srgbClr w14:val="000000">
                      <w14:alpha w14:val="100000"/>
                    </w14:srgbClr>
                  </w14:solidFill>
                </w14:textFill>
              </w:rPr>
              <w:t>|</w:t>
            </w:r>
            <w:r w:rsidR="005C4D35">
              <w:rPr>
                <w:vertAlign w:val="superscript"/>
              </w:rPr>
              <w:t>4</w:t>
            </w:r>
          </w:p>
        </w:tc>
        <w:tc>
          <w:tcPr>
            <w:tcW w:w="647" w:type="pct"/>
            <w:shd w:val="clear" w:color="auto" w:fill="auto"/>
            <w:vAlign w:val="center"/>
          </w:tcPr>
          <w:p w14:paraId="648B8C4E" w14:textId="30483158"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07"/>
                <w14:textFill>
                  <w14:solidFill>
                    <w14:srgbClr w14:val="000000">
                      <w14:alpha w14:val="100000"/>
                    </w14:srgbClr>
                  </w14:solidFill>
                </w14:textFill>
              </w:rPr>
              <w:t>|</w:t>
            </w:r>
            <w:r w:rsidRPr="00A87357">
              <w:rPr>
                <w:color w:val="000000"/>
                <w:shd w:val="solid" w:color="000000" w:fill="000000"/>
                <w:fitText w:val="191" w:id="-1233419507"/>
                <w14:textFill>
                  <w14:solidFill>
                    <w14:srgbClr w14:val="000000">
                      <w14:alpha w14:val="100000"/>
                    </w14:srgbClr>
                  </w14:solidFill>
                </w14:textFill>
              </w:rPr>
              <w:t>|</w:t>
            </w:r>
            <w:r w:rsidR="005C4D35">
              <w:rPr>
                <w:vertAlign w:val="superscript"/>
              </w:rPr>
              <w:t>4</w:t>
            </w:r>
          </w:p>
        </w:tc>
        <w:tc>
          <w:tcPr>
            <w:tcW w:w="647" w:type="pct"/>
            <w:shd w:val="clear" w:color="auto" w:fill="auto"/>
            <w:vAlign w:val="center"/>
          </w:tcPr>
          <w:p w14:paraId="589281D3" w14:textId="5A039695"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06"/>
                <w14:textFill>
                  <w14:solidFill>
                    <w14:srgbClr w14:val="000000">
                      <w14:alpha w14:val="100000"/>
                    </w14:srgbClr>
                  </w14:solidFill>
                </w14:textFill>
              </w:rPr>
              <w:t>|</w:t>
            </w:r>
            <w:r w:rsidRPr="00A87357">
              <w:rPr>
                <w:color w:val="000000"/>
                <w:shd w:val="solid" w:color="000000" w:fill="000000"/>
                <w:fitText w:val="192" w:id="-1233419506"/>
                <w14:textFill>
                  <w14:solidFill>
                    <w14:srgbClr w14:val="000000">
                      <w14:alpha w14:val="100000"/>
                    </w14:srgbClr>
                  </w14:solidFill>
                </w14:textFill>
              </w:rPr>
              <w:t>|</w:t>
            </w:r>
            <w:r w:rsidR="005C4D35">
              <w:rPr>
                <w:vertAlign w:val="superscript"/>
              </w:rPr>
              <w:t>4</w:t>
            </w:r>
          </w:p>
        </w:tc>
        <w:tc>
          <w:tcPr>
            <w:tcW w:w="647" w:type="pct"/>
            <w:shd w:val="clear" w:color="auto" w:fill="auto"/>
            <w:vAlign w:val="center"/>
          </w:tcPr>
          <w:p w14:paraId="078B4E4D" w14:textId="6E7A3323"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05"/>
                <w14:textFill>
                  <w14:solidFill>
                    <w14:srgbClr w14:val="000000">
                      <w14:alpha w14:val="100000"/>
                    </w14:srgbClr>
                  </w14:solidFill>
                </w14:textFill>
              </w:rPr>
              <w:t>|</w:t>
            </w:r>
            <w:r w:rsidRPr="00A87357">
              <w:rPr>
                <w:color w:val="000000"/>
                <w:shd w:val="solid" w:color="000000" w:fill="000000"/>
                <w:fitText w:val="191" w:id="-1233419505"/>
                <w14:textFill>
                  <w14:solidFill>
                    <w14:srgbClr w14:val="000000">
                      <w14:alpha w14:val="100000"/>
                    </w14:srgbClr>
                  </w14:solidFill>
                </w14:textFill>
              </w:rPr>
              <w:t>|</w:t>
            </w:r>
            <w:r w:rsidR="005C4D35">
              <w:rPr>
                <w:vertAlign w:val="superscript"/>
              </w:rPr>
              <w:t>4</w:t>
            </w:r>
          </w:p>
        </w:tc>
        <w:tc>
          <w:tcPr>
            <w:tcW w:w="647" w:type="pct"/>
            <w:shd w:val="clear" w:color="auto" w:fill="auto"/>
            <w:vAlign w:val="center"/>
          </w:tcPr>
          <w:p w14:paraId="0647A0DD" w14:textId="0FE9189D"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04"/>
                <w14:textFill>
                  <w14:solidFill>
                    <w14:srgbClr w14:val="000000">
                      <w14:alpha w14:val="100000"/>
                    </w14:srgbClr>
                  </w14:solidFill>
                </w14:textFill>
              </w:rPr>
              <w:t>|</w:t>
            </w:r>
            <w:r w:rsidRPr="00A87357">
              <w:rPr>
                <w:color w:val="000000"/>
                <w:shd w:val="solid" w:color="000000" w:fill="000000"/>
                <w:fitText w:val="191" w:id="-1233419504"/>
                <w14:textFill>
                  <w14:solidFill>
                    <w14:srgbClr w14:val="000000">
                      <w14:alpha w14:val="100000"/>
                    </w14:srgbClr>
                  </w14:solidFill>
                </w14:textFill>
              </w:rPr>
              <w:t>|</w:t>
            </w:r>
            <w:r w:rsidR="005C4D35">
              <w:rPr>
                <w:vertAlign w:val="superscript"/>
              </w:rPr>
              <w:t>4</w:t>
            </w:r>
          </w:p>
        </w:tc>
        <w:tc>
          <w:tcPr>
            <w:tcW w:w="647" w:type="pct"/>
          </w:tcPr>
          <w:p w14:paraId="04F2FD4E" w14:textId="150C2DD7"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20"/>
                <w14:textFill>
                  <w14:solidFill>
                    <w14:srgbClr w14:val="000000">
                      <w14:alpha w14:val="100000"/>
                    </w14:srgbClr>
                  </w14:solidFill>
                </w14:textFill>
              </w:rPr>
              <w:t>|</w:t>
            </w:r>
            <w:r w:rsidRPr="00A87357">
              <w:rPr>
                <w:color w:val="000000"/>
                <w:shd w:val="solid" w:color="000000" w:fill="000000"/>
                <w:fitText w:val="191" w:id="-1233419520"/>
                <w14:textFill>
                  <w14:solidFill>
                    <w14:srgbClr w14:val="000000">
                      <w14:alpha w14:val="100000"/>
                    </w14:srgbClr>
                  </w14:solidFill>
                </w14:textFill>
              </w:rPr>
              <w:t>|</w:t>
            </w:r>
            <w:r w:rsidR="005C4D35">
              <w:rPr>
                <w:vertAlign w:val="superscript"/>
              </w:rPr>
              <w:t>4</w:t>
            </w:r>
          </w:p>
        </w:tc>
      </w:tr>
      <w:bookmarkEnd w:id="3"/>
      <w:tr w:rsidR="00DE29D5" w:rsidRPr="00197F03" w14:paraId="1F6D8BB6" w14:textId="77777777" w:rsidTr="00FE11DD">
        <w:trPr>
          <w:cantSplit/>
          <w:jc w:val="center"/>
        </w:trPr>
        <w:tc>
          <w:tcPr>
            <w:tcW w:w="5000" w:type="pct"/>
            <w:gridSpan w:val="7"/>
            <w:shd w:val="clear" w:color="auto" w:fill="auto"/>
            <w:vAlign w:val="center"/>
          </w:tcPr>
          <w:p w14:paraId="1AEA0925" w14:textId="77777777" w:rsidR="00DE29D5" w:rsidRPr="000C1AFF" w:rsidRDefault="00DE29D5" w:rsidP="00FE11DD">
            <w:pPr>
              <w:pStyle w:val="TableText0"/>
              <w:keepLines/>
              <w:rPr>
                <w:b/>
                <w:bCs w:val="0"/>
                <w:color w:val="000000"/>
              </w:rPr>
            </w:pPr>
            <w:r w:rsidRPr="000C1AFF">
              <w:rPr>
                <w:b/>
                <w:bCs w:val="0"/>
                <w:color w:val="000000"/>
              </w:rPr>
              <w:t>Net financial implications</w:t>
            </w:r>
          </w:p>
        </w:tc>
      </w:tr>
      <w:tr w:rsidR="00DE29D5" w:rsidRPr="00197F03" w14:paraId="50A95E31" w14:textId="77777777" w:rsidTr="00FE11DD">
        <w:trPr>
          <w:cantSplit/>
          <w:jc w:val="center"/>
        </w:trPr>
        <w:tc>
          <w:tcPr>
            <w:tcW w:w="1118" w:type="pct"/>
            <w:shd w:val="clear" w:color="auto" w:fill="auto"/>
            <w:vAlign w:val="center"/>
          </w:tcPr>
          <w:p w14:paraId="48959298" w14:textId="77777777" w:rsidR="00DE29D5" w:rsidRPr="00167C39" w:rsidRDefault="00DE29D5" w:rsidP="00FE11DD">
            <w:pPr>
              <w:pStyle w:val="TableText0"/>
              <w:keepLines/>
            </w:pPr>
            <w:r>
              <w:t>Net cost to PBS/RPBS</w:t>
            </w:r>
          </w:p>
        </w:tc>
        <w:tc>
          <w:tcPr>
            <w:tcW w:w="647" w:type="pct"/>
            <w:shd w:val="clear" w:color="auto" w:fill="auto"/>
            <w:vAlign w:val="center"/>
          </w:tcPr>
          <w:p w14:paraId="2D25A404" w14:textId="3A2D5922"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19"/>
                <w14:textFill>
                  <w14:solidFill>
                    <w14:srgbClr w14:val="000000">
                      <w14:alpha w14:val="100000"/>
                    </w14:srgbClr>
                  </w14:solidFill>
                </w14:textFill>
              </w:rPr>
              <w:t>|</w:t>
            </w:r>
            <w:r w:rsidRPr="00A87357">
              <w:rPr>
                <w:color w:val="000000"/>
                <w:shd w:val="solid" w:color="000000" w:fill="000000"/>
                <w:fitText w:val="192" w:id="-1233419519"/>
                <w14:textFill>
                  <w14:solidFill>
                    <w14:srgbClr w14:val="000000">
                      <w14:alpha w14:val="100000"/>
                    </w14:srgbClr>
                  </w14:solidFill>
                </w14:textFill>
              </w:rPr>
              <w:t>|</w:t>
            </w:r>
            <w:r w:rsidR="005C4D35">
              <w:rPr>
                <w:iCs/>
                <w:vertAlign w:val="superscript"/>
              </w:rPr>
              <w:t>5</w:t>
            </w:r>
          </w:p>
        </w:tc>
        <w:tc>
          <w:tcPr>
            <w:tcW w:w="647" w:type="pct"/>
            <w:shd w:val="clear" w:color="auto" w:fill="auto"/>
            <w:vAlign w:val="center"/>
          </w:tcPr>
          <w:p w14:paraId="1811FC48" w14:textId="650CF9A8"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8"/>
                <w14:textFill>
                  <w14:solidFill>
                    <w14:srgbClr w14:val="000000">
                      <w14:alpha w14:val="100000"/>
                    </w14:srgbClr>
                  </w14:solidFill>
                </w14:textFill>
              </w:rPr>
              <w:t>|</w:t>
            </w:r>
            <w:r w:rsidRPr="00A87357">
              <w:rPr>
                <w:color w:val="000000"/>
                <w:shd w:val="solid" w:color="000000" w:fill="000000"/>
                <w:fitText w:val="191" w:id="-1233419518"/>
                <w14:textFill>
                  <w14:solidFill>
                    <w14:srgbClr w14:val="000000">
                      <w14:alpha w14:val="100000"/>
                    </w14:srgbClr>
                  </w14:solidFill>
                </w14:textFill>
              </w:rPr>
              <w:t>|</w:t>
            </w:r>
            <w:r w:rsidR="005C4D35">
              <w:rPr>
                <w:iCs/>
                <w:vertAlign w:val="superscript"/>
              </w:rPr>
              <w:t>5</w:t>
            </w:r>
          </w:p>
        </w:tc>
        <w:tc>
          <w:tcPr>
            <w:tcW w:w="647" w:type="pct"/>
            <w:shd w:val="clear" w:color="auto" w:fill="auto"/>
            <w:vAlign w:val="center"/>
          </w:tcPr>
          <w:p w14:paraId="05080CEF" w14:textId="7B1E4357" w:rsidR="00DE29D5" w:rsidRPr="00A87357" w:rsidRDefault="00A87357" w:rsidP="008044A5">
            <w:pPr>
              <w:pStyle w:val="TableText0"/>
              <w:keepLines/>
              <w:jc w:val="center"/>
              <w:rPr>
                <w:color w:val="000000"/>
                <w:highlight w:val="darkGray"/>
              </w:rPr>
            </w:pPr>
            <w:r w:rsidRPr="00A87357">
              <w:rPr>
                <w:color w:val="000000"/>
                <w:spacing w:val="106"/>
                <w:shd w:val="solid" w:color="000000" w:fill="000000"/>
                <w:fitText w:val="192" w:id="-1233419517"/>
                <w14:textFill>
                  <w14:solidFill>
                    <w14:srgbClr w14:val="000000">
                      <w14:alpha w14:val="100000"/>
                    </w14:srgbClr>
                  </w14:solidFill>
                </w14:textFill>
              </w:rPr>
              <w:t>|</w:t>
            </w:r>
            <w:r w:rsidRPr="00A87357">
              <w:rPr>
                <w:color w:val="000000"/>
                <w:shd w:val="solid" w:color="000000" w:fill="000000"/>
                <w:fitText w:val="192" w:id="-1233419517"/>
                <w14:textFill>
                  <w14:solidFill>
                    <w14:srgbClr w14:val="000000">
                      <w14:alpha w14:val="100000"/>
                    </w14:srgbClr>
                  </w14:solidFill>
                </w14:textFill>
              </w:rPr>
              <w:t>|</w:t>
            </w:r>
            <w:r w:rsidR="005C4D35">
              <w:rPr>
                <w:iCs/>
                <w:vertAlign w:val="superscript"/>
              </w:rPr>
              <w:t>5</w:t>
            </w:r>
          </w:p>
        </w:tc>
        <w:tc>
          <w:tcPr>
            <w:tcW w:w="647" w:type="pct"/>
            <w:shd w:val="clear" w:color="auto" w:fill="auto"/>
            <w:vAlign w:val="center"/>
          </w:tcPr>
          <w:p w14:paraId="20E4D7D6" w14:textId="79D0530F"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6"/>
                <w14:textFill>
                  <w14:solidFill>
                    <w14:srgbClr w14:val="000000">
                      <w14:alpha w14:val="100000"/>
                    </w14:srgbClr>
                  </w14:solidFill>
                </w14:textFill>
              </w:rPr>
              <w:t>|</w:t>
            </w:r>
            <w:r w:rsidRPr="00A87357">
              <w:rPr>
                <w:color w:val="000000"/>
                <w:shd w:val="solid" w:color="000000" w:fill="000000"/>
                <w:fitText w:val="191" w:id="-1233419516"/>
                <w14:textFill>
                  <w14:solidFill>
                    <w14:srgbClr w14:val="000000">
                      <w14:alpha w14:val="100000"/>
                    </w14:srgbClr>
                  </w14:solidFill>
                </w14:textFill>
              </w:rPr>
              <w:t>|</w:t>
            </w:r>
            <w:r w:rsidR="005C4D35">
              <w:rPr>
                <w:iCs/>
                <w:vertAlign w:val="superscript"/>
              </w:rPr>
              <w:t>5</w:t>
            </w:r>
          </w:p>
        </w:tc>
        <w:tc>
          <w:tcPr>
            <w:tcW w:w="647" w:type="pct"/>
            <w:shd w:val="clear" w:color="auto" w:fill="auto"/>
            <w:vAlign w:val="center"/>
          </w:tcPr>
          <w:p w14:paraId="0638EA43" w14:textId="7981F024"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5"/>
                <w14:textFill>
                  <w14:solidFill>
                    <w14:srgbClr w14:val="000000">
                      <w14:alpha w14:val="100000"/>
                    </w14:srgbClr>
                  </w14:solidFill>
                </w14:textFill>
              </w:rPr>
              <w:t>|</w:t>
            </w:r>
            <w:r w:rsidRPr="00A87357">
              <w:rPr>
                <w:color w:val="000000"/>
                <w:shd w:val="solid" w:color="000000" w:fill="000000"/>
                <w:fitText w:val="191" w:id="-1233419515"/>
                <w14:textFill>
                  <w14:solidFill>
                    <w14:srgbClr w14:val="000000">
                      <w14:alpha w14:val="100000"/>
                    </w14:srgbClr>
                  </w14:solidFill>
                </w14:textFill>
              </w:rPr>
              <w:t>|</w:t>
            </w:r>
            <w:r w:rsidR="005C4D35">
              <w:rPr>
                <w:iCs/>
                <w:vertAlign w:val="superscript"/>
              </w:rPr>
              <w:t>5</w:t>
            </w:r>
          </w:p>
        </w:tc>
        <w:tc>
          <w:tcPr>
            <w:tcW w:w="647" w:type="pct"/>
          </w:tcPr>
          <w:p w14:paraId="507FC4AF" w14:textId="5F9C23CF" w:rsidR="00DE29D5" w:rsidRPr="00A87357" w:rsidRDefault="00A87357" w:rsidP="008044A5">
            <w:pPr>
              <w:pStyle w:val="TableText0"/>
              <w:keepLines/>
              <w:jc w:val="center"/>
              <w:rPr>
                <w:color w:val="000000"/>
                <w:highlight w:val="darkGray"/>
              </w:rPr>
            </w:pPr>
            <w:r w:rsidRPr="00A87357">
              <w:rPr>
                <w:color w:val="000000"/>
                <w:spacing w:val="105"/>
                <w:shd w:val="solid" w:color="000000" w:fill="000000"/>
                <w:fitText w:val="191" w:id="-1233419514"/>
                <w14:textFill>
                  <w14:solidFill>
                    <w14:srgbClr w14:val="000000">
                      <w14:alpha w14:val="100000"/>
                    </w14:srgbClr>
                  </w14:solidFill>
                </w14:textFill>
              </w:rPr>
              <w:t>|</w:t>
            </w:r>
            <w:r w:rsidRPr="00A87357">
              <w:rPr>
                <w:color w:val="000000"/>
                <w:shd w:val="solid" w:color="000000" w:fill="000000"/>
                <w:fitText w:val="191" w:id="-1233419514"/>
                <w14:textFill>
                  <w14:solidFill>
                    <w14:srgbClr w14:val="000000">
                      <w14:alpha w14:val="100000"/>
                    </w14:srgbClr>
                  </w14:solidFill>
                </w14:textFill>
              </w:rPr>
              <w:t>|</w:t>
            </w:r>
            <w:r w:rsidR="005C4D35">
              <w:rPr>
                <w:iCs/>
                <w:vertAlign w:val="superscript"/>
              </w:rPr>
              <w:t>5</w:t>
            </w:r>
          </w:p>
        </w:tc>
      </w:tr>
    </w:tbl>
    <w:p w14:paraId="0C8F57DE" w14:textId="325B0AED" w:rsidR="00DE29D5" w:rsidRDefault="00DE29D5" w:rsidP="00DE29D5">
      <w:pPr>
        <w:pStyle w:val="TableFigureFooter"/>
        <w:keepNext/>
        <w:jc w:val="left"/>
      </w:pPr>
      <w:r w:rsidRPr="00167C39">
        <w:rPr>
          <w:vertAlign w:val="superscript"/>
        </w:rPr>
        <w:t>a</w:t>
      </w:r>
      <w:r w:rsidRPr="00167C39">
        <w:t xml:space="preserve"> Assuming</w:t>
      </w:r>
      <w:r w:rsidR="006271E2">
        <w:t xml:space="preserve"> 12 </w:t>
      </w:r>
      <w:r w:rsidRPr="00167C39">
        <w:t>per patient per year as estimated by the submission.</w:t>
      </w:r>
      <w:r w:rsidRPr="00AB4684">
        <w:t xml:space="preserve"> </w:t>
      </w:r>
    </w:p>
    <w:p w14:paraId="722A9FDC" w14:textId="411183C5" w:rsidR="00DE29D5" w:rsidRPr="00167C39" w:rsidRDefault="00DE29D5" w:rsidP="00DE29D5">
      <w:pPr>
        <w:pStyle w:val="TableFigureFooter"/>
        <w:keepNext/>
        <w:jc w:val="left"/>
      </w:pPr>
      <w:r w:rsidRPr="00AB4684">
        <w:t>Abbreviations: PBS = Pharmaceutical Benefits Scheme; RPBS = Repatriation Pharmaceutical Benefits Scheme.</w:t>
      </w:r>
    </w:p>
    <w:p w14:paraId="6D21A960" w14:textId="3AAA0DF3" w:rsidR="00D70349" w:rsidRDefault="00DE29D5" w:rsidP="008044A5">
      <w:pPr>
        <w:pStyle w:val="TableFigureFooter"/>
        <w:keepNext/>
      </w:pPr>
      <w:r w:rsidRPr="006271E2">
        <w:t xml:space="preserve">Source: </w:t>
      </w:r>
      <w:r w:rsidR="006271E2" w:rsidRPr="008044A5">
        <w:t>submission financial workbook</w:t>
      </w:r>
    </w:p>
    <w:p w14:paraId="28E60835" w14:textId="17FAFD09" w:rsidR="005C4D35" w:rsidRPr="00A87357" w:rsidRDefault="005C4D35" w:rsidP="008044A5">
      <w:pPr>
        <w:pStyle w:val="TableFigureFooter"/>
        <w:keepNext/>
        <w:rPr>
          <w:i/>
          <w:iCs/>
        </w:rPr>
      </w:pPr>
      <w:r w:rsidRPr="00A87357">
        <w:rPr>
          <w:i/>
          <w:iCs/>
        </w:rPr>
        <w:t>The redacted values correspond to the following ranges:</w:t>
      </w:r>
    </w:p>
    <w:p w14:paraId="12C9FCCB" w14:textId="7BD3F332" w:rsidR="005C4D35" w:rsidRPr="00A87357" w:rsidRDefault="005C4D35" w:rsidP="008044A5">
      <w:pPr>
        <w:pStyle w:val="TableFigureFooter"/>
        <w:keepNext/>
        <w:rPr>
          <w:i/>
          <w:iCs/>
        </w:rPr>
      </w:pPr>
      <w:r w:rsidRPr="00A87357">
        <w:rPr>
          <w:i/>
          <w:iCs/>
          <w:vertAlign w:val="superscript"/>
        </w:rPr>
        <w:t>1</w:t>
      </w:r>
      <w:r w:rsidRPr="00A87357">
        <w:rPr>
          <w:i/>
          <w:iCs/>
        </w:rPr>
        <w:t xml:space="preserve"> 200,000 to &lt; 300,000</w:t>
      </w:r>
    </w:p>
    <w:p w14:paraId="0D25BEB4" w14:textId="7711B990" w:rsidR="005C4D35" w:rsidRPr="00A87357" w:rsidRDefault="005C4D35" w:rsidP="008044A5">
      <w:pPr>
        <w:pStyle w:val="TableFigureFooter"/>
        <w:keepNext/>
        <w:rPr>
          <w:i/>
          <w:iCs/>
        </w:rPr>
      </w:pPr>
      <w:r w:rsidRPr="00A87357">
        <w:rPr>
          <w:i/>
          <w:iCs/>
          <w:vertAlign w:val="superscript"/>
        </w:rPr>
        <w:t>2</w:t>
      </w:r>
      <w:r w:rsidRPr="00A87357">
        <w:rPr>
          <w:i/>
          <w:iCs/>
        </w:rPr>
        <w:t xml:space="preserve"> $20 million to &lt; $30 million</w:t>
      </w:r>
    </w:p>
    <w:p w14:paraId="7E08BB6D" w14:textId="06425262" w:rsidR="005C4D35" w:rsidRPr="00A87357" w:rsidRDefault="005C4D35" w:rsidP="008044A5">
      <w:pPr>
        <w:pStyle w:val="TableFigureFooter"/>
        <w:keepNext/>
        <w:rPr>
          <w:i/>
          <w:iCs/>
        </w:rPr>
      </w:pPr>
      <w:r w:rsidRPr="00A87357">
        <w:rPr>
          <w:i/>
          <w:iCs/>
          <w:vertAlign w:val="superscript"/>
        </w:rPr>
        <w:t>3</w:t>
      </w:r>
      <w:r w:rsidRPr="00A87357">
        <w:rPr>
          <w:i/>
          <w:iCs/>
        </w:rPr>
        <w:t xml:space="preserve"> $30 million to &lt; $40 million</w:t>
      </w:r>
    </w:p>
    <w:p w14:paraId="395F37F1" w14:textId="1494FAC0" w:rsidR="005C4D35" w:rsidRPr="00A87357" w:rsidRDefault="005C4D35" w:rsidP="008044A5">
      <w:pPr>
        <w:pStyle w:val="TableFigureFooter"/>
        <w:keepNext/>
        <w:rPr>
          <w:i/>
          <w:iCs/>
        </w:rPr>
      </w:pPr>
      <w:r w:rsidRPr="00A87357">
        <w:rPr>
          <w:i/>
          <w:iCs/>
          <w:vertAlign w:val="superscript"/>
        </w:rPr>
        <w:t>4</w:t>
      </w:r>
      <w:r w:rsidRPr="00A87357">
        <w:rPr>
          <w:i/>
          <w:iCs/>
        </w:rPr>
        <w:t xml:space="preserve"> net cost saving</w:t>
      </w:r>
    </w:p>
    <w:p w14:paraId="32644BD4" w14:textId="4762FD5F" w:rsidR="005C4D35" w:rsidRPr="00A87357" w:rsidRDefault="005C4D35" w:rsidP="008044A5">
      <w:pPr>
        <w:pStyle w:val="TableFigureFooter"/>
        <w:keepNext/>
        <w:rPr>
          <w:i/>
          <w:iCs/>
        </w:rPr>
      </w:pPr>
      <w:r w:rsidRPr="00A87357">
        <w:rPr>
          <w:i/>
          <w:iCs/>
          <w:vertAlign w:val="superscript"/>
        </w:rPr>
        <w:t>5</w:t>
      </w:r>
      <w:r w:rsidRPr="00A87357">
        <w:rPr>
          <w:i/>
          <w:iCs/>
        </w:rPr>
        <w:t xml:space="preserve"> $0 to &lt; $10 million</w:t>
      </w:r>
    </w:p>
    <w:p w14:paraId="0C09CD91" w14:textId="77777777" w:rsidR="00201FB8" w:rsidRPr="006945C7" w:rsidRDefault="00201FB8" w:rsidP="00EC71CA">
      <w:pPr>
        <w:pStyle w:val="GeneralHeading"/>
        <w:jc w:val="center"/>
      </w:pPr>
      <w:r w:rsidRPr="006945C7">
        <w:rPr>
          <w:lang w:eastAsia="en-US"/>
        </w:rPr>
        <w:t>Committee-In-Confidence information</w:t>
      </w:r>
    </w:p>
    <w:p w14:paraId="51664340" w14:textId="580712FC" w:rsidR="009B03FB" w:rsidRDefault="009B03FB" w:rsidP="00EC71CA">
      <w:pPr>
        <w:pStyle w:val="GeneralHeading"/>
        <w:jc w:val="center"/>
      </w:pPr>
      <w:r w:rsidRPr="00D94AAD">
        <w:rPr>
          <w:color w:val="000000"/>
          <w:w w:val="58"/>
          <w:shd w:val="solid" w:color="000000" w:fill="000000"/>
          <w:fitText w:val="310" w:id="-1268509440"/>
          <w14:textFill>
            <w14:solidFill>
              <w14:srgbClr w14:val="000000">
                <w14:alpha w14:val="100000"/>
              </w14:srgbClr>
            </w14:solidFill>
          </w14:textFill>
        </w:rPr>
        <w:t>|||</w:t>
      </w:r>
      <w:r w:rsidRPr="00D94AAD">
        <w:rPr>
          <w:color w:val="000000"/>
          <w:spacing w:val="1"/>
          <w:w w:val="58"/>
          <w:shd w:val="solid" w:color="000000" w:fill="000000"/>
          <w:fitText w:val="310" w:id="-1268509440"/>
          <w14:textFill>
            <w14:solidFill>
              <w14:srgbClr w14:val="000000">
                <w14:alpha w14:val="100000"/>
              </w14:srgbClr>
            </w14:solidFill>
          </w14:textFill>
        </w:rPr>
        <w:t>|</w:t>
      </w:r>
      <w:r w:rsidRPr="009B03FB">
        <w:t xml:space="preserve"> </w:t>
      </w:r>
      <w:r w:rsidRPr="00D94AAD">
        <w:rPr>
          <w:color w:val="000000"/>
          <w:w w:val="61"/>
          <w:shd w:val="solid" w:color="000000" w:fill="000000"/>
          <w:fitText w:val="490" w:id="-1268509439"/>
          <w14:textFill>
            <w14:solidFill>
              <w14:srgbClr w14:val="000000">
                <w14:alpha w14:val="100000"/>
              </w14:srgbClr>
            </w14:solidFill>
          </w14:textFill>
        </w:rPr>
        <w:t>|||||</w:t>
      </w:r>
      <w:r w:rsidRPr="00D94AAD">
        <w:rPr>
          <w:color w:val="000000"/>
          <w:spacing w:val="3"/>
          <w:w w:val="61"/>
          <w:shd w:val="solid" w:color="000000" w:fill="000000"/>
          <w:fitText w:val="490" w:id="-1268509439"/>
          <w14:textFill>
            <w14:solidFill>
              <w14:srgbClr w14:val="000000">
                <w14:alpha w14:val="100000"/>
              </w14:srgbClr>
            </w14:solidFill>
          </w14:textFill>
        </w:rPr>
        <w:t>|</w:t>
      </w:r>
      <w:r w:rsidRPr="009B03FB">
        <w:t xml:space="preserve"> </w:t>
      </w:r>
      <w:r w:rsidRPr="00D94AAD">
        <w:rPr>
          <w:color w:val="000000"/>
          <w:w w:val="63"/>
          <w:shd w:val="solid" w:color="000000" w:fill="000000"/>
          <w:fitText w:val="340" w:id="-1268509438"/>
          <w14:textFill>
            <w14:solidFill>
              <w14:srgbClr w14:val="000000">
                <w14:alpha w14:val="100000"/>
              </w14:srgbClr>
            </w14:solidFill>
          </w14:textFill>
        </w:rPr>
        <w:t>|||</w:t>
      </w:r>
      <w:r w:rsidRPr="00D94AAD">
        <w:rPr>
          <w:color w:val="000000"/>
          <w:spacing w:val="5"/>
          <w:w w:val="63"/>
          <w:shd w:val="solid" w:color="000000" w:fill="000000"/>
          <w:fitText w:val="340" w:id="-1268509438"/>
          <w14:textFill>
            <w14:solidFill>
              <w14:srgbClr w14:val="000000">
                <w14:alpha w14:val="100000"/>
              </w14:srgbClr>
            </w14:solidFill>
          </w14:textFill>
        </w:rPr>
        <w:t>|</w:t>
      </w:r>
      <w:r w:rsidRPr="009B03FB">
        <w:t xml:space="preserve"> </w:t>
      </w:r>
      <w:r w:rsidRPr="00A87357">
        <w:rPr>
          <w:color w:val="000000"/>
          <w:spacing w:val="2"/>
          <w:w w:val="50"/>
          <w:shd w:val="solid" w:color="000000" w:fill="000000"/>
          <w:fitText w:val="550" w:id="-1268509437"/>
          <w14:textFill>
            <w14:solidFill>
              <w14:srgbClr w14:val="000000">
                <w14:alpha w14:val="100000"/>
              </w14:srgbClr>
            </w14:solidFill>
          </w14:textFill>
        </w:rPr>
        <w:t>|||||||</w:t>
      </w:r>
      <w:r w:rsidRPr="00A87357">
        <w:rPr>
          <w:color w:val="000000"/>
          <w:spacing w:val="3"/>
          <w:w w:val="50"/>
          <w:shd w:val="solid" w:color="000000" w:fill="000000"/>
          <w:fitText w:val="550" w:id="-1268509437"/>
          <w14:textFill>
            <w14:solidFill>
              <w14:srgbClr w14:val="000000">
                <w14:alpha w14:val="100000"/>
              </w14:srgbClr>
            </w14:solidFill>
          </w14:textFill>
        </w:rPr>
        <w:t>|</w:t>
      </w:r>
      <w:r w:rsidRPr="009B03FB">
        <w:t xml:space="preserve"> </w:t>
      </w:r>
      <w:r w:rsidRPr="00A87357">
        <w:rPr>
          <w:color w:val="000000"/>
          <w:w w:val="53"/>
          <w:shd w:val="solid" w:color="000000" w:fill="000000"/>
          <w:fitText w:val="440" w:id="-1268509436"/>
          <w14:textFill>
            <w14:solidFill>
              <w14:srgbClr w14:val="000000">
                <w14:alpha w14:val="100000"/>
              </w14:srgbClr>
            </w14:solidFill>
          </w14:textFill>
        </w:rPr>
        <w:t>|||||</w:t>
      </w:r>
      <w:r w:rsidRPr="00A87357">
        <w:rPr>
          <w:color w:val="000000"/>
          <w:spacing w:val="27"/>
          <w:w w:val="53"/>
          <w:shd w:val="solid" w:color="000000" w:fill="000000"/>
          <w:fitText w:val="440" w:id="-1268509436"/>
          <w14:textFill>
            <w14:solidFill>
              <w14:srgbClr w14:val="000000">
                <w14:alpha w14:val="100000"/>
              </w14:srgbClr>
            </w14:solidFill>
          </w14:textFill>
        </w:rPr>
        <w:t>|</w:t>
      </w:r>
      <w:r w:rsidRPr="009B03FB">
        <w:t xml:space="preserve"> </w:t>
      </w:r>
      <w:r w:rsidRPr="00A87357">
        <w:rPr>
          <w:color w:val="000000"/>
          <w:w w:val="93"/>
          <w:shd w:val="solid" w:color="000000" w:fill="000000"/>
          <w:fitText w:val="250" w:id="-1268509435"/>
          <w14:textFill>
            <w14:solidFill>
              <w14:srgbClr w14:val="000000">
                <w14:alpha w14:val="100000"/>
              </w14:srgbClr>
            </w14:solidFill>
          </w14:textFill>
        </w:rPr>
        <w:t>|</w:t>
      </w:r>
      <w:r w:rsidRPr="00A87357">
        <w:rPr>
          <w:color w:val="000000"/>
          <w:spacing w:val="2"/>
          <w:w w:val="93"/>
          <w:shd w:val="solid" w:color="000000" w:fill="000000"/>
          <w:fitText w:val="250" w:id="-1268509435"/>
          <w14:textFill>
            <w14:solidFill>
              <w14:srgbClr w14:val="000000">
                <w14:alpha w14:val="100000"/>
              </w14:srgbClr>
            </w14:solidFill>
          </w14:textFill>
        </w:rPr>
        <w:t>|</w:t>
      </w:r>
      <w:r w:rsidRPr="009B03FB">
        <w:t xml:space="preserve"> </w:t>
      </w:r>
      <w:r w:rsidRPr="00A87357">
        <w:rPr>
          <w:color w:val="000000"/>
          <w:w w:val="73"/>
          <w:shd w:val="solid" w:color="000000" w:fill="000000"/>
          <w:fitText w:val="410" w:id="-1268509434"/>
          <w14:textFill>
            <w14:solidFill>
              <w14:srgbClr w14:val="000000">
                <w14:alpha w14:val="100000"/>
              </w14:srgbClr>
            </w14:solidFill>
          </w14:textFill>
        </w:rPr>
        <w:t>|||</w:t>
      </w:r>
      <w:r w:rsidRPr="00A87357">
        <w:rPr>
          <w:color w:val="000000"/>
          <w:spacing w:val="27"/>
          <w:w w:val="73"/>
          <w:shd w:val="solid" w:color="000000" w:fill="000000"/>
          <w:fitText w:val="410" w:id="-1268509434"/>
          <w14:textFill>
            <w14:solidFill>
              <w14:srgbClr w14:val="000000">
                <w14:alpha w14:val="100000"/>
              </w14:srgbClr>
            </w14:solidFill>
          </w14:textFill>
        </w:rPr>
        <w:t>|</w:t>
      </w:r>
      <w:r w:rsidRPr="009B03FB">
        <w:t xml:space="preserve"> </w:t>
      </w:r>
      <w:r w:rsidRPr="009B03FB">
        <w:rPr>
          <w:color w:val="000000"/>
          <w:spacing w:val="32"/>
          <w:w w:val="39"/>
          <w:shd w:val="solid" w:color="000000" w:fill="000000"/>
          <w:fitText w:val="220" w:id="-1268509433"/>
          <w14:textFill>
            <w14:solidFill>
              <w14:srgbClr w14:val="000000">
                <w14:alpha w14:val="100000"/>
              </w14:srgbClr>
            </w14:solidFill>
          </w14:textFill>
        </w:rPr>
        <w:t>||</w:t>
      </w:r>
      <w:r w:rsidRPr="009B03FB">
        <w:rPr>
          <w:color w:val="000000"/>
          <w:spacing w:val="1"/>
          <w:w w:val="39"/>
          <w:shd w:val="solid" w:color="000000" w:fill="000000"/>
          <w:fitText w:val="220" w:id="-1268509433"/>
          <w14:textFill>
            <w14:solidFill>
              <w14:srgbClr w14:val="000000">
                <w14:alpha w14:val="100000"/>
              </w14:srgbClr>
            </w14:solidFill>
          </w14:textFill>
        </w:rPr>
        <w:t>|</w:t>
      </w:r>
      <w:r w:rsidRPr="009B03FB">
        <w:t xml:space="preserve"> </w:t>
      </w:r>
      <w:r w:rsidRPr="00D94AAD">
        <w:rPr>
          <w:color w:val="000000"/>
          <w:w w:val="67"/>
          <w:shd w:val="solid" w:color="000000" w:fill="000000"/>
          <w:fitText w:val="360" w:id="-1268509432"/>
          <w14:textFill>
            <w14:solidFill>
              <w14:srgbClr w14:val="000000">
                <w14:alpha w14:val="100000"/>
              </w14:srgbClr>
            </w14:solidFill>
          </w14:textFill>
        </w:rPr>
        <w:t>|||</w:t>
      </w:r>
      <w:r w:rsidRPr="00D94AAD">
        <w:rPr>
          <w:color w:val="000000"/>
          <w:spacing w:val="3"/>
          <w:w w:val="67"/>
          <w:shd w:val="solid" w:color="000000" w:fill="000000"/>
          <w:fitText w:val="360" w:id="-1268509432"/>
          <w14:textFill>
            <w14:solidFill>
              <w14:srgbClr w14:val="000000">
                <w14:alpha w14:val="100000"/>
              </w14:srgbClr>
            </w14:solidFill>
          </w14:textFill>
        </w:rPr>
        <w:t>|</w:t>
      </w:r>
      <w:r w:rsidRPr="009B03FB">
        <w:t xml:space="preserve"> </w:t>
      </w:r>
      <w:r w:rsidRPr="00A87357">
        <w:rPr>
          <w:color w:val="000000"/>
          <w:w w:val="52"/>
          <w:shd w:val="solid" w:color="000000" w:fill="000000"/>
          <w:fitText w:val="580" w:id="-1268509431"/>
          <w14:textFill>
            <w14:solidFill>
              <w14:srgbClr w14:val="000000">
                <w14:alpha w14:val="100000"/>
              </w14:srgbClr>
            </w14:solidFill>
          </w14:textFill>
        </w:rPr>
        <w:t>|||||||</w:t>
      </w:r>
      <w:r w:rsidRPr="00A87357">
        <w:rPr>
          <w:color w:val="000000"/>
          <w:spacing w:val="27"/>
          <w:w w:val="52"/>
          <w:shd w:val="solid" w:color="000000" w:fill="000000"/>
          <w:fitText w:val="580" w:id="-1268509431"/>
          <w14:textFill>
            <w14:solidFill>
              <w14:srgbClr w14:val="000000">
                <w14:alpha w14:val="100000"/>
              </w14:srgbClr>
            </w14:solidFill>
          </w14:textFill>
        </w:rPr>
        <w:t>|</w:t>
      </w:r>
      <w:r w:rsidRPr="009B03FB">
        <w:t xml:space="preserve"> </w:t>
      </w:r>
      <w:r w:rsidRPr="009B03FB">
        <w:rPr>
          <w:color w:val="000000"/>
          <w:spacing w:val="26"/>
          <w:w w:val="42"/>
          <w:shd w:val="solid" w:color="000000" w:fill="000000"/>
          <w:fitText w:val="470" w:id="-1268509430"/>
          <w14:textFill>
            <w14:solidFill>
              <w14:srgbClr w14:val="000000">
                <w14:alpha w14:val="100000"/>
              </w14:srgbClr>
            </w14:solidFill>
          </w14:textFill>
        </w:rPr>
        <w:t>|||||</w:t>
      </w:r>
      <w:r w:rsidRPr="009B03FB">
        <w:rPr>
          <w:color w:val="000000"/>
          <w:spacing w:val="5"/>
          <w:w w:val="42"/>
          <w:shd w:val="solid" w:color="000000" w:fill="000000"/>
          <w:fitText w:val="470" w:id="-1268509430"/>
          <w14:textFill>
            <w14:solidFill>
              <w14:srgbClr w14:val="000000">
                <w14:alpha w14:val="100000"/>
              </w14:srgbClr>
            </w14:solidFill>
          </w14:textFill>
        </w:rPr>
        <w:t>|</w:t>
      </w:r>
      <w:r w:rsidRPr="009B03FB">
        <w:t xml:space="preserve"> </w:t>
      </w:r>
      <w:r w:rsidRPr="00A87357">
        <w:rPr>
          <w:color w:val="000000"/>
          <w:spacing w:val="27"/>
          <w:w w:val="43"/>
          <w:shd w:val="solid" w:color="000000" w:fill="000000"/>
          <w:fitText w:val="320" w:id="-1268509429"/>
          <w14:textFill>
            <w14:solidFill>
              <w14:srgbClr w14:val="000000">
                <w14:alpha w14:val="100000"/>
              </w14:srgbClr>
            </w14:solidFill>
          </w14:textFill>
        </w:rPr>
        <w:t>|||</w:t>
      </w:r>
      <w:r w:rsidRPr="00A87357">
        <w:rPr>
          <w:color w:val="000000"/>
          <w:spacing w:val="14"/>
          <w:w w:val="43"/>
          <w:shd w:val="solid" w:color="000000" w:fill="000000"/>
          <w:fitText w:val="320" w:id="-1268509429"/>
          <w14:textFill>
            <w14:solidFill>
              <w14:srgbClr w14:val="000000">
                <w14:alpha w14:val="100000"/>
              </w14:srgbClr>
            </w14:solidFill>
          </w14:textFill>
        </w:rPr>
        <w:t>|</w:t>
      </w:r>
      <w:r w:rsidRPr="009B03FB">
        <w:t xml:space="preserve"> </w:t>
      </w:r>
      <w:r w:rsidRPr="00D94AAD">
        <w:rPr>
          <w:color w:val="000000"/>
          <w:w w:val="62"/>
          <w:shd w:val="solid" w:color="000000" w:fill="000000"/>
          <w:fitText w:val="500" w:id="-1268509428"/>
          <w14:textFill>
            <w14:solidFill>
              <w14:srgbClr w14:val="000000">
                <w14:alpha w14:val="100000"/>
              </w14:srgbClr>
            </w14:solidFill>
          </w14:textFill>
        </w:rPr>
        <w:t>|||||</w:t>
      </w:r>
      <w:r w:rsidRPr="00D94AAD">
        <w:rPr>
          <w:color w:val="000000"/>
          <w:spacing w:val="5"/>
          <w:w w:val="62"/>
          <w:shd w:val="solid" w:color="000000" w:fill="000000"/>
          <w:fitText w:val="500" w:id="-1268509428"/>
          <w14:textFill>
            <w14:solidFill>
              <w14:srgbClr w14:val="000000">
                <w14:alpha w14:val="100000"/>
              </w14:srgbClr>
            </w14:solidFill>
          </w14:textFill>
        </w:rPr>
        <w:t>|</w:t>
      </w:r>
      <w:r w:rsidRPr="009B03FB">
        <w:t xml:space="preserve"> </w:t>
      </w:r>
      <w:r w:rsidRPr="00D94AAD">
        <w:rPr>
          <w:color w:val="000000"/>
          <w:w w:val="69"/>
          <w:shd w:val="solid" w:color="000000" w:fill="000000"/>
          <w:fitText w:val="370" w:id="-1268509427"/>
          <w14:textFill>
            <w14:solidFill>
              <w14:srgbClr w14:val="000000">
                <w14:alpha w14:val="100000"/>
              </w14:srgbClr>
            </w14:solidFill>
          </w14:textFill>
        </w:rPr>
        <w:t>|||</w:t>
      </w:r>
      <w:r w:rsidRPr="00D94AAD">
        <w:rPr>
          <w:color w:val="000000"/>
          <w:spacing w:val="3"/>
          <w:w w:val="69"/>
          <w:shd w:val="solid" w:color="000000" w:fill="000000"/>
          <w:fitText w:val="370" w:id="-1268509427"/>
          <w14:textFill>
            <w14:solidFill>
              <w14:srgbClr w14:val="000000">
                <w14:alpha w14:val="100000"/>
              </w14:srgbClr>
            </w14:solidFill>
          </w14:textFill>
        </w:rPr>
        <w:t>|</w:t>
      </w:r>
      <w:r w:rsidRPr="009B03FB">
        <w:t xml:space="preserve"> </w:t>
      </w:r>
      <w:r w:rsidRPr="00D94AAD">
        <w:rPr>
          <w:color w:val="000000"/>
          <w:spacing w:val="4"/>
          <w:w w:val="51"/>
          <w:shd w:val="solid" w:color="000000" w:fill="000000"/>
          <w:fitText w:val="570" w:id="-1268509426"/>
          <w14:textFill>
            <w14:solidFill>
              <w14:srgbClr w14:val="000000">
                <w14:alpha w14:val="100000"/>
              </w14:srgbClr>
            </w14:solidFill>
          </w14:textFill>
        </w:rPr>
        <w:t>|||||||</w:t>
      </w:r>
      <w:r w:rsidRPr="00D94AAD">
        <w:rPr>
          <w:color w:val="000000"/>
          <w:spacing w:val="1"/>
          <w:w w:val="51"/>
          <w:shd w:val="solid" w:color="000000" w:fill="000000"/>
          <w:fitText w:val="570" w:id="-1268509426"/>
          <w14:textFill>
            <w14:solidFill>
              <w14:srgbClr w14:val="000000">
                <w14:alpha w14:val="100000"/>
              </w14:srgbClr>
            </w14:solidFill>
          </w14:textFill>
        </w:rPr>
        <w:t>|</w:t>
      </w:r>
      <w:r w:rsidRPr="009B03FB">
        <w:t xml:space="preserve"> </w:t>
      </w:r>
      <w:r w:rsidRPr="009B03FB">
        <w:rPr>
          <w:color w:val="000000"/>
          <w:spacing w:val="26"/>
          <w:w w:val="42"/>
          <w:shd w:val="solid" w:color="000000" w:fill="000000"/>
          <w:fitText w:val="470" w:id="-1268509425"/>
          <w14:textFill>
            <w14:solidFill>
              <w14:srgbClr w14:val="000000">
                <w14:alpha w14:val="100000"/>
              </w14:srgbClr>
            </w14:solidFill>
          </w14:textFill>
        </w:rPr>
        <w:t>|||||</w:t>
      </w:r>
      <w:r w:rsidRPr="009B03FB">
        <w:rPr>
          <w:color w:val="000000"/>
          <w:spacing w:val="5"/>
          <w:w w:val="42"/>
          <w:shd w:val="solid" w:color="000000" w:fill="000000"/>
          <w:fitText w:val="470" w:id="-1268509425"/>
          <w14:textFill>
            <w14:solidFill>
              <w14:srgbClr w14:val="000000">
                <w14:alpha w14:val="100000"/>
              </w14:srgbClr>
            </w14:solidFill>
          </w14:textFill>
        </w:rPr>
        <w:t>|</w:t>
      </w:r>
      <w:r w:rsidRPr="009B03FB">
        <w:t xml:space="preserve"> </w:t>
      </w:r>
      <w:r w:rsidRPr="00A87357">
        <w:rPr>
          <w:color w:val="000000"/>
          <w:spacing w:val="27"/>
          <w:shd w:val="solid" w:color="000000" w:fill="000000"/>
          <w:fitText w:val="300" w:id="-1268509424"/>
          <w14:textFill>
            <w14:solidFill>
              <w14:srgbClr w14:val="000000">
                <w14:alpha w14:val="100000"/>
              </w14:srgbClr>
            </w14:solidFill>
          </w14:textFill>
        </w:rPr>
        <w:t>|</w:t>
      </w:r>
      <w:r w:rsidRPr="00A87357">
        <w:rPr>
          <w:color w:val="000000"/>
          <w:shd w:val="solid" w:color="000000" w:fill="000000"/>
          <w:fitText w:val="300" w:id="-1268509424"/>
          <w14:textFill>
            <w14:solidFill>
              <w14:srgbClr w14:val="000000">
                <w14:alpha w14:val="100000"/>
              </w14:srgbClr>
            </w14:solidFill>
          </w14:textFill>
        </w:rPr>
        <w:t>|</w:t>
      </w:r>
      <w:r w:rsidRPr="009B03FB">
        <w:t xml:space="preserve"> </w:t>
      </w:r>
      <w:r w:rsidRPr="00D94AAD">
        <w:rPr>
          <w:color w:val="000000"/>
          <w:w w:val="60"/>
          <w:shd w:val="solid" w:color="000000" w:fill="000000"/>
          <w:fitText w:val="480" w:id="-1268509440"/>
          <w14:textFill>
            <w14:solidFill>
              <w14:srgbClr w14:val="000000">
                <w14:alpha w14:val="100000"/>
              </w14:srgbClr>
            </w14:solidFill>
          </w14:textFill>
        </w:rPr>
        <w:t>|||||</w:t>
      </w:r>
      <w:r w:rsidRPr="00D94AAD">
        <w:rPr>
          <w:color w:val="000000"/>
          <w:spacing w:val="1"/>
          <w:w w:val="60"/>
          <w:shd w:val="solid" w:color="000000" w:fill="000000"/>
          <w:fitText w:val="480" w:id="-126850944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r w:rsidRPr="009B03FB">
        <w:t xml:space="preserve"> </w:t>
      </w:r>
      <w:r w:rsidRPr="009B03FB">
        <w:rPr>
          <w:color w:val="000000"/>
          <w:shd w:val="solid" w:color="000000" w:fill="000000"/>
          <w14:textFill>
            <w14:solidFill>
              <w14:srgbClr w14:val="000000">
                <w14:alpha w14:val="100000"/>
              </w14:srgbClr>
            </w14:solidFill>
          </w14:textFill>
        </w:rPr>
        <w:t>|</w:t>
      </w:r>
    </w:p>
    <w:p w14:paraId="17F6E3CC" w14:textId="5025B38F" w:rsidR="00201FB8" w:rsidRPr="00C53B2B" w:rsidRDefault="00201FB8" w:rsidP="00EC71CA">
      <w:pPr>
        <w:pStyle w:val="GeneralHeading"/>
        <w:jc w:val="center"/>
        <w:rPr>
          <w:lang w:eastAsia="en-US"/>
        </w:rPr>
      </w:pPr>
      <w:r w:rsidRPr="00C53B2B">
        <w:rPr>
          <w:lang w:eastAsia="en-US"/>
        </w:rPr>
        <w:t>End Committee-In-Confidence information</w:t>
      </w:r>
    </w:p>
    <w:p w14:paraId="3B904DAD" w14:textId="00082E15" w:rsidR="00051A77" w:rsidRPr="007F7519" w:rsidRDefault="007F7519" w:rsidP="007F7519">
      <w:pPr>
        <w:pStyle w:val="3Bodytext"/>
        <w:numPr>
          <w:ilvl w:val="0"/>
          <w:numId w:val="0"/>
        </w:numPr>
        <w:ind w:left="720"/>
        <w:jc w:val="both"/>
        <w:rPr>
          <w:i/>
          <w:iCs/>
        </w:rPr>
      </w:pPr>
      <w:r w:rsidRPr="007F7519">
        <w:rPr>
          <w:i/>
          <w:iCs/>
        </w:rPr>
        <w:t xml:space="preserve">For more detail on PBAC’s view, see section </w:t>
      </w:r>
      <w:r w:rsidR="00BB7A98">
        <w:rPr>
          <w:i/>
          <w:iCs/>
        </w:rPr>
        <w:t>5</w:t>
      </w:r>
      <w:r w:rsidRPr="007F7519">
        <w:rPr>
          <w:i/>
          <w:iCs/>
        </w:rPr>
        <w:t xml:space="preserve"> PBAC outcome.</w:t>
      </w:r>
    </w:p>
    <w:p w14:paraId="4CF3D048" w14:textId="77777777" w:rsidR="00147731" w:rsidRDefault="00147731" w:rsidP="00147731">
      <w:pPr>
        <w:pStyle w:val="2-SectionHeading"/>
        <w:numPr>
          <w:ilvl w:val="0"/>
          <w:numId w:val="2"/>
        </w:numPr>
      </w:pPr>
      <w:r>
        <w:t>PBAC Outcome</w:t>
      </w:r>
    </w:p>
    <w:p w14:paraId="408A345F" w14:textId="304676FF" w:rsidR="00147731" w:rsidRDefault="00FE053B" w:rsidP="00147731">
      <w:pPr>
        <w:pStyle w:val="3-BodyText"/>
        <w:numPr>
          <w:ilvl w:val="1"/>
          <w:numId w:val="2"/>
        </w:numPr>
      </w:pPr>
      <w:r>
        <w:t xml:space="preserve">The PBAC did not recommend </w:t>
      </w:r>
      <w:r w:rsidR="007C7556">
        <w:t>a</w:t>
      </w:r>
      <w:r w:rsidR="002B1250">
        <w:t xml:space="preserve"> change to the restriction level of ticagrelor (Brilinta®) for the treatment of acute coronary syndrome (ACS) from Authority Required (STREAMLINED) to</w:t>
      </w:r>
      <w:r w:rsidR="0099260E">
        <w:t xml:space="preserve"> Unrestricted Benefit (as per submission’s initial request) or</w:t>
      </w:r>
      <w:r w:rsidR="002B1250">
        <w:t xml:space="preserve"> Restricted Benefit</w:t>
      </w:r>
      <w:r w:rsidR="007C7556">
        <w:t xml:space="preserve"> </w:t>
      </w:r>
      <w:r w:rsidR="0099260E">
        <w:t xml:space="preserve">(as proposed in the Pre-PBAC response) </w:t>
      </w:r>
      <w:r w:rsidR="007C7556">
        <w:t xml:space="preserve">to align with the recent change in restriction level of clopidogrel for the treatment of ACS. </w:t>
      </w:r>
    </w:p>
    <w:p w14:paraId="231EFB8C" w14:textId="53CF1B1E" w:rsidR="004512F8" w:rsidRDefault="004512F8" w:rsidP="004512F8">
      <w:pPr>
        <w:pStyle w:val="3-BodyText"/>
        <w:numPr>
          <w:ilvl w:val="1"/>
          <w:numId w:val="2"/>
        </w:numPr>
      </w:pPr>
      <w:r>
        <w:t xml:space="preserve">The PBAC </w:t>
      </w:r>
      <w:r w:rsidR="00925F62">
        <w:t>considered</w:t>
      </w:r>
      <w:r>
        <w:t xml:space="preserve"> that the submissi</w:t>
      </w:r>
      <w:r w:rsidR="00925F62">
        <w:t>on’s assumption of</w:t>
      </w:r>
      <w:r>
        <w:t xml:space="preserve"> no increase in the uptake of ticagrelor and no financial impact</w:t>
      </w:r>
      <w:r w:rsidR="009919DD">
        <w:t xml:space="preserve"> was</w:t>
      </w:r>
      <w:r w:rsidR="00925F62">
        <w:t xml:space="preserve"> unreasonable</w:t>
      </w:r>
      <w:r>
        <w:t xml:space="preserve">. The PBAC noted prescribers’ familiarity with prescribing ticagrelor and </w:t>
      </w:r>
      <w:r w:rsidR="009919DD">
        <w:t>its</w:t>
      </w:r>
      <w:r>
        <w:t xml:space="preserve"> established place in therapy in practice</w:t>
      </w:r>
      <w:r w:rsidR="00C20DE2">
        <w:t>, however</w:t>
      </w:r>
      <w:r w:rsidR="00556A5B">
        <w:t>,</w:t>
      </w:r>
      <w:r w:rsidR="00925F62">
        <w:t xml:space="preserve"> </w:t>
      </w:r>
      <w:r>
        <w:t>considered that</w:t>
      </w:r>
      <w:r w:rsidR="009919DD">
        <w:t xml:space="preserve"> this did not preclude potential substitution for</w:t>
      </w:r>
      <w:r>
        <w:t xml:space="preserve"> clopidogrel. </w:t>
      </w:r>
      <w:r w:rsidR="0031397E">
        <w:t>Given the disparity in price between clopidogrel and ticagrelor, t</w:t>
      </w:r>
      <w:r>
        <w:t xml:space="preserve">he PBAC </w:t>
      </w:r>
      <w:r w:rsidR="009919DD">
        <w:t xml:space="preserve">noted </w:t>
      </w:r>
      <w:r>
        <w:t xml:space="preserve">that any increase in the uptake of ticagrelor </w:t>
      </w:r>
      <w:r w:rsidR="009919DD">
        <w:t xml:space="preserve">over clopidogrel </w:t>
      </w:r>
      <w:r>
        <w:t xml:space="preserve">would result in a </w:t>
      </w:r>
      <w:r w:rsidR="000A69BF">
        <w:t>cost</w:t>
      </w:r>
      <w:r>
        <w:t xml:space="preserve"> to the Commonwealth</w:t>
      </w:r>
      <w:r w:rsidR="002F18F3">
        <w:t>.</w:t>
      </w:r>
    </w:p>
    <w:p w14:paraId="73E61334" w14:textId="34D315A0" w:rsidR="000C2543" w:rsidRDefault="000C2543">
      <w:pPr>
        <w:pStyle w:val="3-BodyText"/>
        <w:numPr>
          <w:ilvl w:val="1"/>
          <w:numId w:val="2"/>
        </w:numPr>
      </w:pPr>
      <w:r w:rsidRPr="00846754">
        <w:t xml:space="preserve">The PBAC noted that the submission claimed unrestricting ticagrelor would avoid confusion created by the disparity in restriction levels following the changes to the PBS restriction of clopidogrel. The PBAC </w:t>
      </w:r>
      <w:r w:rsidR="009F6B63">
        <w:t xml:space="preserve">disagreed with the submission’s claim and </w:t>
      </w:r>
      <w:r w:rsidRPr="00846754">
        <w:t xml:space="preserve">considered </w:t>
      </w:r>
      <w:r w:rsidR="009F6B63">
        <w:t>that</w:t>
      </w:r>
      <w:r w:rsidR="00D653AE">
        <w:t xml:space="preserve"> </w:t>
      </w:r>
      <w:r w:rsidRPr="00846754">
        <w:t>prescriber</w:t>
      </w:r>
      <w:r w:rsidR="009F6B63">
        <w:t>s are familiar</w:t>
      </w:r>
      <w:r>
        <w:t xml:space="preserve"> with</w:t>
      </w:r>
      <w:r w:rsidRPr="00846754">
        <w:t xml:space="preserve"> prescribing ticagrelor </w:t>
      </w:r>
      <w:r>
        <w:t>and</w:t>
      </w:r>
      <w:r w:rsidR="00ED3480">
        <w:t xml:space="preserve"> that</w:t>
      </w:r>
      <w:r>
        <w:t xml:space="preserve"> </w:t>
      </w:r>
      <w:r w:rsidR="009F6B63">
        <w:t>the</w:t>
      </w:r>
      <w:r w:rsidR="00ED3480">
        <w:t xml:space="preserve"> difference in restriction level to clopidogrel is not a cause for </w:t>
      </w:r>
      <w:r w:rsidR="009F6B63">
        <w:t>confusion. The PBAC note</w:t>
      </w:r>
      <w:r w:rsidR="00ED3480">
        <w:t>d</w:t>
      </w:r>
      <w:r w:rsidR="009F6B63">
        <w:t xml:space="preserve"> t</w:t>
      </w:r>
      <w:r w:rsidR="00ED3480">
        <w:t>icagrelor</w:t>
      </w:r>
      <w:r w:rsidR="009F6B63">
        <w:t xml:space="preserve"> </w:t>
      </w:r>
      <w:r w:rsidR="00ED3480">
        <w:t>ha</w:t>
      </w:r>
      <w:r w:rsidR="009F6B63">
        <w:t xml:space="preserve">s </w:t>
      </w:r>
      <w:r w:rsidRPr="00846754">
        <w:t xml:space="preserve">an established place in therapy </w:t>
      </w:r>
      <w:r w:rsidR="00ED3480">
        <w:t xml:space="preserve">and </w:t>
      </w:r>
      <w:r>
        <w:t>in practice. The</w:t>
      </w:r>
      <w:r w:rsidRPr="00846754">
        <w:t xml:space="preserve"> PBAC </w:t>
      </w:r>
      <w:r>
        <w:t xml:space="preserve">further </w:t>
      </w:r>
      <w:r w:rsidRPr="00846754">
        <w:t xml:space="preserve">noted that the submission did not claim </w:t>
      </w:r>
      <w:r w:rsidR="00855772">
        <w:t>any other</w:t>
      </w:r>
      <w:r w:rsidRPr="00846754">
        <w:t xml:space="preserve"> additional clinical benefits </w:t>
      </w:r>
      <w:r>
        <w:t xml:space="preserve">from unrestricting ticagrelor </w:t>
      </w:r>
      <w:r w:rsidRPr="00846754">
        <w:t xml:space="preserve">and </w:t>
      </w:r>
      <w:r w:rsidR="005A1FED">
        <w:t>considered</w:t>
      </w:r>
      <w:r w:rsidR="005A1FED" w:rsidRPr="00846754">
        <w:t xml:space="preserve"> </w:t>
      </w:r>
      <w:r w:rsidRPr="00846754">
        <w:t>that there was no scenario in which</w:t>
      </w:r>
      <w:r w:rsidR="005A1FED">
        <w:t xml:space="preserve"> the</w:t>
      </w:r>
      <w:r w:rsidRPr="00846754">
        <w:t xml:space="preserve"> </w:t>
      </w:r>
      <w:r w:rsidR="00661210">
        <w:t>lowering of the restriction level</w:t>
      </w:r>
      <w:r w:rsidRPr="00846754">
        <w:t xml:space="preserve"> would improve patient outcomes.  </w:t>
      </w:r>
    </w:p>
    <w:p w14:paraId="23B48126" w14:textId="77777777" w:rsidR="009919DD" w:rsidRDefault="007C7556" w:rsidP="00147731">
      <w:pPr>
        <w:pStyle w:val="3-BodyText"/>
        <w:numPr>
          <w:ilvl w:val="1"/>
          <w:numId w:val="2"/>
        </w:numPr>
      </w:pPr>
      <w:r>
        <w:t>The PBAC considered that the submission nominated comparator, ticagrelor</w:t>
      </w:r>
      <w:r w:rsidR="002F18F3">
        <w:t>,</w:t>
      </w:r>
      <w:r w:rsidR="002E18B5">
        <w:t xml:space="preserve"> </w:t>
      </w:r>
      <w:r w:rsidR="002F18F3">
        <w:t>w</w:t>
      </w:r>
      <w:r w:rsidR="002E18B5">
        <w:t>as</w:t>
      </w:r>
      <w:r w:rsidR="005A1FED">
        <w:t xml:space="preserve"> inappropriate and that clopidogrel was</w:t>
      </w:r>
      <w:r>
        <w:t xml:space="preserve"> </w:t>
      </w:r>
      <w:r w:rsidR="0099260E">
        <w:t>the only relevant comparator.</w:t>
      </w:r>
      <w:r>
        <w:t xml:space="preserve"> </w:t>
      </w:r>
      <w:r w:rsidR="004049E3">
        <w:t>The PBAC recalled</w:t>
      </w:r>
      <w:r w:rsidR="002F18F3">
        <w:t xml:space="preserve"> that,</w:t>
      </w:r>
      <w:r w:rsidR="004049E3">
        <w:t xml:space="preserve"> in its July 2011 meeting</w:t>
      </w:r>
      <w:r w:rsidR="002F18F3">
        <w:t>,</w:t>
      </w:r>
      <w:r w:rsidR="002E18B5">
        <w:t xml:space="preserve"> </w:t>
      </w:r>
      <w:r w:rsidR="002F18F3">
        <w:t>it</w:t>
      </w:r>
      <w:r w:rsidR="004049E3">
        <w:t xml:space="preserve"> </w:t>
      </w:r>
      <w:r w:rsidR="008B57EC">
        <w:t xml:space="preserve">considered </w:t>
      </w:r>
      <w:r w:rsidR="009F107B">
        <w:t xml:space="preserve">clopidogrel as the appropriate </w:t>
      </w:r>
      <w:r w:rsidR="00743D99">
        <w:t xml:space="preserve">main </w:t>
      </w:r>
      <w:r w:rsidR="009F107B">
        <w:t xml:space="preserve">comparator as clopidogrel </w:t>
      </w:r>
      <w:r w:rsidR="009F107B" w:rsidRPr="009F107B">
        <w:t>ha</w:t>
      </w:r>
      <w:r w:rsidR="009F107B">
        <w:t>d</w:t>
      </w:r>
      <w:r w:rsidR="009F107B" w:rsidRPr="009F107B">
        <w:t xml:space="preserve"> the majority of use in clinical practice and </w:t>
      </w:r>
      <w:r w:rsidR="00743D99">
        <w:t>shared</w:t>
      </w:r>
      <w:r w:rsidR="009F107B" w:rsidRPr="009F107B">
        <w:t xml:space="preserve"> the same </w:t>
      </w:r>
      <w:r w:rsidR="00743D99">
        <w:t xml:space="preserve">restriction </w:t>
      </w:r>
      <w:r w:rsidR="009F107B" w:rsidRPr="009F107B">
        <w:t>as th</w:t>
      </w:r>
      <w:r w:rsidR="00743D99">
        <w:t>at</w:t>
      </w:r>
      <w:r w:rsidR="009F107B" w:rsidRPr="009F107B">
        <w:t xml:space="preserve"> </w:t>
      </w:r>
      <w:r w:rsidR="00743D99">
        <w:t xml:space="preserve">which was </w:t>
      </w:r>
      <w:r w:rsidR="009F107B" w:rsidRPr="009F107B">
        <w:t>requested for ticagrelo</w:t>
      </w:r>
      <w:r w:rsidR="00743D99">
        <w:t>r</w:t>
      </w:r>
      <w:r w:rsidR="009F107B">
        <w:t xml:space="preserve">. </w:t>
      </w:r>
    </w:p>
    <w:p w14:paraId="215E3AE8" w14:textId="60AB4B95" w:rsidR="004049E3" w:rsidRDefault="001B1A49" w:rsidP="00147731">
      <w:pPr>
        <w:pStyle w:val="3-BodyText"/>
        <w:numPr>
          <w:ilvl w:val="1"/>
          <w:numId w:val="2"/>
        </w:numPr>
      </w:pPr>
      <w:r>
        <w:t xml:space="preserve">The PBAC </w:t>
      </w:r>
      <w:r w:rsidR="009919DD">
        <w:t>suggested any</w:t>
      </w:r>
      <w:r w:rsidR="002E18B5">
        <w:t xml:space="preserve"> resubmission </w:t>
      </w:r>
      <w:r w:rsidR="009919DD">
        <w:t xml:space="preserve">requesting a restricted benefit </w:t>
      </w:r>
      <w:r w:rsidR="002E18B5">
        <w:t xml:space="preserve">for ticagrelor </w:t>
      </w:r>
      <w:r w:rsidR="009919DD">
        <w:t>should be presented on a</w:t>
      </w:r>
      <w:r w:rsidR="008B57EC">
        <w:t xml:space="preserve"> </w:t>
      </w:r>
      <w:r w:rsidR="00743D99">
        <w:t>cost-minimis</w:t>
      </w:r>
      <w:r w:rsidR="009919DD">
        <w:t>ation basis</w:t>
      </w:r>
      <w:r w:rsidR="008B57EC">
        <w:t xml:space="preserve"> </w:t>
      </w:r>
      <w:r w:rsidR="001F0783">
        <w:t>to</w:t>
      </w:r>
      <w:r w:rsidR="00371C75">
        <w:t xml:space="preserve"> clopidogrel. </w:t>
      </w:r>
      <w:r w:rsidR="009919DD">
        <w:t xml:space="preserve">A </w:t>
      </w:r>
      <w:r w:rsidR="00371C75">
        <w:t>resubmission may be lodged at any future due date for PBAC submissions using the standard re-entry pathway.</w:t>
      </w:r>
    </w:p>
    <w:p w14:paraId="521B331D" w14:textId="60658FF6" w:rsidR="00371C75" w:rsidRDefault="00426B52" w:rsidP="00147731">
      <w:pPr>
        <w:pStyle w:val="3-BodyText"/>
        <w:numPr>
          <w:ilvl w:val="1"/>
          <w:numId w:val="2"/>
        </w:numPr>
      </w:pPr>
      <w:r>
        <w:t xml:space="preserve">The PBAC noted that this submission is eligible for an Independent Review. </w:t>
      </w:r>
    </w:p>
    <w:p w14:paraId="0FED8BDC" w14:textId="3B266173" w:rsidR="005251F8" w:rsidRDefault="00147731" w:rsidP="00E01665">
      <w:pPr>
        <w:pStyle w:val="3-BodyText"/>
        <w:numPr>
          <w:ilvl w:val="0"/>
          <w:numId w:val="0"/>
        </w:numPr>
      </w:pPr>
      <w:r w:rsidRPr="001A1675">
        <w:rPr>
          <w:b/>
          <w:bCs/>
        </w:rPr>
        <w:t>Outcome:</w:t>
      </w:r>
      <w:r>
        <w:br/>
        <w:t>Not recommended</w:t>
      </w:r>
    </w:p>
    <w:p w14:paraId="4A755A55" w14:textId="77777777" w:rsidR="00E01665" w:rsidRDefault="00E01665" w:rsidP="00E01665">
      <w:pPr>
        <w:pStyle w:val="3-BodyText"/>
        <w:numPr>
          <w:ilvl w:val="0"/>
          <w:numId w:val="0"/>
        </w:numPr>
      </w:pPr>
    </w:p>
    <w:p w14:paraId="5DDA5DFD" w14:textId="04799099" w:rsidR="00F45BF9" w:rsidRPr="00F45BF9" w:rsidRDefault="00F45BF9" w:rsidP="00F45BF9">
      <w:pPr>
        <w:pStyle w:val="2-SectionHeading"/>
        <w:numPr>
          <w:ilvl w:val="0"/>
          <w:numId w:val="2"/>
        </w:numPr>
      </w:pPr>
      <w:r w:rsidRPr="00C07617">
        <w:t>Context for Decision</w:t>
      </w:r>
    </w:p>
    <w:p w14:paraId="1D548C74" w14:textId="77777777" w:rsidR="00F45BF9" w:rsidRPr="007129F2" w:rsidRDefault="00F45BF9" w:rsidP="00F45BF9">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9CF3F0" w14:textId="4EC4FA6C" w:rsidR="00F45BF9" w:rsidRPr="00F45BF9" w:rsidRDefault="00F45BF9" w:rsidP="00F45BF9">
      <w:pPr>
        <w:pStyle w:val="2-SectionHeading"/>
        <w:numPr>
          <w:ilvl w:val="0"/>
          <w:numId w:val="2"/>
        </w:numPr>
      </w:pPr>
      <w:r>
        <w:t>Sponsor’s Comment</w:t>
      </w:r>
    </w:p>
    <w:p w14:paraId="6BD8BA89" w14:textId="77777777" w:rsidR="00F45BF9" w:rsidRPr="001179AC" w:rsidRDefault="00F45BF9" w:rsidP="00F45BF9">
      <w:pPr>
        <w:spacing w:after="120"/>
        <w:ind w:left="426" w:firstLine="294"/>
        <w:rPr>
          <w:rFonts w:asciiTheme="minorHAnsi" w:hAnsiTheme="minorHAnsi" w:cs="Arial"/>
          <w:bCs/>
        </w:rPr>
      </w:pPr>
      <w:r w:rsidRPr="00C07617">
        <w:rPr>
          <w:rFonts w:asciiTheme="minorHAnsi" w:hAnsiTheme="minorHAnsi" w:cs="Arial"/>
          <w:bCs/>
        </w:rPr>
        <w:t>The sponsor had no comment.</w:t>
      </w:r>
    </w:p>
    <w:p w14:paraId="4A0B7B33" w14:textId="77777777" w:rsidR="004E2A37" w:rsidRPr="008330C1" w:rsidRDefault="004E2A37" w:rsidP="007B4F46">
      <w:pPr>
        <w:pStyle w:val="ListBullet"/>
        <w:numPr>
          <w:ilvl w:val="0"/>
          <w:numId w:val="0"/>
        </w:numPr>
      </w:pPr>
    </w:p>
    <w:sectPr w:rsidR="004E2A37" w:rsidRPr="008330C1" w:rsidSect="00C27B58">
      <w:headerReference w:type="default" r:id="rId8"/>
      <w:footerReference w:type="default" r:id="rId9"/>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ED75" w14:textId="77777777" w:rsidR="00BF5D23" w:rsidRDefault="00BF5D23">
      <w:r>
        <w:separator/>
      </w:r>
    </w:p>
    <w:p w14:paraId="35F4975E" w14:textId="77777777" w:rsidR="00BF5D23" w:rsidRDefault="00BF5D23"/>
  </w:endnote>
  <w:endnote w:type="continuationSeparator" w:id="0">
    <w:p w14:paraId="0B62EFF3" w14:textId="77777777" w:rsidR="00BF5D23" w:rsidRDefault="00BF5D23">
      <w:r>
        <w:continuationSeparator/>
      </w:r>
    </w:p>
    <w:p w14:paraId="6D9BFA0B" w14:textId="77777777" w:rsidR="00BF5D23" w:rsidRDefault="00BF5D23"/>
  </w:endnote>
  <w:endnote w:type="continuationNotice" w:id="1">
    <w:p w14:paraId="551D5C00" w14:textId="77777777" w:rsidR="00BF5D23" w:rsidRDefault="00BF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630EA1C2" w:rsidR="009C26AA" w:rsidRPr="001D0C18" w:rsidRDefault="00401640" w:rsidP="00C56D78">
    <w:pPr>
      <w:pStyle w:val="MinorOVRHeader"/>
      <w:jc w:val="center"/>
      <w:rPr>
        <w:b/>
        <w:bCs/>
      </w:rPr>
    </w:pPr>
    <w:r w:rsidRPr="001D0C18">
      <w:rPr>
        <w:b/>
        <w:bCs/>
      </w:rPr>
      <w:fldChar w:fldCharType="begin"/>
    </w:r>
    <w:r w:rsidRPr="001D0C18">
      <w:rPr>
        <w:b/>
        <w:bCs/>
      </w:rPr>
      <w:instrText xml:space="preserve"> PAGE   \* MERGEFORMAT </w:instrText>
    </w:r>
    <w:r w:rsidRPr="001D0C18">
      <w:rPr>
        <w:b/>
        <w:bCs/>
      </w:rPr>
      <w:fldChar w:fldCharType="separate"/>
    </w:r>
    <w:r w:rsidRPr="001D0C18">
      <w:rPr>
        <w:b/>
        <w:bCs/>
      </w:rPr>
      <w:t>1</w:t>
    </w:r>
    <w:r w:rsidRPr="001D0C18">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5D6F" w14:textId="77777777" w:rsidR="00BF5D23" w:rsidRDefault="00BF5D23">
      <w:r>
        <w:separator/>
      </w:r>
    </w:p>
    <w:p w14:paraId="152437FB" w14:textId="77777777" w:rsidR="00BF5D23" w:rsidRDefault="00BF5D23"/>
  </w:footnote>
  <w:footnote w:type="continuationSeparator" w:id="0">
    <w:p w14:paraId="524C1018" w14:textId="77777777" w:rsidR="00BF5D23" w:rsidRDefault="00BF5D23">
      <w:r>
        <w:continuationSeparator/>
      </w:r>
    </w:p>
    <w:p w14:paraId="4B1241BC" w14:textId="77777777" w:rsidR="00BF5D23" w:rsidRDefault="00BF5D23"/>
  </w:footnote>
  <w:footnote w:type="continuationNotice" w:id="1">
    <w:p w14:paraId="78F8D55A" w14:textId="77777777" w:rsidR="00BF5D23" w:rsidRDefault="00BF5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8B5246E" w:rsidR="00C56D78" w:rsidRPr="00C56D78" w:rsidRDefault="00DF63CC"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1D0C18">
      <w:rPr>
        <w:rFonts w:asciiTheme="minorHAnsi" w:eastAsiaTheme="minorEastAsia" w:hAnsiTheme="minorHAnsi" w:cstheme="minorHAnsi"/>
        <w:i/>
        <w:color w:val="808080"/>
      </w:rPr>
      <w:t xml:space="preserve"> – </w:t>
    </w:r>
    <w:r w:rsidR="00275925">
      <w:rPr>
        <w:rFonts w:asciiTheme="minorHAnsi" w:eastAsiaTheme="minorEastAsia" w:hAnsiTheme="minorHAnsi" w:cstheme="minorHAnsi"/>
        <w:i/>
        <w:color w:val="808080"/>
      </w:rPr>
      <w:t>March 2023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44E45C3C"/>
    <w:lvl w:ilvl="0" w:tplc="06706800">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70390D"/>
    <w:multiLevelType w:val="hybridMultilevel"/>
    <w:tmpl w:val="E1FE90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1"/>
  </w:num>
  <w:num w:numId="3">
    <w:abstractNumId w:val="0"/>
  </w:num>
  <w:num w:numId="4">
    <w:abstractNumId w:val="15"/>
  </w:num>
  <w:num w:numId="5">
    <w:abstractNumId w:val="23"/>
  </w:num>
  <w:num w:numId="6">
    <w:abstractNumId w:val="19"/>
  </w:num>
  <w:num w:numId="7">
    <w:abstractNumId w:val="13"/>
  </w:num>
  <w:num w:numId="8">
    <w:abstractNumId w:val="11"/>
  </w:num>
  <w:num w:numId="9">
    <w:abstractNumId w:val="1"/>
  </w:num>
  <w:num w:numId="10">
    <w:abstractNumId w:val="21"/>
  </w:num>
  <w:num w:numId="11">
    <w:abstractNumId w:val="18"/>
  </w:num>
  <w:num w:numId="12">
    <w:abstractNumId w:val="20"/>
  </w:num>
  <w:num w:numId="13">
    <w:abstractNumId w:val="8"/>
  </w:num>
  <w:num w:numId="14">
    <w:abstractNumId w:val="7"/>
  </w:num>
  <w:num w:numId="15">
    <w:abstractNumId w:val="16"/>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5"/>
  </w:num>
  <w:num w:numId="21">
    <w:abstractNumId w:val="4"/>
  </w:num>
  <w:num w:numId="22">
    <w:abstractNumId w:val="12"/>
  </w:num>
  <w:num w:numId="23">
    <w:abstractNumId w:val="6"/>
  </w:num>
  <w:num w:numId="24">
    <w:abstractNumId w:val="3"/>
  </w:num>
  <w:num w:numId="25">
    <w:abstractNumId w:val="10"/>
  </w:num>
  <w:num w:numId="26">
    <w:abstractNumId w:val="21"/>
  </w:num>
  <w:num w:numId="27">
    <w:abstractNumId w:val="21"/>
  </w:num>
  <w:num w:numId="28">
    <w:abstractNumId w:val="21"/>
  </w:num>
  <w:num w:numId="29">
    <w:abstractNumId w:val="24"/>
  </w:num>
  <w:num w:numId="30">
    <w:abstractNumId w:val="21"/>
    <w:lvlOverride w:ilvl="0">
      <w:startOverride w:val="5"/>
    </w:lvlOverride>
    <w:lvlOverride w:ilvl="1">
      <w:startOverride w:val="2"/>
    </w:lvlOverride>
  </w:num>
  <w:num w:numId="31">
    <w:abstractNumId w:val="21"/>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977"/>
    <w:rsid w:val="00001663"/>
    <w:rsid w:val="000025AD"/>
    <w:rsid w:val="0000335D"/>
    <w:rsid w:val="00003EC5"/>
    <w:rsid w:val="00006782"/>
    <w:rsid w:val="0001179A"/>
    <w:rsid w:val="00011A59"/>
    <w:rsid w:val="00014D69"/>
    <w:rsid w:val="00014F82"/>
    <w:rsid w:val="00016A41"/>
    <w:rsid w:val="000214D1"/>
    <w:rsid w:val="00021F20"/>
    <w:rsid w:val="000235E9"/>
    <w:rsid w:val="00023819"/>
    <w:rsid w:val="0002464A"/>
    <w:rsid w:val="00025A04"/>
    <w:rsid w:val="0002625F"/>
    <w:rsid w:val="0002693D"/>
    <w:rsid w:val="0003050E"/>
    <w:rsid w:val="0003106B"/>
    <w:rsid w:val="000335B9"/>
    <w:rsid w:val="00034905"/>
    <w:rsid w:val="00037906"/>
    <w:rsid w:val="00040742"/>
    <w:rsid w:val="00040A30"/>
    <w:rsid w:val="000421A1"/>
    <w:rsid w:val="0004240E"/>
    <w:rsid w:val="000424C2"/>
    <w:rsid w:val="00044E52"/>
    <w:rsid w:val="00044EC4"/>
    <w:rsid w:val="00045E26"/>
    <w:rsid w:val="00046903"/>
    <w:rsid w:val="000514B5"/>
    <w:rsid w:val="00051A77"/>
    <w:rsid w:val="000521ED"/>
    <w:rsid w:val="0005322E"/>
    <w:rsid w:val="00054E2B"/>
    <w:rsid w:val="00056F63"/>
    <w:rsid w:val="00060E64"/>
    <w:rsid w:val="000621AB"/>
    <w:rsid w:val="00062E88"/>
    <w:rsid w:val="00064AAD"/>
    <w:rsid w:val="00066193"/>
    <w:rsid w:val="00066755"/>
    <w:rsid w:val="00070CC4"/>
    <w:rsid w:val="00071A5B"/>
    <w:rsid w:val="00072730"/>
    <w:rsid w:val="0007337F"/>
    <w:rsid w:val="00073591"/>
    <w:rsid w:val="00074320"/>
    <w:rsid w:val="000763D5"/>
    <w:rsid w:val="00076C38"/>
    <w:rsid w:val="00077143"/>
    <w:rsid w:val="00077DF7"/>
    <w:rsid w:val="0008050C"/>
    <w:rsid w:val="00082169"/>
    <w:rsid w:val="000834BE"/>
    <w:rsid w:val="00083B7D"/>
    <w:rsid w:val="00083F01"/>
    <w:rsid w:val="00087C4C"/>
    <w:rsid w:val="000918CB"/>
    <w:rsid w:val="00091B06"/>
    <w:rsid w:val="000951C4"/>
    <w:rsid w:val="00095ADA"/>
    <w:rsid w:val="00095F3A"/>
    <w:rsid w:val="000963CA"/>
    <w:rsid w:val="000969AD"/>
    <w:rsid w:val="000975FB"/>
    <w:rsid w:val="000A02F8"/>
    <w:rsid w:val="000A28C1"/>
    <w:rsid w:val="000A3AA2"/>
    <w:rsid w:val="000A42EF"/>
    <w:rsid w:val="000A44B2"/>
    <w:rsid w:val="000A52F6"/>
    <w:rsid w:val="000A58B8"/>
    <w:rsid w:val="000A69BF"/>
    <w:rsid w:val="000B051B"/>
    <w:rsid w:val="000B26AA"/>
    <w:rsid w:val="000B44C3"/>
    <w:rsid w:val="000B558D"/>
    <w:rsid w:val="000B5A89"/>
    <w:rsid w:val="000B65F6"/>
    <w:rsid w:val="000B7767"/>
    <w:rsid w:val="000C04EA"/>
    <w:rsid w:val="000C1AFF"/>
    <w:rsid w:val="000C2543"/>
    <w:rsid w:val="000C5740"/>
    <w:rsid w:val="000C5F95"/>
    <w:rsid w:val="000C6996"/>
    <w:rsid w:val="000C7C46"/>
    <w:rsid w:val="000D09E9"/>
    <w:rsid w:val="000D113F"/>
    <w:rsid w:val="000D1D2F"/>
    <w:rsid w:val="000D23BA"/>
    <w:rsid w:val="000E19B7"/>
    <w:rsid w:val="000E20FC"/>
    <w:rsid w:val="000E3C1D"/>
    <w:rsid w:val="000E3DFB"/>
    <w:rsid w:val="000E5EA1"/>
    <w:rsid w:val="000E6558"/>
    <w:rsid w:val="000E681E"/>
    <w:rsid w:val="000E696B"/>
    <w:rsid w:val="000E7E52"/>
    <w:rsid w:val="000E7E90"/>
    <w:rsid w:val="000EE1C7"/>
    <w:rsid w:val="000F0003"/>
    <w:rsid w:val="000F2F4A"/>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1EA0"/>
    <w:rsid w:val="00113649"/>
    <w:rsid w:val="00113D5C"/>
    <w:rsid w:val="00116B03"/>
    <w:rsid w:val="00120AA6"/>
    <w:rsid w:val="001239DB"/>
    <w:rsid w:val="0012417C"/>
    <w:rsid w:val="00124BF2"/>
    <w:rsid w:val="00125837"/>
    <w:rsid w:val="0012597F"/>
    <w:rsid w:val="0012648A"/>
    <w:rsid w:val="00126B19"/>
    <w:rsid w:val="00126D3A"/>
    <w:rsid w:val="0012749D"/>
    <w:rsid w:val="00127A23"/>
    <w:rsid w:val="001306A5"/>
    <w:rsid w:val="00130918"/>
    <w:rsid w:val="001311AE"/>
    <w:rsid w:val="001366C2"/>
    <w:rsid w:val="00136C17"/>
    <w:rsid w:val="00140B74"/>
    <w:rsid w:val="00140D94"/>
    <w:rsid w:val="00142395"/>
    <w:rsid w:val="0014250D"/>
    <w:rsid w:val="00142714"/>
    <w:rsid w:val="00144D09"/>
    <w:rsid w:val="001452ED"/>
    <w:rsid w:val="00147731"/>
    <w:rsid w:val="00147D84"/>
    <w:rsid w:val="00151CBD"/>
    <w:rsid w:val="00152598"/>
    <w:rsid w:val="001533C3"/>
    <w:rsid w:val="001549C1"/>
    <w:rsid w:val="00154BAA"/>
    <w:rsid w:val="00154C9E"/>
    <w:rsid w:val="00156C8D"/>
    <w:rsid w:val="00160F4D"/>
    <w:rsid w:val="001613EE"/>
    <w:rsid w:val="00161E55"/>
    <w:rsid w:val="00162BDD"/>
    <w:rsid w:val="00162D4E"/>
    <w:rsid w:val="00163329"/>
    <w:rsid w:val="00164623"/>
    <w:rsid w:val="001652DE"/>
    <w:rsid w:val="001653EC"/>
    <w:rsid w:val="00165B64"/>
    <w:rsid w:val="00167C39"/>
    <w:rsid w:val="001714F9"/>
    <w:rsid w:val="00176B9D"/>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19EA"/>
    <w:rsid w:val="001B1A49"/>
    <w:rsid w:val="001B275B"/>
    <w:rsid w:val="001B2BBC"/>
    <w:rsid w:val="001B2BCD"/>
    <w:rsid w:val="001B3A40"/>
    <w:rsid w:val="001B3FFE"/>
    <w:rsid w:val="001B5129"/>
    <w:rsid w:val="001C0B4C"/>
    <w:rsid w:val="001C0EC4"/>
    <w:rsid w:val="001C1195"/>
    <w:rsid w:val="001C12AE"/>
    <w:rsid w:val="001C1E84"/>
    <w:rsid w:val="001C2056"/>
    <w:rsid w:val="001C20E1"/>
    <w:rsid w:val="001C2A0F"/>
    <w:rsid w:val="001C2E42"/>
    <w:rsid w:val="001C5599"/>
    <w:rsid w:val="001D0C18"/>
    <w:rsid w:val="001D1F5F"/>
    <w:rsid w:val="001E06D2"/>
    <w:rsid w:val="001E17C4"/>
    <w:rsid w:val="001E2D65"/>
    <w:rsid w:val="001E57BE"/>
    <w:rsid w:val="001F005B"/>
    <w:rsid w:val="001F0783"/>
    <w:rsid w:val="001F1850"/>
    <w:rsid w:val="001F1FBF"/>
    <w:rsid w:val="001F2311"/>
    <w:rsid w:val="001F2B80"/>
    <w:rsid w:val="001F2F1C"/>
    <w:rsid w:val="001F3189"/>
    <w:rsid w:val="001F7388"/>
    <w:rsid w:val="00200BEA"/>
    <w:rsid w:val="00201FB8"/>
    <w:rsid w:val="00203FAC"/>
    <w:rsid w:val="00207EB5"/>
    <w:rsid w:val="002123F0"/>
    <w:rsid w:val="002133FB"/>
    <w:rsid w:val="00213754"/>
    <w:rsid w:val="00213CFB"/>
    <w:rsid w:val="0021553C"/>
    <w:rsid w:val="0021557B"/>
    <w:rsid w:val="00216B87"/>
    <w:rsid w:val="002174FD"/>
    <w:rsid w:val="00217BE1"/>
    <w:rsid w:val="00221361"/>
    <w:rsid w:val="002214B9"/>
    <w:rsid w:val="00222680"/>
    <w:rsid w:val="00223370"/>
    <w:rsid w:val="002242A3"/>
    <w:rsid w:val="00224D1E"/>
    <w:rsid w:val="0022659D"/>
    <w:rsid w:val="00226611"/>
    <w:rsid w:val="00227BC5"/>
    <w:rsid w:val="00230F63"/>
    <w:rsid w:val="00231E9F"/>
    <w:rsid w:val="00234252"/>
    <w:rsid w:val="0023466E"/>
    <w:rsid w:val="00237AC6"/>
    <w:rsid w:val="00242BFD"/>
    <w:rsid w:val="00244139"/>
    <w:rsid w:val="00244490"/>
    <w:rsid w:val="00244BEC"/>
    <w:rsid w:val="00245B9C"/>
    <w:rsid w:val="002462B4"/>
    <w:rsid w:val="00247321"/>
    <w:rsid w:val="0025166E"/>
    <w:rsid w:val="00252587"/>
    <w:rsid w:val="00253499"/>
    <w:rsid w:val="002551A4"/>
    <w:rsid w:val="00257664"/>
    <w:rsid w:val="00260165"/>
    <w:rsid w:val="00265151"/>
    <w:rsid w:val="00265C2C"/>
    <w:rsid w:val="00266509"/>
    <w:rsid w:val="00270BF7"/>
    <w:rsid w:val="00271BA1"/>
    <w:rsid w:val="00273AC5"/>
    <w:rsid w:val="00275925"/>
    <w:rsid w:val="002762FA"/>
    <w:rsid w:val="00276BE3"/>
    <w:rsid w:val="00277505"/>
    <w:rsid w:val="00277873"/>
    <w:rsid w:val="0028158C"/>
    <w:rsid w:val="002823B6"/>
    <w:rsid w:val="002829A1"/>
    <w:rsid w:val="00290C03"/>
    <w:rsid w:val="00292392"/>
    <w:rsid w:val="00292E3B"/>
    <w:rsid w:val="002933A8"/>
    <w:rsid w:val="00294274"/>
    <w:rsid w:val="0029458F"/>
    <w:rsid w:val="00297A63"/>
    <w:rsid w:val="002A018F"/>
    <w:rsid w:val="002A0E04"/>
    <w:rsid w:val="002A104C"/>
    <w:rsid w:val="002A1EF7"/>
    <w:rsid w:val="002A2B7B"/>
    <w:rsid w:val="002A38F8"/>
    <w:rsid w:val="002A43AC"/>
    <w:rsid w:val="002A469F"/>
    <w:rsid w:val="002A494D"/>
    <w:rsid w:val="002A4960"/>
    <w:rsid w:val="002A636A"/>
    <w:rsid w:val="002A755F"/>
    <w:rsid w:val="002B0AE0"/>
    <w:rsid w:val="002B1250"/>
    <w:rsid w:val="002B1AE6"/>
    <w:rsid w:val="002B1D51"/>
    <w:rsid w:val="002B2DE8"/>
    <w:rsid w:val="002B30F8"/>
    <w:rsid w:val="002B388A"/>
    <w:rsid w:val="002B3BFE"/>
    <w:rsid w:val="002B3C1A"/>
    <w:rsid w:val="002B5596"/>
    <w:rsid w:val="002B77D7"/>
    <w:rsid w:val="002B7CF8"/>
    <w:rsid w:val="002C0763"/>
    <w:rsid w:val="002C212F"/>
    <w:rsid w:val="002C2F35"/>
    <w:rsid w:val="002C6AA9"/>
    <w:rsid w:val="002C7485"/>
    <w:rsid w:val="002D0563"/>
    <w:rsid w:val="002D1100"/>
    <w:rsid w:val="002D1D50"/>
    <w:rsid w:val="002D2641"/>
    <w:rsid w:val="002D283A"/>
    <w:rsid w:val="002D4543"/>
    <w:rsid w:val="002D57C3"/>
    <w:rsid w:val="002D5FEA"/>
    <w:rsid w:val="002D715F"/>
    <w:rsid w:val="002E022A"/>
    <w:rsid w:val="002E18B5"/>
    <w:rsid w:val="002E3153"/>
    <w:rsid w:val="002E4751"/>
    <w:rsid w:val="002E4A02"/>
    <w:rsid w:val="002E5292"/>
    <w:rsid w:val="002E6F89"/>
    <w:rsid w:val="002E72CA"/>
    <w:rsid w:val="002E75DD"/>
    <w:rsid w:val="002F18F3"/>
    <w:rsid w:val="002F1B63"/>
    <w:rsid w:val="002F1D07"/>
    <w:rsid w:val="002F5C5B"/>
    <w:rsid w:val="002F600D"/>
    <w:rsid w:val="002F6F0F"/>
    <w:rsid w:val="002F7E47"/>
    <w:rsid w:val="00300AD6"/>
    <w:rsid w:val="00300B1B"/>
    <w:rsid w:val="003019D0"/>
    <w:rsid w:val="003019DE"/>
    <w:rsid w:val="0030311E"/>
    <w:rsid w:val="00304C23"/>
    <w:rsid w:val="003064AF"/>
    <w:rsid w:val="00307DC6"/>
    <w:rsid w:val="003109FE"/>
    <w:rsid w:val="00310A8B"/>
    <w:rsid w:val="00310B68"/>
    <w:rsid w:val="0031397E"/>
    <w:rsid w:val="003145D5"/>
    <w:rsid w:val="00316004"/>
    <w:rsid w:val="003160D2"/>
    <w:rsid w:val="003171A4"/>
    <w:rsid w:val="003173FC"/>
    <w:rsid w:val="00317C6C"/>
    <w:rsid w:val="00320B80"/>
    <w:rsid w:val="00320CD3"/>
    <w:rsid w:val="00321528"/>
    <w:rsid w:val="003215FF"/>
    <w:rsid w:val="0032215B"/>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4D03"/>
    <w:rsid w:val="003476EE"/>
    <w:rsid w:val="0035315A"/>
    <w:rsid w:val="003541DD"/>
    <w:rsid w:val="00356E5B"/>
    <w:rsid w:val="00360887"/>
    <w:rsid w:val="0036249F"/>
    <w:rsid w:val="0037116B"/>
    <w:rsid w:val="00371246"/>
    <w:rsid w:val="00371C75"/>
    <w:rsid w:val="003736C9"/>
    <w:rsid w:val="00383B77"/>
    <w:rsid w:val="00384988"/>
    <w:rsid w:val="003862C1"/>
    <w:rsid w:val="00386E17"/>
    <w:rsid w:val="003872CF"/>
    <w:rsid w:val="003874CB"/>
    <w:rsid w:val="00393F80"/>
    <w:rsid w:val="0039401D"/>
    <w:rsid w:val="00396E08"/>
    <w:rsid w:val="003970DD"/>
    <w:rsid w:val="0039782C"/>
    <w:rsid w:val="003A13A6"/>
    <w:rsid w:val="003A19BF"/>
    <w:rsid w:val="003A2165"/>
    <w:rsid w:val="003A3AF3"/>
    <w:rsid w:val="003A3FD4"/>
    <w:rsid w:val="003A5B4A"/>
    <w:rsid w:val="003A5D95"/>
    <w:rsid w:val="003A6510"/>
    <w:rsid w:val="003A74E2"/>
    <w:rsid w:val="003B0D3A"/>
    <w:rsid w:val="003B2302"/>
    <w:rsid w:val="003B23C5"/>
    <w:rsid w:val="003B2A75"/>
    <w:rsid w:val="003B49B2"/>
    <w:rsid w:val="003B59B5"/>
    <w:rsid w:val="003B6124"/>
    <w:rsid w:val="003B7960"/>
    <w:rsid w:val="003C0908"/>
    <w:rsid w:val="003C093A"/>
    <w:rsid w:val="003C1ECF"/>
    <w:rsid w:val="003C2FB5"/>
    <w:rsid w:val="003C4C51"/>
    <w:rsid w:val="003C71D3"/>
    <w:rsid w:val="003D24C5"/>
    <w:rsid w:val="003D4594"/>
    <w:rsid w:val="003D4AC4"/>
    <w:rsid w:val="003D5433"/>
    <w:rsid w:val="003D63B7"/>
    <w:rsid w:val="003D74C5"/>
    <w:rsid w:val="003E4374"/>
    <w:rsid w:val="003E468B"/>
    <w:rsid w:val="003E51C6"/>
    <w:rsid w:val="003E62BD"/>
    <w:rsid w:val="003E658D"/>
    <w:rsid w:val="003F044F"/>
    <w:rsid w:val="003F0C3A"/>
    <w:rsid w:val="003F15F0"/>
    <w:rsid w:val="003F2402"/>
    <w:rsid w:val="003F2AD9"/>
    <w:rsid w:val="003F3228"/>
    <w:rsid w:val="003F5C8C"/>
    <w:rsid w:val="003F63CE"/>
    <w:rsid w:val="003F775A"/>
    <w:rsid w:val="00400E55"/>
    <w:rsid w:val="0040128E"/>
    <w:rsid w:val="00401640"/>
    <w:rsid w:val="0040216B"/>
    <w:rsid w:val="00404852"/>
    <w:rsid w:val="004049E3"/>
    <w:rsid w:val="0040590E"/>
    <w:rsid w:val="00407CC8"/>
    <w:rsid w:val="00414F0C"/>
    <w:rsid w:val="0041536F"/>
    <w:rsid w:val="00420400"/>
    <w:rsid w:val="00423E78"/>
    <w:rsid w:val="004252EC"/>
    <w:rsid w:val="00426B52"/>
    <w:rsid w:val="00430D39"/>
    <w:rsid w:val="00432F56"/>
    <w:rsid w:val="00434D5D"/>
    <w:rsid w:val="00437245"/>
    <w:rsid w:val="00442C91"/>
    <w:rsid w:val="00444E9D"/>
    <w:rsid w:val="00445176"/>
    <w:rsid w:val="004465BD"/>
    <w:rsid w:val="00446938"/>
    <w:rsid w:val="004512F8"/>
    <w:rsid w:val="004528FA"/>
    <w:rsid w:val="00457493"/>
    <w:rsid w:val="00461A44"/>
    <w:rsid w:val="00462D26"/>
    <w:rsid w:val="0046368B"/>
    <w:rsid w:val="0046385A"/>
    <w:rsid w:val="00464039"/>
    <w:rsid w:val="00466ADA"/>
    <w:rsid w:val="004702BB"/>
    <w:rsid w:val="0047494B"/>
    <w:rsid w:val="00475FC0"/>
    <w:rsid w:val="00476245"/>
    <w:rsid w:val="00477A9B"/>
    <w:rsid w:val="00482AE4"/>
    <w:rsid w:val="00483035"/>
    <w:rsid w:val="00484660"/>
    <w:rsid w:val="00485940"/>
    <w:rsid w:val="00486C95"/>
    <w:rsid w:val="00487557"/>
    <w:rsid w:val="004877C2"/>
    <w:rsid w:val="004904B9"/>
    <w:rsid w:val="004925C8"/>
    <w:rsid w:val="004928E1"/>
    <w:rsid w:val="00492D8D"/>
    <w:rsid w:val="00496662"/>
    <w:rsid w:val="004A1431"/>
    <w:rsid w:val="004A1EAD"/>
    <w:rsid w:val="004A2484"/>
    <w:rsid w:val="004A5A85"/>
    <w:rsid w:val="004A71D1"/>
    <w:rsid w:val="004A7C5B"/>
    <w:rsid w:val="004B0C02"/>
    <w:rsid w:val="004B1845"/>
    <w:rsid w:val="004B2348"/>
    <w:rsid w:val="004B27C5"/>
    <w:rsid w:val="004B2E01"/>
    <w:rsid w:val="004B2E98"/>
    <w:rsid w:val="004B31B4"/>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30E"/>
    <w:rsid w:val="004D2CD1"/>
    <w:rsid w:val="004D4FF6"/>
    <w:rsid w:val="004D5ADD"/>
    <w:rsid w:val="004E08DE"/>
    <w:rsid w:val="004E0CC3"/>
    <w:rsid w:val="004E2A37"/>
    <w:rsid w:val="004E692D"/>
    <w:rsid w:val="004E6C24"/>
    <w:rsid w:val="004E7230"/>
    <w:rsid w:val="004E7D87"/>
    <w:rsid w:val="004F2553"/>
    <w:rsid w:val="004F306A"/>
    <w:rsid w:val="00501554"/>
    <w:rsid w:val="00502AFE"/>
    <w:rsid w:val="00502E64"/>
    <w:rsid w:val="00503AD7"/>
    <w:rsid w:val="00503E89"/>
    <w:rsid w:val="00504E0C"/>
    <w:rsid w:val="00504E13"/>
    <w:rsid w:val="005109D4"/>
    <w:rsid w:val="0051230A"/>
    <w:rsid w:val="00514657"/>
    <w:rsid w:val="00514CD7"/>
    <w:rsid w:val="005167EC"/>
    <w:rsid w:val="005170DA"/>
    <w:rsid w:val="00520D6A"/>
    <w:rsid w:val="00522DB6"/>
    <w:rsid w:val="005251F8"/>
    <w:rsid w:val="005264A7"/>
    <w:rsid w:val="0052792D"/>
    <w:rsid w:val="005319B2"/>
    <w:rsid w:val="00532402"/>
    <w:rsid w:val="0053250F"/>
    <w:rsid w:val="00532C74"/>
    <w:rsid w:val="00533239"/>
    <w:rsid w:val="00534E2E"/>
    <w:rsid w:val="00535133"/>
    <w:rsid w:val="005377E8"/>
    <w:rsid w:val="0054064C"/>
    <w:rsid w:val="00544552"/>
    <w:rsid w:val="00545130"/>
    <w:rsid w:val="00546B36"/>
    <w:rsid w:val="00551CE1"/>
    <w:rsid w:val="0055286A"/>
    <w:rsid w:val="00555745"/>
    <w:rsid w:val="00556A5B"/>
    <w:rsid w:val="00557D4F"/>
    <w:rsid w:val="0056122E"/>
    <w:rsid w:val="0056484E"/>
    <w:rsid w:val="00565999"/>
    <w:rsid w:val="005660EE"/>
    <w:rsid w:val="00567458"/>
    <w:rsid w:val="00567D8A"/>
    <w:rsid w:val="00570231"/>
    <w:rsid w:val="005714B7"/>
    <w:rsid w:val="00572873"/>
    <w:rsid w:val="00572B8D"/>
    <w:rsid w:val="005764CD"/>
    <w:rsid w:val="00577C4D"/>
    <w:rsid w:val="00580532"/>
    <w:rsid w:val="00580F75"/>
    <w:rsid w:val="005814C3"/>
    <w:rsid w:val="00581932"/>
    <w:rsid w:val="00583002"/>
    <w:rsid w:val="005903BB"/>
    <w:rsid w:val="00593893"/>
    <w:rsid w:val="005963BB"/>
    <w:rsid w:val="0059645C"/>
    <w:rsid w:val="00596D37"/>
    <w:rsid w:val="005A15D2"/>
    <w:rsid w:val="005A1FED"/>
    <w:rsid w:val="005A3173"/>
    <w:rsid w:val="005A3223"/>
    <w:rsid w:val="005A3DA3"/>
    <w:rsid w:val="005A4410"/>
    <w:rsid w:val="005A52C4"/>
    <w:rsid w:val="005A63A1"/>
    <w:rsid w:val="005A6C8C"/>
    <w:rsid w:val="005B0486"/>
    <w:rsid w:val="005B1032"/>
    <w:rsid w:val="005B1473"/>
    <w:rsid w:val="005B36FA"/>
    <w:rsid w:val="005B3F5D"/>
    <w:rsid w:val="005B6518"/>
    <w:rsid w:val="005C183F"/>
    <w:rsid w:val="005C4D35"/>
    <w:rsid w:val="005C4F73"/>
    <w:rsid w:val="005D03AB"/>
    <w:rsid w:val="005D401D"/>
    <w:rsid w:val="005D5017"/>
    <w:rsid w:val="005D5708"/>
    <w:rsid w:val="005D63FA"/>
    <w:rsid w:val="005D73C7"/>
    <w:rsid w:val="005E0C2D"/>
    <w:rsid w:val="005E0D82"/>
    <w:rsid w:val="005E0F59"/>
    <w:rsid w:val="005E1333"/>
    <w:rsid w:val="005E157A"/>
    <w:rsid w:val="005E1ECB"/>
    <w:rsid w:val="005E3136"/>
    <w:rsid w:val="005E507D"/>
    <w:rsid w:val="005E5154"/>
    <w:rsid w:val="005E6338"/>
    <w:rsid w:val="005F0AD0"/>
    <w:rsid w:val="005F133D"/>
    <w:rsid w:val="005F2499"/>
    <w:rsid w:val="00601050"/>
    <w:rsid w:val="00601A91"/>
    <w:rsid w:val="00602BA3"/>
    <w:rsid w:val="00605B63"/>
    <w:rsid w:val="00605F9A"/>
    <w:rsid w:val="00606442"/>
    <w:rsid w:val="00606EED"/>
    <w:rsid w:val="006109A7"/>
    <w:rsid w:val="00612A95"/>
    <w:rsid w:val="00612E34"/>
    <w:rsid w:val="00614159"/>
    <w:rsid w:val="00614295"/>
    <w:rsid w:val="006158A3"/>
    <w:rsid w:val="00616C5F"/>
    <w:rsid w:val="00616DAC"/>
    <w:rsid w:val="00617725"/>
    <w:rsid w:val="00617C00"/>
    <w:rsid w:val="00625214"/>
    <w:rsid w:val="006263BF"/>
    <w:rsid w:val="006271E2"/>
    <w:rsid w:val="0062748A"/>
    <w:rsid w:val="00630546"/>
    <w:rsid w:val="00630A2C"/>
    <w:rsid w:val="00630CCD"/>
    <w:rsid w:val="00634A75"/>
    <w:rsid w:val="00636154"/>
    <w:rsid w:val="0063682E"/>
    <w:rsid w:val="00637E5C"/>
    <w:rsid w:val="00640088"/>
    <w:rsid w:val="00642672"/>
    <w:rsid w:val="00642DA8"/>
    <w:rsid w:val="006436CD"/>
    <w:rsid w:val="006441F0"/>
    <w:rsid w:val="006458AB"/>
    <w:rsid w:val="00651169"/>
    <w:rsid w:val="00653939"/>
    <w:rsid w:val="00653D69"/>
    <w:rsid w:val="006552E6"/>
    <w:rsid w:val="00655794"/>
    <w:rsid w:val="00656F2F"/>
    <w:rsid w:val="00657C63"/>
    <w:rsid w:val="00661210"/>
    <w:rsid w:val="00661CBC"/>
    <w:rsid w:val="00662B85"/>
    <w:rsid w:val="0066372F"/>
    <w:rsid w:val="00663D36"/>
    <w:rsid w:val="00664470"/>
    <w:rsid w:val="006670B3"/>
    <w:rsid w:val="006670BE"/>
    <w:rsid w:val="00670A76"/>
    <w:rsid w:val="006711AA"/>
    <w:rsid w:val="00672B57"/>
    <w:rsid w:val="006736EC"/>
    <w:rsid w:val="00673F1F"/>
    <w:rsid w:val="00675622"/>
    <w:rsid w:val="00675DEB"/>
    <w:rsid w:val="0067747D"/>
    <w:rsid w:val="006818D5"/>
    <w:rsid w:val="00681CA4"/>
    <w:rsid w:val="00683D30"/>
    <w:rsid w:val="00686559"/>
    <w:rsid w:val="00686674"/>
    <w:rsid w:val="0069039D"/>
    <w:rsid w:val="006906DB"/>
    <w:rsid w:val="00690AA9"/>
    <w:rsid w:val="00690C14"/>
    <w:rsid w:val="00691900"/>
    <w:rsid w:val="00691D57"/>
    <w:rsid w:val="00691E6C"/>
    <w:rsid w:val="00693425"/>
    <w:rsid w:val="0069342D"/>
    <w:rsid w:val="00693DFB"/>
    <w:rsid w:val="006945C7"/>
    <w:rsid w:val="00694FD5"/>
    <w:rsid w:val="0069501D"/>
    <w:rsid w:val="00696129"/>
    <w:rsid w:val="00697CD7"/>
    <w:rsid w:val="00697CF2"/>
    <w:rsid w:val="006A12A5"/>
    <w:rsid w:val="006A2515"/>
    <w:rsid w:val="006A4735"/>
    <w:rsid w:val="006A572D"/>
    <w:rsid w:val="006A5E20"/>
    <w:rsid w:val="006B0D94"/>
    <w:rsid w:val="006B16B6"/>
    <w:rsid w:val="006B485D"/>
    <w:rsid w:val="006B50EC"/>
    <w:rsid w:val="006B6AE3"/>
    <w:rsid w:val="006B7DDA"/>
    <w:rsid w:val="006C0C45"/>
    <w:rsid w:val="006C2806"/>
    <w:rsid w:val="006C334C"/>
    <w:rsid w:val="006C5FA4"/>
    <w:rsid w:val="006C6C10"/>
    <w:rsid w:val="006C708E"/>
    <w:rsid w:val="006D14E7"/>
    <w:rsid w:val="006D4444"/>
    <w:rsid w:val="006D6493"/>
    <w:rsid w:val="006D6EC7"/>
    <w:rsid w:val="006D7B05"/>
    <w:rsid w:val="006D7E45"/>
    <w:rsid w:val="006E0483"/>
    <w:rsid w:val="006E1143"/>
    <w:rsid w:val="006E1BCD"/>
    <w:rsid w:val="006E2732"/>
    <w:rsid w:val="006E59CD"/>
    <w:rsid w:val="006F00ED"/>
    <w:rsid w:val="006F026F"/>
    <w:rsid w:val="006F0A71"/>
    <w:rsid w:val="006F1C6B"/>
    <w:rsid w:val="006F40C2"/>
    <w:rsid w:val="006F5125"/>
    <w:rsid w:val="006F733D"/>
    <w:rsid w:val="00700608"/>
    <w:rsid w:val="00700765"/>
    <w:rsid w:val="00700FB9"/>
    <w:rsid w:val="0070226B"/>
    <w:rsid w:val="00702959"/>
    <w:rsid w:val="00702B6F"/>
    <w:rsid w:val="007030B4"/>
    <w:rsid w:val="00703B86"/>
    <w:rsid w:val="00704069"/>
    <w:rsid w:val="00706A2F"/>
    <w:rsid w:val="0070718E"/>
    <w:rsid w:val="00707E52"/>
    <w:rsid w:val="00710259"/>
    <w:rsid w:val="0071031F"/>
    <w:rsid w:val="00710737"/>
    <w:rsid w:val="00712CE4"/>
    <w:rsid w:val="0071340B"/>
    <w:rsid w:val="00713C50"/>
    <w:rsid w:val="0071436D"/>
    <w:rsid w:val="00715BBB"/>
    <w:rsid w:val="007174BB"/>
    <w:rsid w:val="0072025D"/>
    <w:rsid w:val="00723328"/>
    <w:rsid w:val="0072369A"/>
    <w:rsid w:val="007237DE"/>
    <w:rsid w:val="0072502E"/>
    <w:rsid w:val="0073137C"/>
    <w:rsid w:val="007340B9"/>
    <w:rsid w:val="007353D3"/>
    <w:rsid w:val="0074156B"/>
    <w:rsid w:val="00741619"/>
    <w:rsid w:val="00742885"/>
    <w:rsid w:val="00743D99"/>
    <w:rsid w:val="007451AB"/>
    <w:rsid w:val="007454C6"/>
    <w:rsid w:val="00747092"/>
    <w:rsid w:val="007477FF"/>
    <w:rsid w:val="007526E6"/>
    <w:rsid w:val="00754DF9"/>
    <w:rsid w:val="007555E8"/>
    <w:rsid w:val="00755CC5"/>
    <w:rsid w:val="0076217F"/>
    <w:rsid w:val="00762862"/>
    <w:rsid w:val="0076420C"/>
    <w:rsid w:val="007642D0"/>
    <w:rsid w:val="00764622"/>
    <w:rsid w:val="00771D07"/>
    <w:rsid w:val="00772649"/>
    <w:rsid w:val="00773BE3"/>
    <w:rsid w:val="007743DD"/>
    <w:rsid w:val="00774E2C"/>
    <w:rsid w:val="0077503C"/>
    <w:rsid w:val="0077518D"/>
    <w:rsid w:val="007753C2"/>
    <w:rsid w:val="00776068"/>
    <w:rsid w:val="007813B8"/>
    <w:rsid w:val="007838B8"/>
    <w:rsid w:val="00785779"/>
    <w:rsid w:val="00787FD8"/>
    <w:rsid w:val="0079016C"/>
    <w:rsid w:val="007915BA"/>
    <w:rsid w:val="00791844"/>
    <w:rsid w:val="00793CE9"/>
    <w:rsid w:val="00796667"/>
    <w:rsid w:val="00797068"/>
    <w:rsid w:val="00797453"/>
    <w:rsid w:val="007979BD"/>
    <w:rsid w:val="007A3D8E"/>
    <w:rsid w:val="007A5C88"/>
    <w:rsid w:val="007A6A2F"/>
    <w:rsid w:val="007A6D6E"/>
    <w:rsid w:val="007B024E"/>
    <w:rsid w:val="007B1668"/>
    <w:rsid w:val="007B3BAF"/>
    <w:rsid w:val="007B3DDC"/>
    <w:rsid w:val="007B4F46"/>
    <w:rsid w:val="007B72A6"/>
    <w:rsid w:val="007C06D2"/>
    <w:rsid w:val="007C08E0"/>
    <w:rsid w:val="007C0F57"/>
    <w:rsid w:val="007C2F4B"/>
    <w:rsid w:val="007C40B6"/>
    <w:rsid w:val="007C5975"/>
    <w:rsid w:val="007C729F"/>
    <w:rsid w:val="007C72AD"/>
    <w:rsid w:val="007C7556"/>
    <w:rsid w:val="007D07F9"/>
    <w:rsid w:val="007D4A81"/>
    <w:rsid w:val="007D503D"/>
    <w:rsid w:val="007D59E7"/>
    <w:rsid w:val="007D5F2A"/>
    <w:rsid w:val="007E07AC"/>
    <w:rsid w:val="007E1014"/>
    <w:rsid w:val="007E12F8"/>
    <w:rsid w:val="007E1D28"/>
    <w:rsid w:val="007E4564"/>
    <w:rsid w:val="007E490F"/>
    <w:rsid w:val="007E54BE"/>
    <w:rsid w:val="007E6533"/>
    <w:rsid w:val="007E771C"/>
    <w:rsid w:val="007F0021"/>
    <w:rsid w:val="007F2641"/>
    <w:rsid w:val="007F5AF4"/>
    <w:rsid w:val="007F7519"/>
    <w:rsid w:val="007F7C36"/>
    <w:rsid w:val="007F7F45"/>
    <w:rsid w:val="0080001F"/>
    <w:rsid w:val="00801958"/>
    <w:rsid w:val="008044A5"/>
    <w:rsid w:val="008055AF"/>
    <w:rsid w:val="008057CD"/>
    <w:rsid w:val="008066B8"/>
    <w:rsid w:val="00806796"/>
    <w:rsid w:val="00810167"/>
    <w:rsid w:val="008104D0"/>
    <w:rsid w:val="00811CC0"/>
    <w:rsid w:val="00814276"/>
    <w:rsid w:val="008151D6"/>
    <w:rsid w:val="00820803"/>
    <w:rsid w:val="0082104E"/>
    <w:rsid w:val="00821527"/>
    <w:rsid w:val="008225CE"/>
    <w:rsid w:val="00822696"/>
    <w:rsid w:val="0082502E"/>
    <w:rsid w:val="00825153"/>
    <w:rsid w:val="00825A6C"/>
    <w:rsid w:val="0082617E"/>
    <w:rsid w:val="008268BB"/>
    <w:rsid w:val="00826F6D"/>
    <w:rsid w:val="008306F3"/>
    <w:rsid w:val="00830E40"/>
    <w:rsid w:val="00832887"/>
    <w:rsid w:val="00832D9A"/>
    <w:rsid w:val="008330C1"/>
    <w:rsid w:val="00835C62"/>
    <w:rsid w:val="008368A1"/>
    <w:rsid w:val="00837179"/>
    <w:rsid w:val="00840E10"/>
    <w:rsid w:val="00840EF7"/>
    <w:rsid w:val="00844C0A"/>
    <w:rsid w:val="00846056"/>
    <w:rsid w:val="0084681F"/>
    <w:rsid w:val="00847D08"/>
    <w:rsid w:val="00847EC0"/>
    <w:rsid w:val="00854506"/>
    <w:rsid w:val="00855772"/>
    <w:rsid w:val="00855FD6"/>
    <w:rsid w:val="00856DDD"/>
    <w:rsid w:val="00860233"/>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5B24"/>
    <w:rsid w:val="00897D58"/>
    <w:rsid w:val="00897F22"/>
    <w:rsid w:val="008A0B39"/>
    <w:rsid w:val="008A17A3"/>
    <w:rsid w:val="008A1956"/>
    <w:rsid w:val="008A1E85"/>
    <w:rsid w:val="008A2419"/>
    <w:rsid w:val="008A4937"/>
    <w:rsid w:val="008A50F1"/>
    <w:rsid w:val="008A59D9"/>
    <w:rsid w:val="008A643E"/>
    <w:rsid w:val="008A6819"/>
    <w:rsid w:val="008B007A"/>
    <w:rsid w:val="008B252F"/>
    <w:rsid w:val="008B2EC0"/>
    <w:rsid w:val="008B57EC"/>
    <w:rsid w:val="008B618B"/>
    <w:rsid w:val="008B6DCF"/>
    <w:rsid w:val="008C335A"/>
    <w:rsid w:val="008C4D49"/>
    <w:rsid w:val="008C55E1"/>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0B24"/>
    <w:rsid w:val="008F11F8"/>
    <w:rsid w:val="008F1434"/>
    <w:rsid w:val="008F2BB9"/>
    <w:rsid w:val="008F3D6A"/>
    <w:rsid w:val="008F4CCE"/>
    <w:rsid w:val="008F54C3"/>
    <w:rsid w:val="008F5B0F"/>
    <w:rsid w:val="008F7355"/>
    <w:rsid w:val="008F7E48"/>
    <w:rsid w:val="009023DC"/>
    <w:rsid w:val="009027C5"/>
    <w:rsid w:val="00904413"/>
    <w:rsid w:val="009067B7"/>
    <w:rsid w:val="00906E7A"/>
    <w:rsid w:val="00906E7F"/>
    <w:rsid w:val="0090775A"/>
    <w:rsid w:val="00907DFD"/>
    <w:rsid w:val="009138A8"/>
    <w:rsid w:val="00913C99"/>
    <w:rsid w:val="00917D69"/>
    <w:rsid w:val="00920B6D"/>
    <w:rsid w:val="00920C85"/>
    <w:rsid w:val="0092374D"/>
    <w:rsid w:val="00925F62"/>
    <w:rsid w:val="00926560"/>
    <w:rsid w:val="00926B15"/>
    <w:rsid w:val="00930291"/>
    <w:rsid w:val="00930937"/>
    <w:rsid w:val="009324A6"/>
    <w:rsid w:val="00933B7D"/>
    <w:rsid w:val="00933E6C"/>
    <w:rsid w:val="00935A6E"/>
    <w:rsid w:val="00937958"/>
    <w:rsid w:val="009406E5"/>
    <w:rsid w:val="00941602"/>
    <w:rsid w:val="00942160"/>
    <w:rsid w:val="0094448A"/>
    <w:rsid w:val="00946921"/>
    <w:rsid w:val="00947343"/>
    <w:rsid w:val="0095146F"/>
    <w:rsid w:val="00951F2D"/>
    <w:rsid w:val="00952839"/>
    <w:rsid w:val="009534C7"/>
    <w:rsid w:val="00956956"/>
    <w:rsid w:val="00957944"/>
    <w:rsid w:val="009602C5"/>
    <w:rsid w:val="0096103A"/>
    <w:rsid w:val="00962223"/>
    <w:rsid w:val="0096252B"/>
    <w:rsid w:val="009644D9"/>
    <w:rsid w:val="00964A9F"/>
    <w:rsid w:val="00966D0D"/>
    <w:rsid w:val="00967732"/>
    <w:rsid w:val="0096783C"/>
    <w:rsid w:val="00967ADD"/>
    <w:rsid w:val="00970023"/>
    <w:rsid w:val="009722B3"/>
    <w:rsid w:val="00972507"/>
    <w:rsid w:val="00973E24"/>
    <w:rsid w:val="00974C21"/>
    <w:rsid w:val="00974D5F"/>
    <w:rsid w:val="00975948"/>
    <w:rsid w:val="00976FC9"/>
    <w:rsid w:val="009772FD"/>
    <w:rsid w:val="00977BD4"/>
    <w:rsid w:val="00977BF3"/>
    <w:rsid w:val="009803E4"/>
    <w:rsid w:val="00980B0E"/>
    <w:rsid w:val="00982B39"/>
    <w:rsid w:val="009836A3"/>
    <w:rsid w:val="00984C58"/>
    <w:rsid w:val="009855A8"/>
    <w:rsid w:val="00985CBE"/>
    <w:rsid w:val="00985D1A"/>
    <w:rsid w:val="00990CF8"/>
    <w:rsid w:val="009913F4"/>
    <w:rsid w:val="00991782"/>
    <w:rsid w:val="009919DD"/>
    <w:rsid w:val="0099260E"/>
    <w:rsid w:val="009937F7"/>
    <w:rsid w:val="0099465B"/>
    <w:rsid w:val="009951A1"/>
    <w:rsid w:val="00996E7F"/>
    <w:rsid w:val="00997A44"/>
    <w:rsid w:val="009A0CDD"/>
    <w:rsid w:val="009A3168"/>
    <w:rsid w:val="009A4621"/>
    <w:rsid w:val="009A4BDF"/>
    <w:rsid w:val="009A5D04"/>
    <w:rsid w:val="009A61CA"/>
    <w:rsid w:val="009B03FB"/>
    <w:rsid w:val="009B0C64"/>
    <w:rsid w:val="009B0F67"/>
    <w:rsid w:val="009B208A"/>
    <w:rsid w:val="009B2756"/>
    <w:rsid w:val="009B3D56"/>
    <w:rsid w:val="009B3E28"/>
    <w:rsid w:val="009B3F8C"/>
    <w:rsid w:val="009B533B"/>
    <w:rsid w:val="009B546B"/>
    <w:rsid w:val="009C26AA"/>
    <w:rsid w:val="009C3162"/>
    <w:rsid w:val="009C703C"/>
    <w:rsid w:val="009D0C29"/>
    <w:rsid w:val="009D206E"/>
    <w:rsid w:val="009D3CAA"/>
    <w:rsid w:val="009D507A"/>
    <w:rsid w:val="009D6532"/>
    <w:rsid w:val="009D71FD"/>
    <w:rsid w:val="009E06F0"/>
    <w:rsid w:val="009E0755"/>
    <w:rsid w:val="009E10AD"/>
    <w:rsid w:val="009E2588"/>
    <w:rsid w:val="009E2E8E"/>
    <w:rsid w:val="009E40E1"/>
    <w:rsid w:val="009E65A5"/>
    <w:rsid w:val="009E6A2A"/>
    <w:rsid w:val="009E7E52"/>
    <w:rsid w:val="009F0C12"/>
    <w:rsid w:val="009F0EFA"/>
    <w:rsid w:val="009F107B"/>
    <w:rsid w:val="009F3E04"/>
    <w:rsid w:val="009F4E46"/>
    <w:rsid w:val="009F5B65"/>
    <w:rsid w:val="009F5F2E"/>
    <w:rsid w:val="009F6B63"/>
    <w:rsid w:val="00A01432"/>
    <w:rsid w:val="00A06225"/>
    <w:rsid w:val="00A066E6"/>
    <w:rsid w:val="00A110D1"/>
    <w:rsid w:val="00A12587"/>
    <w:rsid w:val="00A128E6"/>
    <w:rsid w:val="00A12A2F"/>
    <w:rsid w:val="00A144D3"/>
    <w:rsid w:val="00A17EA7"/>
    <w:rsid w:val="00A21D7D"/>
    <w:rsid w:val="00A22AC3"/>
    <w:rsid w:val="00A2351E"/>
    <w:rsid w:val="00A23F3F"/>
    <w:rsid w:val="00A24067"/>
    <w:rsid w:val="00A24A4B"/>
    <w:rsid w:val="00A2744D"/>
    <w:rsid w:val="00A30D16"/>
    <w:rsid w:val="00A33EB7"/>
    <w:rsid w:val="00A33EFC"/>
    <w:rsid w:val="00A34E6C"/>
    <w:rsid w:val="00A34FD0"/>
    <w:rsid w:val="00A36398"/>
    <w:rsid w:val="00A36518"/>
    <w:rsid w:val="00A37282"/>
    <w:rsid w:val="00A37C8D"/>
    <w:rsid w:val="00A4020E"/>
    <w:rsid w:val="00A40493"/>
    <w:rsid w:val="00A408E8"/>
    <w:rsid w:val="00A40FB5"/>
    <w:rsid w:val="00A42826"/>
    <w:rsid w:val="00A429B3"/>
    <w:rsid w:val="00A44EC1"/>
    <w:rsid w:val="00A46459"/>
    <w:rsid w:val="00A510E4"/>
    <w:rsid w:val="00A51323"/>
    <w:rsid w:val="00A51F8C"/>
    <w:rsid w:val="00A526F7"/>
    <w:rsid w:val="00A5273B"/>
    <w:rsid w:val="00A53A9D"/>
    <w:rsid w:val="00A53B8C"/>
    <w:rsid w:val="00A53CC7"/>
    <w:rsid w:val="00A55FEE"/>
    <w:rsid w:val="00A57422"/>
    <w:rsid w:val="00A62C1A"/>
    <w:rsid w:val="00A63CA2"/>
    <w:rsid w:val="00A6426D"/>
    <w:rsid w:val="00A6516D"/>
    <w:rsid w:val="00A665C1"/>
    <w:rsid w:val="00A673A4"/>
    <w:rsid w:val="00A7001A"/>
    <w:rsid w:val="00A70622"/>
    <w:rsid w:val="00A70977"/>
    <w:rsid w:val="00A70D58"/>
    <w:rsid w:val="00A744F9"/>
    <w:rsid w:val="00A753A1"/>
    <w:rsid w:val="00A76212"/>
    <w:rsid w:val="00A77009"/>
    <w:rsid w:val="00A77613"/>
    <w:rsid w:val="00A77B87"/>
    <w:rsid w:val="00A801AD"/>
    <w:rsid w:val="00A81851"/>
    <w:rsid w:val="00A823D6"/>
    <w:rsid w:val="00A8390C"/>
    <w:rsid w:val="00A86AE0"/>
    <w:rsid w:val="00A87357"/>
    <w:rsid w:val="00A91202"/>
    <w:rsid w:val="00A912B0"/>
    <w:rsid w:val="00A91362"/>
    <w:rsid w:val="00A9151C"/>
    <w:rsid w:val="00A919C6"/>
    <w:rsid w:val="00A928BD"/>
    <w:rsid w:val="00A948D8"/>
    <w:rsid w:val="00A97D6A"/>
    <w:rsid w:val="00A97DE9"/>
    <w:rsid w:val="00AA12CD"/>
    <w:rsid w:val="00AA4D1C"/>
    <w:rsid w:val="00AA52FD"/>
    <w:rsid w:val="00AA61F4"/>
    <w:rsid w:val="00AA7006"/>
    <w:rsid w:val="00AB3138"/>
    <w:rsid w:val="00AB4684"/>
    <w:rsid w:val="00AB5856"/>
    <w:rsid w:val="00AC081D"/>
    <w:rsid w:val="00AC0C6F"/>
    <w:rsid w:val="00AC1266"/>
    <w:rsid w:val="00AC193C"/>
    <w:rsid w:val="00AC1BAC"/>
    <w:rsid w:val="00AC2E21"/>
    <w:rsid w:val="00AC30C1"/>
    <w:rsid w:val="00AC4DE5"/>
    <w:rsid w:val="00AC5206"/>
    <w:rsid w:val="00AD095B"/>
    <w:rsid w:val="00AD3106"/>
    <w:rsid w:val="00AD4322"/>
    <w:rsid w:val="00AE11A5"/>
    <w:rsid w:val="00AE13E2"/>
    <w:rsid w:val="00AE22D3"/>
    <w:rsid w:val="00AE5A49"/>
    <w:rsid w:val="00AE6442"/>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4017"/>
    <w:rsid w:val="00B364DA"/>
    <w:rsid w:val="00B37A23"/>
    <w:rsid w:val="00B37CF8"/>
    <w:rsid w:val="00B42AF4"/>
    <w:rsid w:val="00B43E90"/>
    <w:rsid w:val="00B44308"/>
    <w:rsid w:val="00B45722"/>
    <w:rsid w:val="00B467DC"/>
    <w:rsid w:val="00B4793D"/>
    <w:rsid w:val="00B47A88"/>
    <w:rsid w:val="00B500EB"/>
    <w:rsid w:val="00B50AFB"/>
    <w:rsid w:val="00B52303"/>
    <w:rsid w:val="00B5392A"/>
    <w:rsid w:val="00B539EF"/>
    <w:rsid w:val="00B56118"/>
    <w:rsid w:val="00B566E1"/>
    <w:rsid w:val="00B56AF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12D6"/>
    <w:rsid w:val="00B84D5C"/>
    <w:rsid w:val="00B85AF6"/>
    <w:rsid w:val="00B901C6"/>
    <w:rsid w:val="00B92A01"/>
    <w:rsid w:val="00B93F6C"/>
    <w:rsid w:val="00B956ED"/>
    <w:rsid w:val="00BA2DA8"/>
    <w:rsid w:val="00BA347C"/>
    <w:rsid w:val="00BA4C79"/>
    <w:rsid w:val="00BB298A"/>
    <w:rsid w:val="00BB2F51"/>
    <w:rsid w:val="00BB3469"/>
    <w:rsid w:val="00BB5C49"/>
    <w:rsid w:val="00BB6240"/>
    <w:rsid w:val="00BB6285"/>
    <w:rsid w:val="00BB69F5"/>
    <w:rsid w:val="00BB6E48"/>
    <w:rsid w:val="00BB7A98"/>
    <w:rsid w:val="00BB7EC3"/>
    <w:rsid w:val="00BC01B1"/>
    <w:rsid w:val="00BC04B1"/>
    <w:rsid w:val="00BC470E"/>
    <w:rsid w:val="00BC4B9A"/>
    <w:rsid w:val="00BD02C3"/>
    <w:rsid w:val="00BD0DA5"/>
    <w:rsid w:val="00BD7483"/>
    <w:rsid w:val="00BD784C"/>
    <w:rsid w:val="00BD7A00"/>
    <w:rsid w:val="00BE020A"/>
    <w:rsid w:val="00BE13D2"/>
    <w:rsid w:val="00BE13DF"/>
    <w:rsid w:val="00BE16EB"/>
    <w:rsid w:val="00BE1EF0"/>
    <w:rsid w:val="00BE25D7"/>
    <w:rsid w:val="00BE7CFD"/>
    <w:rsid w:val="00BF092C"/>
    <w:rsid w:val="00BF0CF9"/>
    <w:rsid w:val="00BF27A0"/>
    <w:rsid w:val="00BF40B7"/>
    <w:rsid w:val="00BF4CB6"/>
    <w:rsid w:val="00BF51E1"/>
    <w:rsid w:val="00BF5D23"/>
    <w:rsid w:val="00BF6CBD"/>
    <w:rsid w:val="00C00DA7"/>
    <w:rsid w:val="00C02413"/>
    <w:rsid w:val="00C034FB"/>
    <w:rsid w:val="00C04CDE"/>
    <w:rsid w:val="00C059D5"/>
    <w:rsid w:val="00C05B93"/>
    <w:rsid w:val="00C05DBE"/>
    <w:rsid w:val="00C068A6"/>
    <w:rsid w:val="00C12768"/>
    <w:rsid w:val="00C12D70"/>
    <w:rsid w:val="00C1451C"/>
    <w:rsid w:val="00C16724"/>
    <w:rsid w:val="00C20DE2"/>
    <w:rsid w:val="00C21B09"/>
    <w:rsid w:val="00C25E2F"/>
    <w:rsid w:val="00C25EFF"/>
    <w:rsid w:val="00C2673A"/>
    <w:rsid w:val="00C278CD"/>
    <w:rsid w:val="00C27B58"/>
    <w:rsid w:val="00C27C1C"/>
    <w:rsid w:val="00C3166C"/>
    <w:rsid w:val="00C33186"/>
    <w:rsid w:val="00C35996"/>
    <w:rsid w:val="00C37CF0"/>
    <w:rsid w:val="00C421C5"/>
    <w:rsid w:val="00C42BCD"/>
    <w:rsid w:val="00C4485F"/>
    <w:rsid w:val="00C46C13"/>
    <w:rsid w:val="00C4747E"/>
    <w:rsid w:val="00C5151E"/>
    <w:rsid w:val="00C52256"/>
    <w:rsid w:val="00C5251B"/>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2E97"/>
    <w:rsid w:val="00C87B80"/>
    <w:rsid w:val="00C90330"/>
    <w:rsid w:val="00C91449"/>
    <w:rsid w:val="00C91FD0"/>
    <w:rsid w:val="00C92D10"/>
    <w:rsid w:val="00C92F79"/>
    <w:rsid w:val="00C95200"/>
    <w:rsid w:val="00C953AE"/>
    <w:rsid w:val="00C96EC0"/>
    <w:rsid w:val="00CA06F9"/>
    <w:rsid w:val="00CA14BB"/>
    <w:rsid w:val="00CA189D"/>
    <w:rsid w:val="00CA230C"/>
    <w:rsid w:val="00CA48D9"/>
    <w:rsid w:val="00CA6073"/>
    <w:rsid w:val="00CB1193"/>
    <w:rsid w:val="00CB4767"/>
    <w:rsid w:val="00CB493D"/>
    <w:rsid w:val="00CB5498"/>
    <w:rsid w:val="00CC3B97"/>
    <w:rsid w:val="00CD6257"/>
    <w:rsid w:val="00CD6340"/>
    <w:rsid w:val="00CD6346"/>
    <w:rsid w:val="00CD7C0B"/>
    <w:rsid w:val="00CE10C4"/>
    <w:rsid w:val="00CE2343"/>
    <w:rsid w:val="00CE27B5"/>
    <w:rsid w:val="00CE2BDF"/>
    <w:rsid w:val="00CE55FA"/>
    <w:rsid w:val="00CE6D24"/>
    <w:rsid w:val="00CE6DAF"/>
    <w:rsid w:val="00CF219C"/>
    <w:rsid w:val="00CF410A"/>
    <w:rsid w:val="00CF7528"/>
    <w:rsid w:val="00CF7FDE"/>
    <w:rsid w:val="00D009D7"/>
    <w:rsid w:val="00D012AF"/>
    <w:rsid w:val="00D0321E"/>
    <w:rsid w:val="00D05457"/>
    <w:rsid w:val="00D069EB"/>
    <w:rsid w:val="00D06AD5"/>
    <w:rsid w:val="00D07A8A"/>
    <w:rsid w:val="00D10D92"/>
    <w:rsid w:val="00D10E31"/>
    <w:rsid w:val="00D11199"/>
    <w:rsid w:val="00D11979"/>
    <w:rsid w:val="00D1455A"/>
    <w:rsid w:val="00D14573"/>
    <w:rsid w:val="00D14A70"/>
    <w:rsid w:val="00D207EA"/>
    <w:rsid w:val="00D22093"/>
    <w:rsid w:val="00D27098"/>
    <w:rsid w:val="00D31150"/>
    <w:rsid w:val="00D3138B"/>
    <w:rsid w:val="00D31FCE"/>
    <w:rsid w:val="00D3280C"/>
    <w:rsid w:val="00D3406A"/>
    <w:rsid w:val="00D34D24"/>
    <w:rsid w:val="00D40B11"/>
    <w:rsid w:val="00D42864"/>
    <w:rsid w:val="00D429EC"/>
    <w:rsid w:val="00D441F1"/>
    <w:rsid w:val="00D4572C"/>
    <w:rsid w:val="00D469B2"/>
    <w:rsid w:val="00D52B24"/>
    <w:rsid w:val="00D52ECF"/>
    <w:rsid w:val="00D54B09"/>
    <w:rsid w:val="00D6243E"/>
    <w:rsid w:val="00D64278"/>
    <w:rsid w:val="00D653AE"/>
    <w:rsid w:val="00D65658"/>
    <w:rsid w:val="00D67EB2"/>
    <w:rsid w:val="00D70349"/>
    <w:rsid w:val="00D72B6F"/>
    <w:rsid w:val="00D741EB"/>
    <w:rsid w:val="00D74CEA"/>
    <w:rsid w:val="00D7679C"/>
    <w:rsid w:val="00D820F3"/>
    <w:rsid w:val="00D83605"/>
    <w:rsid w:val="00D84934"/>
    <w:rsid w:val="00D85975"/>
    <w:rsid w:val="00D866EB"/>
    <w:rsid w:val="00D87D1A"/>
    <w:rsid w:val="00D906DA"/>
    <w:rsid w:val="00D91271"/>
    <w:rsid w:val="00D919F5"/>
    <w:rsid w:val="00D945F6"/>
    <w:rsid w:val="00D94AAD"/>
    <w:rsid w:val="00D94F03"/>
    <w:rsid w:val="00D95161"/>
    <w:rsid w:val="00D95C23"/>
    <w:rsid w:val="00DA0A82"/>
    <w:rsid w:val="00DA0D14"/>
    <w:rsid w:val="00DA1FC9"/>
    <w:rsid w:val="00DA2CB5"/>
    <w:rsid w:val="00DA358F"/>
    <w:rsid w:val="00DA383E"/>
    <w:rsid w:val="00DA4A3B"/>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C7D4D"/>
    <w:rsid w:val="00DD0BE9"/>
    <w:rsid w:val="00DD26F9"/>
    <w:rsid w:val="00DD350E"/>
    <w:rsid w:val="00DD42AB"/>
    <w:rsid w:val="00DE06AF"/>
    <w:rsid w:val="00DE0A0B"/>
    <w:rsid w:val="00DE2897"/>
    <w:rsid w:val="00DE29D5"/>
    <w:rsid w:val="00DE6D00"/>
    <w:rsid w:val="00DE6D27"/>
    <w:rsid w:val="00DE76EA"/>
    <w:rsid w:val="00DF01F8"/>
    <w:rsid w:val="00DF021D"/>
    <w:rsid w:val="00DF14EE"/>
    <w:rsid w:val="00DF217D"/>
    <w:rsid w:val="00DF26A7"/>
    <w:rsid w:val="00DF3277"/>
    <w:rsid w:val="00DF63CC"/>
    <w:rsid w:val="00DF69ED"/>
    <w:rsid w:val="00DF6A31"/>
    <w:rsid w:val="00DF77A1"/>
    <w:rsid w:val="00DF7919"/>
    <w:rsid w:val="00E01665"/>
    <w:rsid w:val="00E0207E"/>
    <w:rsid w:val="00E02AE6"/>
    <w:rsid w:val="00E03912"/>
    <w:rsid w:val="00E04748"/>
    <w:rsid w:val="00E060AF"/>
    <w:rsid w:val="00E078D9"/>
    <w:rsid w:val="00E10293"/>
    <w:rsid w:val="00E103A0"/>
    <w:rsid w:val="00E1043F"/>
    <w:rsid w:val="00E11F44"/>
    <w:rsid w:val="00E13E60"/>
    <w:rsid w:val="00E15627"/>
    <w:rsid w:val="00E164B3"/>
    <w:rsid w:val="00E16910"/>
    <w:rsid w:val="00E177C3"/>
    <w:rsid w:val="00E21164"/>
    <w:rsid w:val="00E2183E"/>
    <w:rsid w:val="00E21F07"/>
    <w:rsid w:val="00E22849"/>
    <w:rsid w:val="00E239E2"/>
    <w:rsid w:val="00E24E09"/>
    <w:rsid w:val="00E27234"/>
    <w:rsid w:val="00E31DEF"/>
    <w:rsid w:val="00E3495C"/>
    <w:rsid w:val="00E36A5E"/>
    <w:rsid w:val="00E41E39"/>
    <w:rsid w:val="00E42BDB"/>
    <w:rsid w:val="00E461F3"/>
    <w:rsid w:val="00E50E6B"/>
    <w:rsid w:val="00E5194D"/>
    <w:rsid w:val="00E524A9"/>
    <w:rsid w:val="00E53F1A"/>
    <w:rsid w:val="00E5726D"/>
    <w:rsid w:val="00E57EEB"/>
    <w:rsid w:val="00E61502"/>
    <w:rsid w:val="00E621DC"/>
    <w:rsid w:val="00E62D94"/>
    <w:rsid w:val="00E62ECC"/>
    <w:rsid w:val="00E64F37"/>
    <w:rsid w:val="00E65091"/>
    <w:rsid w:val="00E65393"/>
    <w:rsid w:val="00E65E54"/>
    <w:rsid w:val="00E661C7"/>
    <w:rsid w:val="00E66679"/>
    <w:rsid w:val="00E732C4"/>
    <w:rsid w:val="00E74E41"/>
    <w:rsid w:val="00E75C6E"/>
    <w:rsid w:val="00E80155"/>
    <w:rsid w:val="00E8134B"/>
    <w:rsid w:val="00E81E0D"/>
    <w:rsid w:val="00E81F28"/>
    <w:rsid w:val="00E848C0"/>
    <w:rsid w:val="00E84BB8"/>
    <w:rsid w:val="00E84DDC"/>
    <w:rsid w:val="00E86F92"/>
    <w:rsid w:val="00E91B96"/>
    <w:rsid w:val="00E92F2E"/>
    <w:rsid w:val="00E935DA"/>
    <w:rsid w:val="00E93D1E"/>
    <w:rsid w:val="00E94158"/>
    <w:rsid w:val="00E941A1"/>
    <w:rsid w:val="00E95CE3"/>
    <w:rsid w:val="00E95F9A"/>
    <w:rsid w:val="00EA0856"/>
    <w:rsid w:val="00EA1DC4"/>
    <w:rsid w:val="00EA252F"/>
    <w:rsid w:val="00EA2825"/>
    <w:rsid w:val="00EA2C80"/>
    <w:rsid w:val="00EA5027"/>
    <w:rsid w:val="00EA5F74"/>
    <w:rsid w:val="00EA64C2"/>
    <w:rsid w:val="00EA6518"/>
    <w:rsid w:val="00EA71A2"/>
    <w:rsid w:val="00EA7466"/>
    <w:rsid w:val="00EA7EDE"/>
    <w:rsid w:val="00EB0B63"/>
    <w:rsid w:val="00EB1936"/>
    <w:rsid w:val="00EB2243"/>
    <w:rsid w:val="00EB3545"/>
    <w:rsid w:val="00EB37BE"/>
    <w:rsid w:val="00EB4BAE"/>
    <w:rsid w:val="00EB5088"/>
    <w:rsid w:val="00EB7210"/>
    <w:rsid w:val="00EC2726"/>
    <w:rsid w:val="00EC681C"/>
    <w:rsid w:val="00EC71CA"/>
    <w:rsid w:val="00EC7B87"/>
    <w:rsid w:val="00ED1644"/>
    <w:rsid w:val="00ED2593"/>
    <w:rsid w:val="00ED3480"/>
    <w:rsid w:val="00ED3709"/>
    <w:rsid w:val="00ED7D55"/>
    <w:rsid w:val="00ED7D9C"/>
    <w:rsid w:val="00EE00A7"/>
    <w:rsid w:val="00EE2F77"/>
    <w:rsid w:val="00EE3158"/>
    <w:rsid w:val="00EE31A2"/>
    <w:rsid w:val="00EE4329"/>
    <w:rsid w:val="00EE6203"/>
    <w:rsid w:val="00EE7B4A"/>
    <w:rsid w:val="00EE7B59"/>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13F8"/>
    <w:rsid w:val="00F12C74"/>
    <w:rsid w:val="00F13214"/>
    <w:rsid w:val="00F1559A"/>
    <w:rsid w:val="00F17ED6"/>
    <w:rsid w:val="00F20676"/>
    <w:rsid w:val="00F209E2"/>
    <w:rsid w:val="00F2398F"/>
    <w:rsid w:val="00F25578"/>
    <w:rsid w:val="00F258E5"/>
    <w:rsid w:val="00F25B9C"/>
    <w:rsid w:val="00F2675A"/>
    <w:rsid w:val="00F26B2B"/>
    <w:rsid w:val="00F26CC6"/>
    <w:rsid w:val="00F300BC"/>
    <w:rsid w:val="00F305FA"/>
    <w:rsid w:val="00F31088"/>
    <w:rsid w:val="00F3263C"/>
    <w:rsid w:val="00F3334E"/>
    <w:rsid w:val="00F3573A"/>
    <w:rsid w:val="00F36CCB"/>
    <w:rsid w:val="00F374E5"/>
    <w:rsid w:val="00F378E1"/>
    <w:rsid w:val="00F37B93"/>
    <w:rsid w:val="00F37BAD"/>
    <w:rsid w:val="00F37ECA"/>
    <w:rsid w:val="00F40A1C"/>
    <w:rsid w:val="00F43AF2"/>
    <w:rsid w:val="00F45216"/>
    <w:rsid w:val="00F45BF9"/>
    <w:rsid w:val="00F5007E"/>
    <w:rsid w:val="00F50295"/>
    <w:rsid w:val="00F508F6"/>
    <w:rsid w:val="00F50EC4"/>
    <w:rsid w:val="00F52232"/>
    <w:rsid w:val="00F527B1"/>
    <w:rsid w:val="00F52DC2"/>
    <w:rsid w:val="00F54AF9"/>
    <w:rsid w:val="00F550CF"/>
    <w:rsid w:val="00F553D2"/>
    <w:rsid w:val="00F554D5"/>
    <w:rsid w:val="00F56A2D"/>
    <w:rsid w:val="00F56CE5"/>
    <w:rsid w:val="00F57A6D"/>
    <w:rsid w:val="00F6044B"/>
    <w:rsid w:val="00F60945"/>
    <w:rsid w:val="00F62F19"/>
    <w:rsid w:val="00F638CC"/>
    <w:rsid w:val="00F64C9E"/>
    <w:rsid w:val="00F64CC1"/>
    <w:rsid w:val="00F7034C"/>
    <w:rsid w:val="00F708B1"/>
    <w:rsid w:val="00F72317"/>
    <w:rsid w:val="00F73DC1"/>
    <w:rsid w:val="00F75BB8"/>
    <w:rsid w:val="00F77714"/>
    <w:rsid w:val="00F80475"/>
    <w:rsid w:val="00F80E6E"/>
    <w:rsid w:val="00F81390"/>
    <w:rsid w:val="00F81F7A"/>
    <w:rsid w:val="00F8247A"/>
    <w:rsid w:val="00F82E5C"/>
    <w:rsid w:val="00F83D45"/>
    <w:rsid w:val="00F83E86"/>
    <w:rsid w:val="00F83F58"/>
    <w:rsid w:val="00F85206"/>
    <w:rsid w:val="00F87C7A"/>
    <w:rsid w:val="00F87CEA"/>
    <w:rsid w:val="00F9265D"/>
    <w:rsid w:val="00F9629A"/>
    <w:rsid w:val="00F97EFC"/>
    <w:rsid w:val="00FA0B04"/>
    <w:rsid w:val="00FA0C7C"/>
    <w:rsid w:val="00FA14B6"/>
    <w:rsid w:val="00FA1BDD"/>
    <w:rsid w:val="00FA305C"/>
    <w:rsid w:val="00FA4041"/>
    <w:rsid w:val="00FA462E"/>
    <w:rsid w:val="00FA4DD5"/>
    <w:rsid w:val="00FA5883"/>
    <w:rsid w:val="00FA6055"/>
    <w:rsid w:val="00FB0B39"/>
    <w:rsid w:val="00FB322F"/>
    <w:rsid w:val="00FB442F"/>
    <w:rsid w:val="00FC118C"/>
    <w:rsid w:val="00FC1929"/>
    <w:rsid w:val="00FC5B46"/>
    <w:rsid w:val="00FD1D4F"/>
    <w:rsid w:val="00FD24BF"/>
    <w:rsid w:val="00FD3B6E"/>
    <w:rsid w:val="00FD4140"/>
    <w:rsid w:val="00FD49FC"/>
    <w:rsid w:val="00FD5408"/>
    <w:rsid w:val="00FD57EB"/>
    <w:rsid w:val="00FD6D8E"/>
    <w:rsid w:val="00FE053B"/>
    <w:rsid w:val="00FE0663"/>
    <w:rsid w:val="00FE0E94"/>
    <w:rsid w:val="00FE369C"/>
    <w:rsid w:val="00FE3CD9"/>
    <w:rsid w:val="00FF00BD"/>
    <w:rsid w:val="00FF067C"/>
    <w:rsid w:val="00FF0B13"/>
    <w:rsid w:val="00FF10B7"/>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NormalWeb">
    <w:name w:val="Normal (Web)"/>
    <w:basedOn w:val="Normal"/>
    <w:uiPriority w:val="99"/>
    <w:semiHidden/>
    <w:unhideWhenUsed/>
    <w:rsid w:val="003E51C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BE7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9046434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2259145">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028D-5D39-4A29-A275-8891938D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2023-07-07T05:40:00Z</dcterms:created>
  <dcterms:modified xsi:type="dcterms:W3CDTF">2023-07-07T05:40:00Z</dcterms:modified>
</cp:coreProperties>
</file>