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902D" w14:textId="0AB3EED0" w:rsidR="00B059F3" w:rsidRPr="00C576A1" w:rsidRDefault="00B059F3" w:rsidP="00C576A1">
      <w:pPr>
        <w:spacing w:after="120"/>
        <w:rPr>
          <w:rFonts w:eastAsia="Calibri" w:cstheme="minorHAnsi"/>
          <w:color w:val="FF0000"/>
          <w:lang w:eastAsia="en-US"/>
        </w:rPr>
      </w:pPr>
      <w:bookmarkStart w:id="0" w:name="_Toc124257823"/>
      <w:r w:rsidRPr="00C576A1">
        <w:rPr>
          <w:rFonts w:eastAsia="Calibri" w:cstheme="minorHAnsi"/>
          <w:color w:val="FF0000"/>
          <w:lang w:eastAsia="en-US"/>
        </w:rPr>
        <w:t xml:space="preserve">An addendum </w:t>
      </w:r>
      <w:r w:rsidR="00273A02" w:rsidRPr="00C576A1">
        <w:rPr>
          <w:rFonts w:eastAsia="Calibri" w:cstheme="minorHAnsi"/>
          <w:color w:val="FF0000"/>
          <w:lang w:eastAsia="en-US"/>
        </w:rPr>
        <w:t xml:space="preserve">to this </w:t>
      </w:r>
      <w:r w:rsidRPr="00C576A1">
        <w:rPr>
          <w:rFonts w:eastAsia="Calibri" w:cstheme="minorHAnsi"/>
          <w:color w:val="FF0000"/>
          <w:lang w:eastAsia="en-US"/>
        </w:rPr>
        <w:t>Public Summary Document</w:t>
      </w:r>
      <w:r w:rsidR="00273A02" w:rsidRPr="00C576A1">
        <w:rPr>
          <w:rFonts w:eastAsia="Calibri" w:cstheme="minorHAnsi"/>
          <w:color w:val="FF0000"/>
          <w:lang w:eastAsia="en-US"/>
        </w:rPr>
        <w:t xml:space="preserve"> (PSD)</w:t>
      </w:r>
      <w:r w:rsidRPr="00C576A1">
        <w:rPr>
          <w:rFonts w:eastAsia="Calibri" w:cstheme="minorHAnsi"/>
          <w:color w:val="FF0000"/>
          <w:lang w:eastAsia="en-US"/>
        </w:rPr>
        <w:t xml:space="preserve"> </w:t>
      </w:r>
      <w:r w:rsidR="00273A02" w:rsidRPr="00C576A1">
        <w:rPr>
          <w:rFonts w:eastAsia="Calibri" w:cstheme="minorHAnsi"/>
          <w:color w:val="FF0000"/>
          <w:lang w:eastAsia="en-US"/>
        </w:rPr>
        <w:t>has been included at the end of the</w:t>
      </w:r>
      <w:r w:rsidR="00C576A1" w:rsidRPr="00C576A1">
        <w:rPr>
          <w:rFonts w:eastAsia="Calibri" w:cstheme="minorHAnsi"/>
          <w:color w:val="FF0000"/>
          <w:lang w:eastAsia="en-US"/>
        </w:rPr>
        <w:t xml:space="preserve"> </w:t>
      </w:r>
      <w:r w:rsidR="00273A02" w:rsidRPr="00C576A1">
        <w:rPr>
          <w:rFonts w:eastAsia="Calibri" w:cstheme="minorHAnsi"/>
          <w:color w:val="FF0000"/>
          <w:lang w:eastAsia="en-US"/>
        </w:rPr>
        <w:t>document</w:t>
      </w:r>
      <w:r w:rsidRPr="00C576A1">
        <w:rPr>
          <w:rFonts w:eastAsia="Calibri" w:cstheme="minorHAnsi"/>
          <w:color w:val="FF0000"/>
          <w:lang w:eastAsia="en-US"/>
        </w:rPr>
        <w:t xml:space="preserve">. </w:t>
      </w:r>
    </w:p>
    <w:p w14:paraId="52D6140E" w14:textId="0ADE0F2A" w:rsidR="00C576A1" w:rsidRDefault="00C576A1" w:rsidP="00C576A1">
      <w:pPr>
        <w:spacing w:after="120"/>
      </w:pPr>
      <w:r w:rsidRPr="00050473">
        <w:rPr>
          <w:rFonts w:eastAsia="Calibri" w:cstheme="minorHAnsi"/>
          <w:color w:val="FF0000"/>
          <w:lang w:eastAsia="en-US"/>
        </w:rPr>
        <w:t>Changes have been made to this item. Details of the corrigendum are at the end of this document</w:t>
      </w:r>
      <w:r>
        <w:rPr>
          <w:rFonts w:eastAsia="Calibri" w:cstheme="minorHAnsi"/>
          <w:color w:val="FF0000"/>
          <w:lang w:eastAsia="en-US"/>
        </w:rPr>
        <w:t>.</w:t>
      </w:r>
    </w:p>
    <w:p w14:paraId="51C6701A" w14:textId="11DA4784" w:rsidR="00B60939" w:rsidRPr="004A6040" w:rsidRDefault="00E2535F" w:rsidP="004A6040">
      <w:pPr>
        <w:pStyle w:val="1-MainHeading"/>
      </w:pPr>
      <w:r>
        <w:t>5.01</w:t>
      </w:r>
      <w:r w:rsidR="00163F66">
        <w:tab/>
      </w:r>
      <w:r w:rsidR="008D24C7" w:rsidRPr="008D24C7">
        <w:t>TEBENTAFUSP</w:t>
      </w:r>
      <w:r w:rsidR="00163F66">
        <w:t>,</w:t>
      </w:r>
      <w:r w:rsidR="00163F66">
        <w:br/>
      </w:r>
      <w:r w:rsidR="008D24C7" w:rsidRPr="008D24C7">
        <w:t>Solution concentrate for I.V. infusion</w:t>
      </w:r>
      <w:r w:rsidR="004B6F73">
        <w:t xml:space="preserve"> </w:t>
      </w:r>
      <w:r w:rsidR="008D24C7" w:rsidRPr="008D24C7">
        <w:t>100 mcg in 0.5mL vial</w:t>
      </w:r>
      <w:r w:rsidR="00163F66">
        <w:t>,</w:t>
      </w:r>
      <w:r w:rsidR="00163F66">
        <w:br/>
      </w:r>
      <w:r w:rsidR="008D24C7" w:rsidRPr="008D24C7">
        <w:t>Kimmtrak</w:t>
      </w:r>
      <w:r w:rsidR="00B60939" w:rsidRPr="004A6040">
        <w:rPr>
          <w:vertAlign w:val="superscript"/>
        </w:rPr>
        <w:t>®</w:t>
      </w:r>
      <w:r w:rsidR="004A6040" w:rsidRPr="004A6040">
        <w:t>,</w:t>
      </w:r>
      <w:r w:rsidR="004A6040" w:rsidRPr="004A6040">
        <w:br/>
      </w:r>
      <w:r w:rsidR="008D24C7" w:rsidRPr="00732424">
        <w:t>Synevi Pty Limited</w:t>
      </w:r>
      <w:r w:rsidR="00B60939" w:rsidRPr="004A6040">
        <w:t>.</w:t>
      </w:r>
      <w:bookmarkEnd w:id="0"/>
      <w:r w:rsidR="00F73E08">
        <w:t xml:space="preserve"> </w:t>
      </w:r>
    </w:p>
    <w:p w14:paraId="0CFA7EAC" w14:textId="77777777" w:rsidR="00137915" w:rsidRPr="00407F2D" w:rsidRDefault="00137915" w:rsidP="00137915">
      <w:pPr>
        <w:pStyle w:val="2-SectionHeading"/>
      </w:pPr>
      <w:bookmarkStart w:id="1" w:name="_Toc121469878"/>
      <w:bookmarkStart w:id="2" w:name="_Toc124257825"/>
      <w:r w:rsidRPr="00407F2D">
        <w:t xml:space="preserve">Purpose of </w:t>
      </w:r>
      <w:r>
        <w:t>submission</w:t>
      </w:r>
      <w:bookmarkEnd w:id="1"/>
      <w:bookmarkEnd w:id="2"/>
    </w:p>
    <w:p w14:paraId="00DA3E2B" w14:textId="77777777" w:rsidR="00137915" w:rsidRPr="00620982" w:rsidRDefault="00137915" w:rsidP="00137915">
      <w:pPr>
        <w:pStyle w:val="3-BodyText"/>
      </w:pPr>
      <w:r w:rsidRPr="00620982">
        <w:t>The Category 1 submission requested Section 100 (Efficient Funding of Chemotherapy), Authority Required (telephone/online) listing for tebentafusp for the treatment of HLA-A*02:01-positive adult patients with advanced (unresectable or metastatic) uveal melanoma (UM).</w:t>
      </w:r>
    </w:p>
    <w:p w14:paraId="4F8F9524" w14:textId="77777777" w:rsidR="00137915" w:rsidRPr="00620982" w:rsidRDefault="00137915" w:rsidP="00137915">
      <w:pPr>
        <w:pStyle w:val="3-BodyText"/>
      </w:pPr>
      <w:r w:rsidRPr="00620982">
        <w:t xml:space="preserve">Listing was requested on the basis of a cost-utility analysis versus pembrolizumab. </w:t>
      </w:r>
    </w:p>
    <w:p w14:paraId="525975A6" w14:textId="33F7D6BC" w:rsidR="00137915" w:rsidRPr="000A0CD2" w:rsidRDefault="00137915" w:rsidP="00137915">
      <w:pPr>
        <w:pStyle w:val="TableFigureHeading"/>
      </w:pPr>
      <w:r>
        <w:t xml:space="preserve">Table </w:t>
      </w:r>
      <w:fldSimple w:instr=" SEQ Table \* ARABIC " w:fldLock="1">
        <w:r w:rsidR="00A53FF4">
          <w:rPr>
            <w:noProof/>
          </w:rPr>
          <w:t>1</w:t>
        </w:r>
      </w:fldSimple>
      <w:r>
        <w:t>:</w:t>
      </w:r>
      <w:r w:rsidRPr="000A0CD2">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137915" w:rsidRPr="00691913" w14:paraId="7C14D743" w14:textId="77777777" w:rsidTr="00A704EE">
        <w:trPr>
          <w:cantSplit/>
          <w:tblHeader/>
        </w:trPr>
        <w:tc>
          <w:tcPr>
            <w:tcW w:w="924" w:type="pct"/>
            <w:shd w:val="clear" w:color="auto" w:fill="auto"/>
          </w:tcPr>
          <w:p w14:paraId="4D033201" w14:textId="77777777" w:rsidR="00137915" w:rsidRPr="008B1757" w:rsidRDefault="00137915" w:rsidP="00A704EE">
            <w:pPr>
              <w:pStyle w:val="In-tableHeading"/>
              <w:rPr>
                <w:szCs w:val="20"/>
              </w:rPr>
            </w:pPr>
            <w:r w:rsidRPr="008B1757">
              <w:t>Component</w:t>
            </w:r>
          </w:p>
        </w:tc>
        <w:tc>
          <w:tcPr>
            <w:tcW w:w="4076" w:type="pct"/>
            <w:shd w:val="clear" w:color="auto" w:fill="auto"/>
          </w:tcPr>
          <w:p w14:paraId="0EA21BE5" w14:textId="77777777" w:rsidR="00137915" w:rsidRPr="008B1757" w:rsidRDefault="00137915" w:rsidP="00A704EE">
            <w:pPr>
              <w:pStyle w:val="In-tableHeading"/>
            </w:pPr>
            <w:r w:rsidRPr="008B1757">
              <w:t>Description</w:t>
            </w:r>
          </w:p>
        </w:tc>
      </w:tr>
      <w:tr w:rsidR="00137915" w:rsidRPr="00691913" w14:paraId="2038BF6B" w14:textId="77777777" w:rsidTr="00A704EE">
        <w:trPr>
          <w:cantSplit/>
        </w:trPr>
        <w:tc>
          <w:tcPr>
            <w:tcW w:w="924" w:type="pct"/>
            <w:shd w:val="clear" w:color="auto" w:fill="auto"/>
          </w:tcPr>
          <w:p w14:paraId="46931296" w14:textId="77777777" w:rsidR="00137915" w:rsidRPr="00691913" w:rsidRDefault="00137915" w:rsidP="00A704EE">
            <w:pPr>
              <w:pStyle w:val="TableText0"/>
            </w:pPr>
            <w:r w:rsidRPr="00691913">
              <w:t>Population</w:t>
            </w:r>
          </w:p>
        </w:tc>
        <w:tc>
          <w:tcPr>
            <w:tcW w:w="4076" w:type="pct"/>
            <w:shd w:val="clear" w:color="auto" w:fill="auto"/>
          </w:tcPr>
          <w:p w14:paraId="133CD80A" w14:textId="77777777" w:rsidR="00137915" w:rsidRPr="001E1E86" w:rsidRDefault="00137915" w:rsidP="00A704EE">
            <w:pPr>
              <w:pStyle w:val="TableText0"/>
              <w:rPr>
                <w:szCs w:val="20"/>
              </w:rPr>
            </w:pPr>
            <w:r>
              <w:t>Adults with advanced (unresectable or metastatic) HLA-A*02:01 positive uveal melanoma</w:t>
            </w:r>
          </w:p>
        </w:tc>
      </w:tr>
      <w:tr w:rsidR="00137915" w:rsidRPr="00691913" w14:paraId="12D35A1A" w14:textId="77777777" w:rsidTr="00A704EE">
        <w:trPr>
          <w:cantSplit/>
        </w:trPr>
        <w:tc>
          <w:tcPr>
            <w:tcW w:w="924" w:type="pct"/>
            <w:shd w:val="clear" w:color="auto" w:fill="auto"/>
          </w:tcPr>
          <w:p w14:paraId="3C141FCC" w14:textId="77777777" w:rsidR="00137915" w:rsidRPr="00691913" w:rsidRDefault="00137915" w:rsidP="00A704EE">
            <w:pPr>
              <w:pStyle w:val="TableText0"/>
            </w:pPr>
            <w:r w:rsidRPr="00691913">
              <w:t>Intervention</w:t>
            </w:r>
          </w:p>
        </w:tc>
        <w:tc>
          <w:tcPr>
            <w:tcW w:w="4076" w:type="pct"/>
            <w:shd w:val="clear" w:color="auto" w:fill="auto"/>
            <w:vAlign w:val="center"/>
          </w:tcPr>
          <w:p w14:paraId="6B14AA3A" w14:textId="77777777" w:rsidR="00137915" w:rsidRPr="00691913" w:rsidRDefault="00137915" w:rsidP="00A704EE">
            <w:pPr>
              <w:pStyle w:val="TableText0"/>
            </w:pPr>
            <w:r>
              <w:t>Tebentafusp IV 20 mcg on day 1, 30 mcg on day 8, 68 mcg on day 15, and 68 mcg once every week thereafter.</w:t>
            </w:r>
          </w:p>
        </w:tc>
      </w:tr>
      <w:tr w:rsidR="00137915" w:rsidRPr="00691913" w14:paraId="4B2C51BA" w14:textId="77777777" w:rsidTr="00A704EE">
        <w:trPr>
          <w:cantSplit/>
        </w:trPr>
        <w:tc>
          <w:tcPr>
            <w:tcW w:w="924" w:type="pct"/>
            <w:shd w:val="clear" w:color="auto" w:fill="auto"/>
          </w:tcPr>
          <w:p w14:paraId="513441A1" w14:textId="77777777" w:rsidR="00137915" w:rsidRPr="00691913" w:rsidRDefault="00137915" w:rsidP="00A704EE">
            <w:pPr>
              <w:pStyle w:val="TableText0"/>
            </w:pPr>
            <w:r w:rsidRPr="00691913">
              <w:t>Comparator</w:t>
            </w:r>
          </w:p>
        </w:tc>
        <w:tc>
          <w:tcPr>
            <w:tcW w:w="4076" w:type="pct"/>
            <w:shd w:val="clear" w:color="auto" w:fill="auto"/>
            <w:vAlign w:val="center"/>
          </w:tcPr>
          <w:p w14:paraId="5CC6A171" w14:textId="77777777" w:rsidR="00137915" w:rsidRPr="00691913" w:rsidRDefault="00137915" w:rsidP="00A704EE">
            <w:pPr>
              <w:pStyle w:val="TableText0"/>
            </w:pPr>
            <w:r>
              <w:t>Pembrolizumab 200 mg IV fixed dose given on day 1 of each 21</w:t>
            </w:r>
            <w:r>
              <w:noBreakHyphen/>
              <w:t>day cycle or 2 mg/kg up to a maximum of 200 mg.</w:t>
            </w:r>
          </w:p>
        </w:tc>
      </w:tr>
      <w:tr w:rsidR="00137915" w:rsidRPr="00691913" w14:paraId="38AA392B" w14:textId="77777777" w:rsidTr="00A704EE">
        <w:trPr>
          <w:cantSplit/>
        </w:trPr>
        <w:tc>
          <w:tcPr>
            <w:tcW w:w="924" w:type="pct"/>
            <w:shd w:val="clear" w:color="auto" w:fill="auto"/>
          </w:tcPr>
          <w:p w14:paraId="7E483910" w14:textId="77777777" w:rsidR="00137915" w:rsidRPr="00691913" w:rsidRDefault="00137915" w:rsidP="00A704EE">
            <w:pPr>
              <w:pStyle w:val="TableText0"/>
            </w:pPr>
            <w:r w:rsidRPr="00691913">
              <w:t>Outcomes</w:t>
            </w:r>
          </w:p>
        </w:tc>
        <w:tc>
          <w:tcPr>
            <w:tcW w:w="4076" w:type="pct"/>
            <w:shd w:val="clear" w:color="auto" w:fill="auto"/>
            <w:vAlign w:val="center"/>
          </w:tcPr>
          <w:p w14:paraId="33C21B9E" w14:textId="77777777" w:rsidR="00137915" w:rsidRPr="001E1E86" w:rsidRDefault="00137915" w:rsidP="00A704EE">
            <w:pPr>
              <w:pStyle w:val="TableText0"/>
              <w:rPr>
                <w:rFonts w:eastAsia="Times New Roman" w:cs="Arial"/>
                <w:bCs w:val="0"/>
                <w:snapToGrid w:val="0"/>
                <w:color w:val="0066FF"/>
                <w:szCs w:val="20"/>
              </w:rPr>
            </w:pPr>
            <w:r>
              <w:t>OS, PFS, ORR, DOR, AEs and HRQoL</w:t>
            </w:r>
          </w:p>
        </w:tc>
      </w:tr>
      <w:tr w:rsidR="00137915" w:rsidRPr="00691913" w14:paraId="757E0431" w14:textId="77777777" w:rsidTr="00A704EE">
        <w:trPr>
          <w:cantSplit/>
        </w:trPr>
        <w:tc>
          <w:tcPr>
            <w:tcW w:w="924" w:type="pct"/>
            <w:shd w:val="clear" w:color="auto" w:fill="auto"/>
          </w:tcPr>
          <w:p w14:paraId="755FE602" w14:textId="77777777" w:rsidR="00137915" w:rsidRPr="00691913" w:rsidRDefault="00137915" w:rsidP="00A704EE">
            <w:pPr>
              <w:pStyle w:val="TableText0"/>
            </w:pPr>
            <w:r w:rsidRPr="00691913">
              <w:t>Clinical claim</w:t>
            </w:r>
          </w:p>
        </w:tc>
        <w:tc>
          <w:tcPr>
            <w:tcW w:w="4076" w:type="pct"/>
            <w:shd w:val="clear" w:color="auto" w:fill="auto"/>
          </w:tcPr>
          <w:p w14:paraId="7B07CE30" w14:textId="77777777" w:rsidR="00137915" w:rsidRPr="001E1E86" w:rsidRDefault="00137915" w:rsidP="00A704EE">
            <w:pPr>
              <w:pStyle w:val="TableText0"/>
              <w:rPr>
                <w:rFonts w:eastAsia="Times New Roman" w:cs="Arial"/>
                <w:bCs w:val="0"/>
                <w:snapToGrid w:val="0"/>
                <w:color w:val="0066FF"/>
                <w:szCs w:val="20"/>
              </w:rPr>
            </w:pPr>
            <w:r>
              <w:rPr>
                <w:rFonts w:eastAsia="Times New Roman" w:cs="Arial"/>
                <w:bCs w:val="0"/>
                <w:snapToGrid w:val="0"/>
                <w:szCs w:val="20"/>
              </w:rPr>
              <w:t>In patients with advanced (unresectable or metastatic) uveal melanoma, tebentafusp is</w:t>
            </w:r>
            <w:r>
              <w:t xml:space="preserve"> superior in terms of efficacy compared to pembrolizumab, with a non-inferior safety profile.</w:t>
            </w:r>
          </w:p>
        </w:tc>
      </w:tr>
    </w:tbl>
    <w:p w14:paraId="7E73B645" w14:textId="77777777" w:rsidR="00137915" w:rsidRDefault="00137915" w:rsidP="00137915">
      <w:pPr>
        <w:pStyle w:val="FooterTableFigure"/>
      </w:pPr>
      <w:r>
        <w:t>Source: Table 1.1.1, p2 of the submission.</w:t>
      </w:r>
    </w:p>
    <w:p w14:paraId="3824799E" w14:textId="77777777" w:rsidR="00137915" w:rsidRPr="004A6040" w:rsidRDefault="00137915" w:rsidP="00137915">
      <w:pPr>
        <w:pStyle w:val="FooterTableFigure"/>
        <w:rPr>
          <w:sz w:val="20"/>
        </w:rPr>
      </w:pPr>
      <w:r>
        <w:t>AE = adverse event, DOR = duration of response, HLA = human leukocyte antigen, HRQoL = health-related quality of life, IV = intravenous, kg = kilograms, mcg = micrograms, mg = milligrams, PFS = progression-free survival, ORR = objective response rate, OS = overall survival.</w:t>
      </w:r>
    </w:p>
    <w:p w14:paraId="6A5A624F" w14:textId="77777777" w:rsidR="00137915" w:rsidRPr="00407F2D" w:rsidRDefault="00137915" w:rsidP="00137915">
      <w:pPr>
        <w:pStyle w:val="2-SectionHeading"/>
      </w:pPr>
      <w:bookmarkStart w:id="3" w:name="_Toc121469879"/>
      <w:bookmarkStart w:id="4" w:name="_Toc124257826"/>
      <w:r w:rsidRPr="00407F2D">
        <w:t>Background</w:t>
      </w:r>
      <w:bookmarkEnd w:id="3"/>
      <w:bookmarkEnd w:id="4"/>
    </w:p>
    <w:p w14:paraId="287A6E95" w14:textId="77777777" w:rsidR="00137915" w:rsidRPr="004151CF" w:rsidRDefault="00137915" w:rsidP="00137915">
      <w:pPr>
        <w:pStyle w:val="4-SubsectionHeading"/>
      </w:pPr>
      <w:bookmarkStart w:id="5" w:name="_Toc22897638"/>
      <w:bookmarkStart w:id="6" w:name="_Toc121469880"/>
      <w:bookmarkStart w:id="7" w:name="_Toc124257827"/>
      <w:r w:rsidRPr="004151CF">
        <w:t>Registration status</w:t>
      </w:r>
      <w:bookmarkEnd w:id="5"/>
      <w:bookmarkEnd w:id="6"/>
      <w:bookmarkEnd w:id="7"/>
    </w:p>
    <w:p w14:paraId="7BF10398" w14:textId="77777777" w:rsidR="00137915" w:rsidRPr="00620982" w:rsidRDefault="00137915" w:rsidP="00137915">
      <w:pPr>
        <w:pStyle w:val="3-BodyText"/>
      </w:pPr>
      <w:r w:rsidRPr="00620982">
        <w:t>Tebentafusp was TGA registered on 27th May 2022 for the treatment of HLA-A*02:01-positive adult patients with unresectable or metastatic uveal melanoma.</w:t>
      </w:r>
    </w:p>
    <w:p w14:paraId="6823EAA2" w14:textId="77777777" w:rsidR="00137915" w:rsidRPr="00882085" w:rsidRDefault="00137915" w:rsidP="00137915">
      <w:pPr>
        <w:pStyle w:val="2-SectionHeading"/>
      </w:pPr>
      <w:bookmarkStart w:id="8" w:name="_Toc107902078"/>
      <w:bookmarkStart w:id="9" w:name="_Toc121469881"/>
      <w:bookmarkStart w:id="10" w:name="_Toc124257828"/>
      <w:bookmarkEnd w:id="8"/>
      <w:r w:rsidRPr="00407F2D">
        <w:lastRenderedPageBreak/>
        <w:t>Requested listing</w:t>
      </w:r>
      <w:bookmarkEnd w:id="9"/>
      <w:bookmarkEnd w:id="10"/>
    </w:p>
    <w:p w14:paraId="330426BD" w14:textId="19A17D96" w:rsidR="0010307B" w:rsidRPr="00DB33B7" w:rsidRDefault="0010307B" w:rsidP="0010307B">
      <w:pPr>
        <w:pStyle w:val="3-BodyText"/>
        <w:keepNext/>
        <w:keepLines/>
      </w:pPr>
      <w:r>
        <w:t xml:space="preserve">The submission proposed restriction is presented below. Secretariat suggested additions are in italics and deletions in strikethrough.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12"/>
        <w:gridCol w:w="738"/>
        <w:gridCol w:w="2162"/>
        <w:gridCol w:w="3053"/>
        <w:gridCol w:w="1648"/>
      </w:tblGrid>
      <w:tr w:rsidR="00241558" w14:paraId="1CAC75A4" w14:textId="77777777" w:rsidTr="00241558">
        <w:trPr>
          <w:cantSplit/>
          <w:trHeight w:val="20"/>
        </w:trPr>
        <w:tc>
          <w:tcPr>
            <w:tcW w:w="1194" w:type="pct"/>
            <w:gridSpan w:val="3"/>
            <w:tcMar>
              <w:left w:w="20" w:type="dxa"/>
              <w:right w:w="20" w:type="dxa"/>
            </w:tcMar>
            <w:vAlign w:val="center"/>
          </w:tcPr>
          <w:p w14:paraId="6930DD75" w14:textId="77777777" w:rsidR="00241558" w:rsidRDefault="00241558" w:rsidP="00241558">
            <w:pPr>
              <w:keepNext/>
              <w:rPr>
                <w:rFonts w:ascii="Arial Narrow" w:hAnsi="Arial Narrow"/>
                <w:b/>
                <w:bCs/>
                <w:sz w:val="20"/>
                <w:szCs w:val="20"/>
              </w:rPr>
            </w:pPr>
            <w:r>
              <w:rPr>
                <w:rFonts w:ascii="Arial Narrow" w:hAnsi="Arial Narrow"/>
                <w:b/>
                <w:bCs/>
                <w:sz w:val="20"/>
                <w:szCs w:val="20"/>
              </w:rPr>
              <w:t>MEDICINAL PRODUCT</w:t>
            </w:r>
          </w:p>
          <w:p w14:paraId="12ACB829" w14:textId="77777777" w:rsidR="00241558" w:rsidRDefault="00241558" w:rsidP="00241558">
            <w:pPr>
              <w:keepNext/>
              <w:rPr>
                <w:rFonts w:ascii="Arial Narrow" w:hAnsi="Arial Narrow"/>
                <w:b/>
                <w:sz w:val="20"/>
                <w:szCs w:val="20"/>
              </w:rPr>
            </w:pPr>
            <w:r>
              <w:rPr>
                <w:rFonts w:ascii="Arial Narrow" w:hAnsi="Arial Narrow"/>
                <w:b/>
                <w:sz w:val="20"/>
                <w:szCs w:val="20"/>
              </w:rPr>
              <w:t>medicinal product pack</w:t>
            </w:r>
          </w:p>
        </w:tc>
        <w:tc>
          <w:tcPr>
            <w:tcW w:w="1199" w:type="pct"/>
            <w:tcMar>
              <w:left w:w="20" w:type="dxa"/>
              <w:right w:w="20" w:type="dxa"/>
            </w:tcMar>
            <w:vAlign w:val="center"/>
          </w:tcPr>
          <w:p w14:paraId="0721AA88" w14:textId="78CABA3D" w:rsidR="00241558" w:rsidRDefault="00241558" w:rsidP="00241558">
            <w:pPr>
              <w:keepNext/>
              <w:jc w:val="center"/>
              <w:rPr>
                <w:rFonts w:ascii="Arial Narrow" w:hAnsi="Arial Narrow"/>
                <w:b/>
                <w:sz w:val="20"/>
                <w:szCs w:val="20"/>
              </w:rPr>
            </w:pPr>
            <w:r>
              <w:rPr>
                <w:rFonts w:ascii="Arial Narrow" w:hAnsi="Arial Narrow"/>
                <w:b/>
                <w:sz w:val="20"/>
                <w:szCs w:val="20"/>
              </w:rPr>
              <w:t>Max. Amount</w:t>
            </w:r>
          </w:p>
        </w:tc>
        <w:tc>
          <w:tcPr>
            <w:tcW w:w="1693" w:type="pct"/>
            <w:tcMar>
              <w:left w:w="20" w:type="dxa"/>
              <w:right w:w="20" w:type="dxa"/>
            </w:tcMar>
            <w:vAlign w:val="center"/>
          </w:tcPr>
          <w:p w14:paraId="3197C846" w14:textId="7B881E47" w:rsidR="00241558" w:rsidRDefault="00241558" w:rsidP="00241558">
            <w:pPr>
              <w:keepNext/>
              <w:jc w:val="center"/>
              <w:rPr>
                <w:rFonts w:ascii="Arial Narrow" w:hAnsi="Arial Narrow"/>
                <w:b/>
                <w:sz w:val="20"/>
                <w:szCs w:val="20"/>
              </w:rPr>
            </w:pPr>
            <w:r>
              <w:rPr>
                <w:rFonts w:ascii="Arial Narrow" w:hAnsi="Arial Narrow"/>
                <w:b/>
                <w:sz w:val="20"/>
                <w:szCs w:val="20"/>
              </w:rPr>
              <w:t>DPMA</w:t>
            </w:r>
          </w:p>
        </w:tc>
        <w:tc>
          <w:tcPr>
            <w:tcW w:w="914" w:type="pct"/>
            <w:tcMar>
              <w:left w:w="20" w:type="dxa"/>
              <w:right w:w="20" w:type="dxa"/>
            </w:tcMar>
            <w:vAlign w:val="center"/>
          </w:tcPr>
          <w:p w14:paraId="26EAE6FE" w14:textId="77777777" w:rsidR="00241558" w:rsidRDefault="00241558" w:rsidP="00241558">
            <w:pPr>
              <w:keepNext/>
              <w:jc w:val="center"/>
              <w:rPr>
                <w:rFonts w:ascii="Arial Narrow" w:hAnsi="Arial Narrow"/>
                <w:b/>
                <w:sz w:val="20"/>
                <w:szCs w:val="20"/>
              </w:rPr>
            </w:pPr>
            <w:r>
              <w:rPr>
                <w:rFonts w:ascii="Arial Narrow" w:hAnsi="Arial Narrow"/>
                <w:b/>
                <w:sz w:val="20"/>
                <w:szCs w:val="20"/>
              </w:rPr>
              <w:t>№. of Rpts</w:t>
            </w:r>
          </w:p>
        </w:tc>
      </w:tr>
      <w:tr w:rsidR="00241558" w14:paraId="3CC3D3F1" w14:textId="77777777" w:rsidTr="00241558">
        <w:trPr>
          <w:cantSplit/>
          <w:trHeight w:val="20"/>
        </w:trPr>
        <w:tc>
          <w:tcPr>
            <w:tcW w:w="1194" w:type="pct"/>
            <w:gridSpan w:val="3"/>
            <w:tcMar>
              <w:left w:w="20" w:type="dxa"/>
              <w:right w:w="20" w:type="dxa"/>
            </w:tcMar>
          </w:tcPr>
          <w:p w14:paraId="1F29E67A" w14:textId="77777777" w:rsidR="00241558" w:rsidRDefault="00241558" w:rsidP="00241558">
            <w:pPr>
              <w:keepNext/>
              <w:jc w:val="left"/>
              <w:rPr>
                <w:rFonts w:ascii="Arial Narrow" w:hAnsi="Arial Narrow"/>
                <w:sz w:val="20"/>
                <w:szCs w:val="20"/>
              </w:rPr>
            </w:pPr>
            <w:r>
              <w:rPr>
                <w:rFonts w:ascii="Arial Narrow" w:hAnsi="Arial Narrow" w:cs="Arial Narrow"/>
                <w:sz w:val="20"/>
                <w:szCs w:val="20"/>
              </w:rPr>
              <w:t xml:space="preserve">TEBENTAFUSP </w:t>
            </w:r>
            <w:r>
              <w:rPr>
                <w:rFonts w:ascii="Arial Narrow" w:hAnsi="Arial Narrow" w:cs="Arial Narrow"/>
                <w:sz w:val="20"/>
                <w:szCs w:val="20"/>
              </w:rPr>
              <w:br/>
            </w:r>
          </w:p>
        </w:tc>
        <w:tc>
          <w:tcPr>
            <w:tcW w:w="1199" w:type="pct"/>
            <w:tcMar>
              <w:left w:w="20" w:type="dxa"/>
              <w:right w:w="20" w:type="dxa"/>
            </w:tcMar>
          </w:tcPr>
          <w:p w14:paraId="257B9E41" w14:textId="1457C13B" w:rsidR="00241558" w:rsidRDefault="00241558" w:rsidP="00241558">
            <w:pPr>
              <w:keepNext/>
              <w:jc w:val="center"/>
              <w:rPr>
                <w:rFonts w:ascii="Arial Narrow" w:hAnsi="Arial Narrow"/>
                <w:sz w:val="20"/>
                <w:szCs w:val="20"/>
              </w:rPr>
            </w:pPr>
            <w:r>
              <w:rPr>
                <w:rFonts w:ascii="Arial Narrow" w:hAnsi="Arial Narrow"/>
                <w:sz w:val="20"/>
                <w:szCs w:val="20"/>
              </w:rPr>
              <w:t>300 mcg</w:t>
            </w:r>
          </w:p>
        </w:tc>
        <w:tc>
          <w:tcPr>
            <w:tcW w:w="1693" w:type="pct"/>
            <w:tcMar>
              <w:left w:w="20" w:type="dxa"/>
              <w:right w:w="20" w:type="dxa"/>
            </w:tcMar>
          </w:tcPr>
          <w:p w14:paraId="618AD31B" w14:textId="77777777" w:rsidR="00241558" w:rsidRDefault="00241558" w:rsidP="00241558">
            <w:pPr>
              <w:keepNext/>
              <w:jc w:val="center"/>
              <w:rPr>
                <w:rFonts w:ascii="Arial Narrow" w:hAnsi="Arial Narrow"/>
                <w:sz w:val="20"/>
                <w:szCs w:val="20"/>
              </w:rPr>
            </w:pPr>
            <w:r>
              <w:rPr>
                <w:rFonts w:ascii="Arial Narrow" w:hAnsi="Arial Narrow"/>
                <w:sz w:val="20"/>
                <w:szCs w:val="20"/>
              </w:rPr>
              <w:t>Published</w:t>
            </w:r>
          </w:p>
          <w:p w14:paraId="3F950F12" w14:textId="446D326A" w:rsidR="00241558" w:rsidRDefault="00241558" w:rsidP="00241558">
            <w:pPr>
              <w:keepNext/>
              <w:jc w:val="center"/>
              <w:rPr>
                <w:rFonts w:ascii="Arial Narrow" w:hAnsi="Arial Narrow"/>
                <w:sz w:val="20"/>
                <w:szCs w:val="20"/>
              </w:rPr>
            </w:pPr>
            <w:r>
              <w:rPr>
                <w:rFonts w:ascii="Arial Narrow" w:hAnsi="Arial Narrow"/>
                <w:sz w:val="20"/>
                <w:szCs w:val="20"/>
              </w:rPr>
              <w:t>Public: $</w:t>
            </w:r>
            <w:r w:rsidR="00C33ED5">
              <w:rPr>
                <w:rFonts w:ascii="Arial Narrow" w:hAnsi="Arial Narrow"/>
                <w:sz w:val="20"/>
                <w:szCs w:val="20"/>
              </w:rPr>
              <w:t>58,698.94</w:t>
            </w:r>
          </w:p>
          <w:p w14:paraId="60C84FFA" w14:textId="4A47A405" w:rsidR="00241558" w:rsidRDefault="00241558" w:rsidP="00241558">
            <w:pPr>
              <w:keepNext/>
              <w:jc w:val="center"/>
              <w:rPr>
                <w:rFonts w:ascii="Arial Narrow" w:hAnsi="Arial Narrow"/>
                <w:sz w:val="20"/>
                <w:szCs w:val="20"/>
              </w:rPr>
            </w:pPr>
            <w:r>
              <w:rPr>
                <w:rFonts w:ascii="Arial Narrow" w:hAnsi="Arial Narrow"/>
                <w:sz w:val="20"/>
                <w:szCs w:val="20"/>
              </w:rPr>
              <w:t>Private: $</w:t>
            </w:r>
            <w:r w:rsidR="00C33ED5">
              <w:rPr>
                <w:rFonts w:ascii="Arial Narrow" w:hAnsi="Arial Narrow"/>
                <w:sz w:val="20"/>
                <w:szCs w:val="20"/>
              </w:rPr>
              <w:t>59,561.14</w:t>
            </w:r>
          </w:p>
          <w:p w14:paraId="6BD76079" w14:textId="77777777" w:rsidR="00241558" w:rsidRDefault="00241558" w:rsidP="00241558">
            <w:pPr>
              <w:keepNext/>
              <w:jc w:val="center"/>
              <w:rPr>
                <w:rFonts w:ascii="Arial Narrow" w:hAnsi="Arial Narrow"/>
                <w:sz w:val="20"/>
                <w:szCs w:val="20"/>
              </w:rPr>
            </w:pPr>
            <w:r>
              <w:rPr>
                <w:rFonts w:ascii="Arial Narrow" w:hAnsi="Arial Narrow"/>
                <w:sz w:val="20"/>
                <w:szCs w:val="20"/>
              </w:rPr>
              <w:t>Effective</w:t>
            </w:r>
          </w:p>
          <w:p w14:paraId="6143E4C6" w14:textId="6C07E31E" w:rsidR="00241558" w:rsidRDefault="00241558" w:rsidP="00241558">
            <w:pPr>
              <w:keepNext/>
              <w:jc w:val="center"/>
              <w:rPr>
                <w:rFonts w:ascii="Arial Narrow" w:hAnsi="Arial Narrow"/>
                <w:sz w:val="20"/>
                <w:szCs w:val="20"/>
              </w:rPr>
            </w:pPr>
            <w:r>
              <w:rPr>
                <w:rFonts w:ascii="Arial Narrow" w:hAnsi="Arial Narrow"/>
                <w:sz w:val="20"/>
                <w:szCs w:val="20"/>
              </w:rPr>
              <w:t>Public: $</w:t>
            </w:r>
            <w:r w:rsidR="00D12425" w:rsidRPr="00D12425">
              <w:rPr>
                <w:rFonts w:ascii="Arial Narrow" w:hAnsi="Arial Narrow"/>
                <w:color w:val="000000"/>
                <w:sz w:val="20"/>
                <w:szCs w:val="20"/>
                <w:shd w:val="solid" w:color="000000" w:fill="000000"/>
                <w14:textFill>
                  <w14:solidFill>
                    <w14:srgbClr w14:val="000000">
                      <w14:alpha w14:val="100000"/>
                    </w14:srgbClr>
                  </w14:solidFill>
                </w14:textFill>
              </w:rPr>
              <w:t>|</w:t>
            </w:r>
          </w:p>
          <w:p w14:paraId="1272E57A" w14:textId="04BB43C0" w:rsidR="00241558" w:rsidRDefault="00241558" w:rsidP="00241558">
            <w:pPr>
              <w:keepNext/>
              <w:jc w:val="center"/>
              <w:rPr>
                <w:rFonts w:ascii="Arial Narrow" w:hAnsi="Arial Narrow"/>
                <w:sz w:val="20"/>
                <w:szCs w:val="20"/>
              </w:rPr>
            </w:pPr>
            <w:r>
              <w:rPr>
                <w:rFonts w:ascii="Arial Narrow" w:hAnsi="Arial Narrow"/>
                <w:sz w:val="20"/>
                <w:szCs w:val="20"/>
              </w:rPr>
              <w:t>Private: $</w:t>
            </w:r>
            <w:r w:rsidR="00D12425" w:rsidRPr="00D12425">
              <w:rPr>
                <w:rFonts w:ascii="Arial Narrow" w:hAnsi="Arial Narrow"/>
                <w:color w:val="000000"/>
                <w:sz w:val="20"/>
                <w:szCs w:val="20"/>
                <w:shd w:val="solid" w:color="000000" w:fill="000000"/>
                <w14:textFill>
                  <w14:solidFill>
                    <w14:srgbClr w14:val="000000">
                      <w14:alpha w14:val="100000"/>
                    </w14:srgbClr>
                  </w14:solidFill>
                </w14:textFill>
              </w:rPr>
              <w:t>|</w:t>
            </w:r>
          </w:p>
        </w:tc>
        <w:tc>
          <w:tcPr>
            <w:tcW w:w="914" w:type="pct"/>
            <w:tcMar>
              <w:left w:w="20" w:type="dxa"/>
              <w:right w:w="20" w:type="dxa"/>
            </w:tcMar>
          </w:tcPr>
          <w:p w14:paraId="5CDA4632" w14:textId="77777777" w:rsidR="00241558" w:rsidRDefault="00241558" w:rsidP="00241558">
            <w:pPr>
              <w:keepNext/>
              <w:jc w:val="center"/>
              <w:rPr>
                <w:rFonts w:ascii="Arial Narrow" w:hAnsi="Arial Narrow"/>
                <w:sz w:val="20"/>
                <w:szCs w:val="20"/>
              </w:rPr>
            </w:pPr>
            <w:r>
              <w:rPr>
                <w:rFonts w:ascii="Arial Narrow" w:hAnsi="Arial Narrow"/>
                <w:sz w:val="20"/>
                <w:szCs w:val="20"/>
              </w:rPr>
              <w:t>0</w:t>
            </w:r>
          </w:p>
        </w:tc>
      </w:tr>
      <w:tr w:rsidR="00241558" w14:paraId="73A1B052" w14:textId="77777777" w:rsidTr="00241558">
        <w:trPr>
          <w:cantSplit/>
          <w:trHeight w:val="20"/>
        </w:trPr>
        <w:tc>
          <w:tcPr>
            <w:tcW w:w="5000" w:type="pct"/>
            <w:gridSpan w:val="6"/>
            <w:tcMar>
              <w:left w:w="20" w:type="dxa"/>
              <w:right w:w="20" w:type="dxa"/>
            </w:tcMar>
            <w:vAlign w:val="center"/>
          </w:tcPr>
          <w:p w14:paraId="3FA68DFB" w14:textId="77777777" w:rsidR="00241558" w:rsidRDefault="00241558" w:rsidP="006702DC">
            <w:pPr>
              <w:keepNext/>
              <w:rPr>
                <w:rFonts w:ascii="Arial Narrow" w:hAnsi="Arial Narrow"/>
                <w:b/>
                <w:sz w:val="20"/>
                <w:szCs w:val="20"/>
              </w:rPr>
            </w:pPr>
            <w:r>
              <w:rPr>
                <w:rFonts w:ascii="Arial Narrow" w:hAnsi="Arial Narrow"/>
                <w:b/>
                <w:sz w:val="20"/>
                <w:szCs w:val="20"/>
              </w:rPr>
              <w:t xml:space="preserve">Available brands </w:t>
            </w:r>
          </w:p>
        </w:tc>
      </w:tr>
      <w:tr w:rsidR="00241558" w14:paraId="54035C45" w14:textId="77777777" w:rsidTr="00241558">
        <w:trPr>
          <w:cantSplit/>
          <w:trHeight w:val="20"/>
        </w:trPr>
        <w:tc>
          <w:tcPr>
            <w:tcW w:w="5000" w:type="pct"/>
            <w:gridSpan w:val="6"/>
            <w:tcMar>
              <w:left w:w="20" w:type="dxa"/>
              <w:right w:w="20" w:type="dxa"/>
            </w:tcMar>
            <w:vAlign w:val="center"/>
          </w:tcPr>
          <w:p w14:paraId="1CF62756" w14:textId="77777777" w:rsidR="00241558" w:rsidRDefault="00241558" w:rsidP="006702DC">
            <w:pPr>
              <w:keepNext/>
              <w:rPr>
                <w:rFonts w:ascii="Arial Narrow" w:hAnsi="Arial Narrow"/>
                <w:sz w:val="20"/>
                <w:szCs w:val="20"/>
              </w:rPr>
            </w:pPr>
            <w:r>
              <w:rPr>
                <w:rFonts w:ascii="Arial Narrow" w:hAnsi="Arial Narrow"/>
                <w:sz w:val="20"/>
                <w:szCs w:val="20"/>
              </w:rPr>
              <w:t>Kimmtrak</w:t>
            </w:r>
          </w:p>
          <w:p w14:paraId="2A4FD74D" w14:textId="77777777" w:rsidR="00241558" w:rsidRDefault="00241558" w:rsidP="006702DC">
            <w:pPr>
              <w:keepNext/>
              <w:rPr>
                <w:rFonts w:ascii="Arial Narrow" w:hAnsi="Arial Narrow"/>
                <w:sz w:val="20"/>
                <w:szCs w:val="20"/>
              </w:rPr>
            </w:pPr>
            <w:r w:rsidRPr="00500BF5">
              <w:rPr>
                <w:rFonts w:ascii="Arial Narrow" w:hAnsi="Arial Narrow"/>
                <w:sz w:val="20"/>
                <w:szCs w:val="20"/>
              </w:rPr>
              <w:t>tebentafusp 100 microgram/0.5 mL injection, 0.5 mL vial</w:t>
            </w:r>
          </w:p>
        </w:tc>
      </w:tr>
      <w:tr w:rsidR="00241558" w14:paraId="7995FE96" w14:textId="77777777" w:rsidTr="00241558">
        <w:trPr>
          <w:cantSplit/>
          <w:trHeight w:val="20"/>
        </w:trPr>
        <w:tc>
          <w:tcPr>
            <w:tcW w:w="5000" w:type="pct"/>
            <w:gridSpan w:val="6"/>
            <w:tcMar>
              <w:left w:w="20" w:type="dxa"/>
              <w:right w:w="20" w:type="dxa"/>
            </w:tcMar>
            <w:vAlign w:val="center"/>
          </w:tcPr>
          <w:p w14:paraId="1FF79EDB" w14:textId="77777777" w:rsidR="00241558" w:rsidRDefault="00241558" w:rsidP="006702DC">
            <w:pPr>
              <w:rPr>
                <w:rFonts w:ascii="Arial Narrow" w:hAnsi="Arial Narrow"/>
                <w:color w:val="FF0000"/>
                <w:sz w:val="20"/>
                <w:szCs w:val="20"/>
              </w:rPr>
            </w:pPr>
          </w:p>
        </w:tc>
      </w:tr>
      <w:tr w:rsidR="00241558" w14:paraId="7190B17A" w14:textId="77777777" w:rsidTr="00241558">
        <w:trPr>
          <w:cantSplit/>
          <w:trHeight w:val="20"/>
        </w:trPr>
        <w:tc>
          <w:tcPr>
            <w:tcW w:w="5000" w:type="pct"/>
            <w:gridSpan w:val="6"/>
            <w:tcMar>
              <w:left w:w="20" w:type="dxa"/>
              <w:right w:w="20" w:type="dxa"/>
            </w:tcMar>
            <w:vAlign w:val="center"/>
          </w:tcPr>
          <w:p w14:paraId="0A54C831" w14:textId="77777777" w:rsidR="00241558" w:rsidRDefault="00241558" w:rsidP="006702DC">
            <w:pPr>
              <w:keepNext/>
              <w:rPr>
                <w:rFonts w:ascii="Arial Narrow" w:hAnsi="Arial Narrow"/>
                <w:color w:val="FF0000"/>
                <w:sz w:val="20"/>
                <w:szCs w:val="20"/>
              </w:rPr>
            </w:pPr>
            <w:r>
              <w:rPr>
                <w:rFonts w:ascii="Arial Narrow" w:hAnsi="Arial Narrow"/>
                <w:b/>
                <w:sz w:val="20"/>
                <w:szCs w:val="20"/>
              </w:rPr>
              <w:t xml:space="preserve">Restriction Summary [new] / Treatment of Concept: [new] </w:t>
            </w:r>
          </w:p>
        </w:tc>
      </w:tr>
      <w:tr w:rsidR="00241558" w14:paraId="62736EDC"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vMerge w:val="restart"/>
            <w:tcMar>
              <w:left w:w="20" w:type="dxa"/>
              <w:right w:w="20" w:type="dxa"/>
            </w:tcMar>
          </w:tcPr>
          <w:p w14:paraId="56F57F91" w14:textId="17B0FF30" w:rsidR="00241558" w:rsidRDefault="00241558" w:rsidP="006702DC">
            <w:pPr>
              <w:keepNext/>
              <w:jc w:val="center"/>
              <w:rPr>
                <w:rFonts w:ascii="Arial Narrow" w:hAnsi="Arial Narrow"/>
                <w:b/>
                <w:sz w:val="20"/>
                <w:szCs w:val="20"/>
              </w:rPr>
            </w:pPr>
          </w:p>
        </w:tc>
        <w:tc>
          <w:tcPr>
            <w:tcW w:w="4215" w:type="pct"/>
            <w:gridSpan w:val="4"/>
            <w:tcMar>
              <w:left w:w="20" w:type="dxa"/>
              <w:right w:w="20" w:type="dxa"/>
            </w:tcMar>
          </w:tcPr>
          <w:p w14:paraId="232BCD65" w14:textId="77777777" w:rsidR="00241558" w:rsidRDefault="00241558" w:rsidP="006702DC">
            <w:pPr>
              <w:keepNext/>
              <w:rPr>
                <w:rFonts w:ascii="Arial Narrow" w:hAnsi="Arial Narrow"/>
                <w:sz w:val="20"/>
                <w:szCs w:val="20"/>
              </w:rPr>
            </w:pPr>
            <w:r>
              <w:rPr>
                <w:rFonts w:ascii="Arial Narrow" w:hAnsi="Arial Narrow"/>
                <w:b/>
                <w:sz w:val="20"/>
                <w:szCs w:val="20"/>
              </w:rPr>
              <w:t xml:space="preserve">Category / Program: </w:t>
            </w:r>
            <w:r>
              <w:rPr>
                <w:rFonts w:ascii="Arial Narrow" w:hAnsi="Arial Narrow"/>
                <w:sz w:val="20"/>
                <w:szCs w:val="20"/>
              </w:rPr>
              <w:t xml:space="preserve">Section 100 – Efficient Funding of Chemotherapy Public/Private hospitals </w:t>
            </w:r>
          </w:p>
        </w:tc>
      </w:tr>
      <w:tr w:rsidR="00241558" w14:paraId="0FD0E537"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vMerge/>
            <w:tcMar>
              <w:left w:w="20" w:type="dxa"/>
              <w:right w:w="20" w:type="dxa"/>
            </w:tcMar>
          </w:tcPr>
          <w:p w14:paraId="0170DF98" w14:textId="77777777" w:rsidR="00241558" w:rsidRDefault="00241558" w:rsidP="006702DC">
            <w:pPr>
              <w:keepNext/>
              <w:rPr>
                <w:rFonts w:ascii="Arial Narrow" w:hAnsi="Arial Narrow"/>
                <w:sz w:val="20"/>
                <w:szCs w:val="20"/>
              </w:rPr>
            </w:pPr>
          </w:p>
        </w:tc>
        <w:tc>
          <w:tcPr>
            <w:tcW w:w="4215" w:type="pct"/>
            <w:gridSpan w:val="4"/>
            <w:tcMar>
              <w:left w:w="20" w:type="dxa"/>
              <w:right w:w="20" w:type="dxa"/>
            </w:tcMar>
          </w:tcPr>
          <w:p w14:paraId="623E6C62" w14:textId="77777777" w:rsidR="00241558" w:rsidRDefault="00241558" w:rsidP="006702DC">
            <w:pPr>
              <w:keepNext/>
              <w:rPr>
                <w:rFonts w:ascii="Arial Narrow" w:hAnsi="Arial Narrow"/>
                <w:b/>
                <w:sz w:val="20"/>
                <w:szCs w:val="20"/>
              </w:rPr>
            </w:pPr>
            <w:r>
              <w:rPr>
                <w:rFonts w:ascii="Arial Narrow" w:hAnsi="Arial Narrow"/>
                <w:b/>
                <w:sz w:val="20"/>
                <w:szCs w:val="20"/>
              </w:rPr>
              <w:t xml:space="preserve">Prescriber type: </w:t>
            </w:r>
            <w:r>
              <w:rPr>
                <w:rFonts w:ascii="Arial Narrow" w:hAnsi="Arial Narrow"/>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FC715B">
              <w:rPr>
                <w:rFonts w:ascii="Arial Narrow" w:hAnsi="Arial Narrow"/>
                <w:sz w:val="20"/>
                <w:szCs w:val="20"/>
              </w:rPr>
            </w:r>
            <w:r w:rsidR="00FC715B">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p>
        </w:tc>
      </w:tr>
      <w:tr w:rsidR="00241558" w14:paraId="261E7E0E"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vMerge/>
            <w:tcMar>
              <w:left w:w="20" w:type="dxa"/>
              <w:right w:w="20" w:type="dxa"/>
            </w:tcMar>
          </w:tcPr>
          <w:p w14:paraId="5BF6265A" w14:textId="77777777" w:rsidR="00241558" w:rsidRDefault="00241558" w:rsidP="006702DC">
            <w:pPr>
              <w:rPr>
                <w:rFonts w:ascii="Arial Narrow" w:hAnsi="Arial Narrow"/>
                <w:sz w:val="20"/>
                <w:szCs w:val="20"/>
              </w:rPr>
            </w:pPr>
          </w:p>
        </w:tc>
        <w:tc>
          <w:tcPr>
            <w:tcW w:w="4215" w:type="pct"/>
            <w:gridSpan w:val="4"/>
            <w:tcMar>
              <w:left w:w="20" w:type="dxa"/>
              <w:right w:w="20" w:type="dxa"/>
            </w:tcMar>
          </w:tcPr>
          <w:p w14:paraId="0D2A2D74" w14:textId="77777777" w:rsidR="00241558" w:rsidRPr="00CC73BB" w:rsidRDefault="00241558" w:rsidP="006702DC">
            <w:pPr>
              <w:rPr>
                <w:rFonts w:ascii="Arial Narrow" w:eastAsia="Calibri" w:hAnsi="Arial Narrow"/>
                <w:sz w:val="18"/>
                <w:szCs w:val="18"/>
              </w:rPr>
            </w:pPr>
            <w:r>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FC715B">
              <w:rPr>
                <w:rFonts w:ascii="Arial Narrow" w:eastAsia="Calibri" w:hAnsi="Arial Narrow"/>
                <w:sz w:val="20"/>
                <w:szCs w:val="20"/>
              </w:rPr>
            </w:r>
            <w:r w:rsidR="00FC715B">
              <w:rPr>
                <w:rFonts w:ascii="Arial Narrow" w:eastAsia="Calibri" w:hAnsi="Arial Narrow"/>
                <w:sz w:val="20"/>
                <w:szCs w:val="20"/>
              </w:rPr>
              <w:fldChar w:fldCharType="separate"/>
            </w:r>
            <w:r>
              <w:rPr>
                <w:rFonts w:ascii="Arial Narrow" w:eastAsia="Calibri" w:hAnsi="Arial Narrow"/>
                <w:sz w:val="20"/>
                <w:szCs w:val="20"/>
              </w:rPr>
              <w:fldChar w:fldCharType="end"/>
            </w:r>
            <w:r w:rsidRPr="00DA45BE">
              <w:rPr>
                <w:rFonts w:ascii="Arial Narrow" w:eastAsia="Calibri" w:hAnsi="Arial Narrow"/>
                <w:sz w:val="18"/>
                <w:szCs w:val="18"/>
              </w:rPr>
              <w:t xml:space="preserve"> </w:t>
            </w:r>
            <w:r w:rsidRPr="00AE3DAD">
              <w:rPr>
                <w:rFonts w:ascii="Arial Narrow" w:eastAsia="Calibri" w:hAnsi="Arial Narrow"/>
                <w:sz w:val="20"/>
                <w:szCs w:val="20"/>
              </w:rPr>
              <w:t>Authority Required – immediate/real time assessment by Services Australia (telephone/online application avenues)</w:t>
            </w:r>
          </w:p>
        </w:tc>
      </w:tr>
      <w:tr w:rsidR="00241558" w14:paraId="45DE5D93" w14:textId="77777777" w:rsidTr="0010307B">
        <w:tblPrEx>
          <w:tblCellMar>
            <w:top w:w="15" w:type="dxa"/>
            <w:bottom w:w="15" w:type="dxa"/>
          </w:tblCellMar>
          <w:tblLook w:val="04A0" w:firstRow="1" w:lastRow="0" w:firstColumn="1" w:lastColumn="0" w:noHBand="0" w:noVBand="1"/>
        </w:tblPrEx>
        <w:trPr>
          <w:trHeight w:val="102"/>
        </w:trPr>
        <w:tc>
          <w:tcPr>
            <w:tcW w:w="390" w:type="pct"/>
            <w:vMerge w:val="restart"/>
            <w:tcMar>
              <w:left w:w="20" w:type="dxa"/>
              <w:right w:w="20" w:type="dxa"/>
            </w:tcMar>
            <w:textDirection w:val="btLr"/>
            <w:vAlign w:val="center"/>
          </w:tcPr>
          <w:p w14:paraId="7AD69A6D" w14:textId="7C3A818A" w:rsidR="00241558" w:rsidRDefault="00241558" w:rsidP="006702DC">
            <w:pPr>
              <w:keepLines/>
              <w:ind w:right="113"/>
              <w:jc w:val="center"/>
              <w:rPr>
                <w:rFonts w:ascii="Arial Narrow" w:hAnsi="Arial Narrow"/>
                <w:color w:val="333333"/>
                <w:sz w:val="20"/>
                <w:szCs w:val="20"/>
              </w:rPr>
            </w:pPr>
          </w:p>
        </w:tc>
        <w:tc>
          <w:tcPr>
            <w:tcW w:w="395" w:type="pct"/>
            <w:tcMar>
              <w:left w:w="20" w:type="dxa"/>
              <w:right w:w="20" w:type="dxa"/>
            </w:tcMar>
            <w:vAlign w:val="center"/>
          </w:tcPr>
          <w:p w14:paraId="15EF4268" w14:textId="6B8898AC" w:rsidR="00241558" w:rsidRDefault="00241558" w:rsidP="006702DC">
            <w:pPr>
              <w:keepLines/>
              <w:ind w:hanging="35"/>
              <w:jc w:val="center"/>
              <w:rPr>
                <w:rFonts w:ascii="Arial Narrow" w:hAnsi="Arial Narrow"/>
                <w:color w:val="333333"/>
                <w:sz w:val="20"/>
                <w:szCs w:val="20"/>
              </w:rPr>
            </w:pPr>
          </w:p>
        </w:tc>
        <w:tc>
          <w:tcPr>
            <w:tcW w:w="4215" w:type="pct"/>
            <w:gridSpan w:val="4"/>
            <w:tcMar>
              <w:left w:w="20" w:type="dxa"/>
              <w:right w:w="20" w:type="dxa"/>
            </w:tcMar>
            <w:vAlign w:val="center"/>
          </w:tcPr>
          <w:p w14:paraId="16D35E89" w14:textId="77777777" w:rsidR="00241558" w:rsidRPr="00CC73BB" w:rsidRDefault="00241558" w:rsidP="006702DC">
            <w:pPr>
              <w:textAlignment w:val="baseline"/>
              <w:rPr>
                <w:rFonts w:ascii="Arial Narrow" w:hAnsi="Arial Narrow"/>
                <w:i/>
                <w:iCs/>
                <w:color w:val="333333"/>
                <w:sz w:val="20"/>
                <w:szCs w:val="20"/>
              </w:rPr>
            </w:pPr>
            <w:r w:rsidRPr="00CC73BB">
              <w:rPr>
                <w:rFonts w:ascii="Arial Narrow" w:hAnsi="Arial Narrow" w:cs="Open Sans"/>
                <w:b/>
                <w:bCs/>
                <w:i/>
                <w:iCs/>
                <w:color w:val="333333"/>
                <w:sz w:val="20"/>
                <w:szCs w:val="20"/>
                <w:bdr w:val="none" w:sz="0" w:space="0" w:color="auto" w:frame="1"/>
              </w:rPr>
              <w:t>Administrative Advice:</w:t>
            </w:r>
            <w:r>
              <w:rPr>
                <w:rFonts w:ascii="Arial Narrow" w:hAnsi="Arial Narrow" w:cs="Open Sans"/>
                <w:b/>
                <w:bCs/>
                <w:i/>
                <w:iCs/>
                <w:color w:val="333333"/>
                <w:sz w:val="20"/>
                <w:szCs w:val="20"/>
                <w:bdr w:val="none" w:sz="0" w:space="0" w:color="auto" w:frame="1"/>
              </w:rPr>
              <w:t xml:space="preserve"> </w:t>
            </w:r>
            <w:r w:rsidRPr="00CC73BB">
              <w:rPr>
                <w:rFonts w:ascii="Arial Narrow" w:hAnsi="Arial Narrow" w:cs="Open Sans"/>
                <w:i/>
                <w:iCs/>
                <w:color w:val="333333"/>
                <w:sz w:val="20"/>
                <w:szCs w:val="20"/>
              </w:rPr>
              <w:t>No increase in the maximum number of repeats may be authorised.</w:t>
            </w:r>
          </w:p>
        </w:tc>
      </w:tr>
      <w:tr w:rsidR="00241558" w14:paraId="0E98D30E" w14:textId="77777777" w:rsidTr="0010307B">
        <w:tblPrEx>
          <w:tblCellMar>
            <w:top w:w="15" w:type="dxa"/>
            <w:bottom w:w="15" w:type="dxa"/>
          </w:tblCellMar>
          <w:tblLook w:val="04A0" w:firstRow="1" w:lastRow="0" w:firstColumn="1" w:lastColumn="0" w:noHBand="0" w:noVBand="1"/>
        </w:tblPrEx>
        <w:trPr>
          <w:trHeight w:val="20"/>
        </w:trPr>
        <w:tc>
          <w:tcPr>
            <w:tcW w:w="390" w:type="pct"/>
            <w:vMerge/>
            <w:tcMar>
              <w:left w:w="20" w:type="dxa"/>
              <w:right w:w="20" w:type="dxa"/>
            </w:tcMar>
            <w:vAlign w:val="center"/>
          </w:tcPr>
          <w:p w14:paraId="7EB8A5E4" w14:textId="77777777" w:rsidR="00241558" w:rsidRDefault="00241558" w:rsidP="006702DC">
            <w:pPr>
              <w:keepLines/>
              <w:jc w:val="center"/>
              <w:rPr>
                <w:rFonts w:ascii="Arial Narrow" w:hAnsi="Arial Narrow"/>
                <w:color w:val="333333"/>
                <w:sz w:val="20"/>
                <w:szCs w:val="20"/>
              </w:rPr>
            </w:pPr>
          </w:p>
        </w:tc>
        <w:tc>
          <w:tcPr>
            <w:tcW w:w="395" w:type="pct"/>
            <w:tcMar>
              <w:left w:w="20" w:type="dxa"/>
              <w:right w:w="20" w:type="dxa"/>
            </w:tcMar>
            <w:vAlign w:val="center"/>
          </w:tcPr>
          <w:p w14:paraId="0CC125B3" w14:textId="7255DCF7" w:rsidR="00241558" w:rsidRDefault="00241558" w:rsidP="006702DC">
            <w:pPr>
              <w:keepLines/>
              <w:ind w:hanging="35"/>
              <w:jc w:val="center"/>
              <w:rPr>
                <w:rFonts w:ascii="Arial Narrow" w:hAnsi="Arial Narrow"/>
                <w:color w:val="333333"/>
                <w:sz w:val="20"/>
                <w:szCs w:val="20"/>
              </w:rPr>
            </w:pPr>
          </w:p>
        </w:tc>
        <w:tc>
          <w:tcPr>
            <w:tcW w:w="4215" w:type="pct"/>
            <w:gridSpan w:val="4"/>
            <w:tcMar>
              <w:left w:w="20" w:type="dxa"/>
              <w:right w:w="20" w:type="dxa"/>
            </w:tcMar>
            <w:vAlign w:val="center"/>
          </w:tcPr>
          <w:p w14:paraId="68CFFFE5" w14:textId="77777777" w:rsidR="00241558" w:rsidRPr="00CC73BB" w:rsidRDefault="00241558" w:rsidP="006702DC">
            <w:pPr>
              <w:keepLines/>
              <w:rPr>
                <w:rFonts w:ascii="Arial Narrow" w:hAnsi="Arial Narrow"/>
                <w:b/>
                <w:bCs/>
                <w:i/>
                <w:iCs/>
                <w:color w:val="333333"/>
                <w:sz w:val="20"/>
                <w:szCs w:val="20"/>
              </w:rPr>
            </w:pPr>
            <w:r w:rsidRPr="00CC73BB">
              <w:rPr>
                <w:rFonts w:ascii="Arial Narrow" w:hAnsi="Arial Narrow"/>
                <w:b/>
                <w:bCs/>
                <w:i/>
                <w:iCs/>
                <w:color w:val="333333"/>
                <w:sz w:val="20"/>
                <w:szCs w:val="20"/>
              </w:rPr>
              <w:t>Administrative Advice:</w:t>
            </w:r>
            <w:r>
              <w:rPr>
                <w:rFonts w:ascii="Arial Narrow" w:hAnsi="Arial Narrow"/>
                <w:b/>
                <w:bCs/>
                <w:i/>
                <w:iCs/>
                <w:color w:val="333333"/>
                <w:sz w:val="20"/>
                <w:szCs w:val="20"/>
              </w:rPr>
              <w:t xml:space="preserve"> </w:t>
            </w:r>
            <w:r w:rsidRPr="00CC73BB">
              <w:rPr>
                <w:rFonts w:ascii="Arial Narrow" w:hAnsi="Arial Narrow" w:cs="Open Sans"/>
                <w:i/>
                <w:iCs/>
                <w:color w:val="333333"/>
                <w:sz w:val="20"/>
                <w:szCs w:val="20"/>
              </w:rPr>
              <w:t>Special Pricing Arrangements apply.</w:t>
            </w:r>
          </w:p>
        </w:tc>
      </w:tr>
      <w:tr w:rsidR="00241558" w14:paraId="471218F4" w14:textId="77777777" w:rsidTr="0010307B">
        <w:tblPrEx>
          <w:tblCellMar>
            <w:top w:w="15" w:type="dxa"/>
            <w:bottom w:w="15" w:type="dxa"/>
          </w:tblCellMar>
          <w:tblLook w:val="04A0" w:firstRow="1" w:lastRow="0" w:firstColumn="1" w:lastColumn="0" w:noHBand="0" w:noVBand="1"/>
        </w:tblPrEx>
        <w:trPr>
          <w:trHeight w:val="20"/>
        </w:trPr>
        <w:tc>
          <w:tcPr>
            <w:tcW w:w="390" w:type="pct"/>
            <w:vMerge/>
            <w:tcMar>
              <w:left w:w="20" w:type="dxa"/>
              <w:right w:w="20" w:type="dxa"/>
            </w:tcMar>
            <w:vAlign w:val="center"/>
          </w:tcPr>
          <w:p w14:paraId="17E571EB" w14:textId="77777777" w:rsidR="00241558" w:rsidRDefault="00241558" w:rsidP="006702DC">
            <w:pPr>
              <w:keepLines/>
              <w:jc w:val="center"/>
              <w:rPr>
                <w:rFonts w:ascii="Arial Narrow" w:hAnsi="Arial Narrow"/>
                <w:color w:val="333333"/>
                <w:sz w:val="20"/>
                <w:szCs w:val="20"/>
              </w:rPr>
            </w:pPr>
          </w:p>
        </w:tc>
        <w:tc>
          <w:tcPr>
            <w:tcW w:w="395" w:type="pct"/>
            <w:tcMar>
              <w:left w:w="20" w:type="dxa"/>
              <w:right w:w="20" w:type="dxa"/>
            </w:tcMar>
            <w:vAlign w:val="center"/>
          </w:tcPr>
          <w:p w14:paraId="584FEFD4" w14:textId="630AF1E1" w:rsidR="00241558" w:rsidRDefault="00241558" w:rsidP="006702DC">
            <w:pPr>
              <w:keepLines/>
              <w:ind w:hanging="35"/>
              <w:jc w:val="center"/>
              <w:rPr>
                <w:rFonts w:ascii="Arial Narrow" w:hAnsi="Arial Narrow"/>
                <w:color w:val="333333"/>
                <w:sz w:val="20"/>
                <w:szCs w:val="20"/>
              </w:rPr>
            </w:pPr>
          </w:p>
        </w:tc>
        <w:tc>
          <w:tcPr>
            <w:tcW w:w="4215" w:type="pct"/>
            <w:gridSpan w:val="4"/>
            <w:tcMar>
              <w:left w:w="20" w:type="dxa"/>
              <w:right w:w="20" w:type="dxa"/>
            </w:tcMar>
            <w:vAlign w:val="center"/>
          </w:tcPr>
          <w:p w14:paraId="0DB07F58" w14:textId="77777777" w:rsidR="00241558" w:rsidRPr="00CC73BB" w:rsidRDefault="00241558" w:rsidP="006702DC">
            <w:pPr>
              <w:keepLines/>
              <w:rPr>
                <w:rFonts w:ascii="Arial Narrow" w:hAnsi="Arial Narrow"/>
                <w:b/>
                <w:bCs/>
                <w:i/>
                <w:iCs/>
                <w:color w:val="333333"/>
                <w:sz w:val="20"/>
                <w:szCs w:val="20"/>
              </w:rPr>
            </w:pPr>
            <w:r w:rsidRPr="00CC73BB">
              <w:rPr>
                <w:rFonts w:ascii="Arial Narrow" w:hAnsi="Arial Narrow"/>
                <w:b/>
                <w:bCs/>
                <w:i/>
                <w:iCs/>
                <w:sz w:val="20"/>
                <w:szCs w:val="20"/>
              </w:rPr>
              <w:t xml:space="preserve">Administrative Advice: </w:t>
            </w:r>
            <w:r w:rsidRPr="00CC73BB">
              <w:rPr>
                <w:rFonts w:ascii="Arial Narrow" w:hAnsi="Arial Narrow" w:cs="Open Sans"/>
                <w:i/>
                <w:iCs/>
                <w:color w:val="333333"/>
                <w:sz w:val="20"/>
                <w:szCs w:val="20"/>
              </w:rPr>
              <w:t>No increase in the maximum amount or number of units may be authorised</w:t>
            </w:r>
          </w:p>
        </w:tc>
      </w:tr>
      <w:tr w:rsidR="00241558" w14:paraId="2527CDE9"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1C541525" w14:textId="35EE3236" w:rsidR="00241558" w:rsidRDefault="00241558" w:rsidP="006702DC">
            <w:pPr>
              <w:keepLines/>
              <w:jc w:val="center"/>
              <w:rPr>
                <w:rFonts w:ascii="Arial Narrow" w:hAnsi="Arial Narrow"/>
                <w:color w:val="333333"/>
                <w:sz w:val="20"/>
                <w:szCs w:val="20"/>
              </w:rPr>
            </w:pPr>
          </w:p>
        </w:tc>
        <w:tc>
          <w:tcPr>
            <w:tcW w:w="4215" w:type="pct"/>
            <w:gridSpan w:val="4"/>
            <w:tcMar>
              <w:left w:w="20" w:type="dxa"/>
              <w:right w:w="20" w:type="dxa"/>
            </w:tcMar>
            <w:vAlign w:val="center"/>
          </w:tcPr>
          <w:p w14:paraId="60BBF160" w14:textId="77777777" w:rsidR="00241558" w:rsidRDefault="00241558" w:rsidP="006702DC">
            <w:pPr>
              <w:rPr>
                <w:rFonts w:ascii="Arial Narrow" w:hAnsi="Arial Narrow"/>
                <w:b/>
                <w:bCs/>
                <w:color w:val="333333"/>
                <w:sz w:val="20"/>
                <w:szCs w:val="20"/>
              </w:rPr>
            </w:pPr>
            <w:r w:rsidRPr="002A4556">
              <w:rPr>
                <w:rFonts w:ascii="Arial Narrow" w:hAnsi="Arial Narrow"/>
                <w:b/>
                <w:bCs/>
                <w:i/>
                <w:iCs/>
                <w:color w:val="333333"/>
                <w:sz w:val="20"/>
                <w:szCs w:val="20"/>
              </w:rPr>
              <w:t>Administrative Advice:</w:t>
            </w:r>
            <w:r>
              <w:rPr>
                <w:rFonts w:ascii="Arial Narrow" w:hAnsi="Arial Narrow"/>
                <w:b/>
                <w:bCs/>
                <w:i/>
                <w:iCs/>
                <w:color w:val="333333"/>
                <w:sz w:val="20"/>
                <w:szCs w:val="20"/>
              </w:rPr>
              <w:t xml:space="preserve"> </w:t>
            </w:r>
            <w:r w:rsidRPr="002A4556">
              <w:rPr>
                <w:rFonts w:ascii="Arial Narrow" w:hAnsi="Arial Narrow" w:cs="Open Sans"/>
                <w:i/>
                <w:iCs/>
                <w:color w:val="222222"/>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241558" w14:paraId="3411AF88"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vMerge w:val="restart"/>
            <w:tcMar>
              <w:left w:w="20" w:type="dxa"/>
              <w:right w:w="20" w:type="dxa"/>
            </w:tcMar>
            <w:vAlign w:val="center"/>
          </w:tcPr>
          <w:p w14:paraId="03133BEA" w14:textId="77777777" w:rsidR="00241558" w:rsidRDefault="00241558" w:rsidP="006702DC">
            <w:pPr>
              <w:keepLines/>
              <w:jc w:val="center"/>
              <w:rPr>
                <w:rFonts w:ascii="Arial Narrow" w:hAnsi="Arial Narrow"/>
                <w:color w:val="333333"/>
                <w:sz w:val="20"/>
                <w:szCs w:val="20"/>
              </w:rPr>
            </w:pPr>
          </w:p>
        </w:tc>
        <w:tc>
          <w:tcPr>
            <w:tcW w:w="4215" w:type="pct"/>
            <w:gridSpan w:val="4"/>
            <w:tcMar>
              <w:left w:w="20" w:type="dxa"/>
              <w:right w:w="20" w:type="dxa"/>
            </w:tcMar>
            <w:vAlign w:val="center"/>
          </w:tcPr>
          <w:p w14:paraId="13EE3270" w14:textId="77777777" w:rsidR="00241558" w:rsidRDefault="00241558" w:rsidP="006702DC">
            <w:pPr>
              <w:keepLines/>
              <w:rPr>
                <w:rFonts w:ascii="Arial Narrow" w:hAnsi="Arial Narrow"/>
                <w:bCs/>
                <w:color w:val="333333"/>
                <w:sz w:val="20"/>
                <w:szCs w:val="20"/>
              </w:rPr>
            </w:pPr>
            <w:r>
              <w:rPr>
                <w:rFonts w:ascii="Arial Narrow" w:hAnsi="Arial Narrow"/>
                <w:b/>
                <w:bCs/>
                <w:color w:val="333333"/>
                <w:sz w:val="20"/>
                <w:szCs w:val="20"/>
              </w:rPr>
              <w:t>Episodicity:</w:t>
            </w:r>
            <w:r>
              <w:rPr>
                <w:rFonts w:ascii="Arial Narrow" w:hAnsi="Arial Narrow"/>
                <w:bCs/>
                <w:color w:val="FF0000"/>
                <w:sz w:val="20"/>
                <w:szCs w:val="20"/>
              </w:rPr>
              <w:t xml:space="preserve"> </w:t>
            </w:r>
            <w:r>
              <w:rPr>
                <w:rFonts w:ascii="Arial Narrow" w:hAnsi="Arial Narrow"/>
                <w:bCs/>
                <w:sz w:val="20"/>
                <w:szCs w:val="20"/>
              </w:rPr>
              <w:t>[blank]</w:t>
            </w:r>
          </w:p>
        </w:tc>
      </w:tr>
      <w:tr w:rsidR="00241558" w14:paraId="6BA87033"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vMerge/>
            <w:tcMar>
              <w:left w:w="20" w:type="dxa"/>
              <w:right w:w="20" w:type="dxa"/>
            </w:tcMar>
            <w:vAlign w:val="center"/>
          </w:tcPr>
          <w:p w14:paraId="2587D1C5" w14:textId="77777777" w:rsidR="00241558" w:rsidRDefault="00241558" w:rsidP="006702DC">
            <w:pPr>
              <w:keepLines/>
              <w:jc w:val="center"/>
              <w:rPr>
                <w:rFonts w:ascii="Arial Narrow" w:hAnsi="Arial Narrow"/>
                <w:color w:val="333333"/>
                <w:sz w:val="20"/>
                <w:szCs w:val="20"/>
              </w:rPr>
            </w:pPr>
          </w:p>
        </w:tc>
        <w:tc>
          <w:tcPr>
            <w:tcW w:w="4215" w:type="pct"/>
            <w:gridSpan w:val="4"/>
            <w:tcMar>
              <w:left w:w="20" w:type="dxa"/>
              <w:right w:w="20" w:type="dxa"/>
            </w:tcMar>
            <w:vAlign w:val="center"/>
          </w:tcPr>
          <w:p w14:paraId="6687327A" w14:textId="77777777" w:rsidR="00241558" w:rsidRDefault="00241558" w:rsidP="006702DC">
            <w:pPr>
              <w:keepLines/>
              <w:rPr>
                <w:rFonts w:ascii="Arial Narrow" w:hAnsi="Arial Narrow"/>
                <w:b/>
                <w:bCs/>
                <w:color w:val="333333"/>
                <w:sz w:val="20"/>
                <w:szCs w:val="20"/>
              </w:rPr>
            </w:pPr>
            <w:r>
              <w:rPr>
                <w:rFonts w:ascii="Arial Narrow" w:hAnsi="Arial Narrow"/>
                <w:b/>
                <w:bCs/>
                <w:color w:val="333333"/>
                <w:sz w:val="20"/>
                <w:szCs w:val="20"/>
              </w:rPr>
              <w:t xml:space="preserve">Severity: </w:t>
            </w:r>
            <w:r w:rsidRPr="00CC73BB">
              <w:rPr>
                <w:rFonts w:ascii="Arial Narrow" w:hAnsi="Arial Narrow"/>
                <w:color w:val="333333"/>
                <w:sz w:val="20"/>
                <w:szCs w:val="20"/>
              </w:rPr>
              <w:t xml:space="preserve">Advanced </w:t>
            </w:r>
            <w:r w:rsidRPr="00AE3DAD">
              <w:rPr>
                <w:rFonts w:ascii="Arial Narrow" w:hAnsi="Arial Narrow"/>
                <w:strike/>
                <w:color w:val="333333"/>
                <w:sz w:val="20"/>
                <w:szCs w:val="20"/>
              </w:rPr>
              <w:t>disease</w:t>
            </w:r>
            <w:r w:rsidRPr="00CC73BB">
              <w:rPr>
                <w:rFonts w:ascii="Arial Narrow" w:hAnsi="Arial Narrow"/>
                <w:color w:val="333333"/>
                <w:sz w:val="20"/>
                <w:szCs w:val="20"/>
              </w:rPr>
              <w:t xml:space="preserve"> (unresectable or metastatic)</w:t>
            </w:r>
          </w:p>
        </w:tc>
      </w:tr>
      <w:tr w:rsidR="00241558" w14:paraId="502751CD"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vMerge/>
            <w:tcMar>
              <w:left w:w="20" w:type="dxa"/>
              <w:right w:w="20" w:type="dxa"/>
            </w:tcMar>
            <w:vAlign w:val="center"/>
          </w:tcPr>
          <w:p w14:paraId="37E5345D" w14:textId="77777777" w:rsidR="00241558" w:rsidRDefault="00241558" w:rsidP="006702DC">
            <w:pPr>
              <w:keepLines/>
              <w:jc w:val="center"/>
              <w:rPr>
                <w:rFonts w:ascii="Arial Narrow" w:hAnsi="Arial Narrow"/>
                <w:color w:val="333333"/>
                <w:sz w:val="20"/>
                <w:szCs w:val="20"/>
              </w:rPr>
            </w:pPr>
          </w:p>
        </w:tc>
        <w:tc>
          <w:tcPr>
            <w:tcW w:w="4215" w:type="pct"/>
            <w:gridSpan w:val="4"/>
            <w:tcMar>
              <w:left w:w="20" w:type="dxa"/>
              <w:right w:w="20" w:type="dxa"/>
            </w:tcMar>
            <w:vAlign w:val="center"/>
          </w:tcPr>
          <w:p w14:paraId="6F16938C" w14:textId="77777777" w:rsidR="00241558" w:rsidRDefault="00241558" w:rsidP="006702DC">
            <w:pPr>
              <w:keepLines/>
              <w:rPr>
                <w:rFonts w:ascii="Arial Narrow" w:hAnsi="Arial Narrow"/>
                <w:b/>
                <w:bCs/>
                <w:color w:val="333333"/>
                <w:sz w:val="20"/>
                <w:szCs w:val="20"/>
              </w:rPr>
            </w:pPr>
            <w:r>
              <w:rPr>
                <w:rFonts w:ascii="Arial Narrow" w:hAnsi="Arial Narrow"/>
                <w:b/>
                <w:bCs/>
                <w:color w:val="333333"/>
                <w:sz w:val="20"/>
                <w:szCs w:val="20"/>
              </w:rPr>
              <w:t xml:space="preserve">Condition: </w:t>
            </w:r>
            <w:r>
              <w:rPr>
                <w:rFonts w:ascii="Arial Narrow" w:hAnsi="Arial Narrow"/>
                <w:bCs/>
                <w:color w:val="FF0000"/>
                <w:sz w:val="20"/>
                <w:szCs w:val="20"/>
              </w:rPr>
              <w:t xml:space="preserve"> </w:t>
            </w:r>
            <w:r>
              <w:rPr>
                <w:rFonts w:ascii="Arial Narrow" w:hAnsi="Arial Narrow"/>
                <w:bCs/>
                <w:color w:val="333333"/>
                <w:sz w:val="20"/>
                <w:szCs w:val="20"/>
              </w:rPr>
              <w:t>Uveal melanoma</w:t>
            </w:r>
          </w:p>
        </w:tc>
      </w:tr>
      <w:tr w:rsidR="00241558" w14:paraId="1B31DF19"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0F7A0DB4" w14:textId="77777777" w:rsidR="00241558" w:rsidRDefault="00241558" w:rsidP="006702DC">
            <w:pPr>
              <w:keepLines/>
              <w:jc w:val="center"/>
              <w:rPr>
                <w:rFonts w:ascii="Arial Narrow" w:hAnsi="Arial Narrow"/>
                <w:color w:val="333333"/>
                <w:sz w:val="20"/>
                <w:szCs w:val="20"/>
              </w:rPr>
            </w:pPr>
          </w:p>
        </w:tc>
        <w:tc>
          <w:tcPr>
            <w:tcW w:w="4215" w:type="pct"/>
            <w:gridSpan w:val="4"/>
            <w:tcMar>
              <w:left w:w="20" w:type="dxa"/>
              <w:right w:w="20" w:type="dxa"/>
            </w:tcMar>
            <w:vAlign w:val="center"/>
            <w:hideMark/>
          </w:tcPr>
          <w:p w14:paraId="586C58E7" w14:textId="77777777" w:rsidR="00241558" w:rsidRPr="00AE3DAD" w:rsidRDefault="00241558" w:rsidP="006702DC">
            <w:pPr>
              <w:rPr>
                <w:rFonts w:ascii="Arial Narrow" w:hAnsi="Arial Narrow" w:cs="Times New Roman"/>
                <w:strike/>
                <w:sz w:val="20"/>
                <w:szCs w:val="20"/>
              </w:rPr>
            </w:pPr>
            <w:r w:rsidRPr="002A4556">
              <w:rPr>
                <w:rFonts w:ascii="Arial Narrow" w:hAnsi="Arial Narrow" w:cs="Times New Roman"/>
                <w:b/>
                <w:bCs/>
                <w:sz w:val="20"/>
                <w:szCs w:val="20"/>
              </w:rPr>
              <w:t>Indication:</w:t>
            </w:r>
            <w:r w:rsidRPr="00DA45BE">
              <w:rPr>
                <w:rFonts w:ascii="Arial Narrow" w:hAnsi="Arial Narrow" w:cs="Times New Roman"/>
                <w:sz w:val="18"/>
                <w:szCs w:val="18"/>
              </w:rPr>
              <w:t xml:space="preserve"> </w:t>
            </w:r>
            <w:r w:rsidRPr="00AE3DAD">
              <w:rPr>
                <w:rFonts w:ascii="Arial Narrow" w:hAnsi="Arial Narrow" w:cs="Times New Roman"/>
                <w:strike/>
                <w:sz w:val="20"/>
                <w:szCs w:val="20"/>
              </w:rPr>
              <w:t>KIMMTRAK is indicated as monotherapy for the treatment of human leukocyte antigen</w:t>
            </w:r>
          </w:p>
          <w:p w14:paraId="4F9B7DB1" w14:textId="77777777" w:rsidR="00241558" w:rsidRPr="00AE3DAD" w:rsidRDefault="00241558" w:rsidP="006702DC">
            <w:pPr>
              <w:keepLines/>
              <w:rPr>
                <w:rFonts w:ascii="Arial Narrow" w:hAnsi="Arial Narrow"/>
                <w:color w:val="333333"/>
                <w:sz w:val="20"/>
                <w:szCs w:val="20"/>
              </w:rPr>
            </w:pPr>
            <w:r w:rsidRPr="00AE3DAD">
              <w:rPr>
                <w:rFonts w:ascii="Arial Narrow" w:hAnsi="Arial Narrow" w:cs="Times New Roman"/>
                <w:strike/>
                <w:sz w:val="20"/>
                <w:szCs w:val="20"/>
              </w:rPr>
              <w:t>(HLA)-A*02:01-positive adult patients with unresectable or metastatic uveal melanoma</w:t>
            </w:r>
            <w:r>
              <w:rPr>
                <w:rFonts w:ascii="Arial Narrow" w:hAnsi="Arial Narrow" w:cs="Times New Roman"/>
                <w:sz w:val="20"/>
                <w:szCs w:val="20"/>
              </w:rPr>
              <w:t xml:space="preserve"> </w:t>
            </w:r>
            <w:r w:rsidRPr="00AE3DAD">
              <w:rPr>
                <w:rFonts w:ascii="Arial Narrow" w:hAnsi="Arial Narrow" w:cs="Times New Roman"/>
                <w:i/>
                <w:iCs/>
                <w:sz w:val="20"/>
                <w:szCs w:val="20"/>
              </w:rPr>
              <w:t>Advanced (unresectable or metastatic) uveal melanoma</w:t>
            </w:r>
          </w:p>
        </w:tc>
      </w:tr>
      <w:tr w:rsidR="00241558" w14:paraId="024E14B8"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634875DB" w14:textId="77777777" w:rsidR="00241558" w:rsidRDefault="00241558" w:rsidP="006702DC">
            <w:pPr>
              <w:jc w:val="center"/>
              <w:rPr>
                <w:rFonts w:ascii="Arial Narrow" w:hAnsi="Arial Narrow"/>
                <w:color w:val="333333"/>
                <w:sz w:val="20"/>
                <w:szCs w:val="20"/>
              </w:rPr>
            </w:pPr>
          </w:p>
        </w:tc>
        <w:tc>
          <w:tcPr>
            <w:tcW w:w="4215" w:type="pct"/>
            <w:gridSpan w:val="4"/>
            <w:tcMar>
              <w:left w:w="20" w:type="dxa"/>
              <w:right w:w="20" w:type="dxa"/>
            </w:tcMar>
            <w:vAlign w:val="center"/>
            <w:hideMark/>
          </w:tcPr>
          <w:p w14:paraId="6DDE401A" w14:textId="77777777" w:rsidR="00241558" w:rsidRDefault="00241558" w:rsidP="006702DC">
            <w:pPr>
              <w:rPr>
                <w:rFonts w:ascii="Arial Narrow" w:hAnsi="Arial Narrow"/>
                <w:color w:val="FF0000"/>
                <w:sz w:val="20"/>
                <w:szCs w:val="20"/>
              </w:rPr>
            </w:pPr>
            <w:r>
              <w:rPr>
                <w:rFonts w:ascii="Arial Narrow" w:hAnsi="Arial Narrow"/>
                <w:b/>
                <w:bCs/>
                <w:color w:val="333333"/>
                <w:sz w:val="20"/>
                <w:szCs w:val="20"/>
              </w:rPr>
              <w:t>Treatment Phase</w:t>
            </w:r>
            <w:r>
              <w:rPr>
                <w:rFonts w:ascii="Arial Narrow" w:hAnsi="Arial Narrow"/>
                <w:b/>
                <w:bCs/>
                <w:sz w:val="20"/>
                <w:szCs w:val="20"/>
              </w:rPr>
              <w:t>:</w:t>
            </w:r>
            <w:r>
              <w:rPr>
                <w:rFonts w:ascii="Arial Narrow" w:hAnsi="Arial Narrow"/>
                <w:sz w:val="20"/>
                <w:szCs w:val="20"/>
              </w:rPr>
              <w:t xml:space="preserve"> Initial treatment     </w:t>
            </w:r>
          </w:p>
        </w:tc>
      </w:tr>
      <w:tr w:rsidR="00241558" w14:paraId="51AF0ECB" w14:textId="77777777" w:rsidTr="00241558">
        <w:tblPrEx>
          <w:tblCellMar>
            <w:top w:w="15" w:type="dxa"/>
            <w:bottom w:w="15" w:type="dxa"/>
          </w:tblCellMar>
          <w:tblLook w:val="04A0" w:firstRow="1" w:lastRow="0" w:firstColumn="1" w:lastColumn="0" w:noHBand="0" w:noVBand="1"/>
        </w:tblPrEx>
        <w:trPr>
          <w:cantSplit/>
          <w:trHeight w:val="20"/>
        </w:trPr>
        <w:tc>
          <w:tcPr>
            <w:tcW w:w="5000" w:type="pct"/>
            <w:gridSpan w:val="6"/>
            <w:tcMar>
              <w:left w:w="20" w:type="dxa"/>
              <w:right w:w="20" w:type="dxa"/>
            </w:tcMar>
            <w:vAlign w:val="center"/>
          </w:tcPr>
          <w:p w14:paraId="087D8048" w14:textId="77777777" w:rsidR="00241558" w:rsidRDefault="00241558" w:rsidP="006702DC">
            <w:pPr>
              <w:rPr>
                <w:rFonts w:ascii="Arial Narrow" w:hAnsi="Arial Narrow"/>
                <w:b/>
                <w:bCs/>
                <w:color w:val="333333"/>
                <w:sz w:val="20"/>
                <w:szCs w:val="20"/>
              </w:rPr>
            </w:pPr>
          </w:p>
        </w:tc>
      </w:tr>
      <w:tr w:rsidR="00241558" w14:paraId="6D2F9971"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43D75AE7"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hideMark/>
          </w:tcPr>
          <w:p w14:paraId="37C72051" w14:textId="77777777" w:rsidR="00241558" w:rsidRDefault="00241558" w:rsidP="006702DC">
            <w:pPr>
              <w:rPr>
                <w:rFonts w:ascii="Arial Narrow" w:hAnsi="Arial Narrow"/>
                <w:color w:val="FF0000"/>
                <w:sz w:val="20"/>
                <w:szCs w:val="20"/>
              </w:rPr>
            </w:pPr>
            <w:r>
              <w:rPr>
                <w:rFonts w:ascii="Arial Narrow" w:hAnsi="Arial Narrow"/>
                <w:b/>
                <w:bCs/>
                <w:color w:val="333333"/>
                <w:sz w:val="20"/>
                <w:szCs w:val="20"/>
              </w:rPr>
              <w:t xml:space="preserve">Clinical criteria: </w:t>
            </w:r>
          </w:p>
        </w:tc>
      </w:tr>
      <w:tr w:rsidR="00241558" w14:paraId="51D35375"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561E71F8"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hideMark/>
          </w:tcPr>
          <w:p w14:paraId="690722EA" w14:textId="77777777" w:rsidR="00241558" w:rsidRPr="008A18A6" w:rsidRDefault="00241558" w:rsidP="006702DC">
            <w:pPr>
              <w:rPr>
                <w:rFonts w:ascii="Arial Narrow" w:hAnsi="Arial Narrow" w:cs="Times New Roman"/>
                <w:color w:val="333333"/>
                <w:sz w:val="20"/>
                <w:szCs w:val="20"/>
              </w:rPr>
            </w:pPr>
            <w:r w:rsidRPr="00AE3DAD">
              <w:rPr>
                <w:rFonts w:ascii="Arial Narrow" w:eastAsia="Calibri" w:hAnsi="Arial Narrow" w:cs="Arial Narrow"/>
                <w:sz w:val="20"/>
                <w:szCs w:val="20"/>
              </w:rPr>
              <w:t xml:space="preserve">The patient must </w:t>
            </w:r>
            <w:r w:rsidRPr="008E1476">
              <w:rPr>
                <w:rFonts w:ascii="Arial Narrow" w:eastAsia="Calibri" w:hAnsi="Arial Narrow" w:cs="Arial Narrow"/>
                <w:strike/>
                <w:sz w:val="20"/>
                <w:szCs w:val="20"/>
              </w:rPr>
              <w:t>be</w:t>
            </w:r>
            <w:r w:rsidRPr="00AE3DAD">
              <w:rPr>
                <w:rFonts w:ascii="Arial Narrow" w:eastAsia="Calibri" w:hAnsi="Arial Narrow" w:cs="Arial Narrow"/>
                <w:sz w:val="20"/>
                <w:szCs w:val="20"/>
              </w:rPr>
              <w:t xml:space="preserve"> </w:t>
            </w:r>
            <w:r w:rsidRPr="008E1476">
              <w:rPr>
                <w:rFonts w:ascii="Arial Narrow" w:eastAsia="Calibri" w:hAnsi="Arial Narrow" w:cs="Arial Narrow"/>
                <w:i/>
                <w:iCs/>
                <w:sz w:val="20"/>
                <w:szCs w:val="20"/>
              </w:rPr>
              <w:t>have</w:t>
            </w:r>
            <w:r>
              <w:rPr>
                <w:rFonts w:ascii="Arial Narrow" w:eastAsia="Calibri" w:hAnsi="Arial Narrow" w:cs="Arial Narrow"/>
                <w:sz w:val="20"/>
                <w:szCs w:val="20"/>
              </w:rPr>
              <w:t xml:space="preserve"> </w:t>
            </w:r>
            <w:r w:rsidRPr="00AE3DAD">
              <w:rPr>
                <w:rFonts w:ascii="Arial Narrow" w:hAnsi="Arial Narrow" w:cs="Times New Roman"/>
                <w:color w:val="333333"/>
                <w:sz w:val="20"/>
                <w:szCs w:val="20"/>
              </w:rPr>
              <w:t>HLA-A*02:01-positive</w:t>
            </w:r>
            <w:r>
              <w:rPr>
                <w:rFonts w:ascii="Arial Narrow" w:hAnsi="Arial Narrow" w:cs="Times New Roman"/>
                <w:color w:val="333333"/>
                <w:sz w:val="20"/>
                <w:szCs w:val="20"/>
              </w:rPr>
              <w:t xml:space="preserve"> </w:t>
            </w:r>
            <w:r w:rsidRPr="008E1476">
              <w:rPr>
                <w:rFonts w:ascii="Arial Narrow" w:hAnsi="Arial Narrow" w:cs="Times New Roman"/>
                <w:i/>
                <w:iCs/>
                <w:color w:val="333333"/>
                <w:sz w:val="20"/>
                <w:szCs w:val="20"/>
              </w:rPr>
              <w:t>disease</w:t>
            </w:r>
          </w:p>
        </w:tc>
      </w:tr>
      <w:tr w:rsidR="00241558" w14:paraId="6B133360"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hideMark/>
          </w:tcPr>
          <w:p w14:paraId="33359149"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hideMark/>
          </w:tcPr>
          <w:p w14:paraId="291378EF" w14:textId="77777777" w:rsidR="00241558" w:rsidRDefault="00241558" w:rsidP="006702DC">
            <w:pPr>
              <w:rPr>
                <w:rFonts w:ascii="Arial Narrow" w:hAnsi="Arial Narrow"/>
                <w:color w:val="333333"/>
                <w:sz w:val="20"/>
                <w:szCs w:val="20"/>
              </w:rPr>
            </w:pPr>
            <w:r>
              <w:rPr>
                <w:rFonts w:ascii="Arial Narrow" w:hAnsi="Arial Narrow"/>
                <w:b/>
                <w:bCs/>
                <w:color w:val="333333"/>
                <w:sz w:val="20"/>
                <w:szCs w:val="20"/>
              </w:rPr>
              <w:t>AND</w:t>
            </w:r>
          </w:p>
        </w:tc>
      </w:tr>
      <w:tr w:rsidR="00241558" w14:paraId="42F62F4C"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5AA6DFD0"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hideMark/>
          </w:tcPr>
          <w:p w14:paraId="4EE504CE" w14:textId="77777777" w:rsidR="00241558" w:rsidRDefault="00241558" w:rsidP="006702DC">
            <w:pPr>
              <w:rPr>
                <w:rFonts w:ascii="Arial Narrow" w:hAnsi="Arial Narrow"/>
                <w:color w:val="333333"/>
                <w:sz w:val="20"/>
                <w:szCs w:val="20"/>
              </w:rPr>
            </w:pPr>
            <w:r>
              <w:rPr>
                <w:rFonts w:ascii="Arial Narrow" w:hAnsi="Arial Narrow"/>
                <w:b/>
                <w:bCs/>
                <w:color w:val="333333"/>
                <w:sz w:val="20"/>
                <w:szCs w:val="20"/>
              </w:rPr>
              <w:t>Clinical criteria:</w:t>
            </w:r>
          </w:p>
        </w:tc>
      </w:tr>
      <w:tr w:rsidR="00241558" w14:paraId="59E93A13"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798155FD"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tcPr>
          <w:p w14:paraId="71CCD3E0" w14:textId="77777777" w:rsidR="00241558" w:rsidRPr="00AE3DAD" w:rsidRDefault="00241558" w:rsidP="006702DC">
            <w:pPr>
              <w:rPr>
                <w:rFonts w:ascii="Arial Narrow" w:eastAsia="Calibri" w:hAnsi="Arial Narrow" w:cs="Arial Narrow"/>
                <w:sz w:val="20"/>
                <w:szCs w:val="20"/>
              </w:rPr>
            </w:pPr>
            <w:r w:rsidRPr="008A18A6">
              <w:rPr>
                <w:rFonts w:ascii="Arial Narrow" w:eastAsia="Calibri" w:hAnsi="Arial Narrow" w:cs="Arial Narrow"/>
                <w:i/>
                <w:iCs/>
                <w:sz w:val="20"/>
                <w:szCs w:val="20"/>
              </w:rPr>
              <w:t>The patient must have</w:t>
            </w:r>
            <w:r>
              <w:rPr>
                <w:rFonts w:ascii="Arial Narrow" w:eastAsia="Calibri" w:hAnsi="Arial Narrow" w:cs="Arial Narrow"/>
                <w:sz w:val="20"/>
                <w:szCs w:val="20"/>
              </w:rPr>
              <w:t xml:space="preserve"> </w:t>
            </w:r>
            <w:r w:rsidRPr="008E1476">
              <w:rPr>
                <w:rFonts w:ascii="Arial Narrow" w:eastAsia="Calibri" w:hAnsi="Arial Narrow" w:cs="Arial Narrow"/>
                <w:i/>
                <w:iCs/>
                <w:sz w:val="20"/>
                <w:szCs w:val="20"/>
              </w:rPr>
              <w:t>uveal melanoma that has been confirmed either (i)</w:t>
            </w:r>
            <w:r>
              <w:rPr>
                <w:rFonts w:ascii="Arial Narrow" w:eastAsia="Calibri" w:hAnsi="Arial Narrow" w:cs="Arial Narrow"/>
                <w:sz w:val="20"/>
                <w:szCs w:val="20"/>
              </w:rPr>
              <w:t xml:space="preserve"> </w:t>
            </w:r>
            <w:r w:rsidRPr="008A18A6">
              <w:rPr>
                <w:rFonts w:ascii="Arial Narrow" w:eastAsia="Calibri" w:hAnsi="Arial Narrow" w:cs="Arial Narrow"/>
                <w:strike/>
                <w:sz w:val="20"/>
                <w:szCs w:val="20"/>
              </w:rPr>
              <w:t>H</w:t>
            </w:r>
            <w:r w:rsidRPr="008A18A6">
              <w:rPr>
                <w:rFonts w:ascii="Arial Narrow" w:eastAsia="Calibri" w:hAnsi="Arial Narrow" w:cs="Arial Narrow"/>
                <w:i/>
                <w:iCs/>
                <w:sz w:val="20"/>
                <w:szCs w:val="20"/>
              </w:rPr>
              <w:t>h</w:t>
            </w:r>
            <w:r w:rsidRPr="00AE3DAD">
              <w:rPr>
                <w:rFonts w:ascii="Arial Narrow" w:eastAsia="Calibri" w:hAnsi="Arial Narrow" w:cs="Arial Narrow"/>
                <w:sz w:val="20"/>
                <w:szCs w:val="20"/>
              </w:rPr>
              <w:t>istologically</w:t>
            </w:r>
            <w:r>
              <w:rPr>
                <w:rFonts w:ascii="Arial Narrow" w:eastAsia="Calibri" w:hAnsi="Arial Narrow" w:cs="Arial Narrow"/>
                <w:sz w:val="20"/>
                <w:szCs w:val="20"/>
              </w:rPr>
              <w:t>,</w:t>
            </w:r>
            <w:r w:rsidRPr="00AE3DAD">
              <w:rPr>
                <w:rFonts w:ascii="Arial Narrow" w:eastAsia="Calibri" w:hAnsi="Arial Narrow" w:cs="Arial Narrow"/>
                <w:sz w:val="20"/>
                <w:szCs w:val="20"/>
              </w:rPr>
              <w:t xml:space="preserve"> </w:t>
            </w:r>
            <w:r w:rsidRPr="008E1476">
              <w:rPr>
                <w:rFonts w:ascii="Arial Narrow" w:eastAsia="Calibri" w:hAnsi="Arial Narrow" w:cs="Arial Narrow"/>
                <w:strike/>
                <w:sz w:val="20"/>
                <w:szCs w:val="20"/>
              </w:rPr>
              <w:t>or</w:t>
            </w:r>
            <w:r w:rsidRPr="00AE3DAD">
              <w:rPr>
                <w:rFonts w:ascii="Arial Narrow" w:eastAsia="Calibri" w:hAnsi="Arial Narrow" w:cs="Arial Narrow"/>
                <w:sz w:val="20"/>
                <w:szCs w:val="20"/>
              </w:rPr>
              <w:t xml:space="preserve"> </w:t>
            </w:r>
            <w:r w:rsidRPr="008E1476">
              <w:rPr>
                <w:rFonts w:ascii="Arial Narrow" w:eastAsia="Calibri" w:hAnsi="Arial Narrow" w:cs="Arial Narrow"/>
                <w:i/>
                <w:iCs/>
                <w:sz w:val="20"/>
                <w:szCs w:val="20"/>
              </w:rPr>
              <w:t>(ii)</w:t>
            </w:r>
            <w:r>
              <w:rPr>
                <w:rFonts w:ascii="Arial Narrow" w:eastAsia="Calibri" w:hAnsi="Arial Narrow" w:cs="Arial Narrow"/>
                <w:sz w:val="20"/>
                <w:szCs w:val="20"/>
              </w:rPr>
              <w:t xml:space="preserve"> </w:t>
            </w:r>
            <w:r w:rsidRPr="00AE3DAD">
              <w:rPr>
                <w:rFonts w:ascii="Arial Narrow" w:eastAsia="Calibri" w:hAnsi="Arial Narrow" w:cs="Arial Narrow"/>
                <w:sz w:val="20"/>
                <w:szCs w:val="20"/>
              </w:rPr>
              <w:t xml:space="preserve">cytologically </w:t>
            </w:r>
            <w:r w:rsidRPr="008E1476">
              <w:rPr>
                <w:rFonts w:ascii="Arial Narrow" w:eastAsia="Calibri" w:hAnsi="Arial Narrow" w:cs="Arial Narrow"/>
                <w:strike/>
                <w:sz w:val="20"/>
                <w:szCs w:val="20"/>
              </w:rPr>
              <w:t>confirmed metastatic UM or unresectable UM patients</w:t>
            </w:r>
          </w:p>
        </w:tc>
      </w:tr>
      <w:tr w:rsidR="00241558" w14:paraId="0E27A471"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6365D4ED"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hideMark/>
          </w:tcPr>
          <w:p w14:paraId="54A662C3" w14:textId="77777777" w:rsidR="00241558" w:rsidRPr="00AE3DAD" w:rsidRDefault="00241558" w:rsidP="006702DC">
            <w:pPr>
              <w:rPr>
                <w:rFonts w:ascii="Arial Narrow" w:hAnsi="Arial Narrow"/>
                <w:color w:val="333333"/>
                <w:sz w:val="20"/>
                <w:szCs w:val="20"/>
              </w:rPr>
            </w:pPr>
            <w:r w:rsidRPr="00AE3DAD">
              <w:rPr>
                <w:rFonts w:ascii="Arial Narrow" w:hAnsi="Arial Narrow"/>
                <w:b/>
                <w:bCs/>
                <w:color w:val="333333"/>
                <w:sz w:val="20"/>
                <w:szCs w:val="20"/>
              </w:rPr>
              <w:t>AND</w:t>
            </w:r>
          </w:p>
        </w:tc>
      </w:tr>
      <w:tr w:rsidR="00241558" w14:paraId="2C7B14B2"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21DC2F1C"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hideMark/>
          </w:tcPr>
          <w:p w14:paraId="17081785" w14:textId="77777777" w:rsidR="00241558" w:rsidRPr="00AE3DAD" w:rsidRDefault="00241558" w:rsidP="006702DC">
            <w:pPr>
              <w:rPr>
                <w:rFonts w:ascii="Arial Narrow" w:hAnsi="Arial Narrow"/>
                <w:color w:val="333333"/>
                <w:sz w:val="20"/>
                <w:szCs w:val="20"/>
              </w:rPr>
            </w:pPr>
            <w:r w:rsidRPr="00AE3DAD">
              <w:rPr>
                <w:rFonts w:ascii="Arial Narrow" w:hAnsi="Arial Narrow"/>
                <w:b/>
                <w:bCs/>
                <w:color w:val="333333"/>
                <w:sz w:val="20"/>
                <w:szCs w:val="20"/>
              </w:rPr>
              <w:t>Clinical criteria:</w:t>
            </w:r>
          </w:p>
        </w:tc>
      </w:tr>
      <w:tr w:rsidR="00241558" w14:paraId="457BB43F"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08D5C02B"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hideMark/>
          </w:tcPr>
          <w:p w14:paraId="0B39DA63" w14:textId="77777777" w:rsidR="00241558" w:rsidRPr="00AE3DAD" w:rsidRDefault="00241558" w:rsidP="006702DC">
            <w:pPr>
              <w:rPr>
                <w:rFonts w:ascii="Arial Narrow" w:hAnsi="Arial Narrow"/>
                <w:color w:val="333333"/>
                <w:sz w:val="20"/>
                <w:szCs w:val="20"/>
              </w:rPr>
            </w:pPr>
            <w:r w:rsidRPr="00AE3DAD">
              <w:rPr>
                <w:rFonts w:ascii="Arial Narrow" w:hAnsi="Arial Narrow" w:cs="Times New Roman"/>
                <w:color w:val="333333"/>
                <w:sz w:val="20"/>
                <w:szCs w:val="20"/>
              </w:rPr>
              <w:t>The treatment must be the sole PBS subsidised therapy for this condition</w:t>
            </w:r>
          </w:p>
        </w:tc>
      </w:tr>
      <w:tr w:rsidR="00241558" w14:paraId="698D1957"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35BEBC24"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tcPr>
          <w:p w14:paraId="71447017" w14:textId="77777777" w:rsidR="00241558" w:rsidRPr="008E1476" w:rsidRDefault="00241558" w:rsidP="006702DC">
            <w:pPr>
              <w:rPr>
                <w:rFonts w:ascii="Arial Narrow" w:hAnsi="Arial Narrow" w:cs="Times New Roman"/>
                <w:b/>
                <w:bCs/>
                <w:i/>
                <w:iCs/>
                <w:color w:val="333333"/>
                <w:sz w:val="20"/>
                <w:szCs w:val="20"/>
              </w:rPr>
            </w:pPr>
            <w:r w:rsidRPr="008E1476">
              <w:rPr>
                <w:rFonts w:ascii="Arial Narrow" w:hAnsi="Arial Narrow" w:cs="Times New Roman"/>
                <w:b/>
                <w:bCs/>
                <w:i/>
                <w:iCs/>
                <w:color w:val="333333"/>
                <w:sz w:val="20"/>
                <w:szCs w:val="20"/>
              </w:rPr>
              <w:t>AND</w:t>
            </w:r>
          </w:p>
        </w:tc>
      </w:tr>
      <w:tr w:rsidR="00241558" w14:paraId="43211774"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65120987"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tcPr>
          <w:p w14:paraId="0004619B" w14:textId="77777777" w:rsidR="00241558" w:rsidRPr="008E1476" w:rsidRDefault="00241558" w:rsidP="006702DC">
            <w:pPr>
              <w:rPr>
                <w:rFonts w:ascii="Arial Narrow" w:hAnsi="Arial Narrow" w:cs="Times New Roman"/>
                <w:b/>
                <w:bCs/>
                <w:i/>
                <w:iCs/>
                <w:color w:val="333333"/>
                <w:sz w:val="20"/>
                <w:szCs w:val="20"/>
              </w:rPr>
            </w:pPr>
            <w:r w:rsidRPr="008E1476">
              <w:rPr>
                <w:rFonts w:ascii="Arial Narrow" w:hAnsi="Arial Narrow" w:cs="Times New Roman"/>
                <w:b/>
                <w:bCs/>
                <w:i/>
                <w:iCs/>
                <w:color w:val="333333"/>
                <w:sz w:val="20"/>
                <w:szCs w:val="20"/>
              </w:rPr>
              <w:t>Clinical criteria:</w:t>
            </w:r>
          </w:p>
        </w:tc>
      </w:tr>
      <w:tr w:rsidR="00241558" w14:paraId="6E160D49"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678D940F"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tcPr>
          <w:p w14:paraId="3D75DFC3" w14:textId="77777777" w:rsidR="00241558" w:rsidRPr="008E1476" w:rsidRDefault="00241558" w:rsidP="006702DC">
            <w:pPr>
              <w:rPr>
                <w:rFonts w:ascii="Arial Narrow" w:hAnsi="Arial Narrow" w:cs="Times New Roman"/>
                <w:i/>
                <w:iCs/>
                <w:color w:val="333333"/>
                <w:sz w:val="20"/>
                <w:szCs w:val="20"/>
              </w:rPr>
            </w:pPr>
            <w:r w:rsidRPr="008E1476">
              <w:rPr>
                <w:rFonts w:ascii="Arial Narrow" w:hAnsi="Arial Narrow" w:cs="Times New Roman"/>
                <w:i/>
                <w:iCs/>
                <w:color w:val="333333"/>
                <w:sz w:val="20"/>
                <w:szCs w:val="20"/>
              </w:rPr>
              <w:t>The patient must not have received prior systemic therapy for metastatic disease</w:t>
            </w:r>
          </w:p>
        </w:tc>
      </w:tr>
      <w:tr w:rsidR="00241558" w14:paraId="6730B4E2" w14:textId="77777777" w:rsidTr="00241558">
        <w:tblPrEx>
          <w:tblCellMar>
            <w:top w:w="15" w:type="dxa"/>
            <w:bottom w:w="15" w:type="dxa"/>
          </w:tblCellMar>
          <w:tblLook w:val="04A0" w:firstRow="1" w:lastRow="0" w:firstColumn="1" w:lastColumn="0" w:noHBand="0" w:noVBand="1"/>
        </w:tblPrEx>
        <w:trPr>
          <w:cantSplit/>
          <w:trHeight w:val="142"/>
        </w:trPr>
        <w:tc>
          <w:tcPr>
            <w:tcW w:w="5000" w:type="pct"/>
            <w:gridSpan w:val="6"/>
            <w:tcMar>
              <w:left w:w="20" w:type="dxa"/>
              <w:right w:w="20" w:type="dxa"/>
            </w:tcMar>
            <w:vAlign w:val="center"/>
          </w:tcPr>
          <w:p w14:paraId="5F08945E" w14:textId="77777777" w:rsidR="00241558" w:rsidRPr="00AE3DAD" w:rsidRDefault="00241558" w:rsidP="006702DC">
            <w:pPr>
              <w:rPr>
                <w:rFonts w:ascii="Arial Narrow" w:hAnsi="Arial Narrow" w:cs="Times New Roman"/>
                <w:color w:val="333333"/>
                <w:sz w:val="20"/>
                <w:szCs w:val="20"/>
              </w:rPr>
            </w:pPr>
          </w:p>
        </w:tc>
      </w:tr>
      <w:tr w:rsidR="00241558" w14:paraId="43D929FA"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52984107"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tcPr>
          <w:p w14:paraId="36039E35" w14:textId="77777777" w:rsidR="00241558" w:rsidRPr="00AE3DAD" w:rsidRDefault="00241558" w:rsidP="006702DC">
            <w:pPr>
              <w:rPr>
                <w:rFonts w:ascii="Arial Narrow" w:hAnsi="Arial Narrow" w:cs="Open Sans"/>
                <w:color w:val="333333"/>
                <w:sz w:val="20"/>
                <w:szCs w:val="20"/>
                <w:shd w:val="clear" w:color="auto" w:fill="FFFFFF"/>
              </w:rPr>
            </w:pPr>
            <w:r w:rsidRPr="00AE3DAD">
              <w:rPr>
                <w:rFonts w:ascii="Arial Narrow" w:hAnsi="Arial Narrow"/>
                <w:b/>
                <w:bCs/>
                <w:color w:val="333333"/>
                <w:sz w:val="20"/>
                <w:szCs w:val="20"/>
              </w:rPr>
              <w:t>Treatment criteria:</w:t>
            </w:r>
          </w:p>
        </w:tc>
      </w:tr>
      <w:tr w:rsidR="00241558" w14:paraId="226607E5" w14:textId="77777777" w:rsidTr="0010307B">
        <w:tblPrEx>
          <w:tblCellMar>
            <w:top w:w="15" w:type="dxa"/>
            <w:bottom w:w="15" w:type="dxa"/>
          </w:tblCellMar>
          <w:tblLook w:val="04A0" w:firstRow="1" w:lastRow="0" w:firstColumn="1" w:lastColumn="0" w:noHBand="0" w:noVBand="1"/>
        </w:tblPrEx>
        <w:trPr>
          <w:cantSplit/>
          <w:trHeight w:val="3253"/>
        </w:trPr>
        <w:tc>
          <w:tcPr>
            <w:tcW w:w="785" w:type="pct"/>
            <w:gridSpan w:val="2"/>
            <w:tcMar>
              <w:left w:w="20" w:type="dxa"/>
              <w:right w:w="20" w:type="dxa"/>
            </w:tcMar>
            <w:vAlign w:val="center"/>
          </w:tcPr>
          <w:p w14:paraId="7D2C23AC"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tcPr>
          <w:p w14:paraId="2161851B" w14:textId="77777777" w:rsidR="00241558" w:rsidRDefault="00241558" w:rsidP="006702DC">
            <w:pPr>
              <w:autoSpaceDE w:val="0"/>
              <w:autoSpaceDN w:val="0"/>
              <w:adjustRightInd w:val="0"/>
              <w:rPr>
                <w:rFonts w:ascii="Arial Narrow" w:eastAsia="Calibri" w:hAnsi="Arial Narrow" w:cs="Arial Narrow"/>
                <w:iCs/>
                <w:strike/>
                <w:sz w:val="20"/>
                <w:szCs w:val="20"/>
              </w:rPr>
            </w:pPr>
            <w:r w:rsidRPr="00D00FBE">
              <w:rPr>
                <w:rFonts w:ascii="Arial Narrow" w:eastAsia="Calibri" w:hAnsi="Arial Narrow" w:cs="Arial Narrow"/>
                <w:b/>
                <w:bCs/>
                <w:iCs/>
                <w:strike/>
                <w:sz w:val="20"/>
                <w:szCs w:val="20"/>
              </w:rPr>
              <w:t>For location</w:t>
            </w:r>
            <w:r w:rsidRPr="00D00FBE">
              <w:rPr>
                <w:rFonts w:ascii="Arial Narrow" w:eastAsia="Calibri" w:hAnsi="Arial Narrow" w:cs="Arial Narrow"/>
                <w:iCs/>
                <w:strike/>
                <w:sz w:val="20"/>
                <w:szCs w:val="20"/>
              </w:rPr>
              <w:t xml:space="preserve">: The first three doses of KIMMTRAK must be administered in a hospital setting with overnight monitoring for signs and symptoms of CRS for at least 16 hours. After 68 mcg dose level is tolerated (i.e., absence of Grade ≥ 2 hypotension requiring medical intervention), subsequent doses can be administered in appropriate outpatient ambulatory care setting. Patients should then be observed for a minimum of 30 minutes following each infusion. </w:t>
            </w:r>
          </w:p>
          <w:p w14:paraId="353C2DF5" w14:textId="77777777" w:rsidR="00241558" w:rsidRPr="00D00FBE" w:rsidRDefault="00241558" w:rsidP="006702DC">
            <w:pPr>
              <w:autoSpaceDE w:val="0"/>
              <w:autoSpaceDN w:val="0"/>
              <w:adjustRightInd w:val="0"/>
              <w:rPr>
                <w:rFonts w:ascii="Arial Narrow" w:eastAsia="Calibri" w:hAnsi="Arial Narrow" w:cs="Arial Narrow"/>
                <w:iCs/>
                <w:strike/>
                <w:sz w:val="20"/>
                <w:szCs w:val="20"/>
              </w:rPr>
            </w:pPr>
            <w:r w:rsidRPr="00D00FBE">
              <w:rPr>
                <w:rFonts w:ascii="Arial Narrow" w:eastAsia="Calibri" w:hAnsi="Arial Narrow" w:cs="Arial Narrow"/>
                <w:b/>
                <w:bCs/>
                <w:iCs/>
                <w:strike/>
                <w:sz w:val="20"/>
                <w:szCs w:val="20"/>
              </w:rPr>
              <w:t>For prescriber</w:t>
            </w:r>
            <w:r w:rsidRPr="00D00FBE">
              <w:rPr>
                <w:rFonts w:ascii="Arial Narrow" w:eastAsia="Calibri" w:hAnsi="Arial Narrow" w:cs="Arial Narrow"/>
                <w:iCs/>
                <w:strike/>
                <w:sz w:val="20"/>
                <w:szCs w:val="20"/>
              </w:rPr>
              <w:t>: For the first three doses KIMMTRAK should be administered under the direction and supervision of a physician experienced in the use of anti-cancer agents and who is prepared to manage cytokine release syndrome in an environment where full resuscitation facilities are immediately available. Subsequent doses can be administered in appropriate outpatient setting by a trained healthcare professional.</w:t>
            </w:r>
          </w:p>
          <w:p w14:paraId="60BBDEFA" w14:textId="77777777" w:rsidR="00241558" w:rsidRPr="00D00FBE" w:rsidRDefault="00241558" w:rsidP="006702DC">
            <w:pPr>
              <w:rPr>
                <w:rFonts w:ascii="Arial Narrow" w:eastAsia="Calibri" w:hAnsi="Arial Narrow" w:cs="Arial Narrow"/>
                <w:iCs/>
                <w:strike/>
                <w:sz w:val="20"/>
                <w:szCs w:val="20"/>
              </w:rPr>
            </w:pPr>
            <w:r w:rsidRPr="00D00FBE">
              <w:rPr>
                <w:rFonts w:ascii="Arial Narrow" w:hAnsi="Arial Narrow" w:cs="Open Sans"/>
                <w:i/>
                <w:iCs/>
                <w:color w:val="222222"/>
                <w:sz w:val="20"/>
                <w:szCs w:val="20"/>
              </w:rPr>
              <w:t xml:space="preserve">According to the TGA-approved Product Information, hospitalisation is recommended at minimum for the first 3 doses (on Days 1, 8 and 15) and for at least 16 hours after each infusion is completed. </w:t>
            </w:r>
            <w:r>
              <w:rPr>
                <w:rFonts w:ascii="Arial Narrow" w:hAnsi="Arial Narrow" w:cs="Open Sans"/>
                <w:i/>
                <w:iCs/>
                <w:color w:val="222222"/>
                <w:sz w:val="20"/>
                <w:szCs w:val="20"/>
              </w:rPr>
              <w:t xml:space="preserve">If the patient does not experience hypotension that is Grade 2 or worse (requiring medical intervention) with the third dose, </w:t>
            </w:r>
            <w:r w:rsidRPr="00D00FBE">
              <w:rPr>
                <w:rFonts w:ascii="Arial Narrow" w:hAnsi="Arial Narrow" w:cs="Open Sans"/>
                <w:i/>
                <w:iCs/>
                <w:color w:val="222222"/>
                <w:sz w:val="20"/>
                <w:szCs w:val="20"/>
              </w:rPr>
              <w:t>subsequent doses</w:t>
            </w:r>
            <w:r>
              <w:rPr>
                <w:rFonts w:ascii="Arial Narrow" w:hAnsi="Arial Narrow" w:cs="Open Sans"/>
                <w:i/>
                <w:iCs/>
                <w:color w:val="222222"/>
                <w:sz w:val="20"/>
                <w:szCs w:val="20"/>
              </w:rPr>
              <w:t xml:space="preserve"> can be administered in an appropriate outpatient/ambulatory care setting. S</w:t>
            </w:r>
            <w:r w:rsidRPr="00D00FBE">
              <w:rPr>
                <w:rFonts w:ascii="Arial Narrow" w:hAnsi="Arial Narrow" w:cs="Open Sans"/>
                <w:i/>
                <w:iCs/>
                <w:color w:val="222222"/>
                <w:sz w:val="20"/>
                <w:szCs w:val="20"/>
              </w:rPr>
              <w:t>upervision by a health care professional is recommended for a minimum of 30 minutes</w:t>
            </w:r>
            <w:r>
              <w:rPr>
                <w:rFonts w:ascii="Arial Narrow" w:hAnsi="Arial Narrow" w:cs="Open Sans"/>
                <w:i/>
                <w:iCs/>
                <w:color w:val="222222"/>
                <w:sz w:val="20"/>
                <w:szCs w:val="20"/>
              </w:rPr>
              <w:t xml:space="preserve"> following each infusion</w:t>
            </w:r>
            <w:r w:rsidRPr="00D00FBE">
              <w:rPr>
                <w:rFonts w:ascii="Arial Narrow" w:hAnsi="Arial Narrow" w:cs="Open Sans"/>
                <w:i/>
                <w:iCs/>
                <w:color w:val="222222"/>
                <w:sz w:val="20"/>
                <w:szCs w:val="20"/>
              </w:rPr>
              <w:t>.</w:t>
            </w:r>
          </w:p>
        </w:tc>
      </w:tr>
      <w:tr w:rsidR="00241558" w14:paraId="5ABA2389"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3F49A552" w14:textId="77777777" w:rsidR="00241558" w:rsidRDefault="00241558" w:rsidP="006702DC">
            <w:pPr>
              <w:keepLines/>
              <w:jc w:val="center"/>
              <w:rPr>
                <w:rFonts w:ascii="Arial Narrow" w:hAnsi="Arial Narrow" w:cs="Open Sans"/>
                <w:color w:val="333333"/>
                <w:sz w:val="20"/>
                <w:szCs w:val="20"/>
              </w:rPr>
            </w:pPr>
          </w:p>
        </w:tc>
        <w:tc>
          <w:tcPr>
            <w:tcW w:w="4215" w:type="pct"/>
            <w:gridSpan w:val="4"/>
            <w:shd w:val="clear" w:color="auto" w:fill="auto"/>
            <w:tcMar>
              <w:left w:w="20" w:type="dxa"/>
              <w:right w:w="20" w:type="dxa"/>
            </w:tcMar>
            <w:vAlign w:val="center"/>
          </w:tcPr>
          <w:p w14:paraId="07581F6C" w14:textId="77777777" w:rsidR="00241558" w:rsidRPr="00D00FBE" w:rsidRDefault="00241558" w:rsidP="006702DC">
            <w:pPr>
              <w:rPr>
                <w:rFonts w:ascii="Arial Narrow" w:hAnsi="Arial Narrow" w:cs="Open Sans"/>
                <w:b/>
                <w:bCs/>
                <w:i/>
                <w:iCs/>
                <w:color w:val="222222"/>
                <w:sz w:val="20"/>
                <w:szCs w:val="20"/>
              </w:rPr>
            </w:pPr>
            <w:r w:rsidRPr="00D00FBE">
              <w:rPr>
                <w:rFonts w:ascii="Arial Narrow" w:hAnsi="Arial Narrow" w:cs="Open Sans"/>
                <w:b/>
                <w:bCs/>
                <w:i/>
                <w:iCs/>
                <w:color w:val="222222"/>
                <w:sz w:val="20"/>
                <w:szCs w:val="20"/>
              </w:rPr>
              <w:t>AND</w:t>
            </w:r>
          </w:p>
        </w:tc>
      </w:tr>
      <w:tr w:rsidR="00241558" w14:paraId="46A31246"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31F22C8A" w14:textId="77777777" w:rsidR="00241558" w:rsidRDefault="00241558" w:rsidP="006702DC">
            <w:pPr>
              <w:keepLines/>
              <w:jc w:val="center"/>
              <w:rPr>
                <w:rFonts w:ascii="Arial Narrow" w:hAnsi="Arial Narrow" w:cs="Open Sans"/>
                <w:color w:val="333333"/>
                <w:sz w:val="20"/>
                <w:szCs w:val="20"/>
              </w:rPr>
            </w:pPr>
          </w:p>
        </w:tc>
        <w:tc>
          <w:tcPr>
            <w:tcW w:w="4215" w:type="pct"/>
            <w:gridSpan w:val="4"/>
            <w:shd w:val="clear" w:color="auto" w:fill="auto"/>
            <w:tcMar>
              <w:left w:w="20" w:type="dxa"/>
              <w:right w:w="20" w:type="dxa"/>
            </w:tcMar>
            <w:vAlign w:val="center"/>
          </w:tcPr>
          <w:p w14:paraId="32A387F2" w14:textId="77777777" w:rsidR="00241558" w:rsidRPr="00D00FBE" w:rsidRDefault="00241558" w:rsidP="006702DC">
            <w:pPr>
              <w:rPr>
                <w:rFonts w:ascii="Arial Narrow" w:hAnsi="Arial Narrow" w:cs="Open Sans"/>
                <w:b/>
                <w:bCs/>
                <w:i/>
                <w:iCs/>
                <w:color w:val="222222"/>
                <w:sz w:val="20"/>
                <w:szCs w:val="20"/>
              </w:rPr>
            </w:pPr>
            <w:r>
              <w:rPr>
                <w:rFonts w:ascii="Arial Narrow" w:hAnsi="Arial Narrow" w:cs="Open Sans"/>
                <w:b/>
                <w:bCs/>
                <w:i/>
                <w:iCs/>
                <w:color w:val="222222"/>
                <w:sz w:val="20"/>
                <w:szCs w:val="20"/>
              </w:rPr>
              <w:t>Treatment criteria:</w:t>
            </w:r>
          </w:p>
        </w:tc>
      </w:tr>
      <w:tr w:rsidR="00241558" w14:paraId="74D8D29D"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7900EC94" w14:textId="77777777" w:rsidR="00241558" w:rsidRDefault="00241558" w:rsidP="006702DC">
            <w:pPr>
              <w:keepLines/>
              <w:jc w:val="center"/>
              <w:rPr>
                <w:rFonts w:ascii="Arial Narrow" w:hAnsi="Arial Narrow" w:cs="Open Sans"/>
                <w:color w:val="333333"/>
                <w:sz w:val="20"/>
                <w:szCs w:val="20"/>
              </w:rPr>
            </w:pPr>
          </w:p>
        </w:tc>
        <w:tc>
          <w:tcPr>
            <w:tcW w:w="4215" w:type="pct"/>
            <w:gridSpan w:val="4"/>
            <w:shd w:val="clear" w:color="auto" w:fill="auto"/>
            <w:tcMar>
              <w:left w:w="20" w:type="dxa"/>
              <w:right w:w="20" w:type="dxa"/>
            </w:tcMar>
            <w:vAlign w:val="center"/>
          </w:tcPr>
          <w:p w14:paraId="3380F236" w14:textId="77777777" w:rsidR="00241558" w:rsidRPr="00D00FBE" w:rsidRDefault="00241558" w:rsidP="006702DC">
            <w:pPr>
              <w:rPr>
                <w:rFonts w:ascii="Arial Narrow" w:hAnsi="Arial Narrow"/>
                <w:b/>
                <w:bCs/>
                <w:i/>
                <w:iCs/>
                <w:color w:val="333333"/>
                <w:sz w:val="20"/>
                <w:szCs w:val="20"/>
              </w:rPr>
            </w:pPr>
            <w:r w:rsidRPr="00D00FBE">
              <w:rPr>
                <w:rFonts w:ascii="Arial Narrow" w:hAnsi="Arial Narrow" w:cs="Open Sans"/>
                <w:i/>
                <w:iCs/>
                <w:color w:val="222222"/>
                <w:sz w:val="20"/>
                <w:szCs w:val="20"/>
              </w:rPr>
              <w:t>Tebentafusp is not PBS-subsidised if it is administered to an in-patient in a public hospital setting</w:t>
            </w:r>
            <w:r>
              <w:rPr>
                <w:rFonts w:ascii="Arial Narrow" w:hAnsi="Arial Narrow" w:cs="Open Sans"/>
                <w:i/>
                <w:iCs/>
                <w:color w:val="222222"/>
                <w:sz w:val="20"/>
                <w:szCs w:val="20"/>
              </w:rPr>
              <w:t>.</w:t>
            </w:r>
          </w:p>
        </w:tc>
      </w:tr>
      <w:tr w:rsidR="00241558" w14:paraId="5EF46DA3" w14:textId="77777777" w:rsidTr="00241558">
        <w:tblPrEx>
          <w:tblCellMar>
            <w:top w:w="15" w:type="dxa"/>
            <w:bottom w:w="15" w:type="dxa"/>
          </w:tblCellMar>
          <w:tblLook w:val="04A0" w:firstRow="1" w:lastRow="0" w:firstColumn="1" w:lastColumn="0" w:noHBand="0" w:noVBand="1"/>
        </w:tblPrEx>
        <w:trPr>
          <w:cantSplit/>
          <w:trHeight w:val="20"/>
        </w:trPr>
        <w:tc>
          <w:tcPr>
            <w:tcW w:w="5000" w:type="pct"/>
            <w:gridSpan w:val="6"/>
            <w:tcMar>
              <w:left w:w="20" w:type="dxa"/>
              <w:right w:w="20" w:type="dxa"/>
            </w:tcMar>
            <w:vAlign w:val="center"/>
          </w:tcPr>
          <w:p w14:paraId="3D14B870" w14:textId="77777777" w:rsidR="00241558" w:rsidRPr="00AE3DAD" w:rsidRDefault="00241558" w:rsidP="006702DC">
            <w:pPr>
              <w:rPr>
                <w:rFonts w:ascii="Arial Narrow" w:hAnsi="Arial Narrow"/>
                <w:bCs/>
                <w:sz w:val="20"/>
                <w:szCs w:val="20"/>
              </w:rPr>
            </w:pPr>
          </w:p>
        </w:tc>
      </w:tr>
      <w:tr w:rsidR="00241558" w14:paraId="4AAC355C"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621EF4F5"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hideMark/>
          </w:tcPr>
          <w:p w14:paraId="58A846AD" w14:textId="77777777" w:rsidR="00241558" w:rsidRPr="00AE3DAD" w:rsidRDefault="00241558" w:rsidP="006702DC">
            <w:pPr>
              <w:rPr>
                <w:rFonts w:ascii="Arial Narrow" w:hAnsi="Arial Narrow"/>
                <w:color w:val="333333"/>
                <w:sz w:val="20"/>
                <w:szCs w:val="20"/>
              </w:rPr>
            </w:pPr>
            <w:r w:rsidRPr="00AE3DAD">
              <w:rPr>
                <w:rFonts w:ascii="Arial Narrow" w:hAnsi="Arial Narrow"/>
                <w:b/>
                <w:bCs/>
                <w:color w:val="333333"/>
                <w:sz w:val="20"/>
                <w:szCs w:val="20"/>
              </w:rPr>
              <w:t>Population criteria:</w:t>
            </w:r>
          </w:p>
        </w:tc>
      </w:tr>
      <w:tr w:rsidR="00241558" w14:paraId="1F7294DD"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4B87F472" w14:textId="77777777" w:rsidR="00241558" w:rsidRDefault="00241558" w:rsidP="006702DC">
            <w:pPr>
              <w:keepLines/>
              <w:jc w:val="center"/>
              <w:rPr>
                <w:rFonts w:ascii="Arial Narrow" w:hAnsi="Arial Narrow" w:cs="Open Sans"/>
                <w:color w:val="333333"/>
                <w:sz w:val="20"/>
                <w:szCs w:val="20"/>
              </w:rPr>
            </w:pPr>
          </w:p>
        </w:tc>
        <w:tc>
          <w:tcPr>
            <w:tcW w:w="4215" w:type="pct"/>
            <w:gridSpan w:val="4"/>
            <w:tcMar>
              <w:left w:w="20" w:type="dxa"/>
              <w:right w:w="20" w:type="dxa"/>
            </w:tcMar>
            <w:vAlign w:val="center"/>
            <w:hideMark/>
          </w:tcPr>
          <w:p w14:paraId="39B99414" w14:textId="77777777" w:rsidR="00241558" w:rsidRPr="00AE3DAD" w:rsidRDefault="00241558" w:rsidP="006702DC">
            <w:pPr>
              <w:rPr>
                <w:rFonts w:ascii="Arial Narrow" w:hAnsi="Arial Narrow"/>
                <w:color w:val="333333"/>
                <w:sz w:val="20"/>
                <w:szCs w:val="20"/>
              </w:rPr>
            </w:pPr>
            <w:r w:rsidRPr="00D00FBE">
              <w:rPr>
                <w:rFonts w:ascii="Arial Narrow" w:hAnsi="Arial Narrow" w:cs="Times New Roman"/>
                <w:strike/>
                <w:color w:val="333333"/>
                <w:sz w:val="20"/>
                <w:szCs w:val="20"/>
              </w:rPr>
              <w:t>For</w:t>
            </w:r>
            <w:r w:rsidRPr="00AE3DAD">
              <w:rPr>
                <w:rFonts w:ascii="Arial Narrow" w:hAnsi="Arial Narrow" w:cs="Times New Roman"/>
                <w:color w:val="333333"/>
                <w:sz w:val="20"/>
                <w:szCs w:val="20"/>
              </w:rPr>
              <w:t xml:space="preserve"> </w:t>
            </w:r>
            <w:r w:rsidRPr="00D00FBE">
              <w:rPr>
                <w:rFonts w:ascii="Arial Narrow" w:hAnsi="Arial Narrow" w:cs="Times New Roman"/>
                <w:strike/>
                <w:color w:val="333333"/>
                <w:sz w:val="20"/>
                <w:szCs w:val="20"/>
              </w:rPr>
              <w:t>p</w:t>
            </w:r>
            <w:r w:rsidRPr="00D00FBE">
              <w:rPr>
                <w:rFonts w:ascii="Arial Narrow" w:hAnsi="Arial Narrow" w:cs="Times New Roman"/>
                <w:i/>
                <w:iCs/>
                <w:color w:val="333333"/>
                <w:sz w:val="20"/>
                <w:szCs w:val="20"/>
              </w:rPr>
              <w:t>P</w:t>
            </w:r>
            <w:r w:rsidRPr="00AE3DAD">
              <w:rPr>
                <w:rFonts w:ascii="Arial Narrow" w:hAnsi="Arial Narrow" w:cs="Times New Roman"/>
                <w:color w:val="333333"/>
                <w:sz w:val="20"/>
                <w:szCs w:val="20"/>
              </w:rPr>
              <w:t>atient</w:t>
            </w:r>
            <w:r w:rsidRPr="00D00FBE">
              <w:rPr>
                <w:rFonts w:ascii="Arial Narrow" w:hAnsi="Arial Narrow" w:cs="Times New Roman"/>
                <w:strike/>
                <w:color w:val="333333"/>
                <w:sz w:val="20"/>
                <w:szCs w:val="20"/>
              </w:rPr>
              <w:t>s</w:t>
            </w:r>
            <w:r w:rsidRPr="00AE3DAD">
              <w:rPr>
                <w:rFonts w:ascii="Arial Narrow" w:hAnsi="Arial Narrow" w:cs="Times New Roman"/>
                <w:color w:val="333333"/>
                <w:sz w:val="20"/>
                <w:szCs w:val="20"/>
              </w:rPr>
              <w:t xml:space="preserve"> </w:t>
            </w:r>
            <w:r>
              <w:rPr>
                <w:rFonts w:ascii="Arial Narrow" w:hAnsi="Arial Narrow" w:cs="Times New Roman"/>
                <w:color w:val="333333"/>
                <w:sz w:val="20"/>
                <w:szCs w:val="20"/>
              </w:rPr>
              <w:t xml:space="preserve">must be </w:t>
            </w:r>
            <w:r w:rsidRPr="00AE3DAD">
              <w:rPr>
                <w:rFonts w:ascii="Arial Narrow" w:hAnsi="Arial Narrow" w:cs="Times New Roman"/>
                <w:color w:val="333333"/>
                <w:sz w:val="20"/>
                <w:szCs w:val="20"/>
              </w:rPr>
              <w:t xml:space="preserve">aged </w:t>
            </w:r>
            <w:r w:rsidRPr="00D00FBE">
              <w:rPr>
                <w:rFonts w:ascii="Arial Narrow" w:hAnsi="Arial Narrow" w:cs="Times New Roman"/>
                <w:i/>
                <w:iCs/>
                <w:color w:val="333333"/>
                <w:sz w:val="20"/>
                <w:szCs w:val="20"/>
              </w:rPr>
              <w:t>at least</w:t>
            </w:r>
            <w:r>
              <w:rPr>
                <w:rFonts w:ascii="Arial Narrow" w:hAnsi="Arial Narrow" w:cs="Times New Roman"/>
                <w:color w:val="333333"/>
                <w:sz w:val="20"/>
                <w:szCs w:val="20"/>
              </w:rPr>
              <w:t xml:space="preserve"> </w:t>
            </w:r>
            <w:r w:rsidRPr="00AE3DAD">
              <w:rPr>
                <w:rFonts w:ascii="Arial Narrow" w:hAnsi="Arial Narrow" w:cs="Times New Roman"/>
                <w:color w:val="333333"/>
                <w:sz w:val="20"/>
                <w:szCs w:val="20"/>
              </w:rPr>
              <w:t xml:space="preserve">18 years </w:t>
            </w:r>
            <w:r w:rsidRPr="00D00FBE">
              <w:rPr>
                <w:rFonts w:ascii="Arial Narrow" w:hAnsi="Arial Narrow" w:cs="Times New Roman"/>
                <w:strike/>
                <w:color w:val="333333"/>
                <w:sz w:val="20"/>
                <w:szCs w:val="20"/>
              </w:rPr>
              <w:t>and older</w:t>
            </w:r>
          </w:p>
        </w:tc>
      </w:tr>
      <w:tr w:rsidR="00241558" w14:paraId="00B2561B" w14:textId="77777777" w:rsidTr="00241558">
        <w:tblPrEx>
          <w:tblCellMar>
            <w:top w:w="15" w:type="dxa"/>
            <w:bottom w:w="15" w:type="dxa"/>
          </w:tblCellMar>
          <w:tblLook w:val="04A0" w:firstRow="1" w:lastRow="0" w:firstColumn="1" w:lastColumn="0" w:noHBand="0" w:noVBand="1"/>
        </w:tblPrEx>
        <w:trPr>
          <w:cantSplit/>
          <w:trHeight w:val="45"/>
        </w:trPr>
        <w:tc>
          <w:tcPr>
            <w:tcW w:w="5000" w:type="pct"/>
            <w:gridSpan w:val="6"/>
            <w:tcMar>
              <w:left w:w="20" w:type="dxa"/>
              <w:right w:w="20" w:type="dxa"/>
            </w:tcMar>
            <w:vAlign w:val="center"/>
          </w:tcPr>
          <w:p w14:paraId="09C5B4B6" w14:textId="77777777" w:rsidR="00241558" w:rsidRPr="00AE3DAD" w:rsidRDefault="00241558" w:rsidP="006702DC">
            <w:pPr>
              <w:pStyle w:val="Heading2"/>
              <w:rPr>
                <w:rFonts w:ascii="Arial Narrow" w:hAnsi="Arial Narrow" w:cs="Arial Narrow"/>
                <w:b w:val="0"/>
                <w:sz w:val="20"/>
                <w:szCs w:val="20"/>
              </w:rPr>
            </w:pPr>
          </w:p>
        </w:tc>
      </w:tr>
      <w:tr w:rsidR="00241558" w:rsidRPr="00AF0D3E" w14:paraId="1F7E8B1C"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hideMark/>
          </w:tcPr>
          <w:p w14:paraId="549DEED2" w14:textId="77777777" w:rsidR="00241558" w:rsidRPr="00AF0D3E" w:rsidRDefault="00241558" w:rsidP="006702DC">
            <w:pPr>
              <w:jc w:val="center"/>
              <w:rPr>
                <w:rFonts w:ascii="Arial Narrow" w:hAnsi="Arial Narrow"/>
                <w:color w:val="333333"/>
                <w:sz w:val="20"/>
                <w:szCs w:val="20"/>
              </w:rPr>
            </w:pPr>
          </w:p>
        </w:tc>
        <w:tc>
          <w:tcPr>
            <w:tcW w:w="4215" w:type="pct"/>
            <w:gridSpan w:val="4"/>
            <w:tcMar>
              <w:left w:w="20" w:type="dxa"/>
              <w:right w:w="20" w:type="dxa"/>
            </w:tcMar>
            <w:vAlign w:val="center"/>
            <w:hideMark/>
          </w:tcPr>
          <w:p w14:paraId="49DFE427" w14:textId="77777777" w:rsidR="00241558" w:rsidRPr="00AE3DAD" w:rsidRDefault="00241558" w:rsidP="006702DC">
            <w:pPr>
              <w:rPr>
                <w:rFonts w:ascii="Arial Narrow" w:hAnsi="Arial Narrow"/>
                <w:bCs/>
                <w:color w:val="FF0000"/>
                <w:sz w:val="20"/>
                <w:szCs w:val="20"/>
              </w:rPr>
            </w:pPr>
            <w:r w:rsidRPr="00AE3DAD">
              <w:rPr>
                <w:rFonts w:ascii="Arial Narrow" w:hAnsi="Arial Narrow"/>
                <w:b/>
                <w:bCs/>
                <w:color w:val="333333"/>
                <w:sz w:val="20"/>
                <w:szCs w:val="20"/>
              </w:rPr>
              <w:t xml:space="preserve">Prescribing Instructions: </w:t>
            </w:r>
          </w:p>
          <w:p w14:paraId="2D4086C2" w14:textId="77777777" w:rsidR="00241558" w:rsidRPr="00AE3DAD" w:rsidRDefault="00241558" w:rsidP="006702DC">
            <w:pPr>
              <w:rPr>
                <w:rFonts w:ascii="Arial Narrow" w:hAnsi="Arial Narrow" w:cs="Arial Narrow"/>
                <w:sz w:val="20"/>
                <w:szCs w:val="20"/>
              </w:rPr>
            </w:pPr>
            <w:r w:rsidRPr="002C4BD5">
              <w:rPr>
                <w:rFonts w:ascii="Arial Narrow" w:hAnsi="Arial Narrow" w:cs="Times New Roman"/>
                <w:strike/>
                <w:color w:val="333333"/>
                <w:sz w:val="20"/>
                <w:szCs w:val="20"/>
              </w:rPr>
              <w:t>Authority applications must have</w:t>
            </w:r>
            <w:r w:rsidRPr="00AE3DAD">
              <w:rPr>
                <w:rFonts w:ascii="Arial Narrow" w:hAnsi="Arial Narrow" w:cs="Times New Roman"/>
                <w:color w:val="333333"/>
                <w:sz w:val="20"/>
                <w:szCs w:val="20"/>
              </w:rPr>
              <w:t xml:space="preserve"> </w:t>
            </w:r>
            <w:r w:rsidRPr="002C4BD5">
              <w:rPr>
                <w:rFonts w:ascii="Arial Narrow" w:hAnsi="Arial Narrow" w:cs="Times New Roman"/>
                <w:i/>
                <w:iCs/>
                <w:color w:val="333333"/>
                <w:sz w:val="20"/>
                <w:szCs w:val="20"/>
              </w:rPr>
              <w:t xml:space="preserve">Positive </w:t>
            </w:r>
            <w:r w:rsidRPr="00AE3DAD">
              <w:rPr>
                <w:rFonts w:ascii="Arial Narrow" w:hAnsi="Arial Narrow" w:cs="Times New Roman"/>
                <w:color w:val="333333"/>
                <w:sz w:val="20"/>
                <w:szCs w:val="20"/>
              </w:rPr>
              <w:t>HLA-A*02:01-</w:t>
            </w:r>
            <w:r w:rsidRPr="002C4BD5">
              <w:rPr>
                <w:rFonts w:ascii="Arial Narrow" w:hAnsi="Arial Narrow" w:cs="Times New Roman"/>
                <w:strike/>
                <w:color w:val="333333"/>
                <w:sz w:val="20"/>
                <w:szCs w:val="20"/>
              </w:rPr>
              <w:t>positive</w:t>
            </w:r>
            <w:r w:rsidRPr="00AE3DAD">
              <w:rPr>
                <w:rFonts w:ascii="Arial Narrow" w:hAnsi="Arial Narrow" w:cs="Times New Roman"/>
                <w:color w:val="333333"/>
                <w:sz w:val="20"/>
                <w:szCs w:val="20"/>
              </w:rPr>
              <w:t xml:space="preserve"> </w:t>
            </w:r>
            <w:r w:rsidRPr="002C4BD5">
              <w:rPr>
                <w:rFonts w:ascii="Arial Narrow" w:hAnsi="Arial Narrow" w:cs="Times New Roman"/>
                <w:i/>
                <w:iCs/>
                <w:color w:val="333333"/>
                <w:sz w:val="20"/>
                <w:szCs w:val="20"/>
              </w:rPr>
              <w:t>assessment must be documented in the patient</w:t>
            </w:r>
            <w:r>
              <w:rPr>
                <w:rFonts w:ascii="Arial Narrow" w:hAnsi="Arial Narrow" w:cs="Times New Roman"/>
                <w:i/>
                <w:iCs/>
                <w:color w:val="333333"/>
                <w:sz w:val="20"/>
                <w:szCs w:val="20"/>
              </w:rPr>
              <w:t>’</w:t>
            </w:r>
            <w:r w:rsidRPr="002C4BD5">
              <w:rPr>
                <w:rFonts w:ascii="Arial Narrow" w:hAnsi="Arial Narrow" w:cs="Times New Roman"/>
                <w:i/>
                <w:iCs/>
                <w:color w:val="333333"/>
                <w:sz w:val="20"/>
                <w:szCs w:val="20"/>
              </w:rPr>
              <w:t>s medical records</w:t>
            </w:r>
            <w:r>
              <w:rPr>
                <w:rFonts w:ascii="Arial Narrow" w:hAnsi="Arial Narrow" w:cs="Times New Roman"/>
                <w:color w:val="333333"/>
                <w:sz w:val="20"/>
                <w:szCs w:val="20"/>
              </w:rPr>
              <w:t xml:space="preserve"> </w:t>
            </w:r>
            <w:r w:rsidRPr="002C4BD5">
              <w:rPr>
                <w:rFonts w:ascii="Arial Narrow" w:hAnsi="Arial Narrow" w:cs="Times New Roman"/>
                <w:strike/>
                <w:color w:val="333333"/>
                <w:sz w:val="20"/>
                <w:szCs w:val="20"/>
              </w:rPr>
              <w:t>confirmed on the clinical file</w:t>
            </w:r>
          </w:p>
        </w:tc>
      </w:tr>
      <w:tr w:rsidR="00241558" w:rsidRPr="00AF0D3E" w14:paraId="4DC28BAB" w14:textId="77777777" w:rsidTr="00241558">
        <w:tblPrEx>
          <w:tblCellMar>
            <w:top w:w="15" w:type="dxa"/>
            <w:bottom w:w="15" w:type="dxa"/>
          </w:tblCellMar>
          <w:tblLook w:val="04A0" w:firstRow="1" w:lastRow="0" w:firstColumn="1" w:lastColumn="0" w:noHBand="0" w:noVBand="1"/>
        </w:tblPrEx>
        <w:trPr>
          <w:cantSplit/>
          <w:trHeight w:val="20"/>
        </w:trPr>
        <w:tc>
          <w:tcPr>
            <w:tcW w:w="5000" w:type="pct"/>
            <w:gridSpan w:val="6"/>
            <w:tcMar>
              <w:left w:w="20" w:type="dxa"/>
              <w:right w:w="20" w:type="dxa"/>
            </w:tcMar>
            <w:vAlign w:val="center"/>
          </w:tcPr>
          <w:p w14:paraId="54AB615A" w14:textId="77777777" w:rsidR="00241558" w:rsidRPr="00AE3DAD" w:rsidRDefault="00241558" w:rsidP="006702DC">
            <w:pPr>
              <w:rPr>
                <w:rFonts w:ascii="Arial Narrow" w:hAnsi="Arial Narrow"/>
                <w:b/>
                <w:bCs/>
                <w:color w:val="333333"/>
                <w:sz w:val="20"/>
                <w:szCs w:val="20"/>
              </w:rPr>
            </w:pPr>
          </w:p>
        </w:tc>
      </w:tr>
      <w:tr w:rsidR="00241558" w:rsidRPr="00AF0D3E" w14:paraId="3B328ACD" w14:textId="77777777" w:rsidTr="0010307B">
        <w:tblPrEx>
          <w:tblCellMar>
            <w:top w:w="15" w:type="dxa"/>
            <w:bottom w:w="15" w:type="dxa"/>
          </w:tblCellMar>
          <w:tblLook w:val="04A0" w:firstRow="1" w:lastRow="0" w:firstColumn="1" w:lastColumn="0" w:noHBand="0" w:noVBand="1"/>
        </w:tblPrEx>
        <w:trPr>
          <w:cantSplit/>
          <w:trHeight w:val="20"/>
        </w:trPr>
        <w:tc>
          <w:tcPr>
            <w:tcW w:w="785" w:type="pct"/>
            <w:gridSpan w:val="2"/>
            <w:tcMar>
              <w:left w:w="20" w:type="dxa"/>
              <w:right w:w="20" w:type="dxa"/>
            </w:tcMar>
            <w:vAlign w:val="center"/>
          </w:tcPr>
          <w:p w14:paraId="3B74EE05" w14:textId="77777777" w:rsidR="00241558" w:rsidRPr="00AF0D3E" w:rsidRDefault="00241558" w:rsidP="006702DC">
            <w:pPr>
              <w:rPr>
                <w:rFonts w:ascii="Arial Narrow" w:hAnsi="Arial Narrow"/>
                <w:color w:val="333333"/>
                <w:sz w:val="20"/>
                <w:szCs w:val="20"/>
              </w:rPr>
            </w:pPr>
          </w:p>
        </w:tc>
        <w:tc>
          <w:tcPr>
            <w:tcW w:w="4215" w:type="pct"/>
            <w:gridSpan w:val="4"/>
            <w:tcMar>
              <w:left w:w="20" w:type="dxa"/>
              <w:right w:w="20" w:type="dxa"/>
            </w:tcMar>
            <w:vAlign w:val="center"/>
          </w:tcPr>
          <w:p w14:paraId="0FDC19ED" w14:textId="77777777" w:rsidR="00241558" w:rsidRPr="00D00FBE" w:rsidRDefault="00241558" w:rsidP="006702DC">
            <w:pPr>
              <w:autoSpaceDE w:val="0"/>
              <w:autoSpaceDN w:val="0"/>
              <w:adjustRightInd w:val="0"/>
              <w:rPr>
                <w:rFonts w:ascii="Arial Narrow" w:hAnsi="Arial Narrow" w:cs="Times New Roman"/>
                <w:b/>
                <w:bCs/>
                <w:strike/>
                <w:color w:val="333333"/>
                <w:sz w:val="20"/>
                <w:szCs w:val="20"/>
              </w:rPr>
            </w:pPr>
            <w:r w:rsidRPr="00D00FBE">
              <w:rPr>
                <w:rFonts w:ascii="Arial Narrow" w:hAnsi="Arial Narrow" w:cs="Times New Roman"/>
                <w:b/>
                <w:bCs/>
                <w:strike/>
                <w:color w:val="333333"/>
                <w:sz w:val="20"/>
                <w:szCs w:val="20"/>
              </w:rPr>
              <w:t xml:space="preserve">Administrative Advice: </w:t>
            </w:r>
          </w:p>
          <w:p w14:paraId="09DB3FFD" w14:textId="77777777" w:rsidR="00241558" w:rsidRPr="00AE3DAD" w:rsidRDefault="00241558" w:rsidP="006702DC">
            <w:pPr>
              <w:autoSpaceDE w:val="0"/>
              <w:autoSpaceDN w:val="0"/>
              <w:adjustRightInd w:val="0"/>
              <w:rPr>
                <w:rFonts w:ascii="Arial Narrow" w:hAnsi="Arial Narrow"/>
                <w:color w:val="333333"/>
                <w:sz w:val="20"/>
                <w:szCs w:val="20"/>
              </w:rPr>
            </w:pPr>
            <w:r w:rsidRPr="00D00FBE">
              <w:rPr>
                <w:rFonts w:ascii="Arial Narrow" w:hAnsi="Arial Narrow"/>
                <w:strike/>
                <w:color w:val="333333"/>
                <w:sz w:val="20"/>
                <w:szCs w:val="20"/>
              </w:rPr>
              <w:t>KIMMTRAK is for intravenous use. The recommended infusion period is 15 to 20 minutes. KIMMTRAK requires dilution with sodium chloride 9 mg/mL (0.9%) solution for injection containing human albumin for intravenous infusion.</w:t>
            </w:r>
          </w:p>
        </w:tc>
      </w:tr>
      <w:tr w:rsidR="00241558" w:rsidRPr="00AF0D3E" w14:paraId="325CF068" w14:textId="77777777" w:rsidTr="00241558">
        <w:tblPrEx>
          <w:tblCellMar>
            <w:top w:w="15" w:type="dxa"/>
            <w:bottom w:w="15" w:type="dxa"/>
          </w:tblCellMar>
          <w:tblLook w:val="04A0" w:firstRow="1" w:lastRow="0" w:firstColumn="1" w:lastColumn="0" w:noHBand="0" w:noVBand="1"/>
        </w:tblPrEx>
        <w:trPr>
          <w:cantSplit/>
          <w:trHeight w:val="20"/>
        </w:trPr>
        <w:tc>
          <w:tcPr>
            <w:tcW w:w="5000" w:type="pct"/>
            <w:gridSpan w:val="6"/>
            <w:tcMar>
              <w:left w:w="20" w:type="dxa"/>
              <w:right w:w="20" w:type="dxa"/>
            </w:tcMar>
            <w:vAlign w:val="center"/>
          </w:tcPr>
          <w:p w14:paraId="1D03B5AA" w14:textId="77777777" w:rsidR="00241558" w:rsidRPr="00D00FBE" w:rsidRDefault="00241558" w:rsidP="006702DC">
            <w:pPr>
              <w:autoSpaceDE w:val="0"/>
              <w:autoSpaceDN w:val="0"/>
              <w:adjustRightInd w:val="0"/>
              <w:rPr>
                <w:rFonts w:ascii="Arial Narrow" w:hAnsi="Arial Narrow" w:cs="Times New Roman"/>
                <w:b/>
                <w:bCs/>
                <w:strike/>
                <w:color w:val="333333"/>
                <w:sz w:val="20"/>
                <w:szCs w:val="20"/>
              </w:rPr>
            </w:pPr>
          </w:p>
        </w:tc>
      </w:tr>
      <w:tr w:rsidR="00241558" w:rsidRPr="00AF0D3E" w14:paraId="18B626D7" w14:textId="77777777" w:rsidTr="0010307B">
        <w:tblPrEx>
          <w:tblCellMar>
            <w:top w:w="15" w:type="dxa"/>
            <w:bottom w:w="15" w:type="dxa"/>
          </w:tblCellMar>
          <w:tblLook w:val="04A0" w:firstRow="1" w:lastRow="0" w:firstColumn="1" w:lastColumn="0" w:noHBand="0" w:noVBand="1"/>
        </w:tblPrEx>
        <w:trPr>
          <w:cantSplit/>
          <w:trHeight w:val="1460"/>
        </w:trPr>
        <w:tc>
          <w:tcPr>
            <w:tcW w:w="785" w:type="pct"/>
            <w:gridSpan w:val="2"/>
            <w:tcMar>
              <w:left w:w="20" w:type="dxa"/>
              <w:right w:w="20" w:type="dxa"/>
            </w:tcMar>
            <w:vAlign w:val="center"/>
          </w:tcPr>
          <w:p w14:paraId="327FA1B8" w14:textId="77777777" w:rsidR="00241558" w:rsidRPr="00AF0D3E" w:rsidRDefault="00241558" w:rsidP="006702DC">
            <w:pPr>
              <w:jc w:val="center"/>
              <w:rPr>
                <w:rFonts w:ascii="Arial Narrow" w:hAnsi="Arial Narrow"/>
                <w:color w:val="333333"/>
                <w:sz w:val="20"/>
                <w:szCs w:val="20"/>
              </w:rPr>
            </w:pPr>
          </w:p>
        </w:tc>
        <w:tc>
          <w:tcPr>
            <w:tcW w:w="4215" w:type="pct"/>
            <w:gridSpan w:val="4"/>
            <w:tcMar>
              <w:left w:w="20" w:type="dxa"/>
              <w:right w:w="20" w:type="dxa"/>
            </w:tcMar>
            <w:vAlign w:val="center"/>
          </w:tcPr>
          <w:p w14:paraId="656BE4CF" w14:textId="77777777" w:rsidR="00241558" w:rsidRPr="00AE3DAD" w:rsidRDefault="00241558" w:rsidP="006702DC">
            <w:pPr>
              <w:rPr>
                <w:rFonts w:ascii="Arial Narrow" w:hAnsi="Arial Narrow" w:cs="Times New Roman"/>
                <w:color w:val="333333"/>
                <w:sz w:val="20"/>
                <w:szCs w:val="20"/>
              </w:rPr>
            </w:pPr>
            <w:r w:rsidRPr="00AE3DAD">
              <w:rPr>
                <w:rFonts w:ascii="Arial Narrow" w:hAnsi="Arial Narrow" w:cs="Times New Roman"/>
                <w:b/>
                <w:bCs/>
                <w:color w:val="333333"/>
                <w:sz w:val="20"/>
                <w:szCs w:val="20"/>
              </w:rPr>
              <w:t>Caution:</w:t>
            </w:r>
            <w:r w:rsidRPr="00AE3DAD">
              <w:rPr>
                <w:rFonts w:ascii="Arial Narrow" w:hAnsi="Arial Narrow" w:cs="Times New Roman"/>
                <w:color w:val="333333"/>
                <w:sz w:val="20"/>
                <w:szCs w:val="20"/>
              </w:rPr>
              <w:t xml:space="preserve"> </w:t>
            </w:r>
          </w:p>
          <w:p w14:paraId="7735D8A6" w14:textId="77777777" w:rsidR="00241558" w:rsidRPr="00AE3DAD" w:rsidRDefault="00241558" w:rsidP="006702DC">
            <w:pPr>
              <w:rPr>
                <w:rFonts w:ascii="Arial Narrow" w:hAnsi="Arial Narrow"/>
                <w:color w:val="333333"/>
                <w:sz w:val="20"/>
                <w:szCs w:val="20"/>
              </w:rPr>
            </w:pPr>
            <w:r w:rsidRPr="00D00FBE">
              <w:rPr>
                <w:rFonts w:ascii="Arial Narrow" w:hAnsi="Arial Narrow" w:cs="Times New Roman"/>
                <w:strike/>
                <w:color w:val="333333"/>
                <w:sz w:val="20"/>
                <w:szCs w:val="20"/>
              </w:rPr>
              <w:t>Cytokine Release Syndrome (CRS), which may be serious or life-threatening, can occur in patients receiving tebentafusp. Only administer in an appropriate hospital setting for the first three infusions. Monitor for at least 16 hours following each of the first three infusions, and then as clinically indicated</w:t>
            </w:r>
            <w:r w:rsidRPr="00AE3DAD">
              <w:rPr>
                <w:rFonts w:ascii="Arial Narrow" w:hAnsi="Arial Narrow" w:cs="Times New Roman"/>
                <w:color w:val="333333"/>
                <w:sz w:val="20"/>
                <w:szCs w:val="20"/>
              </w:rPr>
              <w:t>.</w:t>
            </w:r>
          </w:p>
          <w:p w14:paraId="67C55762" w14:textId="77777777" w:rsidR="00241558" w:rsidRPr="00AE3DAD" w:rsidRDefault="00241558" w:rsidP="006702DC">
            <w:pPr>
              <w:rPr>
                <w:rFonts w:ascii="Arial Narrow" w:hAnsi="Arial Narrow"/>
                <w:color w:val="333333"/>
                <w:sz w:val="20"/>
                <w:szCs w:val="20"/>
              </w:rPr>
            </w:pPr>
            <w:r w:rsidRPr="00D00FBE">
              <w:rPr>
                <w:rFonts w:ascii="Arial Narrow" w:hAnsi="Arial Narrow" w:cs="Open Sans"/>
                <w:i/>
                <w:iCs/>
                <w:color w:val="222222"/>
                <w:sz w:val="20"/>
                <w:szCs w:val="20"/>
                <w:shd w:val="clear" w:color="auto" w:fill="FFFFFF"/>
              </w:rPr>
              <w:t>Careful monitoring of patients is required due to risk of developing life-threatening Cytokine Release Syndrome</w:t>
            </w:r>
            <w:r w:rsidRPr="00D00FBE">
              <w:rPr>
                <w:rFonts w:ascii="Open Sans" w:hAnsi="Open Sans" w:cs="Open Sans"/>
                <w:i/>
                <w:iCs/>
                <w:color w:val="222222"/>
                <w:sz w:val="20"/>
                <w:szCs w:val="20"/>
                <w:shd w:val="clear" w:color="auto" w:fill="FFFFFF"/>
              </w:rPr>
              <w:t>.</w:t>
            </w:r>
          </w:p>
        </w:tc>
      </w:tr>
    </w:tbl>
    <w:p w14:paraId="1EFCD096" w14:textId="77777777" w:rsidR="00241558" w:rsidRDefault="00241558" w:rsidP="00241558">
      <w:pPr>
        <w:rPr>
          <w:rFonts w:eastAsiaTheme="maj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779"/>
        <w:gridCol w:w="1843"/>
        <w:gridCol w:w="2126"/>
        <w:gridCol w:w="1843"/>
        <w:gridCol w:w="1791"/>
      </w:tblGrid>
      <w:tr w:rsidR="00241558" w14:paraId="4995A737" w14:textId="77777777" w:rsidTr="00241558">
        <w:trPr>
          <w:cantSplit/>
          <w:trHeight w:val="20"/>
        </w:trPr>
        <w:tc>
          <w:tcPr>
            <w:tcW w:w="1806" w:type="pct"/>
            <w:gridSpan w:val="3"/>
            <w:tcMar>
              <w:left w:w="20" w:type="dxa"/>
              <w:right w:w="20" w:type="dxa"/>
            </w:tcMar>
            <w:vAlign w:val="center"/>
          </w:tcPr>
          <w:p w14:paraId="63DAD319" w14:textId="77777777" w:rsidR="00241558" w:rsidRDefault="00241558" w:rsidP="00241558">
            <w:pPr>
              <w:keepNext/>
              <w:rPr>
                <w:rFonts w:ascii="Arial Narrow" w:hAnsi="Arial Narrow"/>
                <w:b/>
                <w:bCs/>
                <w:sz w:val="20"/>
                <w:szCs w:val="20"/>
              </w:rPr>
            </w:pPr>
            <w:r>
              <w:rPr>
                <w:rFonts w:ascii="Arial Narrow" w:hAnsi="Arial Narrow"/>
                <w:b/>
                <w:bCs/>
                <w:sz w:val="20"/>
                <w:szCs w:val="20"/>
              </w:rPr>
              <w:lastRenderedPageBreak/>
              <w:t>MEDICINAL PRODUCT</w:t>
            </w:r>
          </w:p>
          <w:p w14:paraId="5CE1404B" w14:textId="77777777" w:rsidR="00241558" w:rsidRDefault="00241558" w:rsidP="00241558">
            <w:pPr>
              <w:keepNext/>
              <w:rPr>
                <w:rFonts w:ascii="Arial Narrow" w:hAnsi="Arial Narrow"/>
                <w:b/>
                <w:sz w:val="20"/>
                <w:szCs w:val="20"/>
              </w:rPr>
            </w:pPr>
            <w:r>
              <w:rPr>
                <w:rFonts w:ascii="Arial Narrow" w:hAnsi="Arial Narrow"/>
                <w:b/>
                <w:sz w:val="20"/>
                <w:szCs w:val="20"/>
              </w:rPr>
              <w:t>medicinal product pack</w:t>
            </w:r>
          </w:p>
        </w:tc>
        <w:tc>
          <w:tcPr>
            <w:tcW w:w="1179" w:type="pct"/>
            <w:tcMar>
              <w:left w:w="20" w:type="dxa"/>
              <w:right w:w="20" w:type="dxa"/>
            </w:tcMar>
            <w:vAlign w:val="center"/>
          </w:tcPr>
          <w:p w14:paraId="486C71C2" w14:textId="6034E1C9" w:rsidR="00241558" w:rsidRDefault="00241558" w:rsidP="00241558">
            <w:pPr>
              <w:keepNext/>
              <w:jc w:val="center"/>
              <w:rPr>
                <w:rFonts w:ascii="Arial Narrow" w:hAnsi="Arial Narrow"/>
                <w:b/>
                <w:sz w:val="20"/>
                <w:szCs w:val="20"/>
              </w:rPr>
            </w:pPr>
            <w:r>
              <w:rPr>
                <w:rFonts w:ascii="Arial Narrow" w:hAnsi="Arial Narrow"/>
                <w:b/>
                <w:sz w:val="20"/>
                <w:szCs w:val="20"/>
              </w:rPr>
              <w:t>Max. Amount</w:t>
            </w:r>
          </w:p>
        </w:tc>
        <w:tc>
          <w:tcPr>
            <w:tcW w:w="1022" w:type="pct"/>
            <w:tcMar>
              <w:left w:w="20" w:type="dxa"/>
              <w:right w:w="20" w:type="dxa"/>
            </w:tcMar>
            <w:vAlign w:val="center"/>
          </w:tcPr>
          <w:p w14:paraId="03550AA1" w14:textId="3E29ED95" w:rsidR="00241558" w:rsidRDefault="00241558" w:rsidP="00241558">
            <w:pPr>
              <w:keepNext/>
              <w:jc w:val="center"/>
              <w:rPr>
                <w:rFonts w:ascii="Arial Narrow" w:hAnsi="Arial Narrow"/>
                <w:b/>
                <w:sz w:val="20"/>
                <w:szCs w:val="20"/>
              </w:rPr>
            </w:pPr>
            <w:r>
              <w:rPr>
                <w:rFonts w:ascii="Arial Narrow" w:hAnsi="Arial Narrow"/>
                <w:b/>
                <w:sz w:val="20"/>
                <w:szCs w:val="20"/>
              </w:rPr>
              <w:t>DPMA</w:t>
            </w:r>
          </w:p>
        </w:tc>
        <w:tc>
          <w:tcPr>
            <w:tcW w:w="993" w:type="pct"/>
            <w:tcMar>
              <w:left w:w="20" w:type="dxa"/>
              <w:right w:w="20" w:type="dxa"/>
            </w:tcMar>
            <w:vAlign w:val="center"/>
          </w:tcPr>
          <w:p w14:paraId="70856C39" w14:textId="77777777" w:rsidR="00241558" w:rsidRDefault="00241558" w:rsidP="00241558">
            <w:pPr>
              <w:keepNext/>
              <w:jc w:val="center"/>
              <w:rPr>
                <w:rFonts w:ascii="Arial Narrow" w:hAnsi="Arial Narrow"/>
                <w:b/>
                <w:sz w:val="20"/>
                <w:szCs w:val="20"/>
              </w:rPr>
            </w:pPr>
            <w:r>
              <w:rPr>
                <w:rFonts w:ascii="Arial Narrow" w:hAnsi="Arial Narrow"/>
                <w:b/>
                <w:sz w:val="20"/>
                <w:szCs w:val="20"/>
              </w:rPr>
              <w:t>№. of Rpts</w:t>
            </w:r>
          </w:p>
        </w:tc>
      </w:tr>
      <w:tr w:rsidR="00241558" w14:paraId="2F03A6CF" w14:textId="77777777" w:rsidTr="00241558">
        <w:trPr>
          <w:cantSplit/>
          <w:trHeight w:val="20"/>
        </w:trPr>
        <w:tc>
          <w:tcPr>
            <w:tcW w:w="1806" w:type="pct"/>
            <w:gridSpan w:val="3"/>
            <w:tcMar>
              <w:left w:w="20" w:type="dxa"/>
              <w:right w:w="20" w:type="dxa"/>
            </w:tcMar>
          </w:tcPr>
          <w:p w14:paraId="0D3CD81A" w14:textId="77777777" w:rsidR="00241558" w:rsidRDefault="00241558" w:rsidP="00241558">
            <w:pPr>
              <w:keepNext/>
              <w:jc w:val="left"/>
              <w:rPr>
                <w:rFonts w:ascii="Arial Narrow" w:hAnsi="Arial Narrow"/>
                <w:sz w:val="20"/>
                <w:szCs w:val="20"/>
              </w:rPr>
            </w:pPr>
            <w:r>
              <w:rPr>
                <w:rFonts w:ascii="Arial Narrow" w:hAnsi="Arial Narrow" w:cs="Arial Narrow"/>
                <w:sz w:val="20"/>
                <w:szCs w:val="20"/>
              </w:rPr>
              <w:t xml:space="preserve">TEBENTAFUSP </w:t>
            </w:r>
            <w:r>
              <w:rPr>
                <w:rFonts w:ascii="Arial Narrow" w:hAnsi="Arial Narrow" w:cs="Arial Narrow"/>
                <w:sz w:val="20"/>
                <w:szCs w:val="20"/>
              </w:rPr>
              <w:br/>
            </w:r>
          </w:p>
        </w:tc>
        <w:tc>
          <w:tcPr>
            <w:tcW w:w="1179" w:type="pct"/>
            <w:tcMar>
              <w:left w:w="20" w:type="dxa"/>
              <w:right w:w="20" w:type="dxa"/>
            </w:tcMar>
          </w:tcPr>
          <w:p w14:paraId="723B1F3B" w14:textId="67C6CE22" w:rsidR="00241558" w:rsidRDefault="00241558" w:rsidP="00241558">
            <w:pPr>
              <w:keepNext/>
              <w:jc w:val="center"/>
              <w:rPr>
                <w:rFonts w:ascii="Arial Narrow" w:hAnsi="Arial Narrow"/>
                <w:sz w:val="20"/>
                <w:szCs w:val="20"/>
              </w:rPr>
            </w:pPr>
            <w:r>
              <w:rPr>
                <w:rFonts w:ascii="Arial Narrow" w:hAnsi="Arial Narrow"/>
                <w:sz w:val="20"/>
                <w:szCs w:val="20"/>
              </w:rPr>
              <w:t>400 mcg</w:t>
            </w:r>
          </w:p>
        </w:tc>
        <w:tc>
          <w:tcPr>
            <w:tcW w:w="1022" w:type="pct"/>
            <w:tcMar>
              <w:left w:w="20" w:type="dxa"/>
              <w:right w:w="20" w:type="dxa"/>
            </w:tcMar>
          </w:tcPr>
          <w:p w14:paraId="45AB0858" w14:textId="77777777" w:rsidR="00241558" w:rsidRDefault="00241558" w:rsidP="00241558">
            <w:pPr>
              <w:keepNext/>
              <w:jc w:val="center"/>
              <w:rPr>
                <w:rFonts w:ascii="Arial Narrow" w:hAnsi="Arial Narrow"/>
                <w:sz w:val="20"/>
                <w:szCs w:val="20"/>
              </w:rPr>
            </w:pPr>
            <w:r>
              <w:rPr>
                <w:rFonts w:ascii="Arial Narrow" w:hAnsi="Arial Narrow"/>
                <w:sz w:val="20"/>
                <w:szCs w:val="20"/>
              </w:rPr>
              <w:t>Published</w:t>
            </w:r>
          </w:p>
          <w:p w14:paraId="4D6BEA64" w14:textId="111B50FE" w:rsidR="00241558" w:rsidRDefault="00241558" w:rsidP="00241558">
            <w:pPr>
              <w:keepNext/>
              <w:jc w:val="center"/>
              <w:rPr>
                <w:rFonts w:ascii="Arial Narrow" w:hAnsi="Arial Narrow"/>
                <w:sz w:val="20"/>
                <w:szCs w:val="20"/>
              </w:rPr>
            </w:pPr>
            <w:r>
              <w:rPr>
                <w:rFonts w:ascii="Arial Narrow" w:hAnsi="Arial Narrow"/>
                <w:sz w:val="20"/>
                <w:szCs w:val="20"/>
              </w:rPr>
              <w:t>Public: $</w:t>
            </w:r>
            <w:r w:rsidR="00C33ED5">
              <w:rPr>
                <w:rFonts w:ascii="Arial Narrow" w:hAnsi="Arial Narrow"/>
                <w:sz w:val="20"/>
                <w:szCs w:val="20"/>
              </w:rPr>
              <w:t>78,236.23</w:t>
            </w:r>
          </w:p>
          <w:p w14:paraId="400BD0AD" w14:textId="71D95464" w:rsidR="00241558" w:rsidRDefault="00241558" w:rsidP="00241558">
            <w:pPr>
              <w:keepNext/>
              <w:jc w:val="center"/>
              <w:rPr>
                <w:rFonts w:ascii="Arial Narrow" w:hAnsi="Arial Narrow"/>
                <w:sz w:val="20"/>
                <w:szCs w:val="20"/>
              </w:rPr>
            </w:pPr>
            <w:r>
              <w:rPr>
                <w:rFonts w:ascii="Arial Narrow" w:hAnsi="Arial Narrow"/>
                <w:sz w:val="20"/>
                <w:szCs w:val="20"/>
              </w:rPr>
              <w:t>Private: $</w:t>
            </w:r>
            <w:r w:rsidR="00C33ED5">
              <w:rPr>
                <w:rFonts w:ascii="Arial Narrow" w:hAnsi="Arial Narrow"/>
                <w:sz w:val="20"/>
                <w:szCs w:val="20"/>
              </w:rPr>
              <w:t>79,371.95</w:t>
            </w:r>
          </w:p>
          <w:p w14:paraId="2051483A" w14:textId="77777777" w:rsidR="00241558" w:rsidRDefault="00241558" w:rsidP="00241558">
            <w:pPr>
              <w:keepNext/>
              <w:jc w:val="center"/>
              <w:rPr>
                <w:rFonts w:ascii="Arial Narrow" w:hAnsi="Arial Narrow"/>
                <w:sz w:val="20"/>
                <w:szCs w:val="20"/>
              </w:rPr>
            </w:pPr>
            <w:r>
              <w:rPr>
                <w:rFonts w:ascii="Arial Narrow" w:hAnsi="Arial Narrow"/>
                <w:sz w:val="20"/>
                <w:szCs w:val="20"/>
              </w:rPr>
              <w:t>Effective</w:t>
            </w:r>
          </w:p>
          <w:p w14:paraId="694CA891" w14:textId="06E3090B" w:rsidR="00241558" w:rsidRDefault="00241558" w:rsidP="00241558">
            <w:pPr>
              <w:keepNext/>
              <w:jc w:val="center"/>
              <w:rPr>
                <w:rFonts w:ascii="Arial Narrow" w:hAnsi="Arial Narrow"/>
                <w:sz w:val="20"/>
                <w:szCs w:val="20"/>
              </w:rPr>
            </w:pPr>
            <w:r>
              <w:rPr>
                <w:rFonts w:ascii="Arial Narrow" w:hAnsi="Arial Narrow"/>
                <w:sz w:val="20"/>
                <w:szCs w:val="20"/>
              </w:rPr>
              <w:t>Public: $</w:t>
            </w:r>
            <w:r w:rsidR="00D12425" w:rsidRPr="00D12425">
              <w:rPr>
                <w:rFonts w:ascii="Arial Narrow" w:hAnsi="Arial Narrow"/>
                <w:color w:val="000000"/>
                <w:spacing w:val="206"/>
                <w:sz w:val="20"/>
                <w:szCs w:val="20"/>
                <w:shd w:val="solid" w:color="000000" w:fill="000000"/>
                <w:fitText w:val="292" w:id="-1236619776"/>
                <w14:textFill>
                  <w14:solidFill>
                    <w14:srgbClr w14:val="000000">
                      <w14:alpha w14:val="100000"/>
                    </w14:srgbClr>
                  </w14:solidFill>
                </w14:textFill>
              </w:rPr>
              <w:t>|</w:t>
            </w:r>
            <w:r w:rsidR="00D12425" w:rsidRPr="00D12425">
              <w:rPr>
                <w:rFonts w:ascii="Arial Narrow" w:hAnsi="Arial Narrow"/>
                <w:color w:val="000000"/>
                <w:spacing w:val="1"/>
                <w:sz w:val="20"/>
                <w:szCs w:val="20"/>
                <w:shd w:val="solid" w:color="000000" w:fill="000000"/>
                <w:fitText w:val="292" w:id="-1236619776"/>
                <w14:textFill>
                  <w14:solidFill>
                    <w14:srgbClr w14:val="000000">
                      <w14:alpha w14:val="100000"/>
                    </w14:srgbClr>
                  </w14:solidFill>
                </w14:textFill>
              </w:rPr>
              <w:t>|</w:t>
            </w:r>
          </w:p>
          <w:p w14:paraId="612A06B4" w14:textId="3842D87B" w:rsidR="00241558" w:rsidRDefault="00241558" w:rsidP="00241558">
            <w:pPr>
              <w:keepNext/>
              <w:jc w:val="center"/>
              <w:rPr>
                <w:rFonts w:ascii="Arial Narrow" w:hAnsi="Arial Narrow"/>
                <w:sz w:val="20"/>
                <w:szCs w:val="20"/>
              </w:rPr>
            </w:pPr>
            <w:r>
              <w:rPr>
                <w:rFonts w:ascii="Arial Narrow" w:hAnsi="Arial Narrow"/>
                <w:sz w:val="20"/>
                <w:szCs w:val="20"/>
              </w:rPr>
              <w:t>Private: $</w:t>
            </w:r>
            <w:r w:rsidR="00D12425" w:rsidRPr="00D12425">
              <w:rPr>
                <w:rFonts w:ascii="Arial Narrow" w:hAnsi="Arial Narrow"/>
                <w:color w:val="000000"/>
                <w:spacing w:val="48"/>
                <w:sz w:val="20"/>
                <w:szCs w:val="20"/>
                <w:shd w:val="solid" w:color="000000" w:fill="000000"/>
                <w:fitText w:val="316" w:id="-1236619775"/>
                <w14:textFill>
                  <w14:solidFill>
                    <w14:srgbClr w14:val="000000">
                      <w14:alpha w14:val="100000"/>
                    </w14:srgbClr>
                  </w14:solidFill>
                </w14:textFill>
              </w:rPr>
              <w:t>|||</w:t>
            </w:r>
            <w:r w:rsidR="00D12425" w:rsidRPr="00D12425">
              <w:rPr>
                <w:rFonts w:ascii="Arial Narrow" w:hAnsi="Arial Narrow"/>
                <w:color w:val="000000"/>
                <w:spacing w:val="2"/>
                <w:sz w:val="20"/>
                <w:szCs w:val="20"/>
                <w:shd w:val="solid" w:color="000000" w:fill="000000"/>
                <w:fitText w:val="316" w:id="-1236619775"/>
                <w14:textFill>
                  <w14:solidFill>
                    <w14:srgbClr w14:val="000000">
                      <w14:alpha w14:val="100000"/>
                    </w14:srgbClr>
                  </w14:solidFill>
                </w14:textFill>
              </w:rPr>
              <w:t>|</w:t>
            </w:r>
          </w:p>
        </w:tc>
        <w:tc>
          <w:tcPr>
            <w:tcW w:w="993" w:type="pct"/>
            <w:tcMar>
              <w:left w:w="20" w:type="dxa"/>
              <w:right w:w="20" w:type="dxa"/>
            </w:tcMar>
          </w:tcPr>
          <w:p w14:paraId="2450135D" w14:textId="77777777" w:rsidR="00241558" w:rsidRDefault="00241558" w:rsidP="00241558">
            <w:pPr>
              <w:keepNext/>
              <w:jc w:val="center"/>
              <w:rPr>
                <w:rFonts w:ascii="Arial Narrow" w:hAnsi="Arial Narrow"/>
                <w:sz w:val="20"/>
                <w:szCs w:val="20"/>
              </w:rPr>
            </w:pPr>
            <w:r>
              <w:rPr>
                <w:rFonts w:ascii="Arial Narrow" w:hAnsi="Arial Narrow"/>
                <w:sz w:val="20"/>
                <w:szCs w:val="20"/>
              </w:rPr>
              <w:t>3</w:t>
            </w:r>
          </w:p>
        </w:tc>
      </w:tr>
      <w:tr w:rsidR="00241558" w14:paraId="72782AD2" w14:textId="77777777" w:rsidTr="00241558">
        <w:trPr>
          <w:cantSplit/>
          <w:trHeight w:val="20"/>
        </w:trPr>
        <w:tc>
          <w:tcPr>
            <w:tcW w:w="5000" w:type="pct"/>
            <w:gridSpan w:val="6"/>
            <w:tcMar>
              <w:left w:w="20" w:type="dxa"/>
              <w:right w:w="20" w:type="dxa"/>
            </w:tcMar>
            <w:vAlign w:val="center"/>
          </w:tcPr>
          <w:p w14:paraId="3A232CBD" w14:textId="77777777" w:rsidR="00241558" w:rsidRDefault="00241558" w:rsidP="006702DC">
            <w:pPr>
              <w:keepNext/>
              <w:rPr>
                <w:rFonts w:ascii="Arial Narrow" w:hAnsi="Arial Narrow"/>
                <w:b/>
                <w:sz w:val="20"/>
                <w:szCs w:val="20"/>
              </w:rPr>
            </w:pPr>
            <w:r>
              <w:rPr>
                <w:rFonts w:ascii="Arial Narrow" w:hAnsi="Arial Narrow"/>
                <w:b/>
                <w:sz w:val="20"/>
                <w:szCs w:val="20"/>
              </w:rPr>
              <w:t xml:space="preserve">Available brands </w:t>
            </w:r>
          </w:p>
        </w:tc>
      </w:tr>
      <w:tr w:rsidR="00241558" w14:paraId="39EA9C42" w14:textId="77777777" w:rsidTr="00241558">
        <w:trPr>
          <w:cantSplit/>
          <w:trHeight w:val="20"/>
        </w:trPr>
        <w:tc>
          <w:tcPr>
            <w:tcW w:w="5000" w:type="pct"/>
            <w:gridSpan w:val="6"/>
            <w:tcMar>
              <w:left w:w="20" w:type="dxa"/>
              <w:right w:w="20" w:type="dxa"/>
            </w:tcMar>
            <w:vAlign w:val="center"/>
          </w:tcPr>
          <w:p w14:paraId="070FA42B" w14:textId="77777777" w:rsidR="00241558" w:rsidRDefault="00241558" w:rsidP="006702DC">
            <w:pPr>
              <w:keepNext/>
              <w:rPr>
                <w:rFonts w:ascii="Arial Narrow" w:hAnsi="Arial Narrow"/>
                <w:sz w:val="20"/>
                <w:szCs w:val="20"/>
              </w:rPr>
            </w:pPr>
            <w:r>
              <w:rPr>
                <w:rFonts w:ascii="Arial Narrow" w:hAnsi="Arial Narrow"/>
                <w:sz w:val="20"/>
                <w:szCs w:val="20"/>
              </w:rPr>
              <w:t>Kimmtrak</w:t>
            </w:r>
          </w:p>
          <w:p w14:paraId="7E19AC0E" w14:textId="77777777" w:rsidR="00241558" w:rsidRDefault="00241558" w:rsidP="006702DC">
            <w:pPr>
              <w:keepNext/>
              <w:rPr>
                <w:rFonts w:ascii="Arial Narrow" w:hAnsi="Arial Narrow"/>
                <w:sz w:val="20"/>
                <w:szCs w:val="20"/>
              </w:rPr>
            </w:pPr>
            <w:r>
              <w:rPr>
                <w:rFonts w:ascii="Arial Narrow" w:hAnsi="Arial Narrow"/>
                <w:sz w:val="20"/>
                <w:szCs w:val="20"/>
              </w:rPr>
              <w:t>tebentafusp 100 microgram/0.5 mL injection, 0.5 mL vial</w:t>
            </w:r>
          </w:p>
        </w:tc>
      </w:tr>
      <w:tr w:rsidR="00241558" w14:paraId="6305DDCE" w14:textId="77777777" w:rsidTr="00241558">
        <w:trPr>
          <w:cantSplit/>
          <w:trHeight w:val="20"/>
        </w:trPr>
        <w:tc>
          <w:tcPr>
            <w:tcW w:w="5000" w:type="pct"/>
            <w:gridSpan w:val="6"/>
            <w:tcMar>
              <w:left w:w="20" w:type="dxa"/>
              <w:right w:w="20" w:type="dxa"/>
            </w:tcMar>
            <w:vAlign w:val="center"/>
          </w:tcPr>
          <w:p w14:paraId="78795D86" w14:textId="77777777" w:rsidR="00241558" w:rsidRDefault="00241558" w:rsidP="006702DC">
            <w:pPr>
              <w:keepNext/>
              <w:rPr>
                <w:rFonts w:ascii="Arial Narrow" w:hAnsi="Arial Narrow"/>
                <w:sz w:val="20"/>
                <w:szCs w:val="20"/>
              </w:rPr>
            </w:pPr>
          </w:p>
        </w:tc>
      </w:tr>
      <w:tr w:rsidR="00241558" w14:paraId="719CF32B" w14:textId="77777777" w:rsidTr="00241558">
        <w:tblPrEx>
          <w:tblCellMar>
            <w:top w:w="15" w:type="dxa"/>
            <w:bottom w:w="15" w:type="dxa"/>
          </w:tblCellMar>
          <w:tblLook w:val="04A0" w:firstRow="1" w:lastRow="0" w:firstColumn="1" w:lastColumn="0" w:noHBand="0" w:noVBand="1"/>
        </w:tblPrEx>
        <w:trPr>
          <w:cantSplit/>
          <w:trHeight w:val="20"/>
        </w:trPr>
        <w:tc>
          <w:tcPr>
            <w:tcW w:w="5000" w:type="pct"/>
            <w:gridSpan w:val="6"/>
            <w:tcMar>
              <w:left w:w="20" w:type="dxa"/>
              <w:right w:w="20" w:type="dxa"/>
            </w:tcMar>
            <w:vAlign w:val="center"/>
          </w:tcPr>
          <w:p w14:paraId="731B190D" w14:textId="77777777" w:rsidR="00241558" w:rsidRDefault="00241558" w:rsidP="006702DC">
            <w:pPr>
              <w:keepLines/>
              <w:rPr>
                <w:rFonts w:ascii="Arial Narrow" w:hAnsi="Arial Narrow"/>
                <w:b/>
                <w:bCs/>
                <w:color w:val="333333"/>
                <w:sz w:val="20"/>
                <w:szCs w:val="20"/>
              </w:rPr>
            </w:pPr>
            <w:r>
              <w:rPr>
                <w:rFonts w:ascii="Arial Narrow" w:hAnsi="Arial Narrow"/>
                <w:b/>
                <w:bCs/>
                <w:color w:val="333333"/>
                <w:sz w:val="20"/>
                <w:szCs w:val="20"/>
              </w:rPr>
              <w:t xml:space="preserve">Restriction Summary [new] / Treatment of Concept: [new] </w:t>
            </w:r>
          </w:p>
        </w:tc>
      </w:tr>
      <w:tr w:rsidR="00241558" w14:paraId="2BC376B7"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vMerge w:val="restart"/>
            <w:tcMar>
              <w:left w:w="20" w:type="dxa"/>
              <w:right w:w="20" w:type="dxa"/>
            </w:tcMar>
          </w:tcPr>
          <w:p w14:paraId="2D29A4BE" w14:textId="0ADA326F" w:rsidR="00241558" w:rsidRDefault="00241558" w:rsidP="006702DC">
            <w:pPr>
              <w:jc w:val="center"/>
              <w:rPr>
                <w:rFonts w:ascii="Arial Narrow" w:hAnsi="Arial Narrow"/>
                <w:sz w:val="20"/>
                <w:szCs w:val="20"/>
              </w:rPr>
            </w:pPr>
          </w:p>
        </w:tc>
        <w:tc>
          <w:tcPr>
            <w:tcW w:w="4216" w:type="pct"/>
            <w:gridSpan w:val="4"/>
            <w:tcMar>
              <w:left w:w="20" w:type="dxa"/>
              <w:right w:w="20" w:type="dxa"/>
            </w:tcMar>
            <w:vAlign w:val="center"/>
          </w:tcPr>
          <w:p w14:paraId="31A1EB0F" w14:textId="77777777" w:rsidR="00241558" w:rsidRDefault="00241558" w:rsidP="006702DC">
            <w:pPr>
              <w:keepLines/>
              <w:rPr>
                <w:rFonts w:ascii="Arial Narrow" w:hAnsi="Arial Narrow"/>
                <w:sz w:val="20"/>
                <w:szCs w:val="20"/>
              </w:rPr>
            </w:pPr>
            <w:r>
              <w:rPr>
                <w:rFonts w:ascii="Arial Narrow" w:hAnsi="Arial Narrow"/>
                <w:b/>
                <w:sz w:val="20"/>
                <w:szCs w:val="20"/>
              </w:rPr>
              <w:t xml:space="preserve">Category / Program: </w:t>
            </w:r>
            <w:r>
              <w:rPr>
                <w:rFonts w:ascii="Arial Narrow" w:hAnsi="Arial Narrow"/>
                <w:sz w:val="20"/>
                <w:szCs w:val="20"/>
              </w:rPr>
              <w:t>Section 100 – Efficient Funding of Chemotherapy Public/Private hospitals</w:t>
            </w:r>
          </w:p>
        </w:tc>
      </w:tr>
      <w:tr w:rsidR="00241558" w14:paraId="3EB3D0CA"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vMerge/>
            <w:tcMar>
              <w:left w:w="20" w:type="dxa"/>
              <w:right w:w="20" w:type="dxa"/>
            </w:tcMar>
          </w:tcPr>
          <w:p w14:paraId="04AE2346" w14:textId="77777777" w:rsidR="00241558" w:rsidRDefault="00241558" w:rsidP="006702DC">
            <w:pPr>
              <w:rPr>
                <w:rFonts w:ascii="Arial Narrow" w:hAnsi="Arial Narrow"/>
                <w:sz w:val="20"/>
                <w:szCs w:val="20"/>
              </w:rPr>
            </w:pPr>
          </w:p>
        </w:tc>
        <w:tc>
          <w:tcPr>
            <w:tcW w:w="4216" w:type="pct"/>
            <w:gridSpan w:val="4"/>
            <w:tcMar>
              <w:left w:w="20" w:type="dxa"/>
              <w:right w:w="20" w:type="dxa"/>
            </w:tcMar>
            <w:vAlign w:val="center"/>
          </w:tcPr>
          <w:p w14:paraId="278BF146" w14:textId="77777777" w:rsidR="00241558" w:rsidRDefault="00241558" w:rsidP="006702DC">
            <w:pPr>
              <w:keepLines/>
              <w:rPr>
                <w:rFonts w:ascii="Arial Narrow" w:hAnsi="Arial Narrow"/>
                <w:b/>
                <w:sz w:val="20"/>
                <w:szCs w:val="20"/>
              </w:rPr>
            </w:pPr>
            <w:r>
              <w:rPr>
                <w:rFonts w:ascii="Arial Narrow" w:hAnsi="Arial Narrow"/>
                <w:b/>
                <w:sz w:val="20"/>
                <w:szCs w:val="20"/>
              </w:rPr>
              <w:t>Prescriber type:</w:t>
            </w:r>
            <w:r>
              <w:rPr>
                <w:rFonts w:ascii="Arial Narrow" w:hAnsi="Arial Narrow"/>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FC715B">
              <w:rPr>
                <w:rFonts w:ascii="Arial Narrow" w:hAnsi="Arial Narrow"/>
                <w:sz w:val="20"/>
                <w:szCs w:val="20"/>
              </w:rPr>
            </w:r>
            <w:r w:rsidR="00FC715B">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Medical Practitioners</w:t>
            </w:r>
          </w:p>
        </w:tc>
      </w:tr>
      <w:tr w:rsidR="00241558" w14:paraId="2164243B" w14:textId="77777777" w:rsidTr="00241558">
        <w:tblPrEx>
          <w:tblCellMar>
            <w:top w:w="15" w:type="dxa"/>
            <w:bottom w:w="15" w:type="dxa"/>
          </w:tblCellMar>
          <w:tblLook w:val="04A0" w:firstRow="1" w:lastRow="0" w:firstColumn="1" w:lastColumn="0" w:noHBand="0" w:noVBand="1"/>
        </w:tblPrEx>
        <w:trPr>
          <w:cantSplit/>
          <w:trHeight w:val="106"/>
        </w:trPr>
        <w:tc>
          <w:tcPr>
            <w:tcW w:w="784" w:type="pct"/>
            <w:gridSpan w:val="2"/>
            <w:vMerge/>
            <w:tcMar>
              <w:left w:w="20" w:type="dxa"/>
              <w:right w:w="20" w:type="dxa"/>
            </w:tcMar>
          </w:tcPr>
          <w:p w14:paraId="135D9E5E" w14:textId="77777777" w:rsidR="00241558" w:rsidRDefault="00241558" w:rsidP="006702DC">
            <w:pPr>
              <w:rPr>
                <w:rFonts w:ascii="Arial Narrow" w:hAnsi="Arial Narrow"/>
                <w:sz w:val="20"/>
                <w:szCs w:val="20"/>
              </w:rPr>
            </w:pPr>
          </w:p>
        </w:tc>
        <w:tc>
          <w:tcPr>
            <w:tcW w:w="4216" w:type="pct"/>
            <w:gridSpan w:val="4"/>
            <w:tcMar>
              <w:left w:w="20" w:type="dxa"/>
              <w:right w:w="20" w:type="dxa"/>
            </w:tcMar>
            <w:vAlign w:val="center"/>
          </w:tcPr>
          <w:p w14:paraId="09912C7B" w14:textId="77777777" w:rsidR="00241558" w:rsidRDefault="00241558" w:rsidP="006702DC">
            <w:pPr>
              <w:keepLines/>
              <w:rPr>
                <w:rFonts w:ascii="Arial Narrow" w:eastAsia="Calibri" w:hAnsi="Arial Narrow"/>
                <w:color w:val="FF0000"/>
                <w:sz w:val="20"/>
                <w:szCs w:val="20"/>
              </w:rPr>
            </w:pPr>
            <w:r>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FC715B">
              <w:rPr>
                <w:rFonts w:ascii="Arial Narrow" w:eastAsia="Calibri" w:hAnsi="Arial Narrow"/>
                <w:sz w:val="20"/>
                <w:szCs w:val="20"/>
              </w:rPr>
            </w:r>
            <w:r w:rsidR="00FC715B">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Authority Required – Streamlined [new code] </w:t>
            </w:r>
          </w:p>
        </w:tc>
      </w:tr>
      <w:tr w:rsidR="00241558" w14:paraId="75B7920E" w14:textId="77777777" w:rsidTr="00241558">
        <w:tblPrEx>
          <w:tblCellMar>
            <w:top w:w="15" w:type="dxa"/>
            <w:bottom w:w="15" w:type="dxa"/>
          </w:tblCellMar>
          <w:tblLook w:val="04A0" w:firstRow="1" w:lastRow="0" w:firstColumn="1" w:lastColumn="0" w:noHBand="0" w:noVBand="1"/>
        </w:tblPrEx>
        <w:trPr>
          <w:cantSplit/>
          <w:trHeight w:val="20"/>
        </w:trPr>
        <w:tc>
          <w:tcPr>
            <w:tcW w:w="352" w:type="pct"/>
            <w:vMerge w:val="restart"/>
            <w:tcMar>
              <w:left w:w="20" w:type="dxa"/>
              <w:right w:w="20" w:type="dxa"/>
            </w:tcMar>
            <w:textDirection w:val="btLr"/>
          </w:tcPr>
          <w:p w14:paraId="19CEB218" w14:textId="6FCD899D" w:rsidR="00241558" w:rsidRDefault="00241558" w:rsidP="006702DC">
            <w:pPr>
              <w:ind w:left="113" w:right="113"/>
              <w:jc w:val="center"/>
              <w:rPr>
                <w:rFonts w:ascii="Arial Narrow" w:hAnsi="Arial Narrow"/>
                <w:sz w:val="20"/>
                <w:szCs w:val="20"/>
              </w:rPr>
            </w:pPr>
          </w:p>
        </w:tc>
        <w:tc>
          <w:tcPr>
            <w:tcW w:w="432" w:type="pct"/>
            <w:tcMar>
              <w:left w:w="20" w:type="dxa"/>
              <w:right w:w="20" w:type="dxa"/>
            </w:tcMar>
          </w:tcPr>
          <w:p w14:paraId="29930136" w14:textId="3B253C34" w:rsidR="00241558" w:rsidRDefault="00241558" w:rsidP="006702DC">
            <w:pPr>
              <w:rPr>
                <w:rFonts w:ascii="Arial Narrow" w:hAnsi="Arial Narrow"/>
                <w:sz w:val="20"/>
                <w:szCs w:val="20"/>
              </w:rPr>
            </w:pPr>
          </w:p>
        </w:tc>
        <w:tc>
          <w:tcPr>
            <w:tcW w:w="4216" w:type="pct"/>
            <w:gridSpan w:val="4"/>
            <w:tcMar>
              <w:left w:w="20" w:type="dxa"/>
              <w:right w:w="20" w:type="dxa"/>
            </w:tcMar>
            <w:vAlign w:val="center"/>
          </w:tcPr>
          <w:p w14:paraId="07A23AD4" w14:textId="77777777" w:rsidR="00241558" w:rsidRPr="00CC73BB" w:rsidRDefault="00241558" w:rsidP="006702DC">
            <w:pPr>
              <w:textAlignment w:val="baseline"/>
              <w:rPr>
                <w:rFonts w:ascii="Arial Narrow" w:hAnsi="Arial Narrow"/>
                <w:b/>
                <w:i/>
                <w:iCs/>
                <w:sz w:val="20"/>
                <w:szCs w:val="20"/>
              </w:rPr>
            </w:pPr>
            <w:r w:rsidRPr="00CC73BB">
              <w:rPr>
                <w:rFonts w:ascii="Arial Narrow" w:hAnsi="Arial Narrow" w:cs="Open Sans"/>
                <w:b/>
                <w:bCs/>
                <w:i/>
                <w:iCs/>
                <w:color w:val="333333"/>
                <w:sz w:val="20"/>
                <w:szCs w:val="20"/>
                <w:bdr w:val="none" w:sz="0" w:space="0" w:color="auto" w:frame="1"/>
              </w:rPr>
              <w:t>Administrative Advice:</w:t>
            </w:r>
            <w:r>
              <w:rPr>
                <w:rFonts w:ascii="Arial Narrow" w:hAnsi="Arial Narrow" w:cs="Open Sans"/>
                <w:b/>
                <w:bCs/>
                <w:i/>
                <w:iCs/>
                <w:color w:val="333333"/>
                <w:sz w:val="20"/>
                <w:szCs w:val="20"/>
                <w:bdr w:val="none" w:sz="0" w:space="0" w:color="auto" w:frame="1"/>
              </w:rPr>
              <w:t xml:space="preserve"> </w:t>
            </w:r>
            <w:r w:rsidRPr="00CC73BB">
              <w:rPr>
                <w:rFonts w:ascii="Arial Narrow" w:hAnsi="Arial Narrow" w:cs="Open Sans"/>
                <w:i/>
                <w:iCs/>
                <w:color w:val="333333"/>
                <w:sz w:val="20"/>
                <w:szCs w:val="20"/>
              </w:rPr>
              <w:t>No increase in the maximum number of repeats may be authorised.</w:t>
            </w:r>
          </w:p>
        </w:tc>
      </w:tr>
      <w:tr w:rsidR="00241558" w14:paraId="7E6073B9" w14:textId="77777777" w:rsidTr="00241558">
        <w:tblPrEx>
          <w:tblCellMar>
            <w:top w:w="15" w:type="dxa"/>
            <w:bottom w:w="15" w:type="dxa"/>
          </w:tblCellMar>
          <w:tblLook w:val="04A0" w:firstRow="1" w:lastRow="0" w:firstColumn="1" w:lastColumn="0" w:noHBand="0" w:noVBand="1"/>
        </w:tblPrEx>
        <w:trPr>
          <w:cantSplit/>
          <w:trHeight w:val="45"/>
        </w:trPr>
        <w:tc>
          <w:tcPr>
            <w:tcW w:w="352" w:type="pct"/>
            <w:vMerge/>
            <w:tcMar>
              <w:left w:w="20" w:type="dxa"/>
              <w:right w:w="20" w:type="dxa"/>
            </w:tcMar>
          </w:tcPr>
          <w:p w14:paraId="1E6B2863" w14:textId="77777777" w:rsidR="00241558" w:rsidRDefault="00241558" w:rsidP="006702DC">
            <w:pPr>
              <w:rPr>
                <w:rFonts w:ascii="Arial Narrow" w:hAnsi="Arial Narrow"/>
                <w:sz w:val="20"/>
                <w:szCs w:val="20"/>
              </w:rPr>
            </w:pPr>
          </w:p>
        </w:tc>
        <w:tc>
          <w:tcPr>
            <w:tcW w:w="432" w:type="pct"/>
            <w:tcMar>
              <w:left w:w="20" w:type="dxa"/>
              <w:right w:w="20" w:type="dxa"/>
            </w:tcMar>
          </w:tcPr>
          <w:p w14:paraId="0FF916D7" w14:textId="1E836D96" w:rsidR="00241558" w:rsidRDefault="00241558" w:rsidP="006702DC">
            <w:pPr>
              <w:rPr>
                <w:rFonts w:ascii="Arial Narrow" w:hAnsi="Arial Narrow"/>
                <w:sz w:val="20"/>
                <w:szCs w:val="20"/>
              </w:rPr>
            </w:pPr>
          </w:p>
        </w:tc>
        <w:tc>
          <w:tcPr>
            <w:tcW w:w="4216" w:type="pct"/>
            <w:gridSpan w:val="4"/>
            <w:tcMar>
              <w:left w:w="20" w:type="dxa"/>
              <w:right w:w="20" w:type="dxa"/>
            </w:tcMar>
            <w:vAlign w:val="center"/>
          </w:tcPr>
          <w:p w14:paraId="61EDE469" w14:textId="77777777" w:rsidR="00241558" w:rsidRPr="00CC73BB" w:rsidRDefault="00241558" w:rsidP="006702DC">
            <w:pPr>
              <w:keepLines/>
              <w:rPr>
                <w:rFonts w:ascii="Arial Narrow" w:hAnsi="Arial Narrow"/>
                <w:b/>
                <w:i/>
                <w:iCs/>
                <w:sz w:val="20"/>
                <w:szCs w:val="20"/>
              </w:rPr>
            </w:pPr>
            <w:r w:rsidRPr="00CC73BB">
              <w:rPr>
                <w:rFonts w:ascii="Arial Narrow" w:hAnsi="Arial Narrow" w:cs="Open Sans"/>
                <w:b/>
                <w:bCs/>
                <w:i/>
                <w:iCs/>
                <w:color w:val="333333"/>
                <w:sz w:val="20"/>
                <w:szCs w:val="20"/>
                <w:bdr w:val="none" w:sz="0" w:space="0" w:color="auto" w:frame="1"/>
              </w:rPr>
              <w:t>Administrative Advice:</w:t>
            </w:r>
            <w:r>
              <w:rPr>
                <w:rFonts w:ascii="Arial Narrow" w:hAnsi="Arial Narrow" w:cs="Open Sans"/>
                <w:b/>
                <w:bCs/>
                <w:i/>
                <w:iCs/>
                <w:color w:val="333333"/>
                <w:sz w:val="20"/>
                <w:szCs w:val="20"/>
                <w:bdr w:val="none" w:sz="0" w:space="0" w:color="auto" w:frame="1"/>
              </w:rPr>
              <w:t xml:space="preserve"> </w:t>
            </w:r>
            <w:r w:rsidRPr="00CC73BB">
              <w:rPr>
                <w:rFonts w:ascii="Arial Narrow" w:hAnsi="Arial Narrow" w:cs="Open Sans"/>
                <w:i/>
                <w:iCs/>
                <w:color w:val="333333"/>
                <w:sz w:val="20"/>
                <w:szCs w:val="20"/>
              </w:rPr>
              <w:t>Special Pricing Arrangements apply.</w:t>
            </w:r>
          </w:p>
        </w:tc>
      </w:tr>
      <w:tr w:rsidR="00241558" w14:paraId="52DC9767" w14:textId="77777777" w:rsidTr="00241558">
        <w:tblPrEx>
          <w:tblCellMar>
            <w:top w:w="15" w:type="dxa"/>
            <w:bottom w:w="15" w:type="dxa"/>
          </w:tblCellMar>
          <w:tblLook w:val="04A0" w:firstRow="1" w:lastRow="0" w:firstColumn="1" w:lastColumn="0" w:noHBand="0" w:noVBand="1"/>
        </w:tblPrEx>
        <w:trPr>
          <w:cantSplit/>
          <w:trHeight w:val="45"/>
        </w:trPr>
        <w:tc>
          <w:tcPr>
            <w:tcW w:w="352" w:type="pct"/>
            <w:vMerge/>
            <w:tcMar>
              <w:left w:w="20" w:type="dxa"/>
              <w:right w:w="20" w:type="dxa"/>
            </w:tcMar>
          </w:tcPr>
          <w:p w14:paraId="55446968" w14:textId="77777777" w:rsidR="00241558" w:rsidRDefault="00241558" w:rsidP="006702DC">
            <w:pPr>
              <w:rPr>
                <w:rFonts w:ascii="Arial Narrow" w:hAnsi="Arial Narrow"/>
                <w:sz w:val="20"/>
                <w:szCs w:val="20"/>
              </w:rPr>
            </w:pPr>
          </w:p>
        </w:tc>
        <w:tc>
          <w:tcPr>
            <w:tcW w:w="432" w:type="pct"/>
            <w:tcMar>
              <w:left w:w="20" w:type="dxa"/>
              <w:right w:w="20" w:type="dxa"/>
            </w:tcMar>
          </w:tcPr>
          <w:p w14:paraId="3C8C9585" w14:textId="330FCD0A" w:rsidR="00241558" w:rsidRPr="00AF0D3E" w:rsidRDefault="00241558" w:rsidP="006702DC">
            <w:pPr>
              <w:rPr>
                <w:rFonts w:ascii="Arial Narrow" w:hAnsi="Arial Narrow"/>
                <w:sz w:val="20"/>
                <w:szCs w:val="20"/>
              </w:rPr>
            </w:pPr>
          </w:p>
        </w:tc>
        <w:tc>
          <w:tcPr>
            <w:tcW w:w="4216" w:type="pct"/>
            <w:gridSpan w:val="4"/>
            <w:tcMar>
              <w:left w:w="20" w:type="dxa"/>
              <w:right w:w="20" w:type="dxa"/>
            </w:tcMar>
            <w:vAlign w:val="center"/>
          </w:tcPr>
          <w:p w14:paraId="7850E7E1" w14:textId="77777777" w:rsidR="00241558" w:rsidRPr="00CC73BB" w:rsidRDefault="00241558" w:rsidP="006702DC">
            <w:pPr>
              <w:keepLines/>
              <w:rPr>
                <w:rFonts w:ascii="Arial Narrow" w:hAnsi="Arial Narrow"/>
                <w:b/>
                <w:bCs/>
                <w:i/>
                <w:iCs/>
                <w:color w:val="333333"/>
                <w:sz w:val="20"/>
                <w:szCs w:val="20"/>
              </w:rPr>
            </w:pPr>
            <w:r w:rsidRPr="00CC73BB">
              <w:rPr>
                <w:rFonts w:ascii="Arial Narrow" w:hAnsi="Arial Narrow" w:cs="Open Sans"/>
                <w:b/>
                <w:bCs/>
                <w:i/>
                <w:iCs/>
                <w:color w:val="333333"/>
                <w:sz w:val="20"/>
                <w:szCs w:val="20"/>
                <w:bdr w:val="none" w:sz="0" w:space="0" w:color="auto" w:frame="1"/>
              </w:rPr>
              <w:t>Administrative Advice:</w:t>
            </w:r>
            <w:r>
              <w:rPr>
                <w:rFonts w:ascii="Arial Narrow" w:hAnsi="Arial Narrow" w:cs="Open Sans"/>
                <w:b/>
                <w:bCs/>
                <w:i/>
                <w:iCs/>
                <w:color w:val="333333"/>
                <w:sz w:val="20"/>
                <w:szCs w:val="20"/>
                <w:bdr w:val="none" w:sz="0" w:space="0" w:color="auto" w:frame="1"/>
              </w:rPr>
              <w:t xml:space="preserve"> </w:t>
            </w:r>
            <w:r w:rsidRPr="00CC73BB">
              <w:rPr>
                <w:rFonts w:ascii="Arial Narrow" w:hAnsi="Arial Narrow"/>
                <w:b/>
                <w:bCs/>
                <w:i/>
                <w:iCs/>
                <w:sz w:val="20"/>
                <w:szCs w:val="20"/>
              </w:rPr>
              <w:t xml:space="preserve"> </w:t>
            </w:r>
            <w:r w:rsidRPr="00CC73BB">
              <w:rPr>
                <w:rFonts w:ascii="Arial Narrow" w:hAnsi="Arial Narrow" w:cs="Open Sans"/>
                <w:i/>
                <w:iCs/>
                <w:color w:val="333333"/>
                <w:sz w:val="20"/>
                <w:szCs w:val="20"/>
              </w:rPr>
              <w:t>No increase in the maximum amount or number of units may be authorised</w:t>
            </w:r>
          </w:p>
        </w:tc>
      </w:tr>
      <w:tr w:rsidR="00241558" w14:paraId="5EC9DCF8"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vMerge w:val="restart"/>
            <w:tcMar>
              <w:left w:w="20" w:type="dxa"/>
              <w:right w:w="20" w:type="dxa"/>
            </w:tcMar>
            <w:vAlign w:val="center"/>
          </w:tcPr>
          <w:p w14:paraId="73A91D36" w14:textId="77777777"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39D295CE" w14:textId="77777777" w:rsidR="00241558" w:rsidRDefault="00241558" w:rsidP="006702DC">
            <w:pPr>
              <w:rPr>
                <w:rFonts w:ascii="Arial Narrow" w:hAnsi="Arial Narrow"/>
                <w:b/>
                <w:bCs/>
                <w:color w:val="333333"/>
                <w:sz w:val="20"/>
                <w:szCs w:val="20"/>
              </w:rPr>
            </w:pPr>
            <w:r>
              <w:rPr>
                <w:rFonts w:ascii="Arial Narrow" w:hAnsi="Arial Narrow"/>
                <w:b/>
                <w:bCs/>
                <w:color w:val="333333"/>
                <w:sz w:val="20"/>
                <w:szCs w:val="20"/>
              </w:rPr>
              <w:t xml:space="preserve">Episodicity: </w:t>
            </w:r>
            <w:r>
              <w:rPr>
                <w:rFonts w:ascii="Arial Narrow" w:hAnsi="Arial Narrow"/>
                <w:color w:val="333333"/>
                <w:sz w:val="20"/>
                <w:szCs w:val="20"/>
              </w:rPr>
              <w:t>[blank]</w:t>
            </w:r>
            <w:r>
              <w:rPr>
                <w:rFonts w:ascii="Arial Narrow" w:hAnsi="Arial Narrow"/>
                <w:bCs/>
                <w:color w:val="FF0000"/>
                <w:sz w:val="20"/>
                <w:szCs w:val="20"/>
              </w:rPr>
              <w:t xml:space="preserve"> </w:t>
            </w:r>
          </w:p>
        </w:tc>
      </w:tr>
      <w:tr w:rsidR="00241558" w14:paraId="78E26CE6"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vMerge/>
            <w:tcMar>
              <w:left w:w="20" w:type="dxa"/>
              <w:right w:w="20" w:type="dxa"/>
            </w:tcMar>
            <w:vAlign w:val="center"/>
          </w:tcPr>
          <w:p w14:paraId="012F0DD5" w14:textId="77777777"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053261E6" w14:textId="77777777" w:rsidR="00241558" w:rsidRDefault="00241558" w:rsidP="006702DC">
            <w:pPr>
              <w:rPr>
                <w:rFonts w:ascii="Arial Narrow" w:hAnsi="Arial Narrow"/>
                <w:b/>
                <w:bCs/>
                <w:i/>
                <w:iCs/>
                <w:color w:val="333333"/>
                <w:sz w:val="20"/>
                <w:szCs w:val="20"/>
              </w:rPr>
            </w:pPr>
            <w:r>
              <w:rPr>
                <w:rFonts w:ascii="Arial Narrow" w:hAnsi="Arial Narrow"/>
                <w:b/>
                <w:bCs/>
                <w:color w:val="333333"/>
                <w:sz w:val="20"/>
                <w:szCs w:val="20"/>
              </w:rPr>
              <w:t xml:space="preserve">Severity: </w:t>
            </w:r>
            <w:r w:rsidRPr="00CC73BB">
              <w:rPr>
                <w:rFonts w:ascii="Arial Narrow" w:hAnsi="Arial Narrow"/>
                <w:color w:val="333333"/>
                <w:sz w:val="20"/>
                <w:szCs w:val="20"/>
              </w:rPr>
              <w:t>Advanced disease (unresectable or metastatic)</w:t>
            </w:r>
          </w:p>
        </w:tc>
      </w:tr>
      <w:tr w:rsidR="00241558" w14:paraId="212FBE5E"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vMerge/>
            <w:tcMar>
              <w:left w:w="20" w:type="dxa"/>
              <w:right w:w="20" w:type="dxa"/>
            </w:tcMar>
            <w:vAlign w:val="center"/>
          </w:tcPr>
          <w:p w14:paraId="2178AFAC" w14:textId="77777777"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2DF8144E" w14:textId="77777777" w:rsidR="00241558" w:rsidRDefault="00241558" w:rsidP="006702DC">
            <w:pPr>
              <w:rPr>
                <w:rFonts w:ascii="Arial Narrow" w:hAnsi="Arial Narrow"/>
                <w:b/>
                <w:bCs/>
                <w:color w:val="333333"/>
                <w:sz w:val="20"/>
                <w:szCs w:val="20"/>
              </w:rPr>
            </w:pPr>
            <w:r>
              <w:rPr>
                <w:rFonts w:ascii="Arial Narrow" w:hAnsi="Arial Narrow"/>
                <w:b/>
                <w:bCs/>
                <w:color w:val="333333"/>
                <w:sz w:val="20"/>
                <w:szCs w:val="20"/>
              </w:rPr>
              <w:t xml:space="preserve">Condition: </w:t>
            </w:r>
            <w:r>
              <w:rPr>
                <w:rFonts w:ascii="Arial Narrow" w:hAnsi="Arial Narrow"/>
                <w:bCs/>
                <w:color w:val="FF0000"/>
                <w:sz w:val="20"/>
                <w:szCs w:val="20"/>
              </w:rPr>
              <w:t xml:space="preserve"> </w:t>
            </w:r>
            <w:r>
              <w:rPr>
                <w:rFonts w:ascii="Arial Narrow" w:hAnsi="Arial Narrow"/>
                <w:bCs/>
                <w:color w:val="333333"/>
                <w:sz w:val="20"/>
                <w:szCs w:val="20"/>
              </w:rPr>
              <w:t>Uveal melanoma</w:t>
            </w:r>
          </w:p>
        </w:tc>
      </w:tr>
      <w:tr w:rsidR="00241558" w14:paraId="28604FB2" w14:textId="77777777" w:rsidTr="005D0EA2">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3FA6E14F" w14:textId="0039BF4B"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hideMark/>
          </w:tcPr>
          <w:p w14:paraId="001E6048" w14:textId="77777777" w:rsidR="00241558" w:rsidRDefault="00241558" w:rsidP="006702DC">
            <w:pPr>
              <w:rPr>
                <w:rFonts w:ascii="Arial Narrow" w:hAnsi="Arial Narrow"/>
                <w:color w:val="333333"/>
                <w:sz w:val="20"/>
                <w:szCs w:val="20"/>
              </w:rPr>
            </w:pPr>
            <w:r>
              <w:rPr>
                <w:rFonts w:ascii="Arial Narrow" w:hAnsi="Arial Narrow"/>
                <w:b/>
                <w:bCs/>
                <w:color w:val="333333"/>
                <w:sz w:val="20"/>
                <w:szCs w:val="20"/>
              </w:rPr>
              <w:t>Indication:</w:t>
            </w:r>
            <w:r>
              <w:rPr>
                <w:rFonts w:ascii="Arial Narrow" w:hAnsi="Arial Narrow"/>
                <w:color w:val="333333"/>
                <w:sz w:val="20"/>
                <w:szCs w:val="20"/>
              </w:rPr>
              <w:t xml:space="preserve"> </w:t>
            </w:r>
            <w:r>
              <w:rPr>
                <w:rFonts w:ascii="Arial Narrow" w:hAnsi="Arial Narrow" w:cs="Open Sans"/>
                <w:color w:val="333333"/>
                <w:sz w:val="20"/>
                <w:szCs w:val="20"/>
              </w:rPr>
              <w:t>Advanced (unresectable or metastatic) uveal melanoma</w:t>
            </w:r>
          </w:p>
        </w:tc>
      </w:tr>
      <w:tr w:rsidR="00241558" w14:paraId="4A714138" w14:textId="77777777" w:rsidTr="005D0EA2">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11DE3995" w14:textId="77777777"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hideMark/>
          </w:tcPr>
          <w:p w14:paraId="1553C9CC" w14:textId="77777777" w:rsidR="00241558" w:rsidRDefault="00241558" w:rsidP="006702DC">
            <w:pPr>
              <w:rPr>
                <w:rFonts w:ascii="Arial Narrow" w:hAnsi="Arial Narrow"/>
                <w:color w:val="FF0000"/>
                <w:sz w:val="20"/>
                <w:szCs w:val="20"/>
              </w:rPr>
            </w:pPr>
            <w:r>
              <w:rPr>
                <w:rFonts w:ascii="Arial Narrow" w:hAnsi="Arial Narrow"/>
                <w:b/>
                <w:bCs/>
                <w:color w:val="333333"/>
                <w:sz w:val="20"/>
                <w:szCs w:val="20"/>
              </w:rPr>
              <w:t xml:space="preserve">Treatment Phase </w:t>
            </w:r>
            <w:r w:rsidRPr="00AF0D3E">
              <w:rPr>
                <w:rFonts w:ascii="Arial Narrow" w:hAnsi="Arial Narrow"/>
                <w:sz w:val="20"/>
                <w:szCs w:val="20"/>
              </w:rPr>
              <w:t>Continuing treatment</w:t>
            </w:r>
            <w:r>
              <w:rPr>
                <w:rFonts w:ascii="Arial Narrow" w:hAnsi="Arial Narrow"/>
                <w:color w:val="FF0000"/>
                <w:sz w:val="20"/>
                <w:szCs w:val="20"/>
              </w:rPr>
              <w:t xml:space="preserve">      </w:t>
            </w:r>
          </w:p>
        </w:tc>
      </w:tr>
      <w:tr w:rsidR="00241558" w14:paraId="28612651" w14:textId="77777777" w:rsidTr="00241558">
        <w:tblPrEx>
          <w:tblCellMar>
            <w:top w:w="15" w:type="dxa"/>
            <w:bottom w:w="15" w:type="dxa"/>
          </w:tblCellMar>
          <w:tblLook w:val="04A0" w:firstRow="1" w:lastRow="0" w:firstColumn="1" w:lastColumn="0" w:noHBand="0" w:noVBand="1"/>
        </w:tblPrEx>
        <w:trPr>
          <w:cantSplit/>
          <w:trHeight w:val="20"/>
        </w:trPr>
        <w:tc>
          <w:tcPr>
            <w:tcW w:w="5000" w:type="pct"/>
            <w:gridSpan w:val="6"/>
            <w:tcMar>
              <w:left w:w="20" w:type="dxa"/>
              <w:right w:w="20" w:type="dxa"/>
            </w:tcMar>
            <w:vAlign w:val="center"/>
          </w:tcPr>
          <w:p w14:paraId="75DFDE54" w14:textId="77777777" w:rsidR="00241558" w:rsidRDefault="00241558" w:rsidP="006702DC">
            <w:pPr>
              <w:rPr>
                <w:rFonts w:ascii="Arial Narrow" w:hAnsi="Arial Narrow"/>
                <w:b/>
                <w:bCs/>
                <w:color w:val="333333"/>
                <w:sz w:val="20"/>
                <w:szCs w:val="20"/>
              </w:rPr>
            </w:pPr>
          </w:p>
        </w:tc>
      </w:tr>
      <w:tr w:rsidR="00241558" w14:paraId="69097E91"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3207B72F" w14:textId="426C5EBD"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6D0B6408" w14:textId="77777777" w:rsidR="00241558" w:rsidRDefault="00241558" w:rsidP="006702DC">
            <w:pPr>
              <w:rPr>
                <w:rFonts w:ascii="Arial Narrow" w:hAnsi="Arial Narrow"/>
                <w:b/>
                <w:bCs/>
                <w:color w:val="333333"/>
                <w:sz w:val="20"/>
                <w:szCs w:val="20"/>
              </w:rPr>
            </w:pPr>
            <w:r w:rsidRPr="00CC73BB">
              <w:rPr>
                <w:rFonts w:ascii="Arial Narrow" w:hAnsi="Arial Narrow"/>
                <w:b/>
                <w:bCs/>
                <w:strike/>
                <w:color w:val="333333"/>
                <w:sz w:val="20"/>
                <w:szCs w:val="20"/>
              </w:rPr>
              <w:t>Treatment</w:t>
            </w:r>
            <w:r>
              <w:rPr>
                <w:rFonts w:ascii="Arial Narrow" w:hAnsi="Arial Narrow"/>
                <w:b/>
                <w:bCs/>
                <w:color w:val="333333"/>
                <w:sz w:val="20"/>
                <w:szCs w:val="20"/>
              </w:rPr>
              <w:t xml:space="preserve"> </w:t>
            </w:r>
            <w:r w:rsidRPr="00CC73BB">
              <w:rPr>
                <w:rFonts w:ascii="Arial Narrow" w:hAnsi="Arial Narrow"/>
                <w:b/>
                <w:bCs/>
                <w:i/>
                <w:iCs/>
                <w:color w:val="333333"/>
                <w:sz w:val="20"/>
                <w:szCs w:val="20"/>
              </w:rPr>
              <w:t>Clinical</w:t>
            </w:r>
            <w:r>
              <w:rPr>
                <w:rFonts w:ascii="Arial Narrow" w:hAnsi="Arial Narrow"/>
                <w:b/>
                <w:bCs/>
                <w:color w:val="333333"/>
                <w:sz w:val="20"/>
                <w:szCs w:val="20"/>
              </w:rPr>
              <w:t xml:space="preserve"> criteria:</w:t>
            </w:r>
          </w:p>
        </w:tc>
      </w:tr>
      <w:tr w:rsidR="00241558" w14:paraId="774971EB"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2C495DAA" w14:textId="527B3EDE"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159B0632" w14:textId="77777777" w:rsidR="00241558" w:rsidRDefault="00241558" w:rsidP="006702DC">
            <w:pPr>
              <w:rPr>
                <w:rFonts w:ascii="Arial Narrow" w:hAnsi="Arial Narrow"/>
                <w:sz w:val="20"/>
                <w:szCs w:val="20"/>
              </w:rPr>
            </w:pPr>
            <w:r>
              <w:rPr>
                <w:rFonts w:ascii="Arial Narrow" w:hAnsi="Arial Narrow"/>
                <w:sz w:val="20"/>
                <w:szCs w:val="20"/>
              </w:rPr>
              <w:t>The treatment must be the sole PBS-subsidised therapy for this condition</w:t>
            </w:r>
          </w:p>
        </w:tc>
      </w:tr>
      <w:tr w:rsidR="00241558" w14:paraId="26426B06"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57A448B1" w14:textId="77777777"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5485A61C" w14:textId="77777777" w:rsidR="00241558" w:rsidRDefault="00241558" w:rsidP="006702DC">
            <w:pPr>
              <w:rPr>
                <w:rFonts w:ascii="Arial Narrow" w:hAnsi="Arial Narrow"/>
                <w:sz w:val="20"/>
                <w:szCs w:val="20"/>
              </w:rPr>
            </w:pPr>
            <w:r>
              <w:rPr>
                <w:rFonts w:ascii="Arial Narrow" w:hAnsi="Arial Narrow"/>
                <w:b/>
                <w:bCs/>
                <w:color w:val="333333"/>
                <w:sz w:val="20"/>
                <w:szCs w:val="20"/>
              </w:rPr>
              <w:t>AND</w:t>
            </w:r>
          </w:p>
        </w:tc>
      </w:tr>
      <w:tr w:rsidR="00241558" w14:paraId="2CEF73B0"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5D107967" w14:textId="5D27BA71"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5C0E5569" w14:textId="77777777" w:rsidR="00241558" w:rsidRDefault="00241558" w:rsidP="006702DC">
            <w:pPr>
              <w:rPr>
                <w:rFonts w:ascii="Arial Narrow" w:hAnsi="Arial Narrow"/>
                <w:sz w:val="20"/>
                <w:szCs w:val="20"/>
              </w:rPr>
            </w:pPr>
            <w:r>
              <w:rPr>
                <w:rFonts w:ascii="Arial Narrow" w:hAnsi="Arial Narrow"/>
                <w:b/>
                <w:bCs/>
                <w:color w:val="333333"/>
                <w:sz w:val="20"/>
                <w:szCs w:val="20"/>
              </w:rPr>
              <w:t>Clinical criteria:</w:t>
            </w:r>
          </w:p>
        </w:tc>
      </w:tr>
      <w:tr w:rsidR="00241558" w14:paraId="1C65A5AD"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7935F8E8" w14:textId="58285B30"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269AD18C" w14:textId="77777777" w:rsidR="00241558" w:rsidRDefault="00241558" w:rsidP="006702DC">
            <w:pPr>
              <w:rPr>
                <w:rFonts w:ascii="Arial Narrow" w:hAnsi="Arial Narrow"/>
                <w:b/>
                <w:bCs/>
                <w:color w:val="333333"/>
                <w:sz w:val="20"/>
                <w:szCs w:val="20"/>
              </w:rPr>
            </w:pPr>
            <w:r>
              <w:rPr>
                <w:rFonts w:ascii="Arial Narrow" w:hAnsi="Arial Narrow"/>
                <w:sz w:val="20"/>
                <w:szCs w:val="20"/>
              </w:rPr>
              <w:t xml:space="preserve">Patient must have previously </w:t>
            </w:r>
            <w:r w:rsidRPr="00AF0D3E">
              <w:rPr>
                <w:rFonts w:ascii="Arial Narrow" w:hAnsi="Arial Narrow"/>
                <w:sz w:val="20"/>
                <w:szCs w:val="20"/>
              </w:rPr>
              <w:t xml:space="preserve">received PBS-subsidised </w:t>
            </w:r>
            <w:r w:rsidRPr="00CC73BB">
              <w:rPr>
                <w:rFonts w:ascii="Arial Narrow" w:hAnsi="Arial Narrow"/>
                <w:strike/>
                <w:sz w:val="20"/>
                <w:szCs w:val="20"/>
              </w:rPr>
              <w:t>tebentafusp</w:t>
            </w:r>
            <w:r>
              <w:rPr>
                <w:rFonts w:ascii="Arial Narrow" w:hAnsi="Arial Narrow"/>
                <w:sz w:val="20"/>
                <w:szCs w:val="20"/>
              </w:rPr>
              <w:t xml:space="preserve"> </w:t>
            </w:r>
            <w:r w:rsidRPr="00CC73BB">
              <w:rPr>
                <w:rFonts w:ascii="Arial Narrow" w:hAnsi="Arial Narrow"/>
                <w:i/>
                <w:iCs/>
                <w:sz w:val="20"/>
                <w:szCs w:val="20"/>
              </w:rPr>
              <w:t>treatment with this drug</w:t>
            </w:r>
            <w:r>
              <w:rPr>
                <w:rFonts w:ascii="Arial Narrow" w:hAnsi="Arial Narrow"/>
                <w:sz w:val="20"/>
                <w:szCs w:val="20"/>
              </w:rPr>
              <w:t xml:space="preserve"> for this condition.</w:t>
            </w:r>
          </w:p>
        </w:tc>
      </w:tr>
      <w:tr w:rsidR="00241558" w14:paraId="1C89B044"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0291B212" w14:textId="77777777"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2A69164F" w14:textId="77777777" w:rsidR="00241558" w:rsidRDefault="00241558" w:rsidP="006702DC">
            <w:pPr>
              <w:rPr>
                <w:rFonts w:ascii="Arial Narrow" w:hAnsi="Arial Narrow"/>
                <w:b/>
                <w:bCs/>
                <w:color w:val="333333"/>
                <w:sz w:val="20"/>
                <w:szCs w:val="20"/>
              </w:rPr>
            </w:pPr>
            <w:r>
              <w:rPr>
                <w:rFonts w:ascii="Arial Narrow" w:hAnsi="Arial Narrow"/>
                <w:b/>
                <w:bCs/>
                <w:color w:val="333333"/>
                <w:sz w:val="20"/>
                <w:szCs w:val="20"/>
              </w:rPr>
              <w:t>AND</w:t>
            </w:r>
          </w:p>
        </w:tc>
      </w:tr>
      <w:tr w:rsidR="00241558" w14:paraId="5343A564"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693BE9D5" w14:textId="1F3F2DFC"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3A867502" w14:textId="77777777" w:rsidR="00241558" w:rsidRPr="00AE3DAD" w:rsidRDefault="00241558" w:rsidP="006702DC">
            <w:pPr>
              <w:rPr>
                <w:rFonts w:ascii="Arial Narrow" w:hAnsi="Arial Narrow"/>
                <w:b/>
                <w:bCs/>
                <w:color w:val="333333"/>
                <w:sz w:val="20"/>
                <w:szCs w:val="20"/>
              </w:rPr>
            </w:pPr>
            <w:r w:rsidRPr="00AE3DAD">
              <w:rPr>
                <w:rFonts w:ascii="Arial Narrow" w:hAnsi="Arial Narrow"/>
                <w:b/>
                <w:bCs/>
                <w:color w:val="333333"/>
                <w:sz w:val="20"/>
                <w:szCs w:val="20"/>
              </w:rPr>
              <w:t>Clinical criteria:</w:t>
            </w:r>
          </w:p>
        </w:tc>
      </w:tr>
      <w:tr w:rsidR="00241558" w14:paraId="5A46B38D"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652CDB19" w14:textId="55D3E573"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04DE2BE5" w14:textId="77777777" w:rsidR="00241558" w:rsidRPr="00AE3DAD" w:rsidRDefault="00241558" w:rsidP="006702DC">
            <w:pPr>
              <w:rPr>
                <w:rFonts w:ascii="Arial Narrow" w:hAnsi="Arial Narrow"/>
                <w:b/>
                <w:bCs/>
                <w:color w:val="333333"/>
                <w:sz w:val="20"/>
                <w:szCs w:val="20"/>
              </w:rPr>
            </w:pPr>
            <w:r w:rsidRPr="00AE3DAD">
              <w:rPr>
                <w:rFonts w:ascii="Arial Narrow" w:hAnsi="Arial Narrow"/>
                <w:sz w:val="20"/>
                <w:szCs w:val="20"/>
              </w:rPr>
              <w:t>Patient must not develop disease progression as determined by the treating clinician while receiving PBS subsidised treatment with this drug for this condition</w:t>
            </w:r>
            <w:r w:rsidRPr="00B515FF">
              <w:rPr>
                <w:rFonts w:ascii="Arial Narrow" w:hAnsi="Arial Narrow"/>
                <w:sz w:val="20"/>
                <w:szCs w:val="20"/>
              </w:rPr>
              <w:t xml:space="preserve">. </w:t>
            </w:r>
            <w:r w:rsidRPr="00B515FF">
              <w:rPr>
                <w:rFonts w:ascii="Arial Narrow" w:hAnsi="Arial Narrow"/>
                <w:strike/>
                <w:sz w:val="20"/>
                <w:szCs w:val="20"/>
              </w:rPr>
              <w:t>Patients can continue to receive treatment beyond RESIST 1.1-classified disease progression occurs. Decisions on treatment discontinuation should be based on a fully integrated clinical evaluation by the treating clinician.</w:t>
            </w:r>
          </w:p>
        </w:tc>
      </w:tr>
      <w:tr w:rsidR="00241558" w14:paraId="2404FDF5" w14:textId="77777777" w:rsidTr="00241558">
        <w:tblPrEx>
          <w:tblCellMar>
            <w:top w:w="15" w:type="dxa"/>
            <w:bottom w:w="15" w:type="dxa"/>
          </w:tblCellMar>
          <w:tblLook w:val="04A0" w:firstRow="1" w:lastRow="0" w:firstColumn="1" w:lastColumn="0" w:noHBand="0" w:noVBand="1"/>
        </w:tblPrEx>
        <w:trPr>
          <w:cantSplit/>
          <w:trHeight w:val="20"/>
        </w:trPr>
        <w:tc>
          <w:tcPr>
            <w:tcW w:w="5000" w:type="pct"/>
            <w:gridSpan w:val="6"/>
            <w:tcMar>
              <w:left w:w="20" w:type="dxa"/>
              <w:right w:w="20" w:type="dxa"/>
            </w:tcMar>
            <w:vAlign w:val="center"/>
          </w:tcPr>
          <w:p w14:paraId="65630D60" w14:textId="77777777" w:rsidR="00241558" w:rsidRPr="00AE3DAD" w:rsidRDefault="00241558" w:rsidP="006702DC">
            <w:pPr>
              <w:rPr>
                <w:rFonts w:ascii="Arial Narrow" w:hAnsi="Arial Narrow"/>
                <w:sz w:val="20"/>
                <w:szCs w:val="20"/>
              </w:rPr>
            </w:pPr>
          </w:p>
        </w:tc>
      </w:tr>
      <w:tr w:rsidR="00241558" w14:paraId="6EDC768D"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6E8F70ED" w14:textId="77777777"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0FEC1489" w14:textId="77777777" w:rsidR="00241558" w:rsidRPr="00191735" w:rsidRDefault="00241558" w:rsidP="006702DC">
            <w:pPr>
              <w:rPr>
                <w:rFonts w:ascii="Arial Narrow" w:hAnsi="Arial Narrow"/>
                <w:b/>
                <w:bCs/>
                <w:strike/>
                <w:color w:val="333333"/>
                <w:sz w:val="20"/>
                <w:szCs w:val="20"/>
              </w:rPr>
            </w:pPr>
            <w:r w:rsidRPr="00191735">
              <w:rPr>
                <w:rFonts w:ascii="Arial Narrow" w:hAnsi="Arial Narrow"/>
                <w:b/>
                <w:bCs/>
                <w:strike/>
                <w:color w:val="333333"/>
                <w:sz w:val="20"/>
                <w:szCs w:val="20"/>
              </w:rPr>
              <w:t>Population criteria:</w:t>
            </w:r>
          </w:p>
        </w:tc>
      </w:tr>
      <w:tr w:rsidR="00241558" w14:paraId="1A43580E"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1ABCF490" w14:textId="3D1662DD"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5DFEFD2C" w14:textId="77777777" w:rsidR="00241558" w:rsidRPr="00191735" w:rsidRDefault="00241558" w:rsidP="006702DC">
            <w:pPr>
              <w:rPr>
                <w:rFonts w:ascii="Arial Narrow" w:hAnsi="Arial Narrow" w:cs="Arial Narrow"/>
                <w:i/>
                <w:strike/>
                <w:sz w:val="20"/>
                <w:szCs w:val="20"/>
              </w:rPr>
            </w:pPr>
            <w:r w:rsidRPr="00191735">
              <w:rPr>
                <w:rFonts w:ascii="Arial Narrow" w:hAnsi="Arial Narrow"/>
                <w:strike/>
                <w:sz w:val="20"/>
                <w:szCs w:val="20"/>
              </w:rPr>
              <w:t>Patients must be aged 18 years or older</w:t>
            </w:r>
          </w:p>
        </w:tc>
      </w:tr>
      <w:tr w:rsidR="00241558" w14:paraId="21045597" w14:textId="77777777" w:rsidTr="00241558">
        <w:tblPrEx>
          <w:tblCellMar>
            <w:top w:w="15" w:type="dxa"/>
            <w:bottom w:w="15" w:type="dxa"/>
          </w:tblCellMar>
          <w:tblLook w:val="04A0" w:firstRow="1" w:lastRow="0" w:firstColumn="1" w:lastColumn="0" w:noHBand="0" w:noVBand="1"/>
        </w:tblPrEx>
        <w:trPr>
          <w:cantSplit/>
          <w:trHeight w:val="20"/>
        </w:trPr>
        <w:tc>
          <w:tcPr>
            <w:tcW w:w="5000" w:type="pct"/>
            <w:gridSpan w:val="6"/>
            <w:tcMar>
              <w:left w:w="20" w:type="dxa"/>
              <w:right w:w="20" w:type="dxa"/>
            </w:tcMar>
            <w:vAlign w:val="center"/>
          </w:tcPr>
          <w:p w14:paraId="2495C71C" w14:textId="77777777" w:rsidR="00241558" w:rsidRPr="00AE3DAD" w:rsidRDefault="00241558" w:rsidP="006702DC">
            <w:pPr>
              <w:rPr>
                <w:rFonts w:ascii="Arial Narrow" w:hAnsi="Arial Narrow"/>
                <w:sz w:val="20"/>
                <w:szCs w:val="20"/>
              </w:rPr>
            </w:pPr>
          </w:p>
        </w:tc>
      </w:tr>
      <w:tr w:rsidR="00241558" w14:paraId="7FD19122"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3E544238" w14:textId="1EDB9C51" w:rsidR="00241558" w:rsidRDefault="00241558" w:rsidP="006702DC">
            <w:pPr>
              <w:jc w:val="center"/>
              <w:rPr>
                <w:rFonts w:ascii="Arial Narrow" w:hAnsi="Arial Narrow"/>
                <w:i/>
                <w:iCs/>
                <w:color w:val="333333"/>
                <w:sz w:val="20"/>
                <w:szCs w:val="20"/>
              </w:rPr>
            </w:pPr>
          </w:p>
        </w:tc>
        <w:tc>
          <w:tcPr>
            <w:tcW w:w="4216" w:type="pct"/>
            <w:gridSpan w:val="4"/>
            <w:tcMar>
              <w:left w:w="20" w:type="dxa"/>
              <w:right w:w="20" w:type="dxa"/>
            </w:tcMar>
            <w:vAlign w:val="center"/>
          </w:tcPr>
          <w:p w14:paraId="417D394F" w14:textId="77777777" w:rsidR="00241558" w:rsidRPr="00191735" w:rsidRDefault="00241558" w:rsidP="006702DC">
            <w:pPr>
              <w:rPr>
                <w:rFonts w:ascii="Arial Narrow" w:hAnsi="Arial Narrow"/>
                <w:strike/>
                <w:sz w:val="20"/>
                <w:szCs w:val="20"/>
              </w:rPr>
            </w:pPr>
            <w:r w:rsidRPr="00191735">
              <w:rPr>
                <w:rFonts w:ascii="Arial Narrow" w:hAnsi="Arial Narrow"/>
                <w:b/>
                <w:strike/>
                <w:sz w:val="20"/>
                <w:szCs w:val="20"/>
              </w:rPr>
              <w:t xml:space="preserve">Administrative Advice: </w:t>
            </w:r>
          </w:p>
          <w:p w14:paraId="7C0C52CE" w14:textId="77777777" w:rsidR="00241558" w:rsidRPr="00AE3DAD" w:rsidRDefault="00241558" w:rsidP="006702DC">
            <w:pPr>
              <w:autoSpaceDE w:val="0"/>
              <w:autoSpaceDN w:val="0"/>
              <w:adjustRightInd w:val="0"/>
              <w:rPr>
                <w:rFonts w:ascii="Arial Narrow" w:hAnsi="Arial Narrow"/>
                <w:sz w:val="20"/>
                <w:szCs w:val="20"/>
              </w:rPr>
            </w:pPr>
            <w:r w:rsidRPr="00191735">
              <w:rPr>
                <w:rFonts w:ascii="Arial Narrow" w:hAnsi="Arial Narrow"/>
                <w:strike/>
                <w:sz w:val="20"/>
                <w:szCs w:val="20"/>
              </w:rPr>
              <w:t>KIMMTRAK is for intravenous use. The recommended infusion period is 15 to 20 minutes. KIMMTRAK requires dilution with sodium chloride 9 mg/mL (0.9%) solution for injection containing human albumin for intravenous infusion</w:t>
            </w:r>
            <w:r w:rsidRPr="00AE3DAD">
              <w:rPr>
                <w:rFonts w:ascii="Arial Narrow" w:hAnsi="Arial Narrow"/>
                <w:sz w:val="20"/>
                <w:szCs w:val="20"/>
              </w:rPr>
              <w:t>.</w:t>
            </w:r>
          </w:p>
        </w:tc>
      </w:tr>
      <w:tr w:rsidR="00241558" w14:paraId="179C610C"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25B9BF90" w14:textId="6A0895B5" w:rsidR="00241558" w:rsidRDefault="00241558" w:rsidP="006702DC">
            <w:pPr>
              <w:jc w:val="center"/>
              <w:rPr>
                <w:rFonts w:ascii="Arial Narrow" w:hAnsi="Arial Narrow"/>
                <w:i/>
                <w:iCs/>
                <w:color w:val="333333"/>
                <w:sz w:val="20"/>
                <w:szCs w:val="20"/>
              </w:rPr>
            </w:pPr>
          </w:p>
        </w:tc>
        <w:tc>
          <w:tcPr>
            <w:tcW w:w="4216" w:type="pct"/>
            <w:gridSpan w:val="4"/>
            <w:tcMar>
              <w:left w:w="20" w:type="dxa"/>
              <w:right w:w="20" w:type="dxa"/>
            </w:tcMar>
            <w:vAlign w:val="center"/>
          </w:tcPr>
          <w:p w14:paraId="61F6B4AD" w14:textId="77777777" w:rsidR="00241558" w:rsidRPr="002A4556" w:rsidRDefault="00241558" w:rsidP="006702DC">
            <w:pPr>
              <w:autoSpaceDE w:val="0"/>
              <w:autoSpaceDN w:val="0"/>
              <w:adjustRightInd w:val="0"/>
              <w:rPr>
                <w:rFonts w:ascii="Arial Narrow" w:hAnsi="Arial Narrow"/>
                <w:strike/>
                <w:sz w:val="20"/>
                <w:szCs w:val="20"/>
              </w:rPr>
            </w:pPr>
            <w:r w:rsidRPr="00AE3DAD">
              <w:rPr>
                <w:rFonts w:ascii="Arial Narrow" w:hAnsi="Arial Narrow"/>
                <w:b/>
                <w:bCs/>
                <w:sz w:val="20"/>
                <w:szCs w:val="20"/>
              </w:rPr>
              <w:t>For prescriber:</w:t>
            </w:r>
            <w:r w:rsidRPr="00AE3DAD">
              <w:rPr>
                <w:rFonts w:ascii="Arial Narrow" w:hAnsi="Arial Narrow"/>
                <w:sz w:val="20"/>
                <w:szCs w:val="20"/>
              </w:rPr>
              <w:t xml:space="preserve"> For the first three doses (in the initiating phase), KIMMTRACK must be administered </w:t>
            </w:r>
            <w:r w:rsidRPr="002A4556">
              <w:rPr>
                <w:rFonts w:ascii="Arial Narrow" w:hAnsi="Arial Narrow"/>
                <w:strike/>
                <w:sz w:val="20"/>
                <w:szCs w:val="20"/>
              </w:rPr>
              <w:t>under the direction and supervision of a physician experienced in the use of anti</w:t>
            </w:r>
            <w:r w:rsidRPr="002A4556">
              <w:rPr>
                <w:rFonts w:ascii="Arial Narrow" w:hAnsi="Arial Narrow"/>
                <w:strike/>
                <w:sz w:val="20"/>
                <w:szCs w:val="20"/>
              </w:rPr>
              <w:noBreakHyphen/>
              <w:t xml:space="preserve">cancer agents and who is prepared to manage cytokine release syndrome in an environment where full resuscitation facilities are immediately available. </w:t>
            </w:r>
          </w:p>
          <w:p w14:paraId="507E47FC" w14:textId="77777777" w:rsidR="00241558" w:rsidRPr="00AE3DAD" w:rsidRDefault="00241558" w:rsidP="006702DC">
            <w:pPr>
              <w:autoSpaceDE w:val="0"/>
              <w:autoSpaceDN w:val="0"/>
              <w:adjustRightInd w:val="0"/>
              <w:rPr>
                <w:rFonts w:ascii="Arial Narrow" w:eastAsia="Calibri" w:hAnsi="Arial Narrow" w:cs="Arial Narrow"/>
                <w:iCs/>
                <w:sz w:val="20"/>
                <w:szCs w:val="20"/>
              </w:rPr>
            </w:pPr>
            <w:r w:rsidRPr="002A4556">
              <w:rPr>
                <w:rFonts w:ascii="Arial Narrow" w:hAnsi="Arial Narrow"/>
                <w:strike/>
                <w:sz w:val="20"/>
                <w:szCs w:val="20"/>
              </w:rPr>
              <w:t xml:space="preserve">Subsequent doses can be administered in appropriate outpatient setting by a trained health care professional. </w:t>
            </w:r>
            <w:r w:rsidRPr="002A4556">
              <w:rPr>
                <w:rFonts w:ascii="Arial Narrow" w:eastAsia="Calibri" w:hAnsi="Arial Narrow" w:cs="Arial Narrow"/>
                <w:iCs/>
                <w:strike/>
                <w:sz w:val="20"/>
                <w:szCs w:val="20"/>
              </w:rPr>
              <w:t>Patients should then be observed for a minimum of 30 minutes following each infusion</w:t>
            </w:r>
            <w:r w:rsidRPr="00AE3DAD">
              <w:rPr>
                <w:rFonts w:ascii="Arial Narrow" w:eastAsia="Calibri" w:hAnsi="Arial Narrow" w:cs="Arial Narrow"/>
                <w:iCs/>
                <w:sz w:val="20"/>
                <w:szCs w:val="20"/>
              </w:rPr>
              <w:t xml:space="preserve">. </w:t>
            </w:r>
          </w:p>
        </w:tc>
      </w:tr>
      <w:tr w:rsidR="00241558" w14:paraId="729C1051" w14:textId="77777777" w:rsidTr="00241558">
        <w:tblPrEx>
          <w:tblCellMar>
            <w:top w:w="15" w:type="dxa"/>
            <w:bottom w:w="15" w:type="dxa"/>
          </w:tblCellMar>
          <w:tblLook w:val="04A0" w:firstRow="1" w:lastRow="0" w:firstColumn="1" w:lastColumn="0" w:noHBand="0" w:noVBand="1"/>
        </w:tblPrEx>
        <w:trPr>
          <w:cantSplit/>
          <w:trHeight w:val="20"/>
        </w:trPr>
        <w:tc>
          <w:tcPr>
            <w:tcW w:w="5000" w:type="pct"/>
            <w:gridSpan w:val="6"/>
            <w:tcMar>
              <w:left w:w="20" w:type="dxa"/>
              <w:right w:w="20" w:type="dxa"/>
            </w:tcMar>
            <w:vAlign w:val="center"/>
          </w:tcPr>
          <w:p w14:paraId="6543BC4F" w14:textId="77777777" w:rsidR="00241558" w:rsidRPr="00AE3DAD" w:rsidRDefault="00241558" w:rsidP="006702DC">
            <w:pPr>
              <w:autoSpaceDE w:val="0"/>
              <w:autoSpaceDN w:val="0"/>
              <w:adjustRightInd w:val="0"/>
              <w:rPr>
                <w:rFonts w:ascii="Arial Narrow" w:hAnsi="Arial Narrow"/>
                <w:b/>
                <w:bCs/>
                <w:sz w:val="20"/>
                <w:szCs w:val="20"/>
              </w:rPr>
            </w:pPr>
          </w:p>
        </w:tc>
      </w:tr>
      <w:tr w:rsidR="00241558" w14:paraId="74FB6F90"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682AE9A9" w14:textId="77777777"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5152EA82" w14:textId="77777777" w:rsidR="00241558" w:rsidRPr="002A4556" w:rsidRDefault="00241558" w:rsidP="006702DC">
            <w:pPr>
              <w:autoSpaceDE w:val="0"/>
              <w:autoSpaceDN w:val="0"/>
              <w:adjustRightInd w:val="0"/>
              <w:rPr>
                <w:rFonts w:ascii="Arial Narrow" w:hAnsi="Arial Narrow"/>
                <w:b/>
                <w:bCs/>
                <w:i/>
                <w:iCs/>
                <w:sz w:val="20"/>
                <w:szCs w:val="20"/>
              </w:rPr>
            </w:pPr>
            <w:r w:rsidRPr="002A4556">
              <w:rPr>
                <w:rFonts w:ascii="Arial Narrow" w:hAnsi="Arial Narrow"/>
                <w:b/>
                <w:bCs/>
                <w:i/>
                <w:iCs/>
                <w:sz w:val="20"/>
                <w:szCs w:val="20"/>
              </w:rPr>
              <w:t>Treatment criteria:</w:t>
            </w:r>
          </w:p>
        </w:tc>
      </w:tr>
      <w:tr w:rsidR="00241558" w14:paraId="409B892F"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6CF3EE8E" w14:textId="77777777"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6513B88B" w14:textId="77777777" w:rsidR="00241558" w:rsidRPr="00AE3DAD" w:rsidRDefault="00241558" w:rsidP="006702DC">
            <w:pPr>
              <w:autoSpaceDE w:val="0"/>
              <w:autoSpaceDN w:val="0"/>
              <w:adjustRightInd w:val="0"/>
              <w:rPr>
                <w:rFonts w:ascii="Arial Narrow" w:hAnsi="Arial Narrow"/>
                <w:b/>
                <w:bCs/>
                <w:sz w:val="20"/>
                <w:szCs w:val="20"/>
              </w:rPr>
            </w:pPr>
            <w:r w:rsidRPr="00D00FBE">
              <w:rPr>
                <w:rFonts w:ascii="Arial Narrow" w:hAnsi="Arial Narrow" w:cs="Open Sans"/>
                <w:i/>
                <w:iCs/>
                <w:color w:val="222222"/>
                <w:sz w:val="20"/>
                <w:szCs w:val="20"/>
              </w:rPr>
              <w:t xml:space="preserve">According to the TGA-approved Product Information, hospitalisation is recommended at minimum for the first 3 doses (on Days 1, 8 and 15) and for at least 16 hours after each infusion is completed. </w:t>
            </w:r>
            <w:r>
              <w:rPr>
                <w:rFonts w:ascii="Arial Narrow" w:hAnsi="Arial Narrow" w:cs="Open Sans"/>
                <w:i/>
                <w:iCs/>
                <w:color w:val="222222"/>
                <w:sz w:val="20"/>
                <w:szCs w:val="20"/>
              </w:rPr>
              <w:t xml:space="preserve">If the patient does not experience hypotension that is Grade 2 or worse (requiring medical intervention) with the third dose, </w:t>
            </w:r>
            <w:r w:rsidRPr="00D00FBE">
              <w:rPr>
                <w:rFonts w:ascii="Arial Narrow" w:hAnsi="Arial Narrow" w:cs="Open Sans"/>
                <w:i/>
                <w:iCs/>
                <w:color w:val="222222"/>
                <w:sz w:val="20"/>
                <w:szCs w:val="20"/>
              </w:rPr>
              <w:t>subsequent doses</w:t>
            </w:r>
            <w:r>
              <w:rPr>
                <w:rFonts w:ascii="Arial Narrow" w:hAnsi="Arial Narrow" w:cs="Open Sans"/>
                <w:i/>
                <w:iCs/>
                <w:color w:val="222222"/>
                <w:sz w:val="20"/>
                <w:szCs w:val="20"/>
              </w:rPr>
              <w:t xml:space="preserve"> can be administered in an appropriate outpatient/ambulatory care setting. S</w:t>
            </w:r>
            <w:r w:rsidRPr="00D00FBE">
              <w:rPr>
                <w:rFonts w:ascii="Arial Narrow" w:hAnsi="Arial Narrow" w:cs="Open Sans"/>
                <w:i/>
                <w:iCs/>
                <w:color w:val="222222"/>
                <w:sz w:val="20"/>
                <w:szCs w:val="20"/>
              </w:rPr>
              <w:t>upervision by a health care professional is recommended for a minimum of 30 minutes</w:t>
            </w:r>
            <w:r>
              <w:rPr>
                <w:rFonts w:ascii="Arial Narrow" w:hAnsi="Arial Narrow" w:cs="Open Sans"/>
                <w:i/>
                <w:iCs/>
                <w:color w:val="222222"/>
                <w:sz w:val="20"/>
                <w:szCs w:val="20"/>
              </w:rPr>
              <w:t xml:space="preserve"> following each infusion</w:t>
            </w:r>
            <w:r w:rsidRPr="00D00FBE">
              <w:rPr>
                <w:rFonts w:ascii="Arial Narrow" w:hAnsi="Arial Narrow" w:cs="Open Sans"/>
                <w:i/>
                <w:iCs/>
                <w:color w:val="222222"/>
                <w:sz w:val="20"/>
                <w:szCs w:val="20"/>
              </w:rPr>
              <w:t>.</w:t>
            </w:r>
          </w:p>
        </w:tc>
      </w:tr>
      <w:tr w:rsidR="00241558" w14:paraId="28BC3C3F" w14:textId="77777777" w:rsidTr="00241558">
        <w:tblPrEx>
          <w:tblCellMar>
            <w:top w:w="15" w:type="dxa"/>
            <w:bottom w:w="15" w:type="dxa"/>
          </w:tblCellMar>
          <w:tblLook w:val="04A0" w:firstRow="1" w:lastRow="0" w:firstColumn="1" w:lastColumn="0" w:noHBand="0" w:noVBand="1"/>
        </w:tblPrEx>
        <w:trPr>
          <w:cantSplit/>
          <w:trHeight w:val="20"/>
        </w:trPr>
        <w:tc>
          <w:tcPr>
            <w:tcW w:w="5000" w:type="pct"/>
            <w:gridSpan w:val="6"/>
            <w:tcMar>
              <w:left w:w="20" w:type="dxa"/>
              <w:right w:w="20" w:type="dxa"/>
            </w:tcMar>
            <w:vAlign w:val="center"/>
          </w:tcPr>
          <w:p w14:paraId="29EA9E00" w14:textId="77777777" w:rsidR="00241558" w:rsidRDefault="00241558" w:rsidP="006702DC">
            <w:pPr>
              <w:autoSpaceDE w:val="0"/>
              <w:autoSpaceDN w:val="0"/>
              <w:adjustRightInd w:val="0"/>
              <w:rPr>
                <w:rFonts w:ascii="Arial Narrow" w:hAnsi="Arial Narrow"/>
                <w:b/>
                <w:bCs/>
                <w:sz w:val="20"/>
                <w:szCs w:val="20"/>
              </w:rPr>
            </w:pPr>
          </w:p>
        </w:tc>
      </w:tr>
      <w:tr w:rsidR="00241558" w14:paraId="6FEB8C83" w14:textId="77777777" w:rsidTr="00241558">
        <w:tblPrEx>
          <w:tblCellMar>
            <w:top w:w="15" w:type="dxa"/>
            <w:bottom w:w="15" w:type="dxa"/>
          </w:tblCellMar>
          <w:tblLook w:val="04A0" w:firstRow="1" w:lastRow="0" w:firstColumn="1" w:lastColumn="0" w:noHBand="0" w:noVBand="1"/>
        </w:tblPrEx>
        <w:trPr>
          <w:cantSplit/>
          <w:trHeight w:val="20"/>
        </w:trPr>
        <w:tc>
          <w:tcPr>
            <w:tcW w:w="784" w:type="pct"/>
            <w:gridSpan w:val="2"/>
            <w:tcMar>
              <w:left w:w="20" w:type="dxa"/>
              <w:right w:w="20" w:type="dxa"/>
            </w:tcMar>
            <w:vAlign w:val="center"/>
          </w:tcPr>
          <w:p w14:paraId="585FF2FC" w14:textId="77777777" w:rsidR="00241558" w:rsidRDefault="00241558" w:rsidP="006702DC">
            <w:pPr>
              <w:jc w:val="center"/>
              <w:rPr>
                <w:rFonts w:ascii="Arial Narrow" w:hAnsi="Arial Narrow"/>
                <w:color w:val="333333"/>
                <w:sz w:val="20"/>
                <w:szCs w:val="20"/>
              </w:rPr>
            </w:pPr>
          </w:p>
        </w:tc>
        <w:tc>
          <w:tcPr>
            <w:tcW w:w="4216" w:type="pct"/>
            <w:gridSpan w:val="4"/>
            <w:tcMar>
              <w:left w:w="20" w:type="dxa"/>
              <w:right w:w="20" w:type="dxa"/>
            </w:tcMar>
            <w:vAlign w:val="center"/>
          </w:tcPr>
          <w:p w14:paraId="73F98CEE" w14:textId="77777777" w:rsidR="00241558" w:rsidRPr="002A4556" w:rsidRDefault="00241558" w:rsidP="006702DC">
            <w:pPr>
              <w:autoSpaceDE w:val="0"/>
              <w:autoSpaceDN w:val="0"/>
              <w:adjustRightInd w:val="0"/>
              <w:rPr>
                <w:rFonts w:ascii="Arial Narrow" w:hAnsi="Arial Narrow"/>
                <w:b/>
                <w:bCs/>
                <w:i/>
                <w:iCs/>
                <w:sz w:val="20"/>
                <w:szCs w:val="20"/>
              </w:rPr>
            </w:pPr>
            <w:r w:rsidRPr="002A4556">
              <w:rPr>
                <w:rFonts w:ascii="Arial Narrow" w:hAnsi="Arial Narrow"/>
                <w:b/>
                <w:bCs/>
                <w:i/>
                <w:iCs/>
                <w:sz w:val="20"/>
                <w:szCs w:val="20"/>
              </w:rPr>
              <w:t>Caution:</w:t>
            </w:r>
          </w:p>
          <w:p w14:paraId="47A06911" w14:textId="77777777" w:rsidR="00241558" w:rsidRPr="002A4556" w:rsidRDefault="00241558" w:rsidP="006702DC">
            <w:pPr>
              <w:autoSpaceDE w:val="0"/>
              <w:autoSpaceDN w:val="0"/>
              <w:adjustRightInd w:val="0"/>
              <w:rPr>
                <w:rFonts w:ascii="Arial Narrow" w:hAnsi="Arial Narrow"/>
                <w:sz w:val="20"/>
                <w:szCs w:val="20"/>
              </w:rPr>
            </w:pPr>
            <w:r w:rsidRPr="002A4556">
              <w:rPr>
                <w:rFonts w:ascii="Arial Narrow" w:hAnsi="Arial Narrow"/>
                <w:i/>
                <w:iCs/>
                <w:sz w:val="20"/>
                <w:szCs w:val="20"/>
              </w:rPr>
              <w:t>Careful monitoring of patients is required due to risk of developing life-threatening Cytokine Release Syndrome (CRS).</w:t>
            </w:r>
          </w:p>
        </w:tc>
      </w:tr>
    </w:tbl>
    <w:p w14:paraId="675F65DC" w14:textId="51D396FE" w:rsidR="00241558" w:rsidRDefault="00241558" w:rsidP="004B1CB4"/>
    <w:p w14:paraId="51D9BB4C" w14:textId="589500E1" w:rsidR="00DB33B7" w:rsidRPr="00DB33B7" w:rsidRDefault="00DB33B7" w:rsidP="00C14915">
      <w:pPr>
        <w:pStyle w:val="3-BodyText"/>
        <w:keepNext/>
        <w:keepLines/>
      </w:pPr>
      <w:r>
        <w:t xml:space="preserve">The submission proposed a Special Pricing Agreement in which the ex-manufacturer price </w:t>
      </w:r>
      <w:r w:rsidR="00AB6E47">
        <w:t>per 100 mcg vial was $</w:t>
      </w:r>
      <w:r w:rsidR="00D12425" w:rsidRPr="00A67F44">
        <w:rPr>
          <w:color w:val="000000"/>
          <w:w w:val="21"/>
          <w:shd w:val="solid" w:color="000000" w:fill="000000"/>
          <w:fitText w:val="71" w:id="-1236619774"/>
          <w14:textFill>
            <w14:solidFill>
              <w14:srgbClr w14:val="000000">
                <w14:alpha w14:val="100000"/>
              </w14:srgbClr>
            </w14:solidFill>
          </w14:textFill>
        </w:rPr>
        <w:t xml:space="preserve">|  </w:t>
      </w:r>
      <w:r w:rsidR="00D12425" w:rsidRPr="00A67F44">
        <w:rPr>
          <w:color w:val="000000"/>
          <w:spacing w:val="1"/>
          <w:w w:val="21"/>
          <w:shd w:val="solid" w:color="000000" w:fill="000000"/>
          <w:fitText w:val="71" w:id="-1236619774"/>
          <w14:textFill>
            <w14:solidFill>
              <w14:srgbClr w14:val="000000">
                <w14:alpha w14:val="100000"/>
              </w14:srgbClr>
            </w14:solidFill>
          </w14:textFill>
        </w:rPr>
        <w:t>|</w:t>
      </w:r>
      <w:r w:rsidR="00AB6E47">
        <w:t>. The pre-PBAC response proposed a revised ex-manufacturer price of $</w:t>
      </w:r>
      <w:r w:rsidR="00D12425" w:rsidRPr="00A67F44">
        <w:rPr>
          <w:color w:val="000000"/>
          <w:w w:val="21"/>
          <w:shd w:val="solid" w:color="000000" w:fill="000000"/>
          <w:fitText w:val="72" w:id="-1236619773"/>
          <w14:textFill>
            <w14:solidFill>
              <w14:srgbClr w14:val="000000">
                <w14:alpha w14:val="100000"/>
              </w14:srgbClr>
            </w14:solidFill>
          </w14:textFill>
        </w:rPr>
        <w:t xml:space="preserve">|  </w:t>
      </w:r>
      <w:r w:rsidR="00D12425" w:rsidRPr="00A67F44">
        <w:rPr>
          <w:color w:val="000000"/>
          <w:spacing w:val="2"/>
          <w:w w:val="21"/>
          <w:shd w:val="solid" w:color="000000" w:fill="000000"/>
          <w:fitText w:val="72" w:id="-1236619773"/>
          <w14:textFill>
            <w14:solidFill>
              <w14:srgbClr w14:val="000000">
                <w14:alpha w14:val="100000"/>
              </w14:srgbClr>
            </w14:solidFill>
          </w14:textFill>
        </w:rPr>
        <w:t>|</w:t>
      </w:r>
      <w:r w:rsidR="00AB6E47">
        <w:t>per 100 mcg vial.</w:t>
      </w:r>
    </w:p>
    <w:p w14:paraId="6291B9C9" w14:textId="01EF3BE7" w:rsidR="00137915" w:rsidRPr="00653DD9" w:rsidRDefault="00137915" w:rsidP="00C14915">
      <w:pPr>
        <w:pStyle w:val="3-BodyText"/>
        <w:keepNext/>
        <w:keepLines/>
      </w:pPr>
      <w:r w:rsidRPr="00653DD9">
        <w:rPr>
          <w:rFonts w:ascii="Calibri" w:hAnsi="Calibri"/>
          <w:snapToGrid/>
        </w:rPr>
        <w:t>The proposed wording of the requested restriction was broader than the eligibility criteria in the key clinical trial (IMCgp100-202), in terms of Eastern Cooperative Oncology Group (ECOG) performance status and prior systemic therapies received by the patients</w:t>
      </w:r>
      <w:r w:rsidR="00E2535F" w:rsidRPr="00653DD9">
        <w:rPr>
          <w:rFonts w:ascii="Calibri" w:hAnsi="Calibri"/>
          <w:snapToGrid/>
        </w:rPr>
        <w:t xml:space="preserve"> </w:t>
      </w:r>
      <w:r w:rsidR="000063C5" w:rsidRPr="00653DD9">
        <w:rPr>
          <w:rFonts w:ascii="Calibri" w:hAnsi="Calibri"/>
          <w:snapToGrid/>
        </w:rPr>
        <w:t>as</w:t>
      </w:r>
      <w:r w:rsidR="003D5DB0" w:rsidRPr="00653DD9">
        <w:rPr>
          <w:rFonts w:ascii="Calibri" w:hAnsi="Calibri"/>
          <w:snapToGrid/>
        </w:rPr>
        <w:t xml:space="preserve"> the requested restriction did not</w:t>
      </w:r>
      <w:r w:rsidR="000063C5" w:rsidRPr="00653DD9">
        <w:rPr>
          <w:rFonts w:ascii="Calibri" w:hAnsi="Calibri"/>
          <w:snapToGrid/>
        </w:rPr>
        <w:t>:</w:t>
      </w:r>
      <w:r w:rsidRPr="00653DD9">
        <w:rPr>
          <w:rFonts w:ascii="Calibri" w:hAnsi="Calibri"/>
          <w:snapToGrid/>
        </w:rPr>
        <w:t xml:space="preserve"> </w:t>
      </w:r>
    </w:p>
    <w:p w14:paraId="0B914D1B" w14:textId="3A70B3EC" w:rsidR="00137915" w:rsidRPr="00653DD9" w:rsidRDefault="00137915" w:rsidP="00B84048">
      <w:pPr>
        <w:pStyle w:val="3-BodyText"/>
        <w:numPr>
          <w:ilvl w:val="1"/>
          <w:numId w:val="7"/>
        </w:numPr>
        <w:ind w:left="1077" w:hanging="357"/>
      </w:pPr>
      <w:r w:rsidRPr="00653DD9">
        <w:t xml:space="preserve">specify the requirement of </w:t>
      </w:r>
      <w:r w:rsidR="003D5DB0" w:rsidRPr="00653DD9">
        <w:t xml:space="preserve">an </w:t>
      </w:r>
      <w:r w:rsidRPr="00653DD9">
        <w:t>ECOG performance status. Patients were eligible to enrol in the IMCgp100-202 trial if they had a ECOG performance status of 0 or 1.</w:t>
      </w:r>
    </w:p>
    <w:p w14:paraId="6047CCAA" w14:textId="3B4311B5" w:rsidR="00137915" w:rsidRPr="00653DD9" w:rsidRDefault="00137915" w:rsidP="00B84048">
      <w:pPr>
        <w:pStyle w:val="3-BodyText"/>
        <w:numPr>
          <w:ilvl w:val="1"/>
          <w:numId w:val="7"/>
        </w:numPr>
        <w:ind w:left="1077" w:hanging="357"/>
      </w:pPr>
      <w:r w:rsidRPr="00653DD9">
        <w:t xml:space="preserve">restrict the use of tebentafusp in patients who have received prior systemic treatments for </w:t>
      </w:r>
      <w:r w:rsidR="003D5DB0" w:rsidRPr="00653DD9">
        <w:t xml:space="preserve">metastatic </w:t>
      </w:r>
      <w:r w:rsidRPr="00653DD9">
        <w:t>UM, indicating that tebentafusp c</w:t>
      </w:r>
      <w:r w:rsidR="003D5DB0" w:rsidRPr="00653DD9">
        <w:t>ould</w:t>
      </w:r>
      <w:r w:rsidRPr="00653DD9">
        <w:t xml:space="preserve"> be used in subsequent lines of treatment (e.g., after pembrolizumab or other agents). </w:t>
      </w:r>
      <w:r w:rsidR="000063C5" w:rsidRPr="00653DD9">
        <w:t>Patients were eligible to enrol in the IMCgp100-202 trial if they had not received prior treatment in the metastatic or advanced setting.</w:t>
      </w:r>
      <w:r w:rsidR="005C6EFE" w:rsidRPr="00653DD9">
        <w:t xml:space="preserve"> A single-arm phase 2 study in patients (n = 127) who had </w:t>
      </w:r>
      <w:r w:rsidR="003D5DB0" w:rsidRPr="00653DD9">
        <w:t xml:space="preserve">received </w:t>
      </w:r>
      <w:r w:rsidR="005C6EFE" w:rsidRPr="00653DD9">
        <w:t>prior treatment in the metastatic setting reported: response rate = 5%, stable disease = 45%, 12-month OS = 62%</w:t>
      </w:r>
      <w:r w:rsidR="003D5DB0" w:rsidRPr="00653DD9">
        <w:rPr>
          <w:rStyle w:val="FootnoteReference"/>
        </w:rPr>
        <w:footnoteReference w:id="1"/>
      </w:r>
      <w:r w:rsidR="005C6EFE" w:rsidRPr="00653DD9">
        <w:t>.</w:t>
      </w:r>
      <w:r w:rsidR="005C6EFE" w:rsidRPr="00653DD9">
        <w:rPr>
          <w:rFonts w:ascii="Arial" w:hAnsi="Arial"/>
          <w:color w:val="222222"/>
          <w:sz w:val="20"/>
          <w:szCs w:val="20"/>
          <w:shd w:val="clear" w:color="auto" w:fill="FFFFFF"/>
        </w:rPr>
        <w:t xml:space="preserve"> </w:t>
      </w:r>
    </w:p>
    <w:p w14:paraId="05C6CE85" w14:textId="513DE234" w:rsidR="00184C9B" w:rsidRPr="00653DD9" w:rsidRDefault="00184C9B" w:rsidP="00184C9B">
      <w:pPr>
        <w:pStyle w:val="3-BodyText"/>
        <w:rPr>
          <w:rFonts w:ascii="Calibri" w:hAnsi="Calibri"/>
          <w:snapToGrid/>
        </w:rPr>
      </w:pPr>
      <w:r w:rsidRPr="00653DD9">
        <w:rPr>
          <w:rFonts w:ascii="Calibri" w:hAnsi="Calibri"/>
          <w:snapToGrid/>
        </w:rPr>
        <w:t xml:space="preserve">The recommended dose of tebentafusp is 20 </w:t>
      </w:r>
      <w:r w:rsidR="00FB5BAF" w:rsidRPr="00653DD9">
        <w:rPr>
          <w:rFonts w:ascii="Calibri" w:hAnsi="Calibri"/>
          <w:snapToGrid/>
        </w:rPr>
        <w:t>micrograms</w:t>
      </w:r>
      <w:r w:rsidRPr="00653DD9">
        <w:rPr>
          <w:rFonts w:ascii="Calibri" w:hAnsi="Calibri"/>
          <w:snapToGrid/>
        </w:rPr>
        <w:t xml:space="preserve"> (mcg) on </w:t>
      </w:r>
      <w:r w:rsidR="003D5DB0" w:rsidRPr="00653DD9">
        <w:rPr>
          <w:rFonts w:ascii="Calibri" w:hAnsi="Calibri"/>
          <w:snapToGrid/>
        </w:rPr>
        <w:t>D</w:t>
      </w:r>
      <w:r w:rsidRPr="00653DD9">
        <w:rPr>
          <w:rFonts w:ascii="Calibri" w:hAnsi="Calibri"/>
          <w:snapToGrid/>
        </w:rPr>
        <w:t xml:space="preserve">ay 1, 30 mcg on </w:t>
      </w:r>
      <w:r w:rsidR="003D5DB0" w:rsidRPr="00653DD9">
        <w:rPr>
          <w:rFonts w:ascii="Calibri" w:hAnsi="Calibri"/>
          <w:snapToGrid/>
        </w:rPr>
        <w:t>D</w:t>
      </w:r>
      <w:r w:rsidRPr="00653DD9">
        <w:rPr>
          <w:rFonts w:ascii="Calibri" w:hAnsi="Calibri"/>
          <w:snapToGrid/>
        </w:rPr>
        <w:t>ay 8</w:t>
      </w:r>
      <w:r w:rsidR="003D5DB0" w:rsidRPr="00653DD9">
        <w:rPr>
          <w:rFonts w:ascii="Calibri" w:hAnsi="Calibri"/>
          <w:snapToGrid/>
        </w:rPr>
        <w:t>,</w:t>
      </w:r>
      <w:r w:rsidRPr="00653DD9">
        <w:rPr>
          <w:rFonts w:ascii="Calibri" w:hAnsi="Calibri"/>
          <w:snapToGrid/>
        </w:rPr>
        <w:t xml:space="preserve"> 68 mcg on </w:t>
      </w:r>
      <w:r w:rsidR="003D5DB0" w:rsidRPr="00653DD9">
        <w:rPr>
          <w:rFonts w:ascii="Calibri" w:hAnsi="Calibri"/>
          <w:snapToGrid/>
        </w:rPr>
        <w:t>D</w:t>
      </w:r>
      <w:r w:rsidRPr="00653DD9">
        <w:rPr>
          <w:rFonts w:ascii="Calibri" w:hAnsi="Calibri"/>
          <w:snapToGrid/>
        </w:rPr>
        <w:t xml:space="preserve">ay 15, and 68 mcg weekly thereafter. </w:t>
      </w:r>
      <w:r w:rsidR="00162CDA" w:rsidRPr="00653DD9">
        <w:rPr>
          <w:rFonts w:ascii="Calibri" w:hAnsi="Calibri"/>
          <w:snapToGrid/>
        </w:rPr>
        <w:t>T</w:t>
      </w:r>
      <w:r w:rsidRPr="00653DD9">
        <w:rPr>
          <w:rFonts w:ascii="Calibri" w:hAnsi="Calibri"/>
          <w:snapToGrid/>
        </w:rPr>
        <w:t xml:space="preserve">he first three doses of tebentafusp require administration </w:t>
      </w:r>
      <w:r w:rsidR="00353FDC">
        <w:rPr>
          <w:rFonts w:ascii="Calibri" w:hAnsi="Calibri"/>
          <w:snapToGrid/>
        </w:rPr>
        <w:t>as an inpatient</w:t>
      </w:r>
      <w:r w:rsidRPr="00653DD9">
        <w:rPr>
          <w:rFonts w:ascii="Calibri" w:hAnsi="Calibri"/>
          <w:snapToGrid/>
        </w:rPr>
        <w:t xml:space="preserve"> to allow for monitoring for signs </w:t>
      </w:r>
      <w:r w:rsidRPr="00653DD9">
        <w:rPr>
          <w:rFonts w:ascii="Calibri" w:hAnsi="Calibri"/>
          <w:snapToGrid/>
        </w:rPr>
        <w:lastRenderedPageBreak/>
        <w:t xml:space="preserve">and symptoms of cytokine release syndrome (CRS) during infusion and for 16 hours after infusion is complete. </w:t>
      </w:r>
    </w:p>
    <w:p w14:paraId="6E6025E2" w14:textId="66EC1F38" w:rsidR="00184C9B" w:rsidRPr="00AF3847" w:rsidRDefault="003D5DB0" w:rsidP="00184C9B">
      <w:pPr>
        <w:pStyle w:val="3-BodyText"/>
        <w:rPr>
          <w:rFonts w:ascii="Calibri" w:hAnsi="Calibri"/>
          <w:snapToGrid/>
        </w:rPr>
      </w:pPr>
      <w:r w:rsidRPr="00AF3847">
        <w:rPr>
          <w:rFonts w:ascii="Calibri" w:hAnsi="Calibri"/>
          <w:snapToGrid/>
        </w:rPr>
        <w:t>T</w:t>
      </w:r>
      <w:r w:rsidR="00184C9B" w:rsidRPr="00AF3847">
        <w:rPr>
          <w:rFonts w:ascii="Calibri" w:hAnsi="Calibri"/>
          <w:snapToGrid/>
        </w:rPr>
        <w:t>here is a potential for wastage of tebentafusp</w:t>
      </w:r>
      <w:r w:rsidRPr="00AF3847">
        <w:rPr>
          <w:rFonts w:ascii="Calibri" w:hAnsi="Calibri"/>
          <w:snapToGrid/>
        </w:rPr>
        <w:t>. Although the maxi</w:t>
      </w:r>
      <w:r w:rsidR="00184C9B" w:rsidRPr="00AF3847">
        <w:rPr>
          <w:rFonts w:ascii="Calibri" w:hAnsi="Calibri"/>
          <w:snapToGrid/>
        </w:rPr>
        <w:t>mum dose is 68 mcg every week</w:t>
      </w:r>
      <w:r w:rsidRPr="00AF3847">
        <w:rPr>
          <w:rFonts w:ascii="Calibri" w:hAnsi="Calibri"/>
          <w:snapToGrid/>
        </w:rPr>
        <w:t>,</w:t>
      </w:r>
      <w:r w:rsidR="00184C9B" w:rsidRPr="00AF3847">
        <w:rPr>
          <w:rFonts w:ascii="Calibri" w:hAnsi="Calibri"/>
          <w:snapToGrid/>
        </w:rPr>
        <w:t xml:space="preserve"> tebentafusp is only available as single-use</w:t>
      </w:r>
      <w:r w:rsidRPr="00AF3847">
        <w:rPr>
          <w:rFonts w:ascii="Calibri" w:hAnsi="Calibri"/>
          <w:snapToGrid/>
        </w:rPr>
        <w:t>, 100 mcg</w:t>
      </w:r>
      <w:r w:rsidR="00184C9B" w:rsidRPr="00AF3847">
        <w:rPr>
          <w:rFonts w:ascii="Calibri" w:hAnsi="Calibri"/>
          <w:snapToGrid/>
        </w:rPr>
        <w:t xml:space="preserve"> vial.</w:t>
      </w:r>
      <w:r w:rsidR="0017601C" w:rsidRPr="00AF3847">
        <w:rPr>
          <w:rFonts w:ascii="Calibri" w:hAnsi="Calibri"/>
          <w:snapToGrid/>
        </w:rPr>
        <w:t xml:space="preserve"> The </w:t>
      </w:r>
      <w:r w:rsidR="006F1456">
        <w:rPr>
          <w:rFonts w:ascii="Calibri" w:hAnsi="Calibri"/>
          <w:snapToGrid/>
        </w:rPr>
        <w:t>Pre-Sub-Committee Response (</w:t>
      </w:r>
      <w:r w:rsidR="0017601C" w:rsidRPr="00AF3847">
        <w:rPr>
          <w:rFonts w:ascii="Calibri" w:hAnsi="Calibri"/>
          <w:snapToGrid/>
        </w:rPr>
        <w:t>PSCR</w:t>
      </w:r>
      <w:r w:rsidR="006F1456">
        <w:rPr>
          <w:rFonts w:ascii="Calibri" w:hAnsi="Calibri"/>
          <w:snapToGrid/>
        </w:rPr>
        <w:t>)</w:t>
      </w:r>
      <w:r w:rsidR="0017601C" w:rsidRPr="00AF3847">
        <w:rPr>
          <w:rFonts w:ascii="Calibri" w:hAnsi="Calibri"/>
          <w:snapToGrid/>
        </w:rPr>
        <w:t xml:space="preserve"> stated that the volume in excess of 68 mcg is required to account for the ‘dead-volume’ in standard syringes. The ESC noted that although the</w:t>
      </w:r>
      <w:r w:rsidR="00654C48" w:rsidRPr="00AF3847">
        <w:rPr>
          <w:rFonts w:ascii="Calibri" w:hAnsi="Calibri"/>
          <w:snapToGrid/>
        </w:rPr>
        <w:t xml:space="preserve"> explanation relating to wastage was reasonable for a </w:t>
      </w:r>
      <w:r w:rsidR="0017601C" w:rsidRPr="00AF3847">
        <w:rPr>
          <w:rFonts w:ascii="Calibri" w:hAnsi="Calibri"/>
          <w:snapToGrid/>
        </w:rPr>
        <w:t>68 mcg dose, there would be wastage associated with the first two induction doses (20 mcg on Day 1 and 30 mcg on Day 8).</w:t>
      </w:r>
    </w:p>
    <w:p w14:paraId="3D837704" w14:textId="31EC18A3" w:rsidR="00137915" w:rsidRPr="00AF3847" w:rsidRDefault="00137915" w:rsidP="00137915">
      <w:pPr>
        <w:pStyle w:val="3-BodyText"/>
      </w:pPr>
      <w:r w:rsidRPr="00AF3847">
        <w:t xml:space="preserve">The proposed wording of the continuation restriction </w:t>
      </w:r>
      <w:r w:rsidR="000063C5" w:rsidRPr="00AF3847">
        <w:t>allowed for treatment to continue beyond initial disease progression</w:t>
      </w:r>
      <w:r w:rsidRPr="00AF3847">
        <w:t xml:space="preserve">. In </w:t>
      </w:r>
      <w:r w:rsidR="003D5DB0" w:rsidRPr="00AF3847">
        <w:t xml:space="preserve">the </w:t>
      </w:r>
      <w:r w:rsidRPr="00AF3847">
        <w:t xml:space="preserve">IMCgp100-202 trial, patients who were treated beyond the Response Evaluation Criteria in Solid Tumours (RECIST) v1.1 </w:t>
      </w:r>
      <w:r w:rsidR="00E2535F" w:rsidRPr="00AF3847">
        <w:t xml:space="preserve">for </w:t>
      </w:r>
      <w:r w:rsidRPr="00AF3847">
        <w:t>progress</w:t>
      </w:r>
      <w:r w:rsidR="000063C5" w:rsidRPr="00AF3847">
        <w:t>ive</w:t>
      </w:r>
      <w:r w:rsidRPr="00AF3847">
        <w:t xml:space="preserve"> disease had to permanently discontinue treatment if they experienced further progression, defined as any one of the following observed at least four weeks after the initial progressed disease (PD) assessment per RECIST v1.1: (1) an additional ≥ 20% increase in tumour burden (sum of diameters of both target and new measurable lesions) accompanied by an absolute increase of ≥ 5 mm; (2) unequivocal PD of non-target lesions; or (3) new non-measurable lesions. </w:t>
      </w:r>
    </w:p>
    <w:p w14:paraId="7779A573" w14:textId="613C1A07" w:rsidR="00137915" w:rsidRDefault="00184C9B" w:rsidP="00137915">
      <w:pPr>
        <w:pStyle w:val="3-BodyText"/>
      </w:pPr>
      <w:r w:rsidRPr="00AF3847">
        <w:t>T</w:t>
      </w:r>
      <w:r w:rsidR="00137915" w:rsidRPr="00AF3847">
        <w:t>he submission did not request listing for grandfathered patients. The submission stated that any existing early access programme (EAP) patients will remain on the programme.</w:t>
      </w:r>
    </w:p>
    <w:p w14:paraId="68D609A4" w14:textId="57886303" w:rsidR="00DF0B64" w:rsidRPr="00DF0B64" w:rsidRDefault="00DF0B64" w:rsidP="00DF0B64">
      <w:pPr>
        <w:pStyle w:val="3-BodyText"/>
        <w:numPr>
          <w:ilvl w:val="0"/>
          <w:numId w:val="0"/>
        </w:numPr>
        <w:ind w:left="720"/>
      </w:pPr>
      <w:r w:rsidRPr="00DF0B64">
        <w:rPr>
          <w:i/>
          <w:iCs/>
        </w:rPr>
        <w:t>For more detail in PBAC’s view, see section 7 PBAC outcome.</w:t>
      </w:r>
    </w:p>
    <w:p w14:paraId="7075B85C" w14:textId="62A47B7B" w:rsidR="00B50DB8" w:rsidRPr="00407F2D" w:rsidDel="00195452" w:rsidRDefault="00203181" w:rsidP="004E18E9">
      <w:pPr>
        <w:pStyle w:val="2-SectionHeading"/>
      </w:pPr>
      <w:bookmarkStart w:id="11" w:name="_Toc124257829"/>
      <w:r w:rsidDel="00195452">
        <w:t xml:space="preserve">Population and </w:t>
      </w:r>
      <w:r w:rsidR="008E0D3C" w:rsidDel="00195452">
        <w:t>d</w:t>
      </w:r>
      <w:r w:rsidDel="00195452">
        <w:t>isease</w:t>
      </w:r>
      <w:bookmarkEnd w:id="11"/>
    </w:p>
    <w:p w14:paraId="16851B46" w14:textId="77777777" w:rsidR="00137915" w:rsidRPr="009A6D59" w:rsidRDefault="00137915" w:rsidP="00137915">
      <w:pPr>
        <w:pStyle w:val="3-BodyText"/>
      </w:pPr>
      <w:r w:rsidRPr="009A6D59">
        <w:t>UMs are the most common eye-related malignancies in adults. In Australia, the average age-standardised incidence rate of UM was 7.6 (95% CI: 7.3, 7.9) per million between 1982-2014</w:t>
      </w:r>
      <w:r>
        <w:rPr>
          <w:rStyle w:val="FootnoteReference"/>
        </w:rPr>
        <w:footnoteReference w:id="2"/>
      </w:r>
      <w:r w:rsidRPr="009A6D59">
        <w:t xml:space="preserve">. Based on 1982-2014 data, the overall 5-year survival rate of patients diagnosed with primary UM was around 81% (95% CI: 80%, 82%), with a non-significant average annual percentage change of 0.1% </w:t>
      </w:r>
      <w:r>
        <w:rPr>
          <w:rStyle w:val="FootnoteReference"/>
        </w:rPr>
        <w:t>1</w:t>
      </w:r>
      <w:r w:rsidRPr="009A6D59">
        <w:t xml:space="preserve">. </w:t>
      </w:r>
      <w:r>
        <w:t>Approximately, 50% of patients with primary UM develop metastatic disease</w:t>
      </w:r>
      <w:r>
        <w:rPr>
          <w:rStyle w:val="FootnoteReference"/>
        </w:rPr>
        <w:footnoteReference w:id="3"/>
      </w:r>
      <w:r>
        <w:t xml:space="preserve">. </w:t>
      </w:r>
      <w:r w:rsidRPr="005A12BF">
        <w:t xml:space="preserve">Of those with metastatic UM, approximately 47% of patients </w:t>
      </w:r>
      <w:r>
        <w:t>are</w:t>
      </w:r>
      <w:r w:rsidRPr="005A12BF">
        <w:t xml:space="preserve"> HLA-A*02:01 positive</w:t>
      </w:r>
      <w:r>
        <w:t>.</w:t>
      </w:r>
      <w:r w:rsidRPr="005A12BF">
        <w:t xml:space="preserve"> </w:t>
      </w:r>
    </w:p>
    <w:p w14:paraId="0B74115E" w14:textId="4D9FA497" w:rsidR="00137915" w:rsidRDefault="00137915" w:rsidP="00137915">
      <w:pPr>
        <w:pStyle w:val="3-BodyText"/>
      </w:pPr>
      <w:r w:rsidRPr="00441FA1">
        <w:t>Currently, there are no PBS approved treatment</w:t>
      </w:r>
      <w:r>
        <w:t>s</w:t>
      </w:r>
      <w:r w:rsidRPr="00441FA1">
        <w:t xml:space="preserve"> for patients diagnosed with metastatic UM in Australia.</w:t>
      </w:r>
      <w:r>
        <w:t xml:space="preserve"> </w:t>
      </w:r>
      <w:r w:rsidRPr="0000196A">
        <w:t>Cancer Council Australia clinical guidelines for</w:t>
      </w:r>
      <w:r>
        <w:t xml:space="preserve"> </w:t>
      </w:r>
      <w:r w:rsidRPr="0000196A">
        <w:t>metastatic melanoma</w:t>
      </w:r>
      <w:r>
        <w:t xml:space="preserve"> (any type)</w:t>
      </w:r>
      <w:r w:rsidRPr="0000196A">
        <w:t xml:space="preserve"> recommend the use of </w:t>
      </w:r>
      <w:r>
        <w:t>immunotherapies, such as</w:t>
      </w:r>
      <w:r w:rsidRPr="0000196A">
        <w:t xml:space="preserve"> anti-</w:t>
      </w:r>
      <w:r w:rsidRPr="0000196A">
        <w:lastRenderedPageBreak/>
        <w:t>programmed death-1 (PD-1) monotherapy (e.g., pembrolizumab or nivolumab) or nivolumab plus ipilimumab (NIVO+IPI) combination therapy.</w:t>
      </w:r>
      <w:r>
        <w:t xml:space="preserve"> </w:t>
      </w:r>
      <w:r w:rsidRPr="00441FA1">
        <w:t xml:space="preserve">The submission’s proposed place in therapy for tebentafusp is presented in </w:t>
      </w:r>
      <w:r>
        <w:fldChar w:fldCharType="begin" w:fldLock="1"/>
      </w:r>
      <w:r>
        <w:instrText xml:space="preserve"> REF _Ref121292392 \h </w:instrText>
      </w:r>
      <w:r>
        <w:fldChar w:fldCharType="separate"/>
      </w:r>
      <w:r w:rsidR="00A53FF4">
        <w:t xml:space="preserve">Figure </w:t>
      </w:r>
      <w:r w:rsidR="00A53FF4">
        <w:rPr>
          <w:noProof/>
        </w:rPr>
        <w:t>1</w:t>
      </w:r>
      <w:r>
        <w:fldChar w:fldCharType="end"/>
      </w:r>
      <w:r>
        <w:t>.</w:t>
      </w:r>
    </w:p>
    <w:p w14:paraId="7ECAFAD1" w14:textId="30A970C2" w:rsidR="00137915" w:rsidRDefault="00137915" w:rsidP="00516738">
      <w:pPr>
        <w:pStyle w:val="TableFigureHeading"/>
        <w:keepLines/>
      </w:pPr>
      <w:bookmarkStart w:id="12" w:name="_Ref121292392"/>
      <w:r>
        <w:t xml:space="preserve">Figure </w:t>
      </w:r>
      <w:r>
        <w:fldChar w:fldCharType="begin" w:fldLock="1"/>
      </w:r>
      <w:r>
        <w:instrText>seq Figure</w:instrText>
      </w:r>
      <w:r>
        <w:fldChar w:fldCharType="separate"/>
      </w:r>
      <w:r w:rsidR="00A53FF4">
        <w:rPr>
          <w:noProof/>
        </w:rPr>
        <w:t>1</w:t>
      </w:r>
      <w:r>
        <w:fldChar w:fldCharType="end"/>
      </w:r>
      <w:bookmarkEnd w:id="12"/>
      <w:r>
        <w:t>: Proposed clinical management algorithms for patients with uveal melanoma.</w:t>
      </w:r>
    </w:p>
    <w:p w14:paraId="4C05228E" w14:textId="77777777" w:rsidR="00137915" w:rsidRDefault="00137915" w:rsidP="00516738">
      <w:pPr>
        <w:pStyle w:val="FooterTableFigure"/>
        <w:keepNext/>
        <w:keepLines/>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5584C271" wp14:editId="7C36AC6F">
                <wp:simplePos x="0" y="0"/>
                <wp:positionH relativeFrom="column">
                  <wp:posOffset>546100</wp:posOffset>
                </wp:positionH>
                <wp:positionV relativeFrom="paragraph">
                  <wp:posOffset>2507615</wp:posOffset>
                </wp:positionV>
                <wp:extent cx="1771650" cy="431800"/>
                <wp:effectExtent l="0" t="0" r="19050" b="25400"/>
                <wp:wrapNone/>
                <wp:docPr id="18" name="Group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71650" cy="431800"/>
                          <a:chOff x="0" y="0"/>
                          <a:chExt cx="1992702" cy="336429"/>
                        </a:xfrm>
                      </wpg:grpSpPr>
                      <wps:wsp>
                        <wps:cNvPr id="19" name="Text Box 2"/>
                        <wps:cNvSpPr txBox="1">
                          <a:spLocks noChangeArrowheads="1"/>
                        </wps:cNvSpPr>
                        <wps:spPr bwMode="auto">
                          <a:xfrm>
                            <a:off x="1099914" y="0"/>
                            <a:ext cx="892788" cy="267419"/>
                          </a:xfrm>
                          <a:prstGeom prst="rect">
                            <a:avLst/>
                          </a:prstGeom>
                          <a:solidFill>
                            <a:srgbClr val="FFFFFF"/>
                          </a:solidFill>
                          <a:ln w="9525">
                            <a:solidFill>
                              <a:srgbClr val="000000"/>
                            </a:solidFill>
                            <a:miter lim="800000"/>
                            <a:headEnd/>
                            <a:tailEnd/>
                          </a:ln>
                        </wps:spPr>
                        <wps:txbx>
                          <w:txbxContent>
                            <w:p w14:paraId="46DCD0F0" w14:textId="77777777" w:rsidR="00137915" w:rsidRDefault="00137915" w:rsidP="00137915">
                              <w:pPr>
                                <w:rPr>
                                  <w:sz w:val="18"/>
                                  <w:szCs w:val="18"/>
                                </w:rPr>
                              </w:pPr>
                              <w:r>
                                <w:rPr>
                                  <w:sz w:val="18"/>
                                  <w:szCs w:val="18"/>
                                </w:rPr>
                                <w:t>HLA testing</w:t>
                              </w:r>
                            </w:p>
                          </w:txbxContent>
                        </wps:txbx>
                        <wps:bodyPr rot="0" vert="horz" wrap="square" lIns="91440" tIns="45720" rIns="91440" bIns="45720" anchor="t" anchorCtr="0">
                          <a:noAutofit/>
                        </wps:bodyPr>
                      </wps:wsp>
                      <wps:wsp>
                        <wps:cNvPr id="20" name="Straight Connector 20"/>
                        <wps:cNvCnPr>
                          <a:stCxn id="4294967295" idx="1"/>
                        </wps:cNvCnPr>
                        <wps:spPr>
                          <a:xfrm flipH="1">
                            <a:off x="0" y="133710"/>
                            <a:ext cx="1099914" cy="202719"/>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584C271" id="Group 18" o:spid="_x0000_s1026" alt="&quot;&quot;" style="position:absolute;left:0;text-align:left;margin-left:43pt;margin-top:197.45pt;width:139.5pt;height:34pt;z-index:251661312" coordsize="19927,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">
                <v:shapetype id="_x0000_t202" coordsize="21600,21600" o:spt="202" path="m,l,21600r21600,l21600,xe">
                  <v:stroke joinstyle="miter"/>
                  <v:path gradientshapeok="t" o:connecttype="rect"/>
                </v:shapetype>
                <v:shape id="Text Box 2" o:spid="_x0000_s1027" type="#_x0000_t202" style="position:absolute;left:10999;width:8928;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6DCD0F0" w14:textId="77777777" w:rsidR="00137915" w:rsidRDefault="00137915" w:rsidP="00137915">
                        <w:pPr>
                          <w:rPr>
                            <w:sz w:val="18"/>
                            <w:szCs w:val="18"/>
                          </w:rPr>
                        </w:pPr>
                        <w:r>
                          <w:rPr>
                            <w:sz w:val="18"/>
                            <w:szCs w:val="18"/>
                          </w:rPr>
                          <w:t>HLA testing</w:t>
                        </w:r>
                      </w:p>
                    </w:txbxContent>
                  </v:textbox>
                </v:shape>
                <v:line id="Straight Connector 20" o:spid="_x0000_s1028" style="position:absolute;flip:x;visibility:visible;mso-wrap-style:square" from="0,1337" to="10999,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" strokecolor="#4579b8 [3044]"/>
              </v:group>
            </w:pict>
          </mc:Fallback>
        </mc:AlternateContent>
      </w:r>
      <w:r>
        <w:rPr>
          <w:noProof/>
        </w:rPr>
        <w:drawing>
          <wp:inline distT="0" distB="0" distL="0" distR="0" wp14:anchorId="49885B15" wp14:editId="35887989">
            <wp:extent cx="5223924" cy="3689933"/>
            <wp:effectExtent l="0" t="0" r="0" b="6350"/>
            <wp:docPr id="21" name="Picture 21" descr="Figure 1: Proposed clinical management algorithms for patients with uveal mela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1: Proposed clinical management algorithms for patients with uveal melanoma."/>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288355" cy="3735444"/>
                    </a:xfrm>
                    <a:prstGeom prst="rect">
                      <a:avLst/>
                    </a:prstGeom>
                    <a:noFill/>
                    <a:ln>
                      <a:noFill/>
                    </a:ln>
                  </pic:spPr>
                </pic:pic>
              </a:graphicData>
            </a:graphic>
          </wp:inline>
        </w:drawing>
      </w:r>
    </w:p>
    <w:p w14:paraId="7C0B7A86" w14:textId="77777777" w:rsidR="00137915" w:rsidRDefault="00137915" w:rsidP="00516738">
      <w:pPr>
        <w:pStyle w:val="FooterTableFigure"/>
        <w:keepNext/>
        <w:keepLines/>
      </w:pPr>
      <w:r>
        <w:t>Source: Figure 1.1-5, p16 of the submission.</w:t>
      </w:r>
    </w:p>
    <w:p w14:paraId="5F6857D2" w14:textId="77777777" w:rsidR="00137915" w:rsidRDefault="00137915" w:rsidP="00516738">
      <w:pPr>
        <w:pStyle w:val="FooterTableFigure"/>
        <w:keepNext/>
        <w:keepLines/>
      </w:pPr>
      <w:r>
        <w:t>CT = Computerised Tomography scan, MRI = Magnetic Imaging Resonance scan, UM = uveal melanoma.</w:t>
      </w:r>
    </w:p>
    <w:p w14:paraId="40FDF7EB" w14:textId="77777777" w:rsidR="00137915" w:rsidRDefault="00137915" w:rsidP="00516738">
      <w:pPr>
        <w:pStyle w:val="FooterTableFigure"/>
        <w:keepNext/>
        <w:keepLines/>
      </w:pPr>
      <w:r>
        <w:t>*If ocular melanoma is suspected, patient will be referred by their doctor/optometrist to an ophthalmologist specialising in ocular oncology (Cancer Council Australia, 2021)</w:t>
      </w:r>
    </w:p>
    <w:p w14:paraId="6A1CCA09" w14:textId="77777777" w:rsidR="00137915" w:rsidRPr="00441FA1" w:rsidDel="00195452" w:rsidRDefault="00137915" w:rsidP="00516738">
      <w:pPr>
        <w:pStyle w:val="FooterTableFigure"/>
        <w:keepNext/>
        <w:keepLines/>
      </w:pPr>
      <w:r>
        <w:t>≠There is currently no consensus on the ideal protocol for follow up and screening for metastatic UM and may vary between centres. A six monthly observation period was suggested for monitoring the growth of lesions in the published literature (Skalicky et al., 2008).</w:t>
      </w:r>
    </w:p>
    <w:p w14:paraId="79DC983F" w14:textId="77777777" w:rsidR="00DF0B64" w:rsidRDefault="00137915" w:rsidP="00DF0B64">
      <w:pPr>
        <w:pStyle w:val="3-BodyText"/>
      </w:pPr>
      <w:r w:rsidRPr="0000196A">
        <w:t>Tebentafusp, the first in the ImmTACs® class, is a bispecific fusion protein, comprised of a T</w:t>
      </w:r>
      <w:r>
        <w:t>-</w:t>
      </w:r>
      <w:r w:rsidRPr="0000196A">
        <w:t>cell receptor (TCR; targeting domain) fused to an antibody fragment targeting CD3 (cluster of differentiation 3; effector domain).</w:t>
      </w:r>
      <w:r>
        <w:t xml:space="preserve"> </w:t>
      </w:r>
      <w:r w:rsidRPr="0000196A">
        <w:t xml:space="preserve">The TCR end binds with high affinity to a glycoprotein 100 (gp100) peptide presented by </w:t>
      </w:r>
      <w:r>
        <w:t>HLA</w:t>
      </w:r>
      <w:r w:rsidRPr="0000196A">
        <w:t>-A*02:01 on the cell surface of UM tumour cells, and the effector domain binds to the CD3 receptor on polyclonal T cells. An immune synapse is formed and tebentafusp-activated polyclonal T</w:t>
      </w:r>
      <w:r>
        <w:t>-</w:t>
      </w:r>
      <w:r w:rsidRPr="0000196A">
        <w:t>cells release inflammatory cytokines and cytolytic proteins, which result in direct lysis of UM tumour cells.</w:t>
      </w:r>
    </w:p>
    <w:p w14:paraId="32EA07D7" w14:textId="54F5EEF2" w:rsidR="00DF0B64" w:rsidRPr="00DF0B64" w:rsidRDefault="00DF0B64" w:rsidP="00DF0B64">
      <w:pPr>
        <w:pStyle w:val="3-BodyText"/>
        <w:numPr>
          <w:ilvl w:val="0"/>
          <w:numId w:val="0"/>
        </w:numPr>
        <w:ind w:left="720"/>
        <w:rPr>
          <w:i/>
          <w:iCs/>
        </w:rPr>
      </w:pPr>
      <w:r w:rsidRPr="00DF0B64">
        <w:rPr>
          <w:i/>
          <w:iCs/>
        </w:rPr>
        <w:t>For more detail in PBAC’s view, see section 7 PBAC outcome.</w:t>
      </w:r>
    </w:p>
    <w:p w14:paraId="51E5AE96" w14:textId="136A63B1" w:rsidR="00B50DB8" w:rsidRPr="00407F2D" w:rsidRDefault="00B50DB8" w:rsidP="004E18E9">
      <w:pPr>
        <w:pStyle w:val="2-SectionHeading"/>
      </w:pPr>
      <w:bookmarkStart w:id="13" w:name="_Toc124257830"/>
      <w:r w:rsidRPr="00407F2D">
        <w:lastRenderedPageBreak/>
        <w:t>Comparator</w:t>
      </w:r>
      <w:bookmarkEnd w:id="13"/>
    </w:p>
    <w:p w14:paraId="7803BB83" w14:textId="77777777" w:rsidR="00137915" w:rsidRPr="0000196A" w:rsidRDefault="00137915" w:rsidP="00137915">
      <w:pPr>
        <w:pStyle w:val="3-BodyText"/>
      </w:pPr>
      <w:bookmarkStart w:id="14" w:name="_Toc22897640"/>
      <w:r w:rsidRPr="0000196A">
        <w:t>The submission nominated pembrolizumab as the main comparator. The main arguments provided in support of this nomination were:</w:t>
      </w:r>
    </w:p>
    <w:p w14:paraId="423D8DB8" w14:textId="77777777" w:rsidR="00137915" w:rsidRPr="0000196A" w:rsidRDefault="00137915" w:rsidP="007E20CB">
      <w:pPr>
        <w:pStyle w:val="ListParagraph"/>
        <w:ind w:left="1077" w:hanging="357"/>
      </w:pPr>
      <w:r w:rsidRPr="0000196A">
        <w:t>Currently, there are no standard treatment for patients with metastatic UM.</w:t>
      </w:r>
    </w:p>
    <w:p w14:paraId="4E72B2DF" w14:textId="77777777" w:rsidR="00137915" w:rsidRPr="0000196A" w:rsidRDefault="00137915" w:rsidP="007E20CB">
      <w:pPr>
        <w:pStyle w:val="ListParagraph"/>
        <w:ind w:left="1077" w:hanging="357"/>
      </w:pPr>
      <w:r w:rsidRPr="0000196A">
        <w:t>Cancer Council Australia clinical guidelines for metastatic melanoma recommend the use of either anti-programmed death-1 (PD-1) monotherapy (e.g., pembrolizumab or nivolumab) or nivolumab plus ipilimumab (NIVO+IPI) combination therapy.</w:t>
      </w:r>
    </w:p>
    <w:p w14:paraId="2144E57D" w14:textId="010DF146" w:rsidR="00137915" w:rsidRPr="0000196A" w:rsidRDefault="00D77B44" w:rsidP="007E20CB">
      <w:pPr>
        <w:pStyle w:val="ListParagraph"/>
        <w:ind w:left="1077" w:hanging="357"/>
      </w:pPr>
      <w:r>
        <w:t xml:space="preserve">The </w:t>
      </w:r>
      <w:r w:rsidR="00137915" w:rsidRPr="0000196A">
        <w:t xml:space="preserve">PBS listing for NIVO+IPI </w:t>
      </w:r>
      <w:r>
        <w:t>prevents</w:t>
      </w:r>
      <w:r w:rsidR="00137915" w:rsidRPr="0000196A">
        <w:t xml:space="preserve"> the use of the combination therapy in patients with ocular or UM due to lack of clinical evidence (paragraph 7.2, nivolumab and ipilimumab, Public Summary Document, July 2018 PBAC meeting).</w:t>
      </w:r>
    </w:p>
    <w:p w14:paraId="6B24A308" w14:textId="77777777" w:rsidR="00137915" w:rsidRPr="0000196A" w:rsidRDefault="00137915" w:rsidP="007E20CB">
      <w:pPr>
        <w:pStyle w:val="ListParagraph"/>
        <w:ind w:left="1077" w:hanging="357"/>
      </w:pPr>
      <w:r w:rsidRPr="0000196A">
        <w:t xml:space="preserve">The PBAC previously considered that “nivolumab was non-inferior in terms of both comparative effectiveness and safety to pembrolizumab for the treatment of unresectable Stage III or Stage IV malignant melanoma” (paragraph 7.5, nivolumab, Public Summary Document, November 2015 PBAC meeting). </w:t>
      </w:r>
    </w:p>
    <w:p w14:paraId="430FBBB8" w14:textId="6BE743A7" w:rsidR="00654C48" w:rsidRPr="00AF3847" w:rsidRDefault="00137915" w:rsidP="00D77B44">
      <w:pPr>
        <w:pStyle w:val="3-BodyText"/>
      </w:pPr>
      <w:bookmarkStart w:id="15" w:name="_Ref107305379"/>
      <w:r w:rsidRPr="00AF3847">
        <w:t xml:space="preserve">The </w:t>
      </w:r>
      <w:r w:rsidR="00654C48" w:rsidRPr="00AF3847">
        <w:t xml:space="preserve">ESC considered that the </w:t>
      </w:r>
      <w:r w:rsidRPr="00AF3847">
        <w:t>nomination of pembrolizumab monotherapy was appropriate</w:t>
      </w:r>
      <w:r w:rsidR="00FF0EC4" w:rsidRPr="00AF3847">
        <w:t xml:space="preserve"> as this represented the most consistently available treatment in Australia</w:t>
      </w:r>
      <w:r w:rsidR="00124186" w:rsidRPr="00AF3847">
        <w:t>.</w:t>
      </w:r>
    </w:p>
    <w:p w14:paraId="778F53B4" w14:textId="52A84BEA" w:rsidR="00137915" w:rsidRPr="00AF3847" w:rsidRDefault="00654C48" w:rsidP="00D77B44">
      <w:pPr>
        <w:pStyle w:val="3-BodyText"/>
      </w:pPr>
      <w:r w:rsidRPr="00AF3847">
        <w:t xml:space="preserve">The evaluation </w:t>
      </w:r>
      <w:r w:rsidR="00D77B44" w:rsidRPr="00AF3847">
        <w:t>not</w:t>
      </w:r>
      <w:r w:rsidRPr="00AF3847">
        <w:t>ed</w:t>
      </w:r>
      <w:r w:rsidR="00137915" w:rsidRPr="00AF3847">
        <w:t xml:space="preserve"> that the National Comprehensive Cancer Network (NCCN) guidelines suggest that a combination of treatment options may be needed depending on the location and extent of disease. The NCCN guidelines recommend that metastatic UM patients with symptomatic liver metastases could benefit from liver-directed therapies (e.g., percutaneous hepatic perfusion (PHP) and embolization techniques) or NIVO+IPI</w:t>
      </w:r>
      <w:r w:rsidR="00137915" w:rsidRPr="00AF3847">
        <w:rPr>
          <w:rStyle w:val="FootnoteReference"/>
        </w:rPr>
        <w:footnoteReference w:id="4"/>
      </w:r>
      <w:r w:rsidR="00137915" w:rsidRPr="00AF3847">
        <w:t>.</w:t>
      </w:r>
      <w:r w:rsidR="00E251A8" w:rsidRPr="00AF3847">
        <w:t xml:space="preserve"> </w:t>
      </w:r>
      <w:r w:rsidR="0017601C" w:rsidRPr="00AF3847">
        <w:t>The PSCR noted that</w:t>
      </w:r>
      <w:r w:rsidRPr="00AF3847">
        <w:t xml:space="preserve"> the</w:t>
      </w:r>
      <w:r w:rsidR="0017601C" w:rsidRPr="00AF3847">
        <w:t xml:space="preserve"> use of </w:t>
      </w:r>
      <w:r w:rsidRPr="00AF3847">
        <w:t xml:space="preserve">liver directed </w:t>
      </w:r>
      <w:r w:rsidR="0017601C" w:rsidRPr="00AF3847">
        <w:t>therapies is low (data from the UK indicated that approximately 1% of patients receive live directed therapies).</w:t>
      </w:r>
      <w:r w:rsidR="00FF0EC4" w:rsidRPr="00AF3847">
        <w:t xml:space="preserve"> The ESC considered that this may not be reflective of clinical practice in Australia where liver directed therapies are available at larger treatment centres. However, the ESC noted that the rate of liver directed therapy use in Australia was unknown and inconsistently accessible.</w:t>
      </w:r>
    </w:p>
    <w:p w14:paraId="4936ECD2" w14:textId="67ECF13F" w:rsidR="00DF0B64" w:rsidRDefault="00654C48" w:rsidP="00DF0B64">
      <w:pPr>
        <w:pStyle w:val="3-BodyText"/>
      </w:pPr>
      <w:r w:rsidRPr="00AF3847">
        <w:t>T</w:t>
      </w:r>
      <w:r w:rsidR="00D77B44" w:rsidRPr="00AF3847">
        <w:t xml:space="preserve">wo clinical trials </w:t>
      </w:r>
      <w:r w:rsidR="0017601C" w:rsidRPr="00AF3847">
        <w:t xml:space="preserve">were identified </w:t>
      </w:r>
      <w:r w:rsidRPr="00AF3847">
        <w:t xml:space="preserve">during evaluation </w:t>
      </w:r>
      <w:r w:rsidR="00D77B44" w:rsidRPr="00AF3847">
        <w:t>which aimed to assess the efficacy of NIVO+IPI as a first-line therapy in patients with metastatic UM</w:t>
      </w:r>
      <w:r w:rsidR="00E251A8" w:rsidRPr="00AF3847">
        <w:t>, (i) a</w:t>
      </w:r>
      <w:r w:rsidR="00D77B44" w:rsidRPr="00AF3847">
        <w:t xml:space="preserve"> single arm, phase II study conducted in the USA, </w:t>
      </w:r>
      <w:r w:rsidR="00E251A8" w:rsidRPr="00AF3847">
        <w:t xml:space="preserve">which </w:t>
      </w:r>
      <w:r w:rsidR="00D77B44" w:rsidRPr="00AF3847">
        <w:t>estimated an ORR of 18%, with median OS of 19.1 months and median PFS of 5.5 months for NIVO+IPI</w:t>
      </w:r>
      <w:r w:rsidR="00D77B44" w:rsidRPr="00AF3847">
        <w:rPr>
          <w:rStyle w:val="FootnoteReference"/>
        </w:rPr>
        <w:footnoteReference w:id="5"/>
      </w:r>
      <w:r w:rsidR="00E251A8" w:rsidRPr="00AF3847">
        <w:t xml:space="preserve">, and (ii) a </w:t>
      </w:r>
      <w:r w:rsidR="00D77B44" w:rsidRPr="00AF3847">
        <w:t xml:space="preserve">single-arm, phase II trial led by the Spanish Multidisciplinary Melanoma Group (GEM), </w:t>
      </w:r>
      <w:r w:rsidR="00E251A8" w:rsidRPr="00AF3847">
        <w:t>which estimated</w:t>
      </w:r>
      <w:r w:rsidR="00D77B44" w:rsidRPr="00AF3847">
        <w:t xml:space="preserve"> median OS and PFS </w:t>
      </w:r>
      <w:r w:rsidR="00E251A8" w:rsidRPr="00AF3847">
        <w:t>of</w:t>
      </w:r>
      <w:r w:rsidR="00D77B44" w:rsidRPr="00AF3847">
        <w:t xml:space="preserve"> 12.7 months and 3.0 months respectively for those </w:t>
      </w:r>
      <w:r w:rsidR="00D77B44" w:rsidRPr="00AF3847">
        <w:lastRenderedPageBreak/>
        <w:t>treated with NIVO+IPI</w:t>
      </w:r>
      <w:r w:rsidR="00D77B44" w:rsidRPr="00AF3847">
        <w:rPr>
          <w:rStyle w:val="FootnoteReference"/>
        </w:rPr>
        <w:footnoteReference w:id="6"/>
      </w:r>
      <w:r w:rsidR="00D77B44" w:rsidRPr="00AF3847">
        <w:t xml:space="preserve">. </w:t>
      </w:r>
      <w:r w:rsidR="00E251A8" w:rsidRPr="00AF3847">
        <w:t>Therefore, it may have been useful for the submission to have presented a matching-adjusted indirect comparison (MAIC) comparing tebentafusp with NIVO+IPI using the two published clinical trials of NIVO+IPI in metastatic UM setting.</w:t>
      </w:r>
      <w:r w:rsidR="0017601C" w:rsidRPr="00AF3847">
        <w:t xml:space="preserve"> The PSCR compared the individual patient data from </w:t>
      </w:r>
      <w:r w:rsidR="002E06FA" w:rsidRPr="00AF3847">
        <w:t xml:space="preserve">the GEM study (NIVO+IPI) with the pembrolizumab subgroup from the April 2022 data cut of Study IMCgp100-202 via a propensity score analysis. The PSCR reported that this resulted in no significant difference in terms of OS (HR = 0.76; 95% CI: 0.49, 1.16). Similarly, a propensity score analysis was conducted comparing tebentafusp with NIVO+IPI, with the adjusted OS favouring tebentafusp (HR = 0.43; 95% CI: 0.29, 0.64). </w:t>
      </w:r>
      <w:r w:rsidR="005018A5" w:rsidRPr="00AF3847">
        <w:t>The ESC noted that the methodology used in the propensity score analysis was not presented</w:t>
      </w:r>
      <w:r w:rsidR="00595633" w:rsidRPr="00AF3847">
        <w:t xml:space="preserve">. </w:t>
      </w:r>
    </w:p>
    <w:p w14:paraId="7805B511" w14:textId="53824FA9" w:rsidR="00DF0B64" w:rsidRPr="00DF0B64" w:rsidRDefault="00DF0B64" w:rsidP="00DF0B64">
      <w:pPr>
        <w:pStyle w:val="3-BodyText"/>
        <w:numPr>
          <w:ilvl w:val="0"/>
          <w:numId w:val="0"/>
        </w:numPr>
        <w:ind w:left="720"/>
        <w:rPr>
          <w:i/>
          <w:iCs/>
        </w:rPr>
      </w:pPr>
      <w:r w:rsidRPr="00DF0B64">
        <w:rPr>
          <w:i/>
          <w:iCs/>
        </w:rPr>
        <w:t>For more detail in PBAC’s view, see section 7 PBAC outcome.</w:t>
      </w:r>
    </w:p>
    <w:p w14:paraId="7F9C27C8" w14:textId="77777777" w:rsidR="00223D5A" w:rsidRPr="00407F2D" w:rsidRDefault="00223D5A" w:rsidP="00223D5A">
      <w:pPr>
        <w:pStyle w:val="2-SectionHeading"/>
      </w:pPr>
      <w:bookmarkStart w:id="16" w:name="_Toc124257831"/>
      <w:bookmarkEnd w:id="15"/>
      <w:r>
        <w:t>C</w:t>
      </w:r>
      <w:r w:rsidRPr="00407F2D">
        <w:t>onsideration of the evidence</w:t>
      </w:r>
      <w:bookmarkEnd w:id="16"/>
    </w:p>
    <w:p w14:paraId="15C58EA2" w14:textId="77777777" w:rsidR="00DF0B64" w:rsidRPr="00DF0B64" w:rsidRDefault="00DF0B64" w:rsidP="00DF0B64">
      <w:pPr>
        <w:pStyle w:val="4-SubsectionHeading"/>
      </w:pPr>
      <w:bookmarkStart w:id="17" w:name="_Hlk76375935"/>
      <w:bookmarkStart w:id="18" w:name="_Toc124257832"/>
      <w:r w:rsidRPr="00DF0B64">
        <w:t>Sponsor hearing</w:t>
      </w:r>
    </w:p>
    <w:p w14:paraId="4035CDCF" w14:textId="07EFF9D2" w:rsidR="00DF0B64" w:rsidRPr="00C3168B" w:rsidRDefault="00DF0B64" w:rsidP="00C3168B">
      <w:pPr>
        <w:widowControl w:val="0"/>
        <w:numPr>
          <w:ilvl w:val="1"/>
          <w:numId w:val="1"/>
        </w:numPr>
        <w:spacing w:after="120"/>
        <w:rPr>
          <w:rFonts w:cs="Calibri"/>
          <w:bCs/>
          <w:snapToGrid w:val="0"/>
        </w:rPr>
      </w:pPr>
      <w:bookmarkStart w:id="19" w:name="_Hlk76382586"/>
      <w:r w:rsidRPr="00836F75">
        <w:rPr>
          <w:rFonts w:asciiTheme="minorHAnsi" w:hAnsiTheme="minorHAnsi"/>
          <w:bCs/>
          <w:snapToGrid w:val="0"/>
        </w:rPr>
        <w:t>The sponsor requested a hearing for this item. The clinician discussed the natural history of the disease</w:t>
      </w:r>
      <w:r w:rsidR="00C3168B">
        <w:rPr>
          <w:rFonts w:asciiTheme="minorHAnsi" w:hAnsiTheme="minorHAnsi"/>
          <w:bCs/>
          <w:snapToGrid w:val="0"/>
        </w:rPr>
        <w:t xml:space="preserve"> and the high unmet clinical need for new </w:t>
      </w:r>
      <w:r w:rsidR="005E29B5">
        <w:rPr>
          <w:rFonts w:asciiTheme="minorHAnsi" w:hAnsiTheme="minorHAnsi"/>
          <w:bCs/>
          <w:snapToGrid w:val="0"/>
        </w:rPr>
        <w:t>UM</w:t>
      </w:r>
      <w:r w:rsidR="00C3168B">
        <w:rPr>
          <w:rFonts w:asciiTheme="minorHAnsi" w:hAnsiTheme="minorHAnsi"/>
          <w:bCs/>
          <w:snapToGrid w:val="0"/>
        </w:rPr>
        <w:t xml:space="preserve"> treatments. They also outlined the mechanism of action of tebentafusp and described the potential longer</w:t>
      </w:r>
      <w:r w:rsidR="00B515FF">
        <w:rPr>
          <w:rFonts w:asciiTheme="minorHAnsi" w:hAnsiTheme="minorHAnsi"/>
          <w:bCs/>
          <w:snapToGrid w:val="0"/>
        </w:rPr>
        <w:t>-</w:t>
      </w:r>
      <w:r w:rsidR="00C3168B">
        <w:rPr>
          <w:rFonts w:asciiTheme="minorHAnsi" w:hAnsiTheme="minorHAnsi"/>
          <w:bCs/>
          <w:snapToGrid w:val="0"/>
        </w:rPr>
        <w:t xml:space="preserve">term benefits of treatment and the management of adverse events. </w:t>
      </w:r>
      <w:r w:rsidRPr="00836F75">
        <w:rPr>
          <w:rFonts w:asciiTheme="minorHAnsi" w:hAnsiTheme="minorHAnsi"/>
          <w:bCs/>
          <w:snapToGrid w:val="0"/>
        </w:rPr>
        <w:t>The PBAC considered that the hearing was informative as it provided a clinical perspective on treating this uncommon disease.</w:t>
      </w:r>
      <w:bookmarkEnd w:id="19"/>
    </w:p>
    <w:p w14:paraId="6B254A79" w14:textId="77777777" w:rsidR="00DF0B64" w:rsidRPr="006E1229" w:rsidRDefault="00DF0B64" w:rsidP="00DF0B64">
      <w:pPr>
        <w:pStyle w:val="4-SubsectionHeading"/>
      </w:pPr>
      <w:r w:rsidRPr="006E1229">
        <w:t>Consumer comments</w:t>
      </w:r>
    </w:p>
    <w:p w14:paraId="10A700B7" w14:textId="1C4FB167" w:rsidR="00DF0B64" w:rsidRPr="00836F75" w:rsidRDefault="00DF0B64" w:rsidP="00DF0B64">
      <w:pPr>
        <w:widowControl w:val="0"/>
        <w:numPr>
          <w:ilvl w:val="1"/>
          <w:numId w:val="1"/>
        </w:numPr>
        <w:spacing w:after="120"/>
        <w:rPr>
          <w:rFonts w:asciiTheme="minorHAnsi" w:hAnsiTheme="minorHAnsi"/>
          <w:bCs/>
          <w:snapToGrid w:val="0"/>
        </w:rPr>
      </w:pPr>
      <w:bookmarkStart w:id="20" w:name="_Hlk76382618"/>
      <w:r w:rsidRPr="00836F75">
        <w:rPr>
          <w:rFonts w:asciiTheme="minorHAnsi" w:hAnsiTheme="minorHAnsi"/>
          <w:bCs/>
          <w:snapToGrid w:val="0"/>
        </w:rPr>
        <w:t>The PBAC noted and welcomed the input from individuals (</w:t>
      </w:r>
      <w:r w:rsidR="00B15485">
        <w:rPr>
          <w:rFonts w:asciiTheme="minorHAnsi" w:hAnsiTheme="minorHAnsi"/>
          <w:bCs/>
          <w:snapToGrid w:val="0"/>
        </w:rPr>
        <w:t>10</w:t>
      </w:r>
      <w:r w:rsidRPr="00836F75">
        <w:rPr>
          <w:rFonts w:asciiTheme="minorHAnsi" w:hAnsiTheme="minorHAnsi"/>
          <w:bCs/>
          <w:snapToGrid w:val="0"/>
        </w:rPr>
        <w:t>), health care professionals (7) and organisations (</w:t>
      </w:r>
      <w:r w:rsidR="00B15485">
        <w:rPr>
          <w:rFonts w:asciiTheme="minorHAnsi" w:hAnsiTheme="minorHAnsi"/>
          <w:bCs/>
          <w:snapToGrid w:val="0"/>
        </w:rPr>
        <w:t>6</w:t>
      </w:r>
      <w:r w:rsidRPr="00836F75">
        <w:rPr>
          <w:rFonts w:asciiTheme="minorHAnsi" w:hAnsiTheme="minorHAnsi"/>
          <w:bCs/>
          <w:snapToGrid w:val="0"/>
        </w:rPr>
        <w:t xml:space="preserve">) via the Consumer Comments facility on the PBS website. The comments </w:t>
      </w:r>
      <w:r w:rsidR="00B15485">
        <w:rPr>
          <w:rFonts w:asciiTheme="minorHAnsi" w:hAnsiTheme="minorHAnsi"/>
          <w:bCs/>
          <w:snapToGrid w:val="0"/>
        </w:rPr>
        <w:t xml:space="preserve">from individuals </w:t>
      </w:r>
      <w:r w:rsidR="00D91A29">
        <w:rPr>
          <w:rFonts w:asciiTheme="minorHAnsi" w:hAnsiTheme="minorHAnsi"/>
          <w:bCs/>
          <w:snapToGrid w:val="0"/>
        </w:rPr>
        <w:t xml:space="preserve">and health care professionals </w:t>
      </w:r>
      <w:r w:rsidRPr="00836F75">
        <w:rPr>
          <w:rFonts w:asciiTheme="minorHAnsi" w:hAnsiTheme="minorHAnsi"/>
          <w:bCs/>
          <w:snapToGrid w:val="0"/>
        </w:rPr>
        <w:t xml:space="preserve">described </w:t>
      </w:r>
      <w:r w:rsidR="00B15485">
        <w:rPr>
          <w:rFonts w:asciiTheme="minorHAnsi" w:hAnsiTheme="minorHAnsi"/>
          <w:bCs/>
          <w:snapToGrid w:val="0"/>
        </w:rPr>
        <w:t xml:space="preserve">the high clinical need for new </w:t>
      </w:r>
      <w:r w:rsidR="005E29B5">
        <w:rPr>
          <w:rFonts w:asciiTheme="minorHAnsi" w:hAnsiTheme="minorHAnsi"/>
          <w:bCs/>
          <w:snapToGrid w:val="0"/>
        </w:rPr>
        <w:t>UM</w:t>
      </w:r>
      <w:r w:rsidR="00B15485">
        <w:rPr>
          <w:rFonts w:asciiTheme="minorHAnsi" w:hAnsiTheme="minorHAnsi"/>
          <w:bCs/>
          <w:snapToGrid w:val="0"/>
        </w:rPr>
        <w:t xml:space="preserve"> treatments and the potential </w:t>
      </w:r>
      <w:r w:rsidRPr="00836F75">
        <w:rPr>
          <w:rFonts w:asciiTheme="minorHAnsi" w:hAnsiTheme="minorHAnsi"/>
          <w:bCs/>
          <w:snapToGrid w:val="0"/>
        </w:rPr>
        <w:t xml:space="preserve">benefits of treatment with </w:t>
      </w:r>
      <w:r w:rsidR="00B15485">
        <w:rPr>
          <w:rFonts w:asciiTheme="minorHAnsi" w:hAnsiTheme="minorHAnsi"/>
          <w:bCs/>
          <w:snapToGrid w:val="0"/>
        </w:rPr>
        <w:t>tebentafusp</w:t>
      </w:r>
      <w:r w:rsidRPr="00836F75">
        <w:rPr>
          <w:rFonts w:asciiTheme="minorHAnsi" w:hAnsiTheme="minorHAnsi"/>
          <w:bCs/>
          <w:snapToGrid w:val="0"/>
        </w:rPr>
        <w:t xml:space="preserve"> including </w:t>
      </w:r>
      <w:r w:rsidR="00B15485">
        <w:rPr>
          <w:rFonts w:asciiTheme="minorHAnsi" w:hAnsiTheme="minorHAnsi"/>
          <w:bCs/>
          <w:snapToGrid w:val="0"/>
        </w:rPr>
        <w:t xml:space="preserve">an increased overall survival and improved quality of life. </w:t>
      </w:r>
    </w:p>
    <w:p w14:paraId="4D7630CE" w14:textId="270E0C72" w:rsidR="00D91A29" w:rsidRDefault="00DF0B64" w:rsidP="00A704EE">
      <w:pPr>
        <w:widowControl w:val="0"/>
        <w:numPr>
          <w:ilvl w:val="1"/>
          <w:numId w:val="1"/>
        </w:numPr>
        <w:spacing w:after="120"/>
        <w:rPr>
          <w:rFonts w:asciiTheme="minorHAnsi" w:hAnsiTheme="minorHAnsi"/>
          <w:bCs/>
          <w:snapToGrid w:val="0"/>
        </w:rPr>
      </w:pPr>
      <w:r w:rsidRPr="00D91A29">
        <w:rPr>
          <w:rFonts w:asciiTheme="minorHAnsi" w:hAnsiTheme="minorHAnsi"/>
          <w:bCs/>
          <w:snapToGrid w:val="0"/>
        </w:rPr>
        <w:t xml:space="preserve">The PBAC noted the advice received from </w:t>
      </w:r>
      <w:r w:rsidR="00D91A29">
        <w:rPr>
          <w:rFonts w:asciiTheme="minorHAnsi" w:hAnsiTheme="minorHAnsi"/>
          <w:bCs/>
          <w:snapToGrid w:val="0"/>
        </w:rPr>
        <w:t>the Melanoma and Skin Cancer Advocacy Network (MSCAN), Rare Cancers Australia, Australasian Ocular Melanoma Alliance (AOMA), Melanoma Patients Australia (MPA) and Ocumel Australia and New Zealand Support Group</w:t>
      </w:r>
      <w:r w:rsidR="00C3168B">
        <w:rPr>
          <w:rFonts w:asciiTheme="minorHAnsi" w:hAnsiTheme="minorHAnsi"/>
          <w:bCs/>
          <w:snapToGrid w:val="0"/>
        </w:rPr>
        <w:t xml:space="preserve"> which outline</w:t>
      </w:r>
      <w:r w:rsidR="005E29B5">
        <w:rPr>
          <w:rFonts w:asciiTheme="minorHAnsi" w:hAnsiTheme="minorHAnsi"/>
          <w:bCs/>
          <w:snapToGrid w:val="0"/>
        </w:rPr>
        <w:t>d</w:t>
      </w:r>
      <w:r w:rsidR="00C3168B">
        <w:rPr>
          <w:rFonts w:asciiTheme="minorHAnsi" w:hAnsiTheme="minorHAnsi"/>
          <w:bCs/>
          <w:snapToGrid w:val="0"/>
        </w:rPr>
        <w:t xml:space="preserve"> the high unmet clinical need for new </w:t>
      </w:r>
      <w:r w:rsidR="005E29B5">
        <w:rPr>
          <w:rFonts w:asciiTheme="minorHAnsi" w:hAnsiTheme="minorHAnsi"/>
          <w:bCs/>
          <w:snapToGrid w:val="0"/>
        </w:rPr>
        <w:t>UM</w:t>
      </w:r>
      <w:r w:rsidR="00C3168B">
        <w:rPr>
          <w:rFonts w:asciiTheme="minorHAnsi" w:hAnsiTheme="minorHAnsi"/>
          <w:bCs/>
          <w:snapToGrid w:val="0"/>
        </w:rPr>
        <w:t xml:space="preserve"> treatments and stated that tebentafusp is a well tolerated treatment that improves prognosis and quality of life for patients.</w:t>
      </w:r>
      <w:bookmarkEnd w:id="17"/>
      <w:bookmarkEnd w:id="20"/>
    </w:p>
    <w:p w14:paraId="0E87BC80" w14:textId="5F09BFB0" w:rsidR="00DF0B64" w:rsidRPr="00D91A29" w:rsidRDefault="00DF0B64" w:rsidP="00A704EE">
      <w:pPr>
        <w:widowControl w:val="0"/>
        <w:numPr>
          <w:ilvl w:val="1"/>
          <w:numId w:val="1"/>
        </w:numPr>
        <w:spacing w:after="120"/>
        <w:rPr>
          <w:rFonts w:asciiTheme="minorHAnsi" w:hAnsiTheme="minorHAnsi"/>
          <w:bCs/>
          <w:snapToGrid w:val="0"/>
        </w:rPr>
      </w:pPr>
      <w:r w:rsidRPr="00D91A29">
        <w:rPr>
          <w:rFonts w:asciiTheme="minorHAnsi" w:hAnsiTheme="minorHAnsi"/>
          <w:bCs/>
          <w:snapToGrid w:val="0"/>
        </w:rPr>
        <w:t xml:space="preserve">The Medical Oncology Group of Australia (MOGA) also expressed its strong support for the </w:t>
      </w:r>
      <w:r w:rsidR="00D91A29" w:rsidRPr="00D91A29">
        <w:rPr>
          <w:rFonts w:asciiTheme="minorHAnsi" w:hAnsiTheme="minorHAnsi"/>
          <w:bCs/>
          <w:snapToGrid w:val="0"/>
        </w:rPr>
        <w:t>tebentafusp</w:t>
      </w:r>
      <w:r w:rsidRPr="00D91A29">
        <w:rPr>
          <w:rFonts w:asciiTheme="minorHAnsi" w:hAnsiTheme="minorHAnsi"/>
          <w:bCs/>
          <w:snapToGrid w:val="0"/>
        </w:rPr>
        <w:t xml:space="preserve"> submission, categorising it as one of the therapies of “highest </w:t>
      </w:r>
      <w:r w:rsidRPr="00D91A29">
        <w:rPr>
          <w:rFonts w:asciiTheme="minorHAnsi" w:hAnsiTheme="minorHAnsi"/>
          <w:bCs/>
          <w:snapToGrid w:val="0"/>
        </w:rPr>
        <w:lastRenderedPageBreak/>
        <w:t>priority for PBS listing” on the basis of the</w:t>
      </w:r>
      <w:r w:rsidR="00D91A29" w:rsidRPr="00D91A29">
        <w:rPr>
          <w:rFonts w:asciiTheme="minorHAnsi" w:hAnsiTheme="minorHAnsi"/>
          <w:bCs/>
          <w:snapToGrid w:val="0"/>
        </w:rPr>
        <w:t>IMCgp100-202</w:t>
      </w:r>
      <w:r w:rsidRPr="00D91A29">
        <w:rPr>
          <w:rFonts w:asciiTheme="minorHAnsi" w:hAnsiTheme="minorHAnsi"/>
          <w:bCs/>
          <w:snapToGrid w:val="0"/>
        </w:rPr>
        <w:t xml:space="preserve"> trial. The PBAC noted that the MOGA presented a European Society for Medical Oncology Magnitude of Clinical Benefit Scale (ESMO-MCBS) for </w:t>
      </w:r>
      <w:r w:rsidR="00D91A29" w:rsidRPr="00D91A29">
        <w:rPr>
          <w:rFonts w:asciiTheme="minorHAnsi" w:hAnsiTheme="minorHAnsi"/>
          <w:bCs/>
          <w:snapToGrid w:val="0"/>
        </w:rPr>
        <w:t>tebentafusp</w:t>
      </w:r>
      <w:r w:rsidRPr="00D91A29">
        <w:rPr>
          <w:rFonts w:asciiTheme="minorHAnsi" w:hAnsiTheme="minorHAnsi"/>
          <w:bCs/>
          <w:snapToGrid w:val="0"/>
        </w:rPr>
        <w:t xml:space="preserve">, which was limited to </w:t>
      </w:r>
      <w:r w:rsidR="00D91A29" w:rsidRPr="00D91A29">
        <w:rPr>
          <w:rFonts w:asciiTheme="minorHAnsi" w:hAnsiTheme="minorHAnsi"/>
          <w:bCs/>
          <w:snapToGrid w:val="0"/>
        </w:rPr>
        <w:t>4</w:t>
      </w:r>
      <w:r w:rsidRPr="00D91A29">
        <w:rPr>
          <w:rFonts w:asciiTheme="minorHAnsi" w:hAnsiTheme="minorHAnsi"/>
          <w:bCs/>
          <w:snapToGrid w:val="0"/>
        </w:rPr>
        <w:t xml:space="preserve"> (out of a maximum of 5, where 5 and 4 represent the grades with substantial improvement)</w:t>
      </w:r>
      <w:r w:rsidR="00D91A29">
        <w:rPr>
          <w:rStyle w:val="FootnoteReference"/>
          <w:rFonts w:asciiTheme="minorHAnsi" w:hAnsiTheme="minorHAnsi"/>
          <w:bCs/>
          <w:snapToGrid w:val="0"/>
        </w:rPr>
        <w:footnoteReference w:id="7"/>
      </w:r>
      <w:r w:rsidRPr="00D91A29">
        <w:rPr>
          <w:rFonts w:asciiTheme="minorHAnsi" w:hAnsiTheme="minorHAnsi"/>
          <w:bCs/>
          <w:snapToGrid w:val="0"/>
        </w:rPr>
        <w:t xml:space="preserve">, based on a comparison with </w:t>
      </w:r>
      <w:r w:rsidR="00D91A29" w:rsidRPr="00D91A29">
        <w:rPr>
          <w:rFonts w:asciiTheme="minorHAnsi" w:hAnsiTheme="minorHAnsi"/>
          <w:bCs/>
          <w:snapToGrid w:val="0"/>
        </w:rPr>
        <w:t>investigators choice</w:t>
      </w:r>
      <w:r w:rsidRPr="00D91A29">
        <w:rPr>
          <w:rFonts w:asciiTheme="minorHAnsi" w:hAnsiTheme="minorHAnsi"/>
          <w:bCs/>
          <w:snapToGrid w:val="0"/>
        </w:rPr>
        <w:t>.</w:t>
      </w:r>
    </w:p>
    <w:p w14:paraId="609C0765" w14:textId="54811D31" w:rsidR="00B60939" w:rsidRPr="00C9624D" w:rsidRDefault="00B60939" w:rsidP="002E4F02">
      <w:pPr>
        <w:pStyle w:val="4-SubsectionHeading"/>
      </w:pPr>
      <w:r w:rsidRPr="00C9624D">
        <w:t>Clinical trials</w:t>
      </w:r>
      <w:bookmarkEnd w:id="14"/>
      <w:bookmarkEnd w:id="18"/>
    </w:p>
    <w:p w14:paraId="08102A37" w14:textId="35F8857C" w:rsidR="00DB369C" w:rsidRDefault="00DB369C" w:rsidP="00D77B44">
      <w:pPr>
        <w:pStyle w:val="3-BodyText"/>
        <w:rPr>
          <w:snapToGrid/>
          <w:lang w:val="en-US"/>
        </w:rPr>
      </w:pPr>
      <w:bookmarkStart w:id="21" w:name="_Toc22897641"/>
      <w:r w:rsidRPr="00970F0B">
        <w:rPr>
          <w:snapToGrid/>
          <w:lang w:val="en-US"/>
        </w:rPr>
        <w:t>The submission was based on one head-to-head randomised trial comparing tebentafusp to investigator’s choice of therapy (pembrolizumab, dacarbazine, or ipilimumab) in previously untreated patients with metastatic UM</w:t>
      </w:r>
      <w:r w:rsidR="00D77B44">
        <w:rPr>
          <w:snapToGrid/>
          <w:lang w:val="en-US"/>
        </w:rPr>
        <w:t xml:space="preserve">, </w:t>
      </w:r>
      <w:r w:rsidRPr="00970F0B">
        <w:rPr>
          <w:snapToGrid/>
          <w:lang w:val="en-US"/>
        </w:rPr>
        <w:t>IMCgp100-202 (NCT03070392). A claim of superiority was made on the outcome of overall survival.</w:t>
      </w:r>
    </w:p>
    <w:p w14:paraId="6F302C8F" w14:textId="17A6F3FD" w:rsidR="00DB369C" w:rsidRPr="00D77B44" w:rsidRDefault="00DB369C" w:rsidP="00D77B44">
      <w:pPr>
        <w:pStyle w:val="3-BodyText"/>
        <w:rPr>
          <w:snapToGrid/>
          <w:lang w:val="en-US"/>
        </w:rPr>
      </w:pPr>
      <w:r w:rsidRPr="00970F0B">
        <w:rPr>
          <w:snapToGrid/>
          <w:lang w:val="en-US"/>
        </w:rPr>
        <w:t xml:space="preserve">Additionally, the submission presented results from IMCgp100-102 (NCT02570308), a single-arm </w:t>
      </w:r>
      <w:r>
        <w:rPr>
          <w:snapToGrid/>
          <w:lang w:val="en-US"/>
        </w:rPr>
        <w:t>study</w:t>
      </w:r>
      <w:r w:rsidRPr="00970F0B">
        <w:rPr>
          <w:snapToGrid/>
          <w:lang w:val="en-US"/>
        </w:rPr>
        <w:t xml:space="preserve"> to inform tolerability and safety of tebentafusp in patients with metastatic UM previously treated with one or more lines of therapy. This study was not included in the economic model</w:t>
      </w:r>
      <w:r w:rsidRPr="00D77B44">
        <w:rPr>
          <w:snapToGrid/>
          <w:lang w:val="en-US"/>
        </w:rPr>
        <w:t>.</w:t>
      </w:r>
    </w:p>
    <w:p w14:paraId="262A6D13" w14:textId="634AA029" w:rsidR="00DB369C" w:rsidRPr="00B50DB8" w:rsidRDefault="00DB369C" w:rsidP="00D77B44">
      <w:pPr>
        <w:pStyle w:val="3-BodyText"/>
      </w:pPr>
      <w:r w:rsidRPr="00970F0B">
        <w:rPr>
          <w:snapToGrid/>
          <w:lang w:val="en-US"/>
        </w:rPr>
        <w:t>Details of the trial</w:t>
      </w:r>
      <w:r w:rsidR="00654C48">
        <w:rPr>
          <w:snapToGrid/>
          <w:lang w:val="en-US"/>
        </w:rPr>
        <w:t>s</w:t>
      </w:r>
      <w:r w:rsidRPr="00970F0B">
        <w:rPr>
          <w:snapToGrid/>
          <w:lang w:val="en-US"/>
        </w:rPr>
        <w:t xml:space="preserve"> presented in the submission </w:t>
      </w:r>
      <w:proofErr w:type="gramStart"/>
      <w:r w:rsidRPr="00970F0B">
        <w:rPr>
          <w:snapToGrid/>
          <w:lang w:val="en-US"/>
        </w:rPr>
        <w:t>are provided</w:t>
      </w:r>
      <w:proofErr w:type="gramEnd"/>
      <w:r w:rsidRPr="00970F0B">
        <w:rPr>
          <w:snapToGrid/>
          <w:lang w:val="en-US"/>
        </w:rPr>
        <w:t xml:space="preserve"> in </w:t>
      </w:r>
      <w:r>
        <w:rPr>
          <w:snapToGrid/>
          <w:lang w:val="en-US"/>
        </w:rPr>
        <w:fldChar w:fldCharType="begin" w:fldLock="1"/>
      </w:r>
      <w:r>
        <w:rPr>
          <w:snapToGrid/>
          <w:lang w:val="en-US"/>
        </w:rPr>
        <w:instrText xml:space="preserve"> REF _Ref104803956 \h </w:instrText>
      </w:r>
      <w:r>
        <w:rPr>
          <w:snapToGrid/>
          <w:lang w:val="en-US"/>
        </w:rPr>
      </w:r>
      <w:r>
        <w:rPr>
          <w:snapToGrid/>
          <w:lang w:val="en-US"/>
        </w:rPr>
        <w:fldChar w:fldCharType="separate"/>
      </w:r>
      <w:r w:rsidR="00A53FF4">
        <w:t xml:space="preserve">Table </w:t>
      </w:r>
      <w:r w:rsidR="00A53FF4">
        <w:rPr>
          <w:noProof/>
        </w:rPr>
        <w:t>2</w:t>
      </w:r>
      <w:r>
        <w:rPr>
          <w:snapToGrid/>
          <w:lang w:val="en-US"/>
        </w:rPr>
        <w:fldChar w:fldCharType="end"/>
      </w:r>
      <w:r>
        <w:rPr>
          <w:snapToGrid/>
          <w:lang w:val="en-US"/>
        </w:rPr>
        <w:t xml:space="preserve">. </w:t>
      </w:r>
    </w:p>
    <w:p w14:paraId="44A746F2" w14:textId="75F7BA20" w:rsidR="00DB369C" w:rsidRDefault="00DB369C" w:rsidP="00DB369C">
      <w:pPr>
        <w:pStyle w:val="TableFigureHeading"/>
        <w:ind w:left="720" w:hanging="720"/>
      </w:pPr>
      <w:bookmarkStart w:id="22" w:name="_Ref104803956"/>
      <w:r>
        <w:lastRenderedPageBreak/>
        <w:t xml:space="preserve">Table </w:t>
      </w:r>
      <w:fldSimple w:instr=" SEQ Table \* ARABIC " w:fldLock="1">
        <w:r w:rsidR="00A53FF4">
          <w:rPr>
            <w:noProof/>
          </w:rPr>
          <w:t>2</w:t>
        </w:r>
      </w:fldSimple>
      <w:bookmarkEnd w:id="22"/>
      <w:r>
        <w:t>:</w:t>
      </w:r>
      <w:r w:rsidRPr="000A0CD2">
        <w:t xml:space="preserve"> 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387"/>
        <w:gridCol w:w="2359"/>
      </w:tblGrid>
      <w:tr w:rsidR="00DB369C" w:rsidRPr="0018356E" w14:paraId="7AECBF32" w14:textId="77777777" w:rsidTr="005A203C">
        <w:trPr>
          <w:tblHeader/>
        </w:trPr>
        <w:tc>
          <w:tcPr>
            <w:tcW w:w="705" w:type="pct"/>
            <w:tcBorders>
              <w:top w:val="single" w:sz="4" w:space="0" w:color="auto"/>
              <w:left w:val="single" w:sz="4" w:space="0" w:color="auto"/>
              <w:bottom w:val="single" w:sz="4" w:space="0" w:color="auto"/>
              <w:right w:val="single" w:sz="4" w:space="0" w:color="auto"/>
            </w:tcBorders>
            <w:vAlign w:val="center"/>
            <w:hideMark/>
          </w:tcPr>
          <w:p w14:paraId="605991F8" w14:textId="77777777" w:rsidR="00DB369C" w:rsidRPr="0018356E" w:rsidRDefault="00DB369C" w:rsidP="00A704EE">
            <w:pPr>
              <w:keepNext/>
              <w:jc w:val="left"/>
              <w:rPr>
                <w:rFonts w:ascii="Arial Narrow" w:eastAsia="MS Gothic" w:hAnsi="Arial Narrow" w:cs="Times New Roman"/>
                <w:b/>
                <w:sz w:val="20"/>
                <w:lang w:val="en-US"/>
              </w:rPr>
            </w:pPr>
            <w:r w:rsidRPr="0018356E">
              <w:rPr>
                <w:rFonts w:ascii="Arial Narrow" w:eastAsia="MS Gothic" w:hAnsi="Arial Narrow" w:cs="Times New Roman"/>
                <w:b/>
                <w:sz w:val="20"/>
                <w:lang w:val="en-US"/>
              </w:rPr>
              <w:t>Trial ID</w:t>
            </w:r>
          </w:p>
        </w:tc>
        <w:tc>
          <w:tcPr>
            <w:tcW w:w="2987" w:type="pct"/>
            <w:tcBorders>
              <w:top w:val="single" w:sz="4" w:space="0" w:color="auto"/>
              <w:left w:val="single" w:sz="4" w:space="0" w:color="auto"/>
              <w:bottom w:val="single" w:sz="4" w:space="0" w:color="auto"/>
              <w:right w:val="single" w:sz="4" w:space="0" w:color="auto"/>
            </w:tcBorders>
            <w:vAlign w:val="center"/>
            <w:hideMark/>
          </w:tcPr>
          <w:p w14:paraId="6741D20D" w14:textId="77777777" w:rsidR="00DB369C" w:rsidRPr="0018356E" w:rsidRDefault="00DB369C" w:rsidP="00A704EE">
            <w:pPr>
              <w:keepNext/>
              <w:jc w:val="left"/>
              <w:rPr>
                <w:rFonts w:ascii="Arial Narrow" w:eastAsia="MS Gothic" w:hAnsi="Arial Narrow" w:cs="Times New Roman"/>
                <w:b/>
                <w:sz w:val="20"/>
                <w:lang w:val="en-US"/>
              </w:rPr>
            </w:pPr>
            <w:r w:rsidRPr="0018356E">
              <w:rPr>
                <w:rFonts w:ascii="Arial Narrow" w:eastAsia="MS Gothic" w:hAnsi="Arial Narrow" w:cs="Times New Roman"/>
                <w:b/>
                <w:sz w:val="20"/>
                <w:lang w:val="en-US"/>
              </w:rPr>
              <w:t>Protocol title/ Publication title</w:t>
            </w:r>
          </w:p>
        </w:tc>
        <w:tc>
          <w:tcPr>
            <w:tcW w:w="1308" w:type="pct"/>
            <w:tcBorders>
              <w:top w:val="single" w:sz="4" w:space="0" w:color="auto"/>
              <w:left w:val="single" w:sz="4" w:space="0" w:color="auto"/>
              <w:bottom w:val="single" w:sz="4" w:space="0" w:color="auto"/>
              <w:right w:val="single" w:sz="4" w:space="0" w:color="auto"/>
            </w:tcBorders>
            <w:vAlign w:val="center"/>
            <w:hideMark/>
          </w:tcPr>
          <w:p w14:paraId="63241955" w14:textId="77777777" w:rsidR="00DB369C" w:rsidRPr="0018356E" w:rsidRDefault="00DB369C" w:rsidP="00A704EE">
            <w:pPr>
              <w:keepNext/>
              <w:jc w:val="left"/>
              <w:rPr>
                <w:rFonts w:ascii="Arial Narrow" w:eastAsia="MS Gothic" w:hAnsi="Arial Narrow" w:cs="Times New Roman"/>
                <w:b/>
                <w:sz w:val="20"/>
                <w:lang w:val="en-US"/>
              </w:rPr>
            </w:pPr>
            <w:r w:rsidRPr="0018356E">
              <w:rPr>
                <w:rFonts w:ascii="Arial Narrow" w:eastAsia="MS Gothic" w:hAnsi="Arial Narrow" w:cs="Times New Roman"/>
                <w:b/>
                <w:sz w:val="20"/>
                <w:lang w:val="en-US"/>
              </w:rPr>
              <w:t>Publication citation</w:t>
            </w:r>
          </w:p>
        </w:tc>
      </w:tr>
      <w:tr w:rsidR="00DB369C" w:rsidRPr="0018356E" w14:paraId="7616A26D" w14:textId="77777777" w:rsidTr="005A203C">
        <w:tc>
          <w:tcPr>
            <w:tcW w:w="705" w:type="pct"/>
            <w:vMerge w:val="restart"/>
            <w:tcBorders>
              <w:top w:val="single" w:sz="4" w:space="0" w:color="auto"/>
              <w:left w:val="single" w:sz="4" w:space="0" w:color="auto"/>
              <w:bottom w:val="single" w:sz="4" w:space="0" w:color="auto"/>
              <w:right w:val="single" w:sz="4" w:space="0" w:color="auto"/>
            </w:tcBorders>
            <w:vAlign w:val="center"/>
            <w:hideMark/>
          </w:tcPr>
          <w:p w14:paraId="676FE1E4" w14:textId="77777777" w:rsidR="00DB369C" w:rsidRPr="0018356E" w:rsidRDefault="00DB369C" w:rsidP="00A704EE">
            <w:pPr>
              <w:keepNext/>
              <w:jc w:val="left"/>
              <w:rPr>
                <w:rFonts w:ascii="Arial Narrow" w:eastAsia="MS Gothic" w:hAnsi="Arial Narrow" w:cs="Times New Roman"/>
                <w:bCs/>
                <w:sz w:val="20"/>
              </w:rPr>
            </w:pPr>
            <w:r w:rsidRPr="0018356E">
              <w:rPr>
                <w:rFonts w:ascii="Arial Narrow" w:eastAsia="MS Gothic" w:hAnsi="Arial Narrow" w:cs="Times New Roman"/>
                <w:bCs/>
                <w:sz w:val="20"/>
              </w:rPr>
              <w:t>IMCgp100-202</w:t>
            </w:r>
          </w:p>
          <w:p w14:paraId="4A39C411" w14:textId="77777777" w:rsidR="00DB369C" w:rsidRPr="0018356E" w:rsidRDefault="00DB369C" w:rsidP="00A704EE">
            <w:pPr>
              <w:keepNext/>
              <w:jc w:val="left"/>
              <w:rPr>
                <w:rFonts w:ascii="Arial Narrow" w:eastAsia="MS Gothic" w:hAnsi="Arial Narrow" w:cs="Times New Roman"/>
                <w:bCs/>
                <w:sz w:val="20"/>
              </w:rPr>
            </w:pPr>
            <w:r w:rsidRPr="0018356E">
              <w:rPr>
                <w:rFonts w:ascii="Arial Narrow" w:eastAsia="MS Gothic" w:hAnsi="Arial Narrow" w:cs="Times New Roman"/>
                <w:bCs/>
                <w:sz w:val="20"/>
                <w:szCs w:val="18"/>
              </w:rPr>
              <w:t>(NCT03070392)</w:t>
            </w:r>
          </w:p>
        </w:tc>
        <w:tc>
          <w:tcPr>
            <w:tcW w:w="2987" w:type="pct"/>
            <w:tcBorders>
              <w:top w:val="single" w:sz="4" w:space="0" w:color="auto"/>
              <w:left w:val="single" w:sz="4" w:space="0" w:color="auto"/>
              <w:bottom w:val="nil"/>
              <w:right w:val="single" w:sz="4" w:space="0" w:color="auto"/>
            </w:tcBorders>
            <w:vAlign w:val="center"/>
            <w:hideMark/>
          </w:tcPr>
          <w:p w14:paraId="25238AA8"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Immunocore Ltd. Safety and Efficacy of IMCgp100 Versus Investigator Choice in Advanced Uveal Melanoma.</w:t>
            </w:r>
          </w:p>
        </w:tc>
        <w:tc>
          <w:tcPr>
            <w:tcW w:w="1308" w:type="pct"/>
            <w:tcBorders>
              <w:top w:val="single" w:sz="4" w:space="0" w:color="auto"/>
              <w:left w:val="single" w:sz="4" w:space="0" w:color="auto"/>
              <w:bottom w:val="nil"/>
              <w:right w:val="single" w:sz="4" w:space="0" w:color="auto"/>
            </w:tcBorders>
            <w:vAlign w:val="center"/>
            <w:hideMark/>
          </w:tcPr>
          <w:p w14:paraId="5F8B17A3" w14:textId="77777777" w:rsidR="00DB369C" w:rsidRPr="0018356E" w:rsidRDefault="00DB369C" w:rsidP="00A704EE">
            <w:pPr>
              <w:keepNext/>
              <w:jc w:val="left"/>
              <w:rPr>
                <w:rFonts w:ascii="Arial Narrow" w:eastAsia="MS Gothic" w:hAnsi="Arial Narrow" w:cs="Times New Roman"/>
                <w:bCs/>
                <w:sz w:val="20"/>
              </w:rPr>
            </w:pPr>
            <w:r w:rsidRPr="0018356E">
              <w:rPr>
                <w:rFonts w:ascii="Arial Narrow" w:eastAsia="MS Gothic" w:hAnsi="Arial Narrow" w:cs="Times New Roman"/>
                <w:bCs/>
                <w:sz w:val="20"/>
              </w:rPr>
              <w:t>2017</w:t>
            </w:r>
          </w:p>
        </w:tc>
      </w:tr>
      <w:tr w:rsidR="00DB369C" w:rsidRPr="0018356E" w14:paraId="4C2CDCDD"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5D62241C"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nil"/>
              <w:right w:val="single" w:sz="4" w:space="0" w:color="auto"/>
            </w:tcBorders>
            <w:vAlign w:val="center"/>
            <w:hideMark/>
          </w:tcPr>
          <w:p w14:paraId="19103166"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Nathan P, Hassel J, et al. Overall Survival Benefit with Tebentafusp in Metastatic Uveal Melanoma.</w:t>
            </w:r>
          </w:p>
        </w:tc>
        <w:tc>
          <w:tcPr>
            <w:tcW w:w="1308" w:type="pct"/>
            <w:tcBorders>
              <w:top w:val="nil"/>
              <w:left w:val="single" w:sz="4" w:space="0" w:color="auto"/>
              <w:bottom w:val="nil"/>
              <w:right w:val="single" w:sz="4" w:space="0" w:color="auto"/>
            </w:tcBorders>
            <w:vAlign w:val="center"/>
            <w:hideMark/>
          </w:tcPr>
          <w:p w14:paraId="1D43C6C3"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i/>
                <w:iCs/>
                <w:sz w:val="20"/>
                <w:szCs w:val="18"/>
              </w:rPr>
              <w:t>New England Journal of Medicine</w:t>
            </w:r>
            <w:r w:rsidRPr="0018356E">
              <w:rPr>
                <w:rFonts w:ascii="Arial Narrow" w:eastAsia="MS Gothic" w:hAnsi="Arial Narrow" w:cs="Times New Roman"/>
                <w:bCs/>
                <w:sz w:val="20"/>
                <w:szCs w:val="18"/>
              </w:rPr>
              <w:t xml:space="preserve"> 2021; 385, 1196-206</w:t>
            </w:r>
          </w:p>
        </w:tc>
      </w:tr>
      <w:tr w:rsidR="00DB369C" w:rsidRPr="0018356E" w14:paraId="48C89C3E"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7021E2B3"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nil"/>
              <w:right w:val="single" w:sz="4" w:space="0" w:color="auto"/>
            </w:tcBorders>
            <w:vAlign w:val="center"/>
            <w:hideMark/>
          </w:tcPr>
          <w:p w14:paraId="5F02D3C1" w14:textId="77777777" w:rsidR="00DB369C" w:rsidRPr="0018356E" w:rsidRDefault="00DB369C" w:rsidP="00A704EE">
            <w:pPr>
              <w:keepNext/>
              <w:jc w:val="left"/>
              <w:rPr>
                <w:rFonts w:ascii="Arial Narrow" w:eastAsia="MS Gothic" w:hAnsi="Arial Narrow" w:cs="Times New Roman"/>
                <w:bCs/>
                <w:sz w:val="20"/>
                <w:szCs w:val="18"/>
                <w:lang w:val="en-US"/>
              </w:rPr>
            </w:pPr>
            <w:r w:rsidRPr="0018356E">
              <w:rPr>
                <w:rFonts w:ascii="Arial Narrow" w:eastAsia="MS Gothic" w:hAnsi="Arial Narrow" w:cs="Times New Roman"/>
                <w:bCs/>
                <w:sz w:val="20"/>
                <w:szCs w:val="18"/>
                <w:lang w:val="en-US"/>
              </w:rPr>
              <w:t>Salama A, Cheshuk V, et al. Characterization of cytokine release syndrome (CRS) following treatment with tebentafusp in previously untreated patients with metastatic uveal melanoma.</w:t>
            </w:r>
          </w:p>
        </w:tc>
        <w:tc>
          <w:tcPr>
            <w:tcW w:w="1308" w:type="pct"/>
            <w:tcBorders>
              <w:top w:val="nil"/>
              <w:left w:val="single" w:sz="4" w:space="0" w:color="auto"/>
              <w:bottom w:val="nil"/>
              <w:right w:val="single" w:sz="4" w:space="0" w:color="auto"/>
            </w:tcBorders>
            <w:vAlign w:val="center"/>
            <w:hideMark/>
          </w:tcPr>
          <w:p w14:paraId="0A826E28" w14:textId="77777777" w:rsidR="00DB369C" w:rsidRPr="0018356E" w:rsidRDefault="00DB369C" w:rsidP="00A704EE">
            <w:pPr>
              <w:keepNext/>
              <w:jc w:val="left"/>
              <w:rPr>
                <w:rFonts w:ascii="Arial Narrow" w:eastAsia="MS Gothic" w:hAnsi="Arial Narrow" w:cs="Times New Roman"/>
                <w:bCs/>
                <w:iCs/>
                <w:sz w:val="20"/>
                <w:szCs w:val="18"/>
                <w:lang w:val="en-US"/>
              </w:rPr>
            </w:pPr>
            <w:r w:rsidRPr="0018356E">
              <w:rPr>
                <w:rFonts w:ascii="Arial Narrow" w:eastAsia="MS Gothic" w:hAnsi="Arial Narrow" w:cs="Times New Roman"/>
                <w:bCs/>
                <w:i/>
                <w:sz w:val="20"/>
                <w:szCs w:val="18"/>
                <w:lang w:val="en-US"/>
              </w:rPr>
              <w:t xml:space="preserve">Annals of Oncology </w:t>
            </w:r>
            <w:r w:rsidRPr="0018356E">
              <w:rPr>
                <w:rFonts w:ascii="Arial Narrow" w:eastAsia="MS Gothic" w:hAnsi="Arial Narrow" w:cs="Times New Roman"/>
                <w:bCs/>
                <w:iCs/>
                <w:sz w:val="20"/>
                <w:szCs w:val="18"/>
                <w:lang w:val="en-US"/>
              </w:rPr>
              <w:t>2021; 32,5</w:t>
            </w:r>
          </w:p>
        </w:tc>
      </w:tr>
      <w:tr w:rsidR="00DB369C" w:rsidRPr="0018356E" w14:paraId="685A3165"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531EDAB4"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nil"/>
              <w:right w:val="single" w:sz="4" w:space="0" w:color="auto"/>
            </w:tcBorders>
            <w:vAlign w:val="center"/>
            <w:hideMark/>
          </w:tcPr>
          <w:p w14:paraId="61B8FF9C" w14:textId="77777777" w:rsidR="00DB369C" w:rsidRPr="0018356E" w:rsidRDefault="00DB369C" w:rsidP="00A704EE">
            <w:pPr>
              <w:keepNext/>
              <w:jc w:val="left"/>
              <w:rPr>
                <w:rFonts w:ascii="Arial Narrow" w:eastAsia="MS Gothic" w:hAnsi="Arial Narrow" w:cs="Times New Roman"/>
                <w:bCs/>
                <w:sz w:val="20"/>
              </w:rPr>
            </w:pPr>
            <w:r w:rsidRPr="0018356E">
              <w:rPr>
                <w:rFonts w:ascii="Arial Narrow" w:eastAsia="MS Gothic" w:hAnsi="Arial Narrow" w:cs="Times New Roman"/>
                <w:bCs/>
                <w:sz w:val="20"/>
              </w:rPr>
              <w:t>Chmielowski B, Kapiteijn E, et al. Characterization of liver function tests following tebentafusp in phase III randomized trial comparing tebentafusp with investigator’s choice in first line metastatic uveal melanoma (mUM)</w:t>
            </w:r>
          </w:p>
        </w:tc>
        <w:tc>
          <w:tcPr>
            <w:tcW w:w="1308" w:type="pct"/>
            <w:tcBorders>
              <w:top w:val="nil"/>
              <w:left w:val="single" w:sz="4" w:space="0" w:color="auto"/>
              <w:bottom w:val="nil"/>
              <w:right w:val="single" w:sz="4" w:space="0" w:color="auto"/>
            </w:tcBorders>
            <w:vAlign w:val="center"/>
            <w:hideMark/>
          </w:tcPr>
          <w:p w14:paraId="1132E3CF" w14:textId="77777777" w:rsidR="00DB369C" w:rsidRPr="0018356E" w:rsidRDefault="00DB369C" w:rsidP="00A704EE">
            <w:pPr>
              <w:keepNext/>
              <w:jc w:val="left"/>
              <w:rPr>
                <w:rFonts w:ascii="Arial Narrow" w:eastAsia="MS Gothic" w:hAnsi="Arial Narrow" w:cs="Times New Roman"/>
                <w:bCs/>
                <w:sz w:val="20"/>
              </w:rPr>
            </w:pPr>
            <w:r w:rsidRPr="0018356E">
              <w:rPr>
                <w:rFonts w:ascii="Arial Narrow" w:eastAsia="MS Gothic" w:hAnsi="Arial Narrow" w:cs="Times New Roman"/>
                <w:bCs/>
                <w:i/>
                <w:iCs/>
                <w:sz w:val="20"/>
              </w:rPr>
              <w:t>Annals of Oncology</w:t>
            </w:r>
            <w:r w:rsidRPr="0018356E">
              <w:rPr>
                <w:rFonts w:ascii="Arial Narrow" w:eastAsia="MS Gothic" w:hAnsi="Arial Narrow" w:cs="Times New Roman"/>
                <w:bCs/>
                <w:sz w:val="20"/>
              </w:rPr>
              <w:t xml:space="preserve"> 2021, 32, S856</w:t>
            </w:r>
            <w:r w:rsidRPr="0018356E">
              <w:rPr>
                <w:rFonts w:ascii="Cambria Math" w:eastAsia="MS Gothic" w:hAnsi="Cambria Math" w:cs="Cambria Math"/>
                <w:bCs/>
                <w:sz w:val="20"/>
              </w:rPr>
              <w:t>‐</w:t>
            </w:r>
            <w:r w:rsidRPr="0018356E">
              <w:rPr>
                <w:rFonts w:ascii="Arial Narrow" w:eastAsia="MS Gothic" w:hAnsi="Arial Narrow" w:cs="Times New Roman"/>
                <w:bCs/>
                <w:sz w:val="20"/>
              </w:rPr>
              <w:t>S857</w:t>
            </w:r>
          </w:p>
        </w:tc>
      </w:tr>
      <w:tr w:rsidR="00DB369C" w:rsidRPr="0018356E" w14:paraId="37B72F6D"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6725EE8B"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nil"/>
              <w:right w:val="single" w:sz="4" w:space="0" w:color="auto"/>
            </w:tcBorders>
            <w:vAlign w:val="center"/>
            <w:hideMark/>
          </w:tcPr>
          <w:p w14:paraId="353D3831"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Piperno-Neumann S, Hassel J, et al. Phase 3 randomized trial comparing tebentafusp with investigator's choice in first line metastatic uveal melanoma.</w:t>
            </w:r>
          </w:p>
        </w:tc>
        <w:tc>
          <w:tcPr>
            <w:tcW w:w="1308" w:type="pct"/>
            <w:tcBorders>
              <w:top w:val="nil"/>
              <w:left w:val="single" w:sz="4" w:space="0" w:color="auto"/>
              <w:bottom w:val="nil"/>
              <w:right w:val="single" w:sz="4" w:space="0" w:color="auto"/>
            </w:tcBorders>
            <w:vAlign w:val="center"/>
            <w:hideMark/>
          </w:tcPr>
          <w:p w14:paraId="08A186A5" w14:textId="77777777" w:rsidR="00DB369C" w:rsidRPr="0018356E" w:rsidRDefault="00DB369C" w:rsidP="00A704EE">
            <w:pPr>
              <w:keepNext/>
              <w:jc w:val="left"/>
              <w:rPr>
                <w:rFonts w:ascii="Arial Narrow" w:eastAsia="MS Gothic" w:hAnsi="Arial Narrow" w:cs="Times New Roman"/>
                <w:bCs/>
                <w:iCs/>
                <w:sz w:val="20"/>
              </w:rPr>
            </w:pPr>
            <w:r w:rsidRPr="0018356E">
              <w:rPr>
                <w:rFonts w:ascii="Arial Narrow" w:eastAsia="MS Gothic" w:hAnsi="Arial Narrow" w:cs="Times New Roman"/>
                <w:bCs/>
                <w:i/>
                <w:sz w:val="20"/>
              </w:rPr>
              <w:t xml:space="preserve">Cancer Research </w:t>
            </w:r>
            <w:r w:rsidRPr="0018356E">
              <w:rPr>
                <w:rFonts w:ascii="Arial Narrow" w:eastAsia="MS Gothic" w:hAnsi="Arial Narrow" w:cs="Times New Roman"/>
                <w:bCs/>
                <w:iCs/>
                <w:sz w:val="20"/>
              </w:rPr>
              <w:t xml:space="preserve">2021, 18, 13_supplement </w:t>
            </w:r>
          </w:p>
        </w:tc>
      </w:tr>
      <w:tr w:rsidR="00DB369C" w:rsidRPr="0018356E" w14:paraId="5D7A5D93"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09A32704"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single" w:sz="4" w:space="0" w:color="auto"/>
              <w:right w:val="single" w:sz="4" w:space="0" w:color="auto"/>
            </w:tcBorders>
            <w:vAlign w:val="center"/>
            <w:hideMark/>
          </w:tcPr>
          <w:p w14:paraId="531C83B1"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Hassel J, Rutkowski P, et al. Co-primary endpoint of overall survival for tebentafusp (tebe)</w:t>
            </w:r>
            <w:r>
              <w:rPr>
                <w:rFonts w:ascii="Arial Narrow" w:eastAsia="MS Gothic" w:hAnsi="Arial Narrow" w:cs="Times New Roman"/>
                <w:bCs/>
                <w:sz w:val="20"/>
                <w:szCs w:val="18"/>
              </w:rPr>
              <w:t xml:space="preserve"> </w:t>
            </w:r>
            <w:r w:rsidRPr="0018356E">
              <w:rPr>
                <w:rFonts w:ascii="Arial Narrow" w:eastAsia="MS Gothic" w:hAnsi="Arial Narrow" w:cs="Times New Roman"/>
                <w:bCs/>
                <w:sz w:val="20"/>
                <w:szCs w:val="18"/>
              </w:rPr>
              <w:t>- induced rash in a phase 3 randomized trial comparing tebe versus investigator's choice (IC) in first-line metastatic uveal melanoma.</w:t>
            </w:r>
          </w:p>
        </w:tc>
        <w:tc>
          <w:tcPr>
            <w:tcW w:w="1308" w:type="pct"/>
            <w:tcBorders>
              <w:top w:val="nil"/>
              <w:left w:val="single" w:sz="4" w:space="0" w:color="auto"/>
              <w:bottom w:val="single" w:sz="4" w:space="0" w:color="auto"/>
              <w:right w:val="single" w:sz="4" w:space="0" w:color="auto"/>
            </w:tcBorders>
            <w:vAlign w:val="center"/>
            <w:hideMark/>
          </w:tcPr>
          <w:p w14:paraId="07F502D5" w14:textId="77777777" w:rsidR="00DB369C" w:rsidRPr="0018356E" w:rsidRDefault="00DB369C" w:rsidP="00A704EE">
            <w:pPr>
              <w:keepNext/>
              <w:jc w:val="left"/>
              <w:rPr>
                <w:rFonts w:ascii="Arial Narrow" w:eastAsia="MS Gothic" w:hAnsi="Arial Narrow" w:cs="Times New Roman"/>
                <w:bCs/>
                <w:i/>
                <w:iCs/>
                <w:sz w:val="20"/>
              </w:rPr>
            </w:pPr>
            <w:r w:rsidRPr="0018356E">
              <w:rPr>
                <w:rFonts w:ascii="Arial Narrow" w:eastAsia="MS Gothic" w:hAnsi="Arial Narrow" w:cs="Times New Roman"/>
                <w:bCs/>
                <w:i/>
                <w:iCs/>
                <w:sz w:val="20"/>
              </w:rPr>
              <w:t xml:space="preserve">Journal of Clinical Oncology </w:t>
            </w:r>
            <w:r w:rsidRPr="0018356E">
              <w:rPr>
                <w:rFonts w:ascii="Arial Narrow" w:eastAsia="MS Gothic" w:hAnsi="Arial Narrow" w:cs="Times New Roman"/>
                <w:bCs/>
                <w:sz w:val="20"/>
              </w:rPr>
              <w:t>2021</w:t>
            </w:r>
            <w:r w:rsidRPr="0018356E">
              <w:rPr>
                <w:rFonts w:ascii="Arial Narrow" w:eastAsia="MS Gothic" w:hAnsi="Arial Narrow" w:cs="Times New Roman"/>
                <w:bCs/>
                <w:i/>
                <w:iCs/>
                <w:sz w:val="20"/>
              </w:rPr>
              <w:t xml:space="preserve">, </w:t>
            </w:r>
            <w:r w:rsidRPr="0018356E">
              <w:rPr>
                <w:rFonts w:ascii="Arial Narrow" w:eastAsia="MS Gothic" w:hAnsi="Arial Narrow" w:cs="Times New Roman"/>
                <w:bCs/>
                <w:sz w:val="20"/>
              </w:rPr>
              <w:t>39, 15_supplement</w:t>
            </w:r>
          </w:p>
        </w:tc>
      </w:tr>
      <w:tr w:rsidR="00DB369C" w:rsidRPr="0018356E" w14:paraId="11E582DC" w14:textId="77777777" w:rsidTr="005A203C">
        <w:tc>
          <w:tcPr>
            <w:tcW w:w="705" w:type="pct"/>
            <w:vMerge w:val="restart"/>
            <w:tcBorders>
              <w:top w:val="single" w:sz="4" w:space="0" w:color="auto"/>
              <w:left w:val="single" w:sz="4" w:space="0" w:color="auto"/>
              <w:bottom w:val="single" w:sz="4" w:space="0" w:color="auto"/>
              <w:right w:val="single" w:sz="4" w:space="0" w:color="auto"/>
            </w:tcBorders>
            <w:vAlign w:val="center"/>
            <w:hideMark/>
          </w:tcPr>
          <w:p w14:paraId="3A64B315" w14:textId="77777777" w:rsidR="00DB369C" w:rsidRPr="0018356E" w:rsidRDefault="00DB369C" w:rsidP="00A704EE">
            <w:pPr>
              <w:keepNext/>
              <w:jc w:val="left"/>
              <w:rPr>
                <w:rFonts w:ascii="Arial Narrow" w:eastAsia="MS Gothic" w:hAnsi="Arial Narrow" w:cs="Times New Roman"/>
                <w:bCs/>
                <w:sz w:val="20"/>
              </w:rPr>
            </w:pPr>
            <w:r w:rsidRPr="0018356E">
              <w:rPr>
                <w:rFonts w:ascii="Arial Narrow" w:eastAsia="MS Gothic" w:hAnsi="Arial Narrow" w:cs="Times New Roman"/>
                <w:bCs/>
                <w:sz w:val="20"/>
              </w:rPr>
              <w:t>IMCgp100-102</w:t>
            </w:r>
          </w:p>
          <w:p w14:paraId="44370EEF" w14:textId="77777777" w:rsidR="00DB369C" w:rsidRPr="0018356E" w:rsidRDefault="00DB369C" w:rsidP="00A704EE">
            <w:pPr>
              <w:keepNext/>
              <w:jc w:val="left"/>
              <w:rPr>
                <w:rFonts w:ascii="Arial Narrow" w:eastAsia="MS Gothic" w:hAnsi="Arial Narrow" w:cs="Times New Roman"/>
                <w:bCs/>
                <w:sz w:val="20"/>
              </w:rPr>
            </w:pPr>
            <w:r w:rsidRPr="0018356E">
              <w:rPr>
                <w:rFonts w:ascii="Arial Narrow" w:eastAsia="MS Gothic" w:hAnsi="Arial Narrow" w:cs="Times New Roman"/>
                <w:bCs/>
                <w:sz w:val="20"/>
                <w:szCs w:val="18"/>
              </w:rPr>
              <w:t>(NCT02570308)</w:t>
            </w:r>
          </w:p>
        </w:tc>
        <w:tc>
          <w:tcPr>
            <w:tcW w:w="2987" w:type="pct"/>
            <w:tcBorders>
              <w:top w:val="single" w:sz="4" w:space="0" w:color="auto"/>
              <w:left w:val="single" w:sz="4" w:space="0" w:color="auto"/>
              <w:bottom w:val="nil"/>
              <w:right w:val="single" w:sz="4" w:space="0" w:color="auto"/>
            </w:tcBorders>
            <w:vAlign w:val="center"/>
            <w:hideMark/>
          </w:tcPr>
          <w:p w14:paraId="0F44CCA8"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Immunocore Ltd. A Study of the Intra-Patient Escalation Dosing Regimen With IMCgp100 in Patients With Advanced Uveal Melanoma.</w:t>
            </w:r>
          </w:p>
        </w:tc>
        <w:tc>
          <w:tcPr>
            <w:tcW w:w="1308" w:type="pct"/>
            <w:tcBorders>
              <w:top w:val="single" w:sz="4" w:space="0" w:color="auto"/>
              <w:left w:val="single" w:sz="4" w:space="0" w:color="auto"/>
              <w:bottom w:val="nil"/>
              <w:right w:val="single" w:sz="4" w:space="0" w:color="auto"/>
            </w:tcBorders>
            <w:vAlign w:val="center"/>
            <w:hideMark/>
          </w:tcPr>
          <w:p w14:paraId="5D6BF6BC" w14:textId="77777777" w:rsidR="00DB369C" w:rsidRPr="0018356E" w:rsidRDefault="00DB369C" w:rsidP="00A704EE">
            <w:pPr>
              <w:keepNext/>
              <w:jc w:val="left"/>
              <w:rPr>
                <w:rFonts w:ascii="Arial Narrow" w:eastAsia="MS Gothic" w:hAnsi="Arial Narrow" w:cs="Times New Roman"/>
                <w:bCs/>
                <w:sz w:val="20"/>
              </w:rPr>
            </w:pPr>
            <w:r w:rsidRPr="0018356E">
              <w:rPr>
                <w:rFonts w:ascii="Arial Narrow" w:eastAsia="MS Gothic" w:hAnsi="Arial Narrow" w:cs="Times New Roman"/>
                <w:bCs/>
                <w:sz w:val="20"/>
              </w:rPr>
              <w:t>2016</w:t>
            </w:r>
          </w:p>
        </w:tc>
      </w:tr>
      <w:tr w:rsidR="00DB369C" w:rsidRPr="0018356E" w14:paraId="035E1190"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2CD9EF5D"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nil"/>
              <w:right w:val="single" w:sz="4" w:space="0" w:color="auto"/>
            </w:tcBorders>
            <w:vAlign w:val="center"/>
            <w:hideMark/>
          </w:tcPr>
          <w:p w14:paraId="3FC09A87"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Carvajal R, Sacco J, et al. Phase I Study of Safety, Tolerability, and Efficacy of Tebentafusp Using a Step-Up Dosing Regimen and Expansion in Patients With Metastatic Uveal Melanoma.</w:t>
            </w:r>
          </w:p>
        </w:tc>
        <w:tc>
          <w:tcPr>
            <w:tcW w:w="1308" w:type="pct"/>
            <w:tcBorders>
              <w:top w:val="nil"/>
              <w:left w:val="single" w:sz="4" w:space="0" w:color="auto"/>
              <w:bottom w:val="nil"/>
              <w:right w:val="single" w:sz="4" w:space="0" w:color="auto"/>
            </w:tcBorders>
            <w:vAlign w:val="center"/>
            <w:hideMark/>
          </w:tcPr>
          <w:p w14:paraId="5AF4FB6B" w14:textId="77777777" w:rsidR="00DB369C" w:rsidRPr="0018356E" w:rsidRDefault="00DB369C" w:rsidP="00A704EE">
            <w:pPr>
              <w:keepNext/>
              <w:jc w:val="left"/>
              <w:rPr>
                <w:rFonts w:ascii="Arial Narrow" w:eastAsia="MS Gothic" w:hAnsi="Arial Narrow" w:cs="Times New Roman"/>
                <w:bCs/>
                <w:sz w:val="20"/>
              </w:rPr>
            </w:pPr>
            <w:r w:rsidRPr="0018356E">
              <w:rPr>
                <w:rFonts w:ascii="Arial Narrow" w:eastAsia="MS Gothic" w:hAnsi="Arial Narrow" w:cs="Times New Roman"/>
                <w:bCs/>
                <w:i/>
                <w:iCs/>
                <w:sz w:val="20"/>
              </w:rPr>
              <w:t xml:space="preserve">Journal of Clinical Oncology </w:t>
            </w:r>
            <w:r w:rsidRPr="0018356E">
              <w:rPr>
                <w:rFonts w:ascii="Arial Narrow" w:eastAsia="MS Gothic" w:hAnsi="Arial Narrow" w:cs="Times New Roman"/>
                <w:bCs/>
                <w:sz w:val="20"/>
              </w:rPr>
              <w:t>2022</w:t>
            </w:r>
            <w:r w:rsidRPr="0018356E">
              <w:rPr>
                <w:rFonts w:ascii="Arial Narrow" w:eastAsia="MS Gothic" w:hAnsi="Arial Narrow" w:cs="Times New Roman"/>
                <w:bCs/>
                <w:i/>
                <w:iCs/>
                <w:sz w:val="20"/>
              </w:rPr>
              <w:t xml:space="preserve">, </w:t>
            </w:r>
            <w:r w:rsidRPr="0018356E">
              <w:rPr>
                <w:rFonts w:ascii="Arial Narrow" w:eastAsia="MS Gothic" w:hAnsi="Arial Narrow" w:cs="Times New Roman"/>
                <w:bCs/>
                <w:sz w:val="20"/>
              </w:rPr>
              <w:t>40, 17</w:t>
            </w:r>
          </w:p>
        </w:tc>
      </w:tr>
      <w:tr w:rsidR="00DB369C" w:rsidRPr="0018356E" w14:paraId="4DBF4F8C"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4AD4850C"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nil"/>
              <w:right w:val="single" w:sz="4" w:space="0" w:color="auto"/>
            </w:tcBorders>
            <w:vAlign w:val="center"/>
            <w:hideMark/>
          </w:tcPr>
          <w:p w14:paraId="5600FEFD"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Sacco J, Carvajal R, et al. Updated survival of patients with previously treated metastatic uveal melanoma who received tebentafusp.</w:t>
            </w:r>
          </w:p>
        </w:tc>
        <w:tc>
          <w:tcPr>
            <w:tcW w:w="1308" w:type="pct"/>
            <w:tcBorders>
              <w:top w:val="nil"/>
              <w:left w:val="single" w:sz="4" w:space="0" w:color="auto"/>
              <w:bottom w:val="nil"/>
              <w:right w:val="single" w:sz="4" w:space="0" w:color="auto"/>
            </w:tcBorders>
            <w:vAlign w:val="center"/>
            <w:hideMark/>
          </w:tcPr>
          <w:p w14:paraId="7F4323BF" w14:textId="77777777" w:rsidR="00DB369C" w:rsidRPr="0018356E" w:rsidRDefault="00DB369C" w:rsidP="00A704EE">
            <w:pPr>
              <w:keepNext/>
              <w:jc w:val="left"/>
              <w:rPr>
                <w:rFonts w:ascii="Arial Narrow" w:eastAsia="MS Gothic" w:hAnsi="Arial Narrow" w:cs="Times New Roman"/>
                <w:bCs/>
                <w:i/>
                <w:iCs/>
                <w:sz w:val="20"/>
              </w:rPr>
            </w:pPr>
            <w:r w:rsidRPr="0018356E">
              <w:rPr>
                <w:rFonts w:ascii="Arial Narrow" w:eastAsia="MS Gothic" w:hAnsi="Arial Narrow" w:cs="Times New Roman"/>
                <w:bCs/>
                <w:i/>
                <w:iCs/>
                <w:sz w:val="20"/>
              </w:rPr>
              <w:t>Journal for ImmunoTherapy of Cancer</w:t>
            </w:r>
            <w:r w:rsidRPr="0018356E">
              <w:rPr>
                <w:rFonts w:ascii="Arial Narrow" w:eastAsia="MS Gothic" w:hAnsi="Arial Narrow" w:cs="Times New Roman"/>
                <w:bCs/>
                <w:sz w:val="20"/>
              </w:rPr>
              <w:t xml:space="preserve"> 2021, 9</w:t>
            </w:r>
          </w:p>
        </w:tc>
      </w:tr>
      <w:tr w:rsidR="00DB369C" w:rsidRPr="0018356E" w14:paraId="6FFDFC7D"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3F5B7CC2"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nil"/>
              <w:right w:val="single" w:sz="4" w:space="0" w:color="auto"/>
            </w:tcBorders>
            <w:vAlign w:val="center"/>
            <w:hideMark/>
          </w:tcPr>
          <w:p w14:paraId="33CE0295"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Piulats J, Sato T, et al. Similar overall survival in tebentafusp-treated 2L+ metastatic uveal melanoma regardless of prior immunotherapy.</w:t>
            </w:r>
          </w:p>
        </w:tc>
        <w:tc>
          <w:tcPr>
            <w:tcW w:w="1308" w:type="pct"/>
            <w:tcBorders>
              <w:top w:val="nil"/>
              <w:left w:val="single" w:sz="4" w:space="0" w:color="auto"/>
              <w:bottom w:val="nil"/>
              <w:right w:val="single" w:sz="4" w:space="0" w:color="auto"/>
            </w:tcBorders>
            <w:vAlign w:val="center"/>
            <w:hideMark/>
          </w:tcPr>
          <w:p w14:paraId="0145DB62" w14:textId="77777777" w:rsidR="00DB369C" w:rsidRPr="0018356E" w:rsidRDefault="00DB369C" w:rsidP="00A704EE">
            <w:pPr>
              <w:keepNext/>
              <w:jc w:val="left"/>
              <w:rPr>
                <w:rFonts w:ascii="Arial Narrow" w:eastAsia="MS Gothic" w:hAnsi="Arial Narrow" w:cs="Times New Roman"/>
                <w:bCs/>
                <w:i/>
                <w:iCs/>
                <w:sz w:val="20"/>
              </w:rPr>
            </w:pPr>
            <w:r w:rsidRPr="0018356E">
              <w:rPr>
                <w:rFonts w:ascii="Arial Narrow" w:eastAsia="MS Gothic" w:hAnsi="Arial Narrow" w:cs="Times New Roman"/>
                <w:bCs/>
                <w:i/>
                <w:sz w:val="20"/>
                <w:szCs w:val="18"/>
                <w:lang w:val="en-US"/>
              </w:rPr>
              <w:t xml:space="preserve">Annals of Oncology </w:t>
            </w:r>
            <w:r w:rsidRPr="0018356E">
              <w:rPr>
                <w:rFonts w:ascii="Arial Narrow" w:eastAsia="MS Gothic" w:hAnsi="Arial Narrow" w:cs="Times New Roman"/>
                <w:bCs/>
                <w:iCs/>
                <w:sz w:val="20"/>
                <w:szCs w:val="18"/>
                <w:lang w:val="en-US"/>
              </w:rPr>
              <w:t>2021; 32,5, S854</w:t>
            </w:r>
          </w:p>
        </w:tc>
      </w:tr>
      <w:tr w:rsidR="00DB369C" w:rsidRPr="0018356E" w14:paraId="4586EA3D"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7DCC48F5"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nil"/>
              <w:right w:val="single" w:sz="4" w:space="0" w:color="auto"/>
            </w:tcBorders>
            <w:vAlign w:val="center"/>
            <w:hideMark/>
          </w:tcPr>
          <w:p w14:paraId="2117ECFF"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Piperno-Neumann S, Hassel J, et al. Kinetics of radiographic response for tebentafusp (tebe) in previously treated metastatic uveal melanoma (mUM) patients (pts) achieving prolonged survival.</w:t>
            </w:r>
          </w:p>
        </w:tc>
        <w:tc>
          <w:tcPr>
            <w:tcW w:w="1308" w:type="pct"/>
            <w:tcBorders>
              <w:top w:val="nil"/>
              <w:left w:val="single" w:sz="4" w:space="0" w:color="auto"/>
              <w:bottom w:val="nil"/>
              <w:right w:val="single" w:sz="4" w:space="0" w:color="auto"/>
            </w:tcBorders>
            <w:vAlign w:val="center"/>
            <w:hideMark/>
          </w:tcPr>
          <w:p w14:paraId="2DEBAE35" w14:textId="77777777" w:rsidR="00DB369C" w:rsidRPr="0018356E" w:rsidRDefault="00DB369C" w:rsidP="00A704EE">
            <w:pPr>
              <w:keepNext/>
              <w:jc w:val="left"/>
              <w:rPr>
                <w:rFonts w:ascii="Arial Narrow" w:eastAsia="MS Gothic" w:hAnsi="Arial Narrow" w:cs="Times New Roman"/>
                <w:bCs/>
                <w:i/>
                <w:iCs/>
                <w:sz w:val="20"/>
              </w:rPr>
            </w:pPr>
            <w:r w:rsidRPr="0018356E">
              <w:rPr>
                <w:rFonts w:ascii="Arial Narrow" w:eastAsia="MS Gothic" w:hAnsi="Arial Narrow" w:cs="Times New Roman"/>
                <w:bCs/>
                <w:i/>
                <w:sz w:val="20"/>
              </w:rPr>
              <w:t xml:space="preserve">Cancer Research </w:t>
            </w:r>
            <w:r w:rsidRPr="0018356E">
              <w:rPr>
                <w:rFonts w:ascii="Arial Narrow" w:eastAsia="MS Gothic" w:hAnsi="Arial Narrow" w:cs="Times New Roman"/>
                <w:bCs/>
                <w:iCs/>
                <w:sz w:val="20"/>
              </w:rPr>
              <w:t>2021, 18, 13_supplement</w:t>
            </w:r>
          </w:p>
        </w:tc>
      </w:tr>
      <w:tr w:rsidR="00DB369C" w:rsidRPr="0018356E" w14:paraId="3E5C43D3"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63D50ED5"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nil"/>
              <w:right w:val="single" w:sz="4" w:space="0" w:color="auto"/>
            </w:tcBorders>
            <w:vAlign w:val="center"/>
            <w:hideMark/>
          </w:tcPr>
          <w:p w14:paraId="7FA6F810"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Sato T, Carvajal R, et al. Characterization of liver function tests (LFTs) following tebentafusp (tebe) in previously treated (2L+) metastatic uveal melanoma (mUM) patients (pts).</w:t>
            </w:r>
          </w:p>
        </w:tc>
        <w:tc>
          <w:tcPr>
            <w:tcW w:w="1308" w:type="pct"/>
            <w:tcBorders>
              <w:top w:val="nil"/>
              <w:left w:val="single" w:sz="4" w:space="0" w:color="auto"/>
              <w:bottom w:val="nil"/>
              <w:right w:val="single" w:sz="4" w:space="0" w:color="auto"/>
            </w:tcBorders>
            <w:vAlign w:val="center"/>
            <w:hideMark/>
          </w:tcPr>
          <w:p w14:paraId="4387733A" w14:textId="77777777" w:rsidR="00DB369C" w:rsidRPr="0018356E" w:rsidRDefault="00DB369C" w:rsidP="00A704EE">
            <w:pPr>
              <w:keepNext/>
              <w:jc w:val="left"/>
              <w:rPr>
                <w:rFonts w:ascii="Arial Narrow" w:eastAsia="MS Gothic" w:hAnsi="Arial Narrow" w:cs="Times New Roman"/>
                <w:bCs/>
                <w:i/>
                <w:iCs/>
                <w:sz w:val="20"/>
              </w:rPr>
            </w:pPr>
            <w:r w:rsidRPr="0018356E">
              <w:rPr>
                <w:rFonts w:ascii="Arial Narrow" w:eastAsia="MS Gothic" w:hAnsi="Arial Narrow" w:cs="Times New Roman"/>
                <w:bCs/>
                <w:i/>
                <w:iCs/>
                <w:sz w:val="20"/>
              </w:rPr>
              <w:t xml:space="preserve">Journal of Clinical Oncology </w:t>
            </w:r>
            <w:r w:rsidRPr="0018356E">
              <w:rPr>
                <w:rFonts w:ascii="Arial Narrow" w:eastAsia="MS Gothic" w:hAnsi="Arial Narrow" w:cs="Times New Roman"/>
                <w:bCs/>
                <w:sz w:val="20"/>
              </w:rPr>
              <w:t>2021, 35, 15_supplement</w:t>
            </w:r>
          </w:p>
        </w:tc>
      </w:tr>
      <w:tr w:rsidR="00DB369C" w:rsidRPr="0018356E" w14:paraId="5A2CA36B"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74A2C1A0"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nil"/>
              <w:right w:val="single" w:sz="4" w:space="0" w:color="auto"/>
            </w:tcBorders>
            <w:vAlign w:val="center"/>
            <w:hideMark/>
          </w:tcPr>
          <w:p w14:paraId="22EB1E5F"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Carvajal R, Sato T, et al. Characterization of cytokine release syndrome (CRS) following treatment with tebentafusp in patients (pts) with previously treated (2L+) metastatic uveal melanoma (mUM).</w:t>
            </w:r>
          </w:p>
        </w:tc>
        <w:tc>
          <w:tcPr>
            <w:tcW w:w="1308" w:type="pct"/>
            <w:tcBorders>
              <w:top w:val="nil"/>
              <w:left w:val="single" w:sz="4" w:space="0" w:color="auto"/>
              <w:bottom w:val="nil"/>
              <w:right w:val="single" w:sz="4" w:space="0" w:color="auto"/>
            </w:tcBorders>
            <w:vAlign w:val="center"/>
            <w:hideMark/>
          </w:tcPr>
          <w:p w14:paraId="30F8F71B" w14:textId="77777777" w:rsidR="00DB369C" w:rsidRPr="0018356E" w:rsidRDefault="00DB369C" w:rsidP="00A704EE">
            <w:pPr>
              <w:keepNext/>
              <w:jc w:val="left"/>
              <w:rPr>
                <w:rFonts w:ascii="Arial Narrow" w:eastAsia="MS Gothic" w:hAnsi="Arial Narrow" w:cs="Times New Roman"/>
                <w:bCs/>
                <w:i/>
                <w:iCs/>
                <w:sz w:val="20"/>
              </w:rPr>
            </w:pPr>
            <w:r w:rsidRPr="0018356E">
              <w:rPr>
                <w:rFonts w:ascii="Arial Narrow" w:eastAsia="MS Gothic" w:hAnsi="Arial Narrow" w:cs="Times New Roman"/>
                <w:bCs/>
                <w:i/>
                <w:iCs/>
                <w:sz w:val="20"/>
              </w:rPr>
              <w:t xml:space="preserve">Journal of Clinical Oncology </w:t>
            </w:r>
            <w:r w:rsidRPr="0018356E">
              <w:rPr>
                <w:rFonts w:ascii="Arial Narrow" w:eastAsia="MS Gothic" w:hAnsi="Arial Narrow" w:cs="Times New Roman"/>
                <w:bCs/>
                <w:sz w:val="20"/>
              </w:rPr>
              <w:t>2021, 39, 15_supplement</w:t>
            </w:r>
          </w:p>
        </w:tc>
      </w:tr>
      <w:tr w:rsidR="00DB369C" w:rsidRPr="0018356E" w14:paraId="206B209E"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7D862D30"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nil"/>
              <w:right w:val="single" w:sz="4" w:space="0" w:color="auto"/>
            </w:tcBorders>
            <w:vAlign w:val="center"/>
            <w:hideMark/>
          </w:tcPr>
          <w:p w14:paraId="1F808B2B"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Sacco J, Carvajal R, et al. A phase (ph) II, multi-center study of the safety and efficacy of tebentafusp (tebe) (IMCgp100) in patients (pts) with metastatic uveal melanoma (mUM).</w:t>
            </w:r>
          </w:p>
        </w:tc>
        <w:tc>
          <w:tcPr>
            <w:tcW w:w="1308" w:type="pct"/>
            <w:tcBorders>
              <w:top w:val="nil"/>
              <w:left w:val="single" w:sz="4" w:space="0" w:color="auto"/>
              <w:bottom w:val="nil"/>
              <w:right w:val="single" w:sz="4" w:space="0" w:color="auto"/>
            </w:tcBorders>
            <w:vAlign w:val="center"/>
            <w:hideMark/>
          </w:tcPr>
          <w:p w14:paraId="2167A67F" w14:textId="77777777" w:rsidR="00DB369C" w:rsidRPr="0018356E" w:rsidRDefault="00DB369C" w:rsidP="00A704EE">
            <w:pPr>
              <w:keepNext/>
              <w:jc w:val="left"/>
              <w:rPr>
                <w:rFonts w:ascii="Arial Narrow" w:eastAsia="MS Gothic" w:hAnsi="Arial Narrow" w:cs="Times New Roman"/>
                <w:bCs/>
                <w:i/>
                <w:iCs/>
                <w:sz w:val="20"/>
              </w:rPr>
            </w:pPr>
            <w:r w:rsidRPr="0018356E">
              <w:rPr>
                <w:rFonts w:ascii="Arial Narrow" w:eastAsia="MS Gothic" w:hAnsi="Arial Narrow" w:cs="Times New Roman"/>
                <w:bCs/>
                <w:i/>
                <w:iCs/>
                <w:sz w:val="20"/>
              </w:rPr>
              <w:t xml:space="preserve">Annals of Oncology </w:t>
            </w:r>
            <w:r w:rsidRPr="0018356E">
              <w:rPr>
                <w:rFonts w:ascii="Arial Narrow" w:eastAsia="MS Gothic" w:hAnsi="Arial Narrow" w:cs="Times New Roman"/>
                <w:bCs/>
                <w:sz w:val="20"/>
              </w:rPr>
              <w:t>2020, 31, Supplement 7</w:t>
            </w:r>
          </w:p>
        </w:tc>
      </w:tr>
      <w:tr w:rsidR="00DB369C" w:rsidRPr="0018356E" w14:paraId="55979927" w14:textId="77777777" w:rsidTr="005A203C">
        <w:tc>
          <w:tcPr>
            <w:tcW w:w="705" w:type="pct"/>
            <w:vMerge/>
            <w:tcBorders>
              <w:top w:val="single" w:sz="4" w:space="0" w:color="auto"/>
              <w:left w:val="single" w:sz="4" w:space="0" w:color="auto"/>
              <w:bottom w:val="single" w:sz="4" w:space="0" w:color="auto"/>
              <w:right w:val="single" w:sz="4" w:space="0" w:color="auto"/>
            </w:tcBorders>
            <w:vAlign w:val="center"/>
            <w:hideMark/>
          </w:tcPr>
          <w:p w14:paraId="48CF1601" w14:textId="77777777" w:rsidR="00DB369C" w:rsidRPr="0018356E" w:rsidRDefault="00DB369C" w:rsidP="00A704EE">
            <w:pPr>
              <w:keepNext/>
              <w:jc w:val="left"/>
              <w:rPr>
                <w:rFonts w:ascii="Arial Narrow" w:eastAsia="MS Gothic" w:hAnsi="Arial Narrow" w:cs="Times New Roman"/>
                <w:bCs/>
                <w:sz w:val="20"/>
              </w:rPr>
            </w:pPr>
          </w:p>
        </w:tc>
        <w:tc>
          <w:tcPr>
            <w:tcW w:w="2987" w:type="pct"/>
            <w:tcBorders>
              <w:top w:val="nil"/>
              <w:left w:val="single" w:sz="4" w:space="0" w:color="auto"/>
              <w:bottom w:val="single" w:sz="4" w:space="0" w:color="auto"/>
              <w:right w:val="single" w:sz="4" w:space="0" w:color="auto"/>
            </w:tcBorders>
            <w:vAlign w:val="center"/>
            <w:hideMark/>
          </w:tcPr>
          <w:p w14:paraId="4B8BFE94" w14:textId="77777777" w:rsidR="00DB369C" w:rsidRPr="0018356E" w:rsidRDefault="00DB369C" w:rsidP="00A704EE">
            <w:pPr>
              <w:keepNext/>
              <w:jc w:val="left"/>
              <w:rPr>
                <w:rFonts w:ascii="Arial Narrow" w:eastAsia="MS Gothic" w:hAnsi="Arial Narrow" w:cs="Times New Roman"/>
                <w:bCs/>
                <w:sz w:val="20"/>
                <w:szCs w:val="18"/>
              </w:rPr>
            </w:pPr>
            <w:r w:rsidRPr="0018356E">
              <w:rPr>
                <w:rFonts w:ascii="Arial Narrow" w:eastAsia="MS Gothic" w:hAnsi="Arial Narrow" w:cs="Times New Roman"/>
                <w:bCs/>
                <w:sz w:val="20"/>
                <w:szCs w:val="18"/>
              </w:rPr>
              <w:t xml:space="preserve">Dato T, Nathan </w:t>
            </w:r>
            <w:r>
              <w:rPr>
                <w:rFonts w:ascii="Arial Narrow" w:eastAsia="MS Gothic" w:hAnsi="Arial Narrow" w:cs="Times New Roman"/>
                <w:bCs/>
                <w:sz w:val="20"/>
                <w:szCs w:val="18"/>
              </w:rPr>
              <w:t>P</w:t>
            </w:r>
            <w:r w:rsidRPr="0018356E">
              <w:rPr>
                <w:rFonts w:ascii="Arial Narrow" w:eastAsia="MS Gothic" w:hAnsi="Arial Narrow" w:cs="Times New Roman"/>
                <w:bCs/>
                <w:sz w:val="20"/>
                <w:szCs w:val="18"/>
              </w:rPr>
              <w:t>, et al. Intra-patient escalation dosing strategy with IMCgp100 results in mitigation of T-cell based toxicity and preliminary efficacy in advanced uveal melanoma.</w:t>
            </w:r>
          </w:p>
        </w:tc>
        <w:tc>
          <w:tcPr>
            <w:tcW w:w="1308" w:type="pct"/>
            <w:tcBorders>
              <w:top w:val="nil"/>
              <w:left w:val="single" w:sz="4" w:space="0" w:color="auto"/>
              <w:bottom w:val="single" w:sz="4" w:space="0" w:color="auto"/>
              <w:right w:val="single" w:sz="4" w:space="0" w:color="auto"/>
            </w:tcBorders>
            <w:vAlign w:val="center"/>
            <w:hideMark/>
          </w:tcPr>
          <w:p w14:paraId="54B241EA" w14:textId="77777777" w:rsidR="00DB369C" w:rsidRPr="0018356E" w:rsidRDefault="00DB369C" w:rsidP="00A704EE">
            <w:pPr>
              <w:keepNext/>
              <w:jc w:val="left"/>
              <w:rPr>
                <w:rFonts w:ascii="Arial Narrow" w:eastAsia="MS Gothic" w:hAnsi="Arial Narrow" w:cs="Times New Roman"/>
                <w:bCs/>
                <w:sz w:val="20"/>
              </w:rPr>
            </w:pPr>
            <w:r w:rsidRPr="0018356E">
              <w:rPr>
                <w:rFonts w:ascii="Arial Narrow" w:eastAsia="MS Gothic" w:hAnsi="Arial Narrow" w:cs="Times New Roman"/>
                <w:bCs/>
                <w:i/>
                <w:iCs/>
                <w:sz w:val="20"/>
              </w:rPr>
              <w:t xml:space="preserve">Journal of Clinical Oncology </w:t>
            </w:r>
            <w:r w:rsidRPr="0018356E">
              <w:rPr>
                <w:rFonts w:ascii="Arial Narrow" w:eastAsia="MS Gothic" w:hAnsi="Arial Narrow" w:cs="Times New Roman"/>
                <w:bCs/>
                <w:sz w:val="20"/>
              </w:rPr>
              <w:t>2017, 35, 15_supplement</w:t>
            </w:r>
          </w:p>
        </w:tc>
      </w:tr>
    </w:tbl>
    <w:p w14:paraId="33DB63A1" w14:textId="77777777" w:rsidR="00DB369C" w:rsidRDefault="00DB369C" w:rsidP="00DB369C">
      <w:pPr>
        <w:pStyle w:val="FooterTableFigure"/>
      </w:pPr>
      <w:r>
        <w:t>Source: e A3.1 of Appendix 3 to the submission.</w:t>
      </w:r>
    </w:p>
    <w:p w14:paraId="01FBC9AE" w14:textId="2C48D74E" w:rsidR="00DB369C" w:rsidRPr="00EC5836" w:rsidRDefault="00DB369C" w:rsidP="00C14915">
      <w:pPr>
        <w:pStyle w:val="3-BodyText"/>
        <w:keepNext/>
        <w:keepLines/>
        <w:rPr>
          <w:color w:val="0066FF"/>
        </w:rPr>
      </w:pPr>
      <w:r w:rsidRPr="00B50DB8">
        <w:lastRenderedPageBreak/>
        <w:t>The key features of the direct randomised trial</w:t>
      </w:r>
      <w:r>
        <w:t xml:space="preserve"> </w:t>
      </w:r>
      <w:r w:rsidRPr="00B50DB8">
        <w:t>are summarised in</w:t>
      </w:r>
      <w:r>
        <w:t xml:space="preserve"> </w:t>
      </w:r>
      <w:r>
        <w:fldChar w:fldCharType="begin" w:fldLock="1"/>
      </w:r>
      <w:r>
        <w:instrText xml:space="preserve"> REF _Ref104804098 \h  \* MERGEFORMAT </w:instrText>
      </w:r>
      <w:r>
        <w:fldChar w:fldCharType="separate"/>
      </w:r>
      <w:r w:rsidR="00A53FF4" w:rsidRPr="00A53FF4">
        <w:t>Table 3</w:t>
      </w:r>
      <w:r>
        <w:fldChar w:fldCharType="end"/>
      </w:r>
      <w:r w:rsidRPr="00B50DB8">
        <w:t>.</w:t>
      </w:r>
    </w:p>
    <w:p w14:paraId="3374DC19" w14:textId="558748C6" w:rsidR="00DB369C" w:rsidRPr="00F3728F" w:rsidRDefault="00DB369C" w:rsidP="00C14915">
      <w:pPr>
        <w:pStyle w:val="Caption"/>
        <w:rPr>
          <w:rStyle w:val="TableFigureHeadingChar"/>
          <w:b/>
          <w:bCs/>
        </w:rPr>
      </w:pPr>
      <w:bookmarkStart w:id="23" w:name="_Ref104804098"/>
      <w:r w:rsidRPr="00F3728F">
        <w:rPr>
          <w:rStyle w:val="TableFigureHeadingChar"/>
          <w:b/>
          <w:bCs/>
        </w:rPr>
        <w:t xml:space="preserve">Table </w:t>
      </w:r>
      <w:r w:rsidRPr="00F3728F">
        <w:rPr>
          <w:rStyle w:val="CommentReference"/>
          <w:rFonts w:eastAsiaTheme="majorEastAsia" w:cstheme="majorBidi"/>
          <w:b/>
          <w:bCs w:val="0"/>
          <w:szCs w:val="24"/>
        </w:rPr>
        <w:fldChar w:fldCharType="begin" w:fldLock="1"/>
      </w:r>
      <w:r w:rsidRPr="00F3728F">
        <w:rPr>
          <w:rStyle w:val="CommentReference"/>
          <w:rFonts w:eastAsiaTheme="majorEastAsia" w:cstheme="majorBidi"/>
          <w:b/>
          <w:bCs w:val="0"/>
          <w:szCs w:val="24"/>
        </w:rPr>
        <w:instrText xml:space="preserve"> SEQ Table \* ARABIC </w:instrText>
      </w:r>
      <w:r w:rsidRPr="00F3728F">
        <w:rPr>
          <w:rStyle w:val="CommentReference"/>
          <w:rFonts w:eastAsiaTheme="majorEastAsia" w:cstheme="majorBidi"/>
          <w:b/>
          <w:bCs w:val="0"/>
          <w:szCs w:val="24"/>
        </w:rPr>
        <w:fldChar w:fldCharType="separate"/>
      </w:r>
      <w:r w:rsidR="00A53FF4">
        <w:rPr>
          <w:rStyle w:val="CommentReference"/>
          <w:rFonts w:eastAsiaTheme="majorEastAsia" w:cstheme="majorBidi"/>
          <w:b/>
          <w:bCs w:val="0"/>
          <w:noProof/>
          <w:szCs w:val="24"/>
        </w:rPr>
        <w:t>3</w:t>
      </w:r>
      <w:r w:rsidRPr="00F3728F">
        <w:rPr>
          <w:rStyle w:val="CommentReference"/>
          <w:rFonts w:eastAsiaTheme="majorEastAsia" w:cstheme="majorBidi"/>
          <w:b/>
          <w:bCs w:val="0"/>
          <w:szCs w:val="24"/>
        </w:rPr>
        <w:fldChar w:fldCharType="end"/>
      </w:r>
      <w:bookmarkEnd w:id="23"/>
      <w:r w:rsidRPr="00F3728F">
        <w:rPr>
          <w:rStyle w:val="TableFigureHeadingChar"/>
          <w:b/>
          <w:bCs/>
        </w:rPr>
        <w:t>: Key features of the included evidence</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5"/>
        <w:gridCol w:w="2279"/>
        <w:gridCol w:w="1133"/>
        <w:gridCol w:w="709"/>
        <w:gridCol w:w="1133"/>
        <w:gridCol w:w="1133"/>
        <w:gridCol w:w="1444"/>
      </w:tblGrid>
      <w:tr w:rsidR="00CF0A85" w:rsidRPr="00B41614" w14:paraId="1E0B7465" w14:textId="77777777" w:rsidTr="00CF0A85">
        <w:trPr>
          <w:cantSplit/>
          <w:tblHeader/>
        </w:trPr>
        <w:tc>
          <w:tcPr>
            <w:tcW w:w="695" w:type="pct"/>
            <w:shd w:val="clear" w:color="auto" w:fill="auto"/>
            <w:vAlign w:val="center"/>
          </w:tcPr>
          <w:p w14:paraId="252C8B4A" w14:textId="77777777" w:rsidR="00DB369C" w:rsidRPr="00B41614" w:rsidRDefault="00DB369C" w:rsidP="00C14915">
            <w:pPr>
              <w:pStyle w:val="In-tableHeading"/>
              <w:keepLines/>
            </w:pPr>
            <w:r w:rsidRPr="00B41614">
              <w:t>Trial</w:t>
            </w:r>
          </w:p>
        </w:tc>
        <w:tc>
          <w:tcPr>
            <w:tcW w:w="1252" w:type="pct"/>
            <w:shd w:val="clear" w:color="auto" w:fill="auto"/>
            <w:vAlign w:val="center"/>
          </w:tcPr>
          <w:p w14:paraId="38E84A69" w14:textId="77777777" w:rsidR="00DB369C" w:rsidRPr="00B41614" w:rsidRDefault="00DB369C" w:rsidP="00C14915">
            <w:pPr>
              <w:pStyle w:val="In-tableHeading"/>
              <w:keepLines/>
              <w:jc w:val="center"/>
            </w:pPr>
            <w:r w:rsidRPr="00B41614">
              <w:t>N</w:t>
            </w:r>
          </w:p>
        </w:tc>
        <w:tc>
          <w:tcPr>
            <w:tcW w:w="623" w:type="pct"/>
            <w:shd w:val="clear" w:color="auto" w:fill="auto"/>
            <w:vAlign w:val="center"/>
          </w:tcPr>
          <w:p w14:paraId="427B5E49" w14:textId="77777777" w:rsidR="00DB369C" w:rsidRPr="00B41614" w:rsidRDefault="00DB369C" w:rsidP="00C14915">
            <w:pPr>
              <w:pStyle w:val="In-tableHeading"/>
              <w:keepLines/>
              <w:jc w:val="center"/>
            </w:pPr>
            <w:r w:rsidRPr="00B41614">
              <w:t>Design/ duration</w:t>
            </w:r>
          </w:p>
        </w:tc>
        <w:tc>
          <w:tcPr>
            <w:tcW w:w="390" w:type="pct"/>
            <w:shd w:val="clear" w:color="auto" w:fill="auto"/>
            <w:vAlign w:val="center"/>
          </w:tcPr>
          <w:p w14:paraId="11DCDC95" w14:textId="77777777" w:rsidR="00DB369C" w:rsidRPr="00B41614" w:rsidRDefault="00DB369C" w:rsidP="00C14915">
            <w:pPr>
              <w:pStyle w:val="In-tableHeading"/>
              <w:keepLines/>
              <w:jc w:val="center"/>
            </w:pPr>
            <w:r w:rsidRPr="00B41614">
              <w:t>Risk of bias</w:t>
            </w:r>
          </w:p>
        </w:tc>
        <w:tc>
          <w:tcPr>
            <w:tcW w:w="623" w:type="pct"/>
            <w:shd w:val="clear" w:color="auto" w:fill="auto"/>
            <w:vAlign w:val="center"/>
          </w:tcPr>
          <w:p w14:paraId="6106ED3C" w14:textId="77777777" w:rsidR="00DB369C" w:rsidRPr="00B41614" w:rsidRDefault="00DB369C" w:rsidP="00C14915">
            <w:pPr>
              <w:pStyle w:val="In-tableHeading"/>
              <w:keepLines/>
              <w:jc w:val="center"/>
            </w:pPr>
            <w:r w:rsidRPr="00B41614">
              <w:t>Patient population</w:t>
            </w:r>
          </w:p>
        </w:tc>
        <w:tc>
          <w:tcPr>
            <w:tcW w:w="623" w:type="pct"/>
            <w:shd w:val="clear" w:color="auto" w:fill="auto"/>
            <w:vAlign w:val="center"/>
          </w:tcPr>
          <w:p w14:paraId="61C7FDF9" w14:textId="77777777" w:rsidR="00DB369C" w:rsidRPr="00B41614" w:rsidRDefault="00DB369C" w:rsidP="00C14915">
            <w:pPr>
              <w:pStyle w:val="In-tableHeading"/>
              <w:keepLines/>
              <w:jc w:val="center"/>
            </w:pPr>
            <w:r w:rsidRPr="00B41614">
              <w:t>Outcome(s)</w:t>
            </w:r>
          </w:p>
        </w:tc>
        <w:tc>
          <w:tcPr>
            <w:tcW w:w="795" w:type="pct"/>
            <w:shd w:val="clear" w:color="auto" w:fill="auto"/>
            <w:vAlign w:val="center"/>
          </w:tcPr>
          <w:p w14:paraId="506717DE" w14:textId="77777777" w:rsidR="00DB369C" w:rsidRPr="00B41614" w:rsidRDefault="00DB369C" w:rsidP="00C14915">
            <w:pPr>
              <w:pStyle w:val="In-tableHeading"/>
              <w:keepLines/>
              <w:jc w:val="center"/>
            </w:pPr>
            <w:r w:rsidRPr="00B41614">
              <w:t>Use in modelled evaluation</w:t>
            </w:r>
          </w:p>
        </w:tc>
      </w:tr>
      <w:tr w:rsidR="00DB369C" w:rsidRPr="00E2771E" w14:paraId="30171874" w14:textId="77777777" w:rsidTr="00CF0A85">
        <w:trPr>
          <w:cantSplit/>
        </w:trPr>
        <w:tc>
          <w:tcPr>
            <w:tcW w:w="5000" w:type="pct"/>
            <w:gridSpan w:val="7"/>
            <w:shd w:val="clear" w:color="auto" w:fill="auto"/>
            <w:vAlign w:val="center"/>
          </w:tcPr>
          <w:p w14:paraId="387D0AE0" w14:textId="77777777" w:rsidR="00DB369C" w:rsidRPr="00EC5836" w:rsidRDefault="00DB369C" w:rsidP="00C14915">
            <w:pPr>
              <w:pStyle w:val="In-tableHeading"/>
              <w:keepLines/>
            </w:pPr>
            <w:r>
              <w:t>Tebentafusp versus Investigator’s Choice arm</w:t>
            </w:r>
          </w:p>
        </w:tc>
      </w:tr>
      <w:tr w:rsidR="00CF0A85" w:rsidRPr="00E2771E" w14:paraId="40968615" w14:textId="77777777" w:rsidTr="00CF0A85">
        <w:trPr>
          <w:cantSplit/>
        </w:trPr>
        <w:tc>
          <w:tcPr>
            <w:tcW w:w="695" w:type="pct"/>
            <w:shd w:val="clear" w:color="auto" w:fill="auto"/>
            <w:vAlign w:val="center"/>
          </w:tcPr>
          <w:p w14:paraId="0111F542" w14:textId="77777777" w:rsidR="00DB369C" w:rsidRPr="00E2771E" w:rsidRDefault="00DB369C" w:rsidP="00C14915">
            <w:pPr>
              <w:pStyle w:val="TableText0"/>
              <w:keepLines/>
              <w:rPr>
                <w:lang w:val="en-US"/>
              </w:rPr>
            </w:pPr>
            <w:r>
              <w:rPr>
                <w:lang w:val="en-US"/>
              </w:rPr>
              <w:t>IMCgp100-202</w:t>
            </w:r>
          </w:p>
        </w:tc>
        <w:tc>
          <w:tcPr>
            <w:tcW w:w="1252" w:type="pct"/>
            <w:shd w:val="clear" w:color="auto" w:fill="auto"/>
            <w:vAlign w:val="center"/>
          </w:tcPr>
          <w:p w14:paraId="5DEBA98F" w14:textId="7A55A626" w:rsidR="00DB369C" w:rsidRDefault="00CF0A85" w:rsidP="00C14915">
            <w:pPr>
              <w:pStyle w:val="TableText0"/>
              <w:keepLines/>
              <w:jc w:val="center"/>
              <w:rPr>
                <w:lang w:val="en-US"/>
              </w:rPr>
            </w:pPr>
            <w:r>
              <w:rPr>
                <w:lang w:val="en-US"/>
              </w:rPr>
              <w:t xml:space="preserve">Total = </w:t>
            </w:r>
            <w:r w:rsidR="00DB369C">
              <w:rPr>
                <w:lang w:val="en-US"/>
              </w:rPr>
              <w:t>378</w:t>
            </w:r>
          </w:p>
          <w:p w14:paraId="70F2E651" w14:textId="49146CFD" w:rsidR="00CF0A85" w:rsidRDefault="000063C5" w:rsidP="00C14915">
            <w:pPr>
              <w:pStyle w:val="TableText0"/>
              <w:keepLines/>
              <w:jc w:val="center"/>
              <w:rPr>
                <w:lang w:val="en-US"/>
              </w:rPr>
            </w:pPr>
            <w:r>
              <w:rPr>
                <w:lang w:val="en-US"/>
              </w:rPr>
              <w:t>Tebentafusp</w:t>
            </w:r>
            <w:r w:rsidR="00D77B44">
              <w:rPr>
                <w:lang w:val="en-US"/>
              </w:rPr>
              <w:t>,</w:t>
            </w:r>
            <w:r w:rsidR="00CF0A85">
              <w:rPr>
                <w:lang w:val="en-US"/>
              </w:rPr>
              <w:t xml:space="preserve"> n = 252</w:t>
            </w:r>
          </w:p>
          <w:p w14:paraId="5C211C4F" w14:textId="4B4AD735" w:rsidR="00CF0A85" w:rsidRDefault="00CF0A85" w:rsidP="00C14915">
            <w:pPr>
              <w:pStyle w:val="TableText0"/>
              <w:keepLines/>
              <w:jc w:val="center"/>
              <w:rPr>
                <w:lang w:val="en-US"/>
              </w:rPr>
            </w:pPr>
            <w:r>
              <w:rPr>
                <w:lang w:val="en-US"/>
              </w:rPr>
              <w:t xml:space="preserve">Investigator </w:t>
            </w:r>
            <w:r w:rsidR="006D0DA2">
              <w:rPr>
                <w:lang w:val="en-US"/>
              </w:rPr>
              <w:t>c</w:t>
            </w:r>
            <w:r>
              <w:rPr>
                <w:lang w:val="en-US"/>
              </w:rPr>
              <w:t>hoice</w:t>
            </w:r>
            <w:r w:rsidR="00D77B44">
              <w:rPr>
                <w:lang w:val="en-US"/>
              </w:rPr>
              <w:t>,</w:t>
            </w:r>
            <w:r>
              <w:rPr>
                <w:lang w:val="en-US"/>
              </w:rPr>
              <w:t xml:space="preserve"> n =126</w:t>
            </w:r>
          </w:p>
          <w:p w14:paraId="44443E08" w14:textId="7E630B71" w:rsidR="00CF0A85" w:rsidRDefault="00CF0A85" w:rsidP="00C14915">
            <w:pPr>
              <w:pStyle w:val="TableText0"/>
              <w:keepLines/>
              <w:jc w:val="center"/>
              <w:rPr>
                <w:lang w:val="en-US"/>
              </w:rPr>
            </w:pPr>
            <w:r>
              <w:rPr>
                <w:lang w:val="en-US"/>
              </w:rPr>
              <w:t>(Pembrolizumab</w:t>
            </w:r>
            <w:r w:rsidR="00D77B44">
              <w:rPr>
                <w:lang w:val="en-US"/>
              </w:rPr>
              <w:t>,</w:t>
            </w:r>
            <w:r>
              <w:rPr>
                <w:lang w:val="en-US"/>
              </w:rPr>
              <w:t xml:space="preserve"> n = 103;</w:t>
            </w:r>
          </w:p>
          <w:p w14:paraId="5C6F1265" w14:textId="6C86D03F" w:rsidR="00CF0A85" w:rsidRDefault="00CF0A85" w:rsidP="00C14915">
            <w:pPr>
              <w:pStyle w:val="TableText0"/>
              <w:keepLines/>
              <w:jc w:val="center"/>
              <w:rPr>
                <w:lang w:val="en-US"/>
              </w:rPr>
            </w:pPr>
            <w:r>
              <w:rPr>
                <w:lang w:val="en-US"/>
              </w:rPr>
              <w:t>Dacarbazine</w:t>
            </w:r>
            <w:r w:rsidR="00D77B44">
              <w:rPr>
                <w:lang w:val="en-US"/>
              </w:rPr>
              <w:t>,</w:t>
            </w:r>
            <w:r>
              <w:rPr>
                <w:lang w:val="en-US"/>
              </w:rPr>
              <w:t xml:space="preserve"> n =7; and</w:t>
            </w:r>
          </w:p>
          <w:p w14:paraId="28FA93A9" w14:textId="34E7BEC3" w:rsidR="000063C5" w:rsidRPr="00E2771E" w:rsidRDefault="00CF0A85" w:rsidP="00C14915">
            <w:pPr>
              <w:pStyle w:val="TableText0"/>
              <w:keepLines/>
              <w:jc w:val="center"/>
              <w:rPr>
                <w:lang w:val="en-US"/>
              </w:rPr>
            </w:pPr>
            <w:r>
              <w:rPr>
                <w:lang w:val="en-US"/>
              </w:rPr>
              <w:t>Ipilimumab</w:t>
            </w:r>
            <w:r w:rsidR="00D77B44">
              <w:rPr>
                <w:lang w:val="en-US"/>
              </w:rPr>
              <w:t xml:space="preserve">, </w:t>
            </w:r>
            <w:r>
              <w:rPr>
                <w:lang w:val="en-US"/>
              </w:rPr>
              <w:t>n =16)</w:t>
            </w:r>
          </w:p>
        </w:tc>
        <w:tc>
          <w:tcPr>
            <w:tcW w:w="623" w:type="pct"/>
            <w:shd w:val="clear" w:color="auto" w:fill="auto"/>
            <w:vAlign w:val="center"/>
          </w:tcPr>
          <w:p w14:paraId="2FFF7417" w14:textId="77777777" w:rsidR="00DB369C" w:rsidRPr="00E2771E" w:rsidRDefault="00DB369C" w:rsidP="00C14915">
            <w:pPr>
              <w:pStyle w:val="TableText0"/>
              <w:keepLines/>
              <w:jc w:val="center"/>
              <w:rPr>
                <w:lang w:val="en-US"/>
              </w:rPr>
            </w:pPr>
            <w:r w:rsidRPr="00E2771E">
              <w:rPr>
                <w:lang w:val="en-US"/>
              </w:rPr>
              <w:t xml:space="preserve">R, </w:t>
            </w:r>
            <w:r>
              <w:rPr>
                <w:lang w:val="en-US"/>
              </w:rPr>
              <w:t>OL, MC</w:t>
            </w:r>
          </w:p>
          <w:p w14:paraId="76157673" w14:textId="77777777" w:rsidR="00DB369C" w:rsidRPr="00E2771E" w:rsidRDefault="00DB369C" w:rsidP="00C14915">
            <w:pPr>
              <w:pStyle w:val="TableText0"/>
              <w:keepLines/>
              <w:jc w:val="center"/>
              <w:rPr>
                <w:lang w:val="en-US"/>
              </w:rPr>
            </w:pPr>
            <w:r>
              <w:rPr>
                <w:lang w:val="en-US"/>
              </w:rPr>
              <w:t>Median duration of follow-up of 29.6 months</w:t>
            </w:r>
          </w:p>
        </w:tc>
        <w:tc>
          <w:tcPr>
            <w:tcW w:w="390" w:type="pct"/>
            <w:shd w:val="clear" w:color="auto" w:fill="auto"/>
            <w:vAlign w:val="center"/>
          </w:tcPr>
          <w:p w14:paraId="306E050A" w14:textId="77777777" w:rsidR="00DB369C" w:rsidRPr="00D91C29" w:rsidRDefault="00DB369C" w:rsidP="00C14915">
            <w:pPr>
              <w:pStyle w:val="TableText0"/>
              <w:keepLines/>
              <w:jc w:val="center"/>
              <w:rPr>
                <w:iCs/>
                <w:lang w:val="en-US"/>
              </w:rPr>
            </w:pPr>
            <w:r w:rsidRPr="00D91C29">
              <w:rPr>
                <w:iCs/>
                <w:lang w:val="en-US"/>
              </w:rPr>
              <w:t>Low</w:t>
            </w:r>
          </w:p>
        </w:tc>
        <w:tc>
          <w:tcPr>
            <w:tcW w:w="623" w:type="pct"/>
            <w:shd w:val="clear" w:color="auto" w:fill="auto"/>
            <w:vAlign w:val="center"/>
          </w:tcPr>
          <w:p w14:paraId="07C4180B" w14:textId="77777777" w:rsidR="00DB369C" w:rsidRPr="00E2771E" w:rsidRDefault="00DB369C" w:rsidP="00C14915">
            <w:pPr>
              <w:pStyle w:val="TableText0"/>
              <w:keepLines/>
              <w:jc w:val="center"/>
              <w:rPr>
                <w:lang w:val="en-US"/>
              </w:rPr>
            </w:pPr>
            <w:r>
              <w:rPr>
                <w:lang w:val="en-US"/>
              </w:rPr>
              <w:t>P</w:t>
            </w:r>
            <w:r w:rsidRPr="0018356E">
              <w:rPr>
                <w:lang w:val="en-US"/>
              </w:rPr>
              <w:t>reviously untreated patients with metastatic UM</w:t>
            </w:r>
          </w:p>
        </w:tc>
        <w:tc>
          <w:tcPr>
            <w:tcW w:w="623" w:type="pct"/>
            <w:shd w:val="clear" w:color="auto" w:fill="auto"/>
            <w:vAlign w:val="center"/>
          </w:tcPr>
          <w:p w14:paraId="08DB1572" w14:textId="77777777" w:rsidR="00DB369C" w:rsidRPr="00E2771E" w:rsidRDefault="00DB369C" w:rsidP="00C14915">
            <w:pPr>
              <w:pStyle w:val="TableText0"/>
              <w:keepLines/>
              <w:jc w:val="center"/>
              <w:rPr>
                <w:lang w:val="en-US"/>
              </w:rPr>
            </w:pPr>
            <w:r w:rsidRPr="00E2771E">
              <w:rPr>
                <w:lang w:val="en-US"/>
              </w:rPr>
              <w:t>OS</w:t>
            </w:r>
            <w:r>
              <w:rPr>
                <w:lang w:val="en-US"/>
              </w:rPr>
              <w:t>, PFS, ORR, DOR, AEs, HRQoL</w:t>
            </w:r>
          </w:p>
        </w:tc>
        <w:tc>
          <w:tcPr>
            <w:tcW w:w="795" w:type="pct"/>
            <w:shd w:val="clear" w:color="auto" w:fill="auto"/>
            <w:vAlign w:val="center"/>
          </w:tcPr>
          <w:p w14:paraId="57D279C6" w14:textId="77777777" w:rsidR="00DB369C" w:rsidRPr="00E2771E" w:rsidRDefault="00DB369C" w:rsidP="00C14915">
            <w:pPr>
              <w:pStyle w:val="TableText0"/>
              <w:keepLines/>
              <w:jc w:val="center"/>
              <w:rPr>
                <w:lang w:val="en-US"/>
              </w:rPr>
            </w:pPr>
            <w:r>
              <w:rPr>
                <w:lang w:val="en-US"/>
              </w:rPr>
              <w:t>OS, PFS, TTD, AE and HRQoL</w:t>
            </w:r>
          </w:p>
        </w:tc>
      </w:tr>
    </w:tbl>
    <w:p w14:paraId="69A2B5B5" w14:textId="77777777" w:rsidR="00DB369C" w:rsidRDefault="00DB369C" w:rsidP="00C14915">
      <w:pPr>
        <w:pStyle w:val="FooterTableFigure"/>
        <w:keepNext/>
        <w:keepLines/>
      </w:pPr>
      <w:r>
        <w:t>Source: Section 2.4, pp39-62</w:t>
      </w:r>
    </w:p>
    <w:p w14:paraId="2221D80B" w14:textId="4D29535F" w:rsidR="00DB369C" w:rsidRDefault="00DB369C" w:rsidP="00C14915">
      <w:pPr>
        <w:pStyle w:val="FooterTableFigure"/>
        <w:keepNext/>
        <w:keepLines/>
      </w:pPr>
      <w:r>
        <w:t xml:space="preserve">AE = adverse event, DOR = duration of response, </w:t>
      </w:r>
      <w:bookmarkStart w:id="24" w:name="_Hlk119676393"/>
      <w:r>
        <w:t>HRQoL = health-related quality of life</w:t>
      </w:r>
      <w:bookmarkEnd w:id="24"/>
      <w:r>
        <w:t xml:space="preserve">, </w:t>
      </w:r>
      <w:r w:rsidRPr="0072416F">
        <w:t>MC</w:t>
      </w:r>
      <w:r>
        <w:t xml:space="preserve"> </w:t>
      </w:r>
      <w:r w:rsidRPr="0072416F">
        <w:t>=</w:t>
      </w:r>
      <w:r>
        <w:t xml:space="preserve"> </w:t>
      </w:r>
      <w:r w:rsidRPr="0072416F">
        <w:t>multi-centre</w:t>
      </w:r>
      <w:r>
        <w:t xml:space="preserve">, N = total participants in group, </w:t>
      </w:r>
      <w:r w:rsidR="00CF0A85">
        <w:t xml:space="preserve">n = number of participants reporting data, </w:t>
      </w:r>
      <w:r w:rsidRPr="0072416F">
        <w:t>OL</w:t>
      </w:r>
      <w:r>
        <w:t xml:space="preserve"> </w:t>
      </w:r>
      <w:r w:rsidRPr="0072416F">
        <w:t>=</w:t>
      </w:r>
      <w:r>
        <w:t xml:space="preserve"> </w:t>
      </w:r>
      <w:r w:rsidRPr="0072416F">
        <w:t>open label</w:t>
      </w:r>
      <w:r w:rsidR="00CF0A85">
        <w:t>,</w:t>
      </w:r>
      <w:r w:rsidRPr="0072416F">
        <w:t xml:space="preserve"> </w:t>
      </w:r>
      <w:r>
        <w:t>ORR = objective response rate, OS = overall survival,</w:t>
      </w:r>
      <w:r w:rsidRPr="004A4E5C">
        <w:t xml:space="preserve"> </w:t>
      </w:r>
      <w:r>
        <w:t xml:space="preserve">PFS = progression-free survival, </w:t>
      </w:r>
      <w:r w:rsidRPr="0072416F">
        <w:t>R</w:t>
      </w:r>
      <w:r>
        <w:t xml:space="preserve"> </w:t>
      </w:r>
      <w:r w:rsidRPr="0072416F">
        <w:t>=</w:t>
      </w:r>
      <w:r>
        <w:t xml:space="preserve"> </w:t>
      </w:r>
      <w:r w:rsidRPr="0072416F">
        <w:t>randomised</w:t>
      </w:r>
      <w:r>
        <w:t>, TTD = time-to-treatment discontinuation</w:t>
      </w:r>
      <w:r w:rsidR="007409C2">
        <w:t>, UM = uveal melanoma.</w:t>
      </w:r>
    </w:p>
    <w:p w14:paraId="0292D541" w14:textId="7E175CD9" w:rsidR="00DB369C" w:rsidRPr="00653DD9" w:rsidRDefault="00DB369C" w:rsidP="00D77B44">
      <w:pPr>
        <w:pStyle w:val="3-BodyText"/>
      </w:pPr>
      <w:r w:rsidRPr="00653DD9">
        <w:t>The submission presented key primary outcomes for the Intention-to-treat (ITT) population, which included all randomised patients in the IMCgp100-202 trial.</w:t>
      </w:r>
    </w:p>
    <w:p w14:paraId="50555E2B" w14:textId="535B4B0D" w:rsidR="004A17CB" w:rsidRPr="00653DD9" w:rsidRDefault="00DB369C" w:rsidP="00D77B44">
      <w:pPr>
        <w:pStyle w:val="3-BodyText"/>
        <w:rPr>
          <w:rFonts w:ascii="Arial Narrow" w:eastAsiaTheme="majorEastAsia" w:hAnsi="Arial Narrow" w:cstheme="majorBidi"/>
          <w:b/>
          <w:bCs/>
        </w:rPr>
      </w:pPr>
      <w:r w:rsidRPr="00653DD9">
        <w:t xml:space="preserve">The submission also presented a </w:t>
      </w:r>
      <w:r w:rsidR="00CF0A85" w:rsidRPr="00653DD9">
        <w:t xml:space="preserve">post-hoc </w:t>
      </w:r>
      <w:r w:rsidRPr="00653DD9">
        <w:t xml:space="preserve">subgroup analysis to inform efficacy and safety of tebentafusp compared to the main comparator, pembrolizumab. The comparison was between </w:t>
      </w:r>
      <w:r w:rsidR="00F74B0A" w:rsidRPr="00653DD9">
        <w:t xml:space="preserve">a </w:t>
      </w:r>
      <w:r w:rsidRPr="00653DD9">
        <w:t xml:space="preserve">subgroup of patients in the tebentafusp </w:t>
      </w:r>
      <w:r w:rsidR="00F74B0A" w:rsidRPr="00653DD9">
        <w:t xml:space="preserve">intervention </w:t>
      </w:r>
      <w:r w:rsidRPr="00653DD9">
        <w:t xml:space="preserve">arm pre-selected to receive pembrolizumab prior to randomisation, termed “pre-choice pembrolizumab” (PCP) and patients who received pembrolizumab in the investigator’s choice arm. </w:t>
      </w:r>
      <w:bookmarkStart w:id="25" w:name="_Hlk124255628"/>
      <w:r w:rsidR="00C96E9B" w:rsidRPr="00653DD9">
        <w:t>T</w:t>
      </w:r>
      <w:r w:rsidR="004A17CB" w:rsidRPr="00653DD9">
        <w:t>he prognostic variables for patients preselected for dacarbazine or ipilimumab (e.g., lactate deh</w:t>
      </w:r>
      <w:r w:rsidR="00C96E9B" w:rsidRPr="00653DD9">
        <w:t>ydrogenase (LDH) levels) were</w:t>
      </w:r>
      <w:r w:rsidR="004A17CB" w:rsidRPr="00653DD9">
        <w:t xml:space="preserve"> different to patients </w:t>
      </w:r>
      <w:r w:rsidR="009F7863" w:rsidRPr="00653DD9">
        <w:t>pre-selected</w:t>
      </w:r>
      <w:r w:rsidR="004A17CB" w:rsidRPr="00653DD9">
        <w:t xml:space="preserve"> for pembrolizumab prior to randomi</w:t>
      </w:r>
      <w:r w:rsidR="00C96E9B" w:rsidRPr="00653DD9">
        <w:t>s</w:t>
      </w:r>
      <w:r w:rsidR="004A17CB" w:rsidRPr="00653DD9">
        <w:t>ation</w:t>
      </w:r>
      <w:r w:rsidR="00C96E9B" w:rsidRPr="00653DD9">
        <w:t>; however, the impact of the difference in prognostic variables on the relative effectiveness of tebentafusp compared to pembrolizumab is not clear.</w:t>
      </w:r>
    </w:p>
    <w:bookmarkEnd w:id="25"/>
    <w:p w14:paraId="62FE0C8A" w14:textId="083B1101" w:rsidR="001F3E4A" w:rsidRPr="00653DD9" w:rsidRDefault="00DB369C" w:rsidP="00E251A8">
      <w:pPr>
        <w:pStyle w:val="3-BodyText"/>
        <w:rPr>
          <w:rStyle w:val="TableFigureHeadingChar"/>
        </w:rPr>
      </w:pPr>
      <w:r w:rsidRPr="00653DD9">
        <w:rPr>
          <w:rFonts w:ascii="Calibri" w:hAnsi="Calibri"/>
        </w:rPr>
        <w:t xml:space="preserve">For the IMCgp100-202 trial, the submission presented results based on first interim analyses in October 2020 and an updated data sweep in April 2022. </w:t>
      </w:r>
      <w:r w:rsidR="00D77B44" w:rsidRPr="00653DD9">
        <w:rPr>
          <w:rFonts w:ascii="Calibri" w:hAnsi="Calibri"/>
        </w:rPr>
        <w:t>F</w:t>
      </w:r>
      <w:r w:rsidRPr="00653DD9">
        <w:rPr>
          <w:rFonts w:ascii="Calibri" w:hAnsi="Calibri"/>
        </w:rPr>
        <w:t xml:space="preserve">ollowing the first interim analysis, a subsequent amendment was made to the protocol which allowed patients randomised to in the investigator’s choice treatment arm to </w:t>
      </w:r>
      <w:r w:rsidR="00137915" w:rsidRPr="00653DD9">
        <w:rPr>
          <w:rFonts w:ascii="Calibri" w:hAnsi="Calibri"/>
        </w:rPr>
        <w:t xml:space="preserve">switch to </w:t>
      </w:r>
      <w:r w:rsidRPr="00653DD9">
        <w:rPr>
          <w:rFonts w:ascii="Calibri" w:hAnsi="Calibri"/>
        </w:rPr>
        <w:t>tebentafusp</w:t>
      </w:r>
      <w:r w:rsidR="00137915" w:rsidRPr="00653DD9">
        <w:rPr>
          <w:rFonts w:ascii="Calibri" w:hAnsi="Calibri"/>
        </w:rPr>
        <w:t xml:space="preserve"> arm</w:t>
      </w:r>
      <w:r w:rsidRPr="00653DD9">
        <w:rPr>
          <w:rFonts w:ascii="Calibri" w:hAnsi="Calibri"/>
        </w:rPr>
        <w:t xml:space="preserve"> in a crossover extension</w:t>
      </w:r>
      <w:r w:rsidR="00D77B44" w:rsidRPr="00653DD9">
        <w:rPr>
          <w:rFonts w:ascii="Calibri" w:hAnsi="Calibri"/>
        </w:rPr>
        <w:t xml:space="preserve"> (see</w:t>
      </w:r>
      <w:r w:rsidRPr="00653DD9">
        <w:rPr>
          <w:rFonts w:ascii="Calibri" w:hAnsi="Calibri"/>
        </w:rPr>
        <w:t xml:space="preserve"> paragraph </w:t>
      </w:r>
      <w:r w:rsidRPr="00653DD9">
        <w:rPr>
          <w:rFonts w:ascii="Calibri" w:hAnsi="Calibri"/>
        </w:rPr>
        <w:fldChar w:fldCharType="begin" w:fldLock="1"/>
      </w:r>
      <w:r w:rsidRPr="00653DD9">
        <w:rPr>
          <w:rFonts w:ascii="Calibri" w:hAnsi="Calibri"/>
        </w:rPr>
        <w:instrText xml:space="preserve"> REF _Ref121295057 \r \h </w:instrText>
      </w:r>
      <w:r w:rsidR="00D77B44" w:rsidRPr="00653DD9">
        <w:rPr>
          <w:rFonts w:ascii="Calibri" w:hAnsi="Calibri"/>
        </w:rPr>
        <w:instrText xml:space="preserve"> \* MERGEFORMAT </w:instrText>
      </w:r>
      <w:r w:rsidRPr="00653DD9">
        <w:rPr>
          <w:rFonts w:ascii="Calibri" w:hAnsi="Calibri"/>
        </w:rPr>
      </w:r>
      <w:r w:rsidRPr="00653DD9">
        <w:rPr>
          <w:rFonts w:ascii="Calibri" w:hAnsi="Calibri"/>
        </w:rPr>
        <w:fldChar w:fldCharType="separate"/>
      </w:r>
      <w:r w:rsidR="00A53FF4">
        <w:rPr>
          <w:rFonts w:ascii="Calibri" w:hAnsi="Calibri"/>
        </w:rPr>
        <w:t>6.17</w:t>
      </w:r>
      <w:r w:rsidRPr="00653DD9">
        <w:rPr>
          <w:rFonts w:ascii="Calibri" w:hAnsi="Calibri"/>
        </w:rPr>
        <w:fldChar w:fldCharType="end"/>
      </w:r>
      <w:r w:rsidR="00D77B44" w:rsidRPr="00653DD9">
        <w:rPr>
          <w:rFonts w:ascii="Calibri" w:hAnsi="Calibri"/>
        </w:rPr>
        <w:t>)</w:t>
      </w:r>
      <w:r w:rsidRPr="00653DD9">
        <w:rPr>
          <w:rFonts w:ascii="Calibri" w:hAnsi="Calibri"/>
        </w:rPr>
        <w:t>.</w:t>
      </w:r>
    </w:p>
    <w:p w14:paraId="4A4FE085" w14:textId="2978CAE0" w:rsidR="00B60939" w:rsidRPr="00C9624D" w:rsidRDefault="00B60939" w:rsidP="00EC5836">
      <w:pPr>
        <w:pStyle w:val="4-SubsectionHeading"/>
      </w:pPr>
      <w:bookmarkStart w:id="26" w:name="_Toc124257833"/>
      <w:r w:rsidRPr="00C9624D">
        <w:t>Comparative effectiveness</w:t>
      </w:r>
      <w:bookmarkEnd w:id="21"/>
      <w:bookmarkEnd w:id="26"/>
    </w:p>
    <w:p w14:paraId="5F7D74D6" w14:textId="2F498AD5" w:rsidR="00824092" w:rsidRPr="00824092" w:rsidRDefault="00824092" w:rsidP="00DB369C">
      <w:pPr>
        <w:pStyle w:val="3-BodyText"/>
        <w:numPr>
          <w:ilvl w:val="0"/>
          <w:numId w:val="0"/>
        </w:numPr>
        <w:ind w:left="720" w:hanging="720"/>
        <w:rPr>
          <w:b/>
          <w:bCs/>
          <w:u w:val="single"/>
        </w:rPr>
      </w:pPr>
      <w:bookmarkStart w:id="27" w:name="_Toc22897642"/>
      <w:r w:rsidRPr="00824092">
        <w:rPr>
          <w:b/>
          <w:bCs/>
          <w:u w:val="single"/>
        </w:rPr>
        <w:t>IMCgp100-202 trial</w:t>
      </w:r>
    </w:p>
    <w:p w14:paraId="2A5488D5" w14:textId="0CF649E4" w:rsidR="00DB369C" w:rsidRPr="006231AA" w:rsidRDefault="00DB369C" w:rsidP="00DB369C">
      <w:pPr>
        <w:pStyle w:val="3-BodyText"/>
        <w:numPr>
          <w:ilvl w:val="0"/>
          <w:numId w:val="0"/>
        </w:numPr>
        <w:ind w:left="720" w:hanging="720"/>
        <w:rPr>
          <w:rFonts w:eastAsia="Calibri"/>
          <w:u w:val="single"/>
        </w:rPr>
      </w:pPr>
      <w:r w:rsidRPr="007B77D5">
        <w:rPr>
          <w:u w:val="single"/>
        </w:rPr>
        <w:t>Overall Survival</w:t>
      </w:r>
      <w:r>
        <w:rPr>
          <w:u w:val="single"/>
        </w:rPr>
        <w:t xml:space="preserve"> (OS) and </w:t>
      </w:r>
      <w:r w:rsidRPr="00D47B12">
        <w:rPr>
          <w:rFonts w:eastAsia="Calibri"/>
          <w:u w:val="single"/>
        </w:rPr>
        <w:t>Progression-Free Survival</w:t>
      </w:r>
      <w:r>
        <w:rPr>
          <w:rFonts w:eastAsia="Calibri"/>
          <w:u w:val="single"/>
        </w:rPr>
        <w:t xml:space="preserve"> (PFS)</w:t>
      </w:r>
    </w:p>
    <w:p w14:paraId="08121505" w14:textId="5F2668D6" w:rsidR="00DB369C" w:rsidRPr="00D91C29" w:rsidRDefault="00DB369C" w:rsidP="00D77B44">
      <w:pPr>
        <w:pStyle w:val="3-BodyText"/>
        <w:rPr>
          <w:color w:val="0066FF"/>
        </w:rPr>
      </w:pPr>
      <w:r w:rsidRPr="00D91C29">
        <w:rPr>
          <w:snapToGrid/>
          <w:lang w:val="en-US"/>
        </w:rPr>
        <w:fldChar w:fldCharType="begin" w:fldLock="1"/>
      </w:r>
      <w:r w:rsidRPr="00D91C29">
        <w:rPr>
          <w:snapToGrid/>
          <w:lang w:val="en-US"/>
        </w:rPr>
        <w:instrText xml:space="preserve"> REF _Ref121072764 \h  \* MERGEFORMAT </w:instrText>
      </w:r>
      <w:r w:rsidRPr="00D91C29">
        <w:rPr>
          <w:snapToGrid/>
          <w:lang w:val="en-US"/>
        </w:rPr>
      </w:r>
      <w:r w:rsidRPr="00D91C29">
        <w:rPr>
          <w:snapToGrid/>
          <w:lang w:val="en-US"/>
        </w:rPr>
        <w:fldChar w:fldCharType="separate"/>
      </w:r>
      <w:r w:rsidR="00A53FF4" w:rsidRPr="00A53FF4">
        <w:rPr>
          <w:snapToGrid/>
          <w:lang w:val="en-US"/>
        </w:rPr>
        <w:t>Table 4</w:t>
      </w:r>
      <w:r w:rsidRPr="00D91C29">
        <w:rPr>
          <w:snapToGrid/>
          <w:lang w:val="en-US"/>
        </w:rPr>
        <w:fldChar w:fldCharType="end"/>
      </w:r>
      <w:r>
        <w:rPr>
          <w:snapToGrid/>
          <w:lang w:val="en-US"/>
        </w:rPr>
        <w:t xml:space="preserve"> </w:t>
      </w:r>
      <w:r w:rsidRPr="00D91C29">
        <w:rPr>
          <w:snapToGrid/>
          <w:lang w:val="en-US"/>
        </w:rPr>
        <w:t xml:space="preserve">summarises the OS and PFS results </w:t>
      </w:r>
      <w:r w:rsidR="00E251A8">
        <w:rPr>
          <w:snapToGrid/>
          <w:lang w:val="en-US"/>
        </w:rPr>
        <w:t>from</w:t>
      </w:r>
      <w:r w:rsidRPr="00D91C29">
        <w:rPr>
          <w:snapToGrid/>
          <w:lang w:val="en-US"/>
        </w:rPr>
        <w:t xml:space="preserve"> the IMCgp100-202 trial for the ITT population as well as the subgroup population (data sweep: April 2022). </w:t>
      </w:r>
    </w:p>
    <w:p w14:paraId="38BD18CA" w14:textId="587EF770" w:rsidR="00DB369C" w:rsidRPr="000A0CD2" w:rsidRDefault="00DB369C" w:rsidP="00DB369C">
      <w:pPr>
        <w:pStyle w:val="TableFigureHeading"/>
      </w:pPr>
      <w:bookmarkStart w:id="28" w:name="_Ref121072764"/>
      <w:bookmarkStart w:id="29" w:name="_Hlk121294732"/>
      <w:bookmarkStart w:id="30" w:name="_Hlk121074707"/>
      <w:r w:rsidRPr="000A0CD2">
        <w:lastRenderedPageBreak/>
        <w:t xml:space="preserve">Table </w:t>
      </w:r>
      <w:r w:rsidRPr="00D6076E">
        <w:rPr>
          <w:rStyle w:val="CommentReference"/>
          <w:b/>
          <w:szCs w:val="24"/>
        </w:rPr>
        <w:fldChar w:fldCharType="begin" w:fldLock="1"/>
      </w:r>
      <w:r w:rsidRPr="00D6076E">
        <w:rPr>
          <w:rStyle w:val="CommentReference"/>
          <w:b/>
          <w:szCs w:val="24"/>
        </w:rPr>
        <w:instrText xml:space="preserve"> SEQ Table \* ARABIC </w:instrText>
      </w:r>
      <w:r w:rsidRPr="00D6076E">
        <w:rPr>
          <w:rStyle w:val="CommentReference"/>
          <w:b/>
          <w:szCs w:val="24"/>
        </w:rPr>
        <w:fldChar w:fldCharType="separate"/>
      </w:r>
      <w:r w:rsidR="00A53FF4">
        <w:rPr>
          <w:rStyle w:val="CommentReference"/>
          <w:b/>
          <w:noProof/>
          <w:szCs w:val="24"/>
        </w:rPr>
        <w:t>4</w:t>
      </w:r>
      <w:r w:rsidRPr="00D6076E">
        <w:rPr>
          <w:rStyle w:val="CommentReference"/>
          <w:b/>
          <w:szCs w:val="24"/>
        </w:rPr>
        <w:fldChar w:fldCharType="end"/>
      </w:r>
      <w:bookmarkEnd w:id="28"/>
      <w:r w:rsidRPr="000A0CD2">
        <w:t>: Summary of OS and PFS outcomes in IMCgp100-202 trial (Data sweep: April 2022a</w:t>
      </w:r>
      <w:r w:rsidR="00824092">
        <w:t>, median duration of follow up = 29.6 months</w:t>
      </w:r>
      <w:r w:rsidRPr="000A0CD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01"/>
        <w:gridCol w:w="1984"/>
        <w:gridCol w:w="1160"/>
        <w:gridCol w:w="1767"/>
      </w:tblGrid>
      <w:tr w:rsidR="00DB369C" w:rsidRPr="00353FDC" w14:paraId="7EECAB75" w14:textId="77777777" w:rsidTr="005A203C">
        <w:trPr>
          <w:cantSplit/>
          <w:tblHeader/>
        </w:trPr>
        <w:tc>
          <w:tcPr>
            <w:tcW w:w="1334" w:type="pct"/>
            <w:vAlign w:val="center"/>
          </w:tcPr>
          <w:bookmarkEnd w:id="29"/>
          <w:p w14:paraId="496CCB28" w14:textId="77777777" w:rsidR="00DB369C" w:rsidRPr="00353FDC" w:rsidRDefault="00DB369C" w:rsidP="00A704EE">
            <w:pPr>
              <w:pStyle w:val="In-tableHeading"/>
            </w:pPr>
            <w:r w:rsidRPr="00353FDC">
              <w:t>ITT Population</w:t>
            </w:r>
          </w:p>
        </w:tc>
        <w:tc>
          <w:tcPr>
            <w:tcW w:w="943" w:type="pct"/>
            <w:vAlign w:val="center"/>
          </w:tcPr>
          <w:p w14:paraId="6DBAAC33" w14:textId="77777777" w:rsidR="00DB369C" w:rsidRPr="00353FDC" w:rsidRDefault="00DB369C" w:rsidP="00A704EE">
            <w:pPr>
              <w:pStyle w:val="In-tableHeading"/>
              <w:jc w:val="center"/>
            </w:pPr>
            <w:r w:rsidRPr="00353FDC">
              <w:t>Tebentafusp</w:t>
            </w:r>
          </w:p>
          <w:p w14:paraId="2D6D053C" w14:textId="77777777" w:rsidR="00DB369C" w:rsidRPr="00353FDC" w:rsidRDefault="00DB369C" w:rsidP="00A704EE">
            <w:pPr>
              <w:pStyle w:val="In-tableHeading"/>
              <w:jc w:val="center"/>
            </w:pPr>
            <w:r w:rsidRPr="00353FDC">
              <w:t>n/N (%)</w:t>
            </w:r>
          </w:p>
        </w:tc>
        <w:tc>
          <w:tcPr>
            <w:tcW w:w="1100" w:type="pct"/>
            <w:vAlign w:val="center"/>
          </w:tcPr>
          <w:p w14:paraId="4A6E8711" w14:textId="77C86F94" w:rsidR="00DB369C" w:rsidRPr="00353FDC" w:rsidRDefault="00DB369C" w:rsidP="00A704EE">
            <w:pPr>
              <w:pStyle w:val="In-tableHeading"/>
              <w:jc w:val="center"/>
            </w:pPr>
            <w:r w:rsidRPr="00353FDC">
              <w:t xml:space="preserve">Investigator </w:t>
            </w:r>
            <w:r w:rsidR="006D0DA2" w:rsidRPr="00353FDC">
              <w:t>c</w:t>
            </w:r>
            <w:r w:rsidRPr="00353FDC">
              <w:t>hoice</w:t>
            </w:r>
          </w:p>
          <w:p w14:paraId="0D4080D4" w14:textId="77777777" w:rsidR="00DB369C" w:rsidRPr="00353FDC" w:rsidRDefault="00DB369C" w:rsidP="00A704EE">
            <w:pPr>
              <w:pStyle w:val="In-tableHeading"/>
              <w:jc w:val="center"/>
            </w:pPr>
            <w:r w:rsidRPr="00353FDC">
              <w:t>n/N (%)</w:t>
            </w:r>
          </w:p>
        </w:tc>
        <w:tc>
          <w:tcPr>
            <w:tcW w:w="643" w:type="pct"/>
            <w:vAlign w:val="center"/>
          </w:tcPr>
          <w:p w14:paraId="7E9AFCD5" w14:textId="77777777" w:rsidR="00DB369C" w:rsidRPr="00353FDC" w:rsidRDefault="00DB369C" w:rsidP="00A704EE">
            <w:pPr>
              <w:pStyle w:val="In-tableHeading"/>
              <w:jc w:val="center"/>
            </w:pPr>
            <w:r w:rsidRPr="00353FDC">
              <w:t>Absolute difference</w:t>
            </w:r>
          </w:p>
        </w:tc>
        <w:tc>
          <w:tcPr>
            <w:tcW w:w="980" w:type="pct"/>
            <w:vAlign w:val="center"/>
          </w:tcPr>
          <w:p w14:paraId="1AE283F2" w14:textId="77777777" w:rsidR="00DB369C" w:rsidRPr="00353FDC" w:rsidRDefault="00DB369C" w:rsidP="00A704EE">
            <w:pPr>
              <w:pStyle w:val="In-tableHeading"/>
              <w:jc w:val="center"/>
            </w:pPr>
            <w:r w:rsidRPr="00353FDC">
              <w:t>HR (95% CI)</w:t>
            </w:r>
          </w:p>
        </w:tc>
      </w:tr>
      <w:tr w:rsidR="00DB369C" w:rsidRPr="00353FDC" w14:paraId="7604AB1D" w14:textId="77777777" w:rsidTr="005A203C">
        <w:trPr>
          <w:cantSplit/>
        </w:trPr>
        <w:tc>
          <w:tcPr>
            <w:tcW w:w="5000" w:type="pct"/>
            <w:gridSpan w:val="5"/>
            <w:vAlign w:val="center"/>
          </w:tcPr>
          <w:p w14:paraId="587AB1D2" w14:textId="77777777" w:rsidR="00DB369C" w:rsidRPr="00353FDC" w:rsidRDefault="00DB369C" w:rsidP="00A704EE">
            <w:pPr>
              <w:pStyle w:val="TableText0"/>
              <w:rPr>
                <w:b/>
                <w:bCs w:val="0"/>
              </w:rPr>
            </w:pPr>
            <w:r w:rsidRPr="00353FDC">
              <w:rPr>
                <w:b/>
                <w:bCs w:val="0"/>
              </w:rPr>
              <w:t xml:space="preserve">OS </w:t>
            </w:r>
          </w:p>
        </w:tc>
      </w:tr>
      <w:tr w:rsidR="00DB369C" w:rsidRPr="00353FDC" w14:paraId="65F029EB" w14:textId="77777777" w:rsidTr="005A203C">
        <w:trPr>
          <w:cantSplit/>
        </w:trPr>
        <w:tc>
          <w:tcPr>
            <w:tcW w:w="1334" w:type="pct"/>
            <w:vAlign w:val="center"/>
          </w:tcPr>
          <w:p w14:paraId="2C2571F8" w14:textId="77777777" w:rsidR="00DB369C" w:rsidRPr="00353FDC" w:rsidRDefault="00DB369C" w:rsidP="00A704EE">
            <w:pPr>
              <w:pStyle w:val="TableText0"/>
            </w:pPr>
            <w:r w:rsidRPr="00353FDC">
              <w:t>Deaths, n/N (%)</w:t>
            </w:r>
          </w:p>
        </w:tc>
        <w:tc>
          <w:tcPr>
            <w:tcW w:w="943" w:type="pct"/>
            <w:vAlign w:val="center"/>
          </w:tcPr>
          <w:p w14:paraId="33920971" w14:textId="77777777" w:rsidR="00DB369C" w:rsidRPr="00353FDC" w:rsidRDefault="00DB369C" w:rsidP="00A704EE">
            <w:pPr>
              <w:pStyle w:val="TableText0"/>
              <w:jc w:val="center"/>
            </w:pPr>
            <w:r w:rsidRPr="00353FDC">
              <w:t>162/252 (64%)</w:t>
            </w:r>
          </w:p>
        </w:tc>
        <w:tc>
          <w:tcPr>
            <w:tcW w:w="1100" w:type="pct"/>
            <w:vAlign w:val="center"/>
          </w:tcPr>
          <w:p w14:paraId="0480FF6F" w14:textId="77777777" w:rsidR="00DB369C" w:rsidRPr="00353FDC" w:rsidRDefault="00DB369C" w:rsidP="00A704EE">
            <w:pPr>
              <w:pStyle w:val="TableText0"/>
              <w:jc w:val="center"/>
            </w:pPr>
            <w:r w:rsidRPr="00353FDC">
              <w:t>91/126 (72%)</w:t>
            </w:r>
          </w:p>
        </w:tc>
        <w:tc>
          <w:tcPr>
            <w:tcW w:w="643" w:type="pct"/>
            <w:vAlign w:val="center"/>
          </w:tcPr>
          <w:p w14:paraId="63D3EE75" w14:textId="77777777" w:rsidR="00DB369C" w:rsidRPr="00353FDC" w:rsidRDefault="00DB369C" w:rsidP="00A704EE">
            <w:pPr>
              <w:pStyle w:val="TableText0"/>
              <w:jc w:val="center"/>
            </w:pPr>
            <w:r w:rsidRPr="00353FDC">
              <w:t>-</w:t>
            </w:r>
          </w:p>
        </w:tc>
        <w:tc>
          <w:tcPr>
            <w:tcW w:w="980" w:type="pct"/>
            <w:vAlign w:val="center"/>
          </w:tcPr>
          <w:p w14:paraId="546FF3FE" w14:textId="77777777" w:rsidR="00DB369C" w:rsidRPr="00353FDC" w:rsidRDefault="00DB369C" w:rsidP="00A704EE">
            <w:pPr>
              <w:pStyle w:val="TableText0"/>
              <w:jc w:val="center"/>
            </w:pPr>
            <w:r w:rsidRPr="00353FDC">
              <w:t>-</w:t>
            </w:r>
          </w:p>
        </w:tc>
      </w:tr>
      <w:tr w:rsidR="00DB369C" w:rsidRPr="00353FDC" w14:paraId="40785566" w14:textId="77777777" w:rsidTr="005A203C">
        <w:trPr>
          <w:cantSplit/>
        </w:trPr>
        <w:tc>
          <w:tcPr>
            <w:tcW w:w="1334" w:type="pct"/>
            <w:vAlign w:val="center"/>
          </w:tcPr>
          <w:p w14:paraId="4985039F" w14:textId="77777777" w:rsidR="00DB369C" w:rsidRPr="00353FDC" w:rsidRDefault="00DB369C" w:rsidP="00A704EE">
            <w:pPr>
              <w:pStyle w:val="TableText0"/>
            </w:pPr>
            <w:r w:rsidRPr="00353FDC">
              <w:t>Median months OS (95% CI)</w:t>
            </w:r>
          </w:p>
        </w:tc>
        <w:tc>
          <w:tcPr>
            <w:tcW w:w="943" w:type="pct"/>
            <w:vAlign w:val="center"/>
          </w:tcPr>
          <w:p w14:paraId="0EE8D025" w14:textId="77777777" w:rsidR="00DB369C" w:rsidRPr="00353FDC" w:rsidRDefault="00DB369C" w:rsidP="00A704EE">
            <w:pPr>
              <w:pStyle w:val="TableText0"/>
              <w:jc w:val="center"/>
            </w:pPr>
            <w:r w:rsidRPr="00353FDC">
              <w:t>21.6 (19.1, 24.3)</w:t>
            </w:r>
          </w:p>
        </w:tc>
        <w:tc>
          <w:tcPr>
            <w:tcW w:w="1100" w:type="pct"/>
            <w:vAlign w:val="center"/>
          </w:tcPr>
          <w:p w14:paraId="1485C5B4" w14:textId="77777777" w:rsidR="00DB369C" w:rsidRPr="00353FDC" w:rsidRDefault="00DB369C" w:rsidP="00A704EE">
            <w:pPr>
              <w:pStyle w:val="TableText0"/>
              <w:jc w:val="center"/>
            </w:pPr>
            <w:r w:rsidRPr="00353FDC">
              <w:t>16.9 (13.1, 20.5)</w:t>
            </w:r>
          </w:p>
        </w:tc>
        <w:tc>
          <w:tcPr>
            <w:tcW w:w="643" w:type="pct"/>
            <w:vAlign w:val="center"/>
          </w:tcPr>
          <w:p w14:paraId="6AFE4EF3" w14:textId="77777777" w:rsidR="00DB369C" w:rsidRPr="00353FDC" w:rsidRDefault="00DB369C" w:rsidP="00A704EE">
            <w:pPr>
              <w:pStyle w:val="TableText0"/>
              <w:jc w:val="center"/>
            </w:pPr>
            <w:r w:rsidRPr="00353FDC">
              <w:t>4.8</w:t>
            </w:r>
          </w:p>
        </w:tc>
        <w:tc>
          <w:tcPr>
            <w:tcW w:w="980" w:type="pct"/>
            <w:vAlign w:val="center"/>
          </w:tcPr>
          <w:p w14:paraId="3927A1D6" w14:textId="77777777" w:rsidR="00DB369C" w:rsidRPr="00353FDC" w:rsidRDefault="00DB369C" w:rsidP="00A704EE">
            <w:pPr>
              <w:pStyle w:val="TableText0"/>
              <w:jc w:val="center"/>
              <w:rPr>
                <w:b/>
              </w:rPr>
            </w:pPr>
            <w:r w:rsidRPr="00353FDC">
              <w:rPr>
                <w:b/>
              </w:rPr>
              <w:t>0.63 (0.49, 0.82)</w:t>
            </w:r>
          </w:p>
        </w:tc>
      </w:tr>
      <w:tr w:rsidR="00DB369C" w:rsidRPr="00353FDC" w14:paraId="0355C6DB" w14:textId="77777777" w:rsidTr="005A203C">
        <w:trPr>
          <w:cantSplit/>
        </w:trPr>
        <w:tc>
          <w:tcPr>
            <w:tcW w:w="5000" w:type="pct"/>
            <w:gridSpan w:val="5"/>
            <w:vAlign w:val="center"/>
          </w:tcPr>
          <w:p w14:paraId="63710EE8" w14:textId="77777777" w:rsidR="00DB369C" w:rsidRPr="00353FDC" w:rsidRDefault="00DB369C" w:rsidP="00A704EE">
            <w:pPr>
              <w:pStyle w:val="TableText0"/>
              <w:rPr>
                <w:b/>
                <w:bCs w:val="0"/>
              </w:rPr>
            </w:pPr>
            <w:r w:rsidRPr="00353FDC">
              <w:rPr>
                <w:b/>
                <w:bCs w:val="0"/>
              </w:rPr>
              <w:t>PFS</w:t>
            </w:r>
          </w:p>
        </w:tc>
      </w:tr>
      <w:tr w:rsidR="00DB369C" w:rsidRPr="00353FDC" w14:paraId="1BEC55C3" w14:textId="77777777" w:rsidTr="005A203C">
        <w:trPr>
          <w:cantSplit/>
        </w:trPr>
        <w:tc>
          <w:tcPr>
            <w:tcW w:w="1334" w:type="pct"/>
            <w:vAlign w:val="center"/>
          </w:tcPr>
          <w:p w14:paraId="0CBA7A9B" w14:textId="77777777" w:rsidR="00DB369C" w:rsidRPr="00353FDC" w:rsidRDefault="00DB369C" w:rsidP="00A704EE">
            <w:pPr>
              <w:pStyle w:val="TableText0"/>
            </w:pPr>
            <w:r w:rsidRPr="00353FDC">
              <w:t>Patients with event</w:t>
            </w:r>
          </w:p>
        </w:tc>
        <w:tc>
          <w:tcPr>
            <w:tcW w:w="943" w:type="pct"/>
            <w:vAlign w:val="center"/>
          </w:tcPr>
          <w:p w14:paraId="68FE44E1" w14:textId="77777777" w:rsidR="00DB369C" w:rsidRPr="00353FDC" w:rsidRDefault="00DB369C" w:rsidP="00A704EE">
            <w:pPr>
              <w:pStyle w:val="TableText0"/>
              <w:jc w:val="center"/>
            </w:pPr>
            <w:r w:rsidRPr="00353FDC">
              <w:t>231/252 (92%)</w:t>
            </w:r>
          </w:p>
        </w:tc>
        <w:tc>
          <w:tcPr>
            <w:tcW w:w="1100" w:type="pct"/>
            <w:vAlign w:val="center"/>
          </w:tcPr>
          <w:p w14:paraId="7DA54AE5" w14:textId="77777777" w:rsidR="00DB369C" w:rsidRPr="00353FDC" w:rsidRDefault="00DB369C" w:rsidP="00A704EE">
            <w:pPr>
              <w:pStyle w:val="TableText0"/>
              <w:jc w:val="center"/>
            </w:pPr>
            <w:r w:rsidRPr="00353FDC">
              <w:t>102/126 (81%)</w:t>
            </w:r>
          </w:p>
        </w:tc>
        <w:tc>
          <w:tcPr>
            <w:tcW w:w="643" w:type="pct"/>
            <w:vAlign w:val="center"/>
          </w:tcPr>
          <w:p w14:paraId="49372741" w14:textId="77777777" w:rsidR="00DB369C" w:rsidRPr="00353FDC" w:rsidRDefault="00DB369C" w:rsidP="00A704EE">
            <w:pPr>
              <w:pStyle w:val="TableText0"/>
              <w:jc w:val="center"/>
            </w:pPr>
            <w:r w:rsidRPr="00353FDC">
              <w:t>-</w:t>
            </w:r>
          </w:p>
        </w:tc>
        <w:tc>
          <w:tcPr>
            <w:tcW w:w="980" w:type="pct"/>
            <w:vAlign w:val="center"/>
          </w:tcPr>
          <w:p w14:paraId="63E9D063" w14:textId="77777777" w:rsidR="00DB369C" w:rsidRPr="00353FDC" w:rsidRDefault="00DB369C" w:rsidP="00A704EE">
            <w:pPr>
              <w:pStyle w:val="TableText0"/>
              <w:jc w:val="center"/>
              <w:rPr>
                <w:b/>
              </w:rPr>
            </w:pPr>
            <w:r w:rsidRPr="00353FDC">
              <w:t>-</w:t>
            </w:r>
          </w:p>
        </w:tc>
      </w:tr>
      <w:tr w:rsidR="00DB369C" w:rsidRPr="00353FDC" w14:paraId="0682909F" w14:textId="77777777" w:rsidTr="005A203C">
        <w:trPr>
          <w:cantSplit/>
        </w:trPr>
        <w:tc>
          <w:tcPr>
            <w:tcW w:w="1334" w:type="pct"/>
            <w:vAlign w:val="center"/>
          </w:tcPr>
          <w:p w14:paraId="54A2CD9D" w14:textId="77777777" w:rsidR="00DB369C" w:rsidRPr="00353FDC" w:rsidRDefault="00DB369C" w:rsidP="00A704EE">
            <w:pPr>
              <w:pStyle w:val="TableText0"/>
            </w:pPr>
            <w:r w:rsidRPr="00353FDC">
              <w:t>Median months PFS (95% CI)</w:t>
            </w:r>
          </w:p>
        </w:tc>
        <w:tc>
          <w:tcPr>
            <w:tcW w:w="943" w:type="pct"/>
            <w:vAlign w:val="center"/>
          </w:tcPr>
          <w:p w14:paraId="04B6ED96" w14:textId="77777777" w:rsidR="00DB369C" w:rsidRPr="00353FDC" w:rsidRDefault="00DB369C" w:rsidP="00A704EE">
            <w:pPr>
              <w:pStyle w:val="TableText0"/>
              <w:jc w:val="center"/>
            </w:pPr>
            <w:r w:rsidRPr="00353FDC">
              <w:t>3.4 (3.0, 5.5)</w:t>
            </w:r>
          </w:p>
        </w:tc>
        <w:tc>
          <w:tcPr>
            <w:tcW w:w="1100" w:type="pct"/>
            <w:vAlign w:val="center"/>
          </w:tcPr>
          <w:p w14:paraId="78C53608" w14:textId="77777777" w:rsidR="00DB369C" w:rsidRPr="00353FDC" w:rsidRDefault="00DB369C" w:rsidP="00A704EE">
            <w:pPr>
              <w:pStyle w:val="TableText0"/>
              <w:jc w:val="center"/>
            </w:pPr>
            <w:r w:rsidRPr="00353FDC">
              <w:t>2.9 (2.8, 3.0)</w:t>
            </w:r>
          </w:p>
        </w:tc>
        <w:tc>
          <w:tcPr>
            <w:tcW w:w="643" w:type="pct"/>
            <w:vAlign w:val="center"/>
          </w:tcPr>
          <w:p w14:paraId="40B6C6FE" w14:textId="77777777" w:rsidR="00DB369C" w:rsidRPr="00353FDC" w:rsidRDefault="00DB369C" w:rsidP="00A704EE">
            <w:pPr>
              <w:pStyle w:val="TableText0"/>
              <w:jc w:val="center"/>
            </w:pPr>
            <w:r w:rsidRPr="00353FDC">
              <w:t>0.5</w:t>
            </w:r>
          </w:p>
        </w:tc>
        <w:tc>
          <w:tcPr>
            <w:tcW w:w="980" w:type="pct"/>
            <w:vAlign w:val="center"/>
          </w:tcPr>
          <w:p w14:paraId="3EFCE24E" w14:textId="77777777" w:rsidR="00DB369C" w:rsidRPr="00353FDC" w:rsidRDefault="00DB369C" w:rsidP="00A704EE">
            <w:pPr>
              <w:pStyle w:val="TableText0"/>
              <w:jc w:val="center"/>
              <w:rPr>
                <w:b/>
              </w:rPr>
            </w:pPr>
            <w:r w:rsidRPr="00353FDC">
              <w:rPr>
                <w:b/>
              </w:rPr>
              <w:t>0.76 (0.60, 0.96)</w:t>
            </w:r>
          </w:p>
        </w:tc>
      </w:tr>
      <w:tr w:rsidR="00DB369C" w:rsidRPr="00353FDC" w14:paraId="77D63B2A" w14:textId="77777777" w:rsidTr="005A203C">
        <w:trPr>
          <w:cantSplit/>
        </w:trPr>
        <w:tc>
          <w:tcPr>
            <w:tcW w:w="1334" w:type="pct"/>
            <w:vAlign w:val="center"/>
          </w:tcPr>
          <w:p w14:paraId="59F2E5C6" w14:textId="77777777" w:rsidR="00DB369C" w:rsidRPr="00353FDC" w:rsidRDefault="00DB369C" w:rsidP="00A704EE">
            <w:pPr>
              <w:pStyle w:val="TableText0"/>
              <w:rPr>
                <w:b/>
              </w:rPr>
            </w:pPr>
            <w:r w:rsidRPr="00353FDC">
              <w:rPr>
                <w:rFonts w:cs="Times New Roman"/>
                <w:b/>
                <w:lang w:val="en-US"/>
              </w:rPr>
              <w:t>Subgroup Population</w:t>
            </w:r>
          </w:p>
        </w:tc>
        <w:tc>
          <w:tcPr>
            <w:tcW w:w="943" w:type="pct"/>
            <w:vAlign w:val="center"/>
          </w:tcPr>
          <w:p w14:paraId="5665B7BE" w14:textId="77777777" w:rsidR="00DB369C" w:rsidRPr="00353FDC" w:rsidRDefault="00DB369C" w:rsidP="00A704EE">
            <w:pPr>
              <w:pStyle w:val="TableText0"/>
              <w:jc w:val="center"/>
              <w:rPr>
                <w:b/>
              </w:rPr>
            </w:pPr>
            <w:r w:rsidRPr="00353FDC">
              <w:rPr>
                <w:b/>
              </w:rPr>
              <w:t>Tebentafusp PCP n/N (%)</w:t>
            </w:r>
          </w:p>
        </w:tc>
        <w:tc>
          <w:tcPr>
            <w:tcW w:w="1100" w:type="pct"/>
            <w:vAlign w:val="center"/>
          </w:tcPr>
          <w:p w14:paraId="1746D38F" w14:textId="77777777" w:rsidR="00DB369C" w:rsidRPr="00353FDC" w:rsidRDefault="00DB369C" w:rsidP="00A704EE">
            <w:pPr>
              <w:pStyle w:val="TableText0"/>
              <w:jc w:val="center"/>
              <w:rPr>
                <w:b/>
              </w:rPr>
            </w:pPr>
            <w:r w:rsidRPr="00353FDC">
              <w:rPr>
                <w:b/>
              </w:rPr>
              <w:t>Pembrolizumab</w:t>
            </w:r>
          </w:p>
          <w:p w14:paraId="132EDF22" w14:textId="77777777" w:rsidR="00DB369C" w:rsidRPr="00353FDC" w:rsidRDefault="00DB369C" w:rsidP="00A704EE">
            <w:pPr>
              <w:pStyle w:val="TableText0"/>
              <w:jc w:val="center"/>
              <w:rPr>
                <w:b/>
              </w:rPr>
            </w:pPr>
            <w:r w:rsidRPr="00353FDC">
              <w:rPr>
                <w:b/>
              </w:rPr>
              <w:t>n/N (%)</w:t>
            </w:r>
          </w:p>
        </w:tc>
        <w:tc>
          <w:tcPr>
            <w:tcW w:w="643" w:type="pct"/>
            <w:vAlign w:val="center"/>
          </w:tcPr>
          <w:p w14:paraId="0832C816" w14:textId="77777777" w:rsidR="00DB369C" w:rsidRPr="00353FDC" w:rsidRDefault="00DB369C" w:rsidP="00A704EE">
            <w:pPr>
              <w:pStyle w:val="TableText0"/>
              <w:jc w:val="center"/>
              <w:rPr>
                <w:b/>
              </w:rPr>
            </w:pPr>
            <w:r w:rsidRPr="00353FDC">
              <w:rPr>
                <w:b/>
              </w:rPr>
              <w:t>Absolute difference</w:t>
            </w:r>
          </w:p>
        </w:tc>
        <w:tc>
          <w:tcPr>
            <w:tcW w:w="980" w:type="pct"/>
            <w:vAlign w:val="center"/>
          </w:tcPr>
          <w:p w14:paraId="1F32B854" w14:textId="77777777" w:rsidR="00DB369C" w:rsidRPr="00353FDC" w:rsidRDefault="00DB369C" w:rsidP="00A704EE">
            <w:pPr>
              <w:pStyle w:val="TableText0"/>
              <w:jc w:val="center"/>
              <w:rPr>
                <w:b/>
              </w:rPr>
            </w:pPr>
            <w:r w:rsidRPr="00353FDC">
              <w:rPr>
                <w:b/>
              </w:rPr>
              <w:t>HR (95% CI)</w:t>
            </w:r>
          </w:p>
        </w:tc>
      </w:tr>
      <w:tr w:rsidR="00DB369C" w:rsidRPr="00353FDC" w14:paraId="12FABEB8" w14:textId="77777777" w:rsidTr="005A203C">
        <w:trPr>
          <w:cantSplit/>
        </w:trPr>
        <w:tc>
          <w:tcPr>
            <w:tcW w:w="5000" w:type="pct"/>
            <w:gridSpan w:val="5"/>
          </w:tcPr>
          <w:p w14:paraId="70A8B37D" w14:textId="77777777" w:rsidR="00DB369C" w:rsidRPr="00353FDC" w:rsidRDefault="00DB369C" w:rsidP="00A704EE">
            <w:pPr>
              <w:pStyle w:val="TableText0"/>
              <w:rPr>
                <w:rFonts w:cs="Arial"/>
                <w:b/>
                <w:bCs w:val="0"/>
              </w:rPr>
            </w:pPr>
            <w:r w:rsidRPr="00353FDC">
              <w:rPr>
                <w:rFonts w:cs="Arial"/>
                <w:b/>
                <w:bCs w:val="0"/>
              </w:rPr>
              <w:t>OS</w:t>
            </w:r>
          </w:p>
        </w:tc>
      </w:tr>
      <w:tr w:rsidR="00DB369C" w:rsidRPr="00353FDC" w14:paraId="442FD474" w14:textId="77777777" w:rsidTr="005A203C">
        <w:trPr>
          <w:cantSplit/>
        </w:trPr>
        <w:tc>
          <w:tcPr>
            <w:tcW w:w="1334" w:type="pct"/>
            <w:vAlign w:val="center"/>
          </w:tcPr>
          <w:p w14:paraId="38735982" w14:textId="77777777" w:rsidR="00DB369C" w:rsidRPr="00353FDC" w:rsidRDefault="00DB369C" w:rsidP="00A704EE">
            <w:pPr>
              <w:pStyle w:val="TableText0"/>
            </w:pPr>
            <w:r w:rsidRPr="00353FDC">
              <w:t>Deaths, n/N (%)</w:t>
            </w:r>
          </w:p>
        </w:tc>
        <w:tc>
          <w:tcPr>
            <w:tcW w:w="943" w:type="pct"/>
          </w:tcPr>
          <w:p w14:paraId="3C3DA0B3" w14:textId="77777777" w:rsidR="00DB369C" w:rsidRPr="00353FDC" w:rsidRDefault="00DB369C" w:rsidP="00A704EE">
            <w:pPr>
              <w:pStyle w:val="TableText0"/>
              <w:jc w:val="center"/>
              <w:rPr>
                <w:rFonts w:cs="Arial"/>
              </w:rPr>
            </w:pPr>
            <w:r w:rsidRPr="00353FDC">
              <w:rPr>
                <w:rFonts w:cs="Times New Roman"/>
                <w:szCs w:val="20"/>
              </w:rPr>
              <w:t>126/199 (63%)</w:t>
            </w:r>
          </w:p>
        </w:tc>
        <w:tc>
          <w:tcPr>
            <w:tcW w:w="1100" w:type="pct"/>
          </w:tcPr>
          <w:p w14:paraId="234AD004" w14:textId="77777777" w:rsidR="00DB369C" w:rsidRPr="00353FDC" w:rsidRDefault="00DB369C" w:rsidP="00A704EE">
            <w:pPr>
              <w:pStyle w:val="TableText0"/>
              <w:jc w:val="center"/>
              <w:rPr>
                <w:rFonts w:cs="Arial"/>
              </w:rPr>
            </w:pPr>
            <w:r w:rsidRPr="00353FDC">
              <w:rPr>
                <w:rFonts w:cs="Times New Roman"/>
                <w:szCs w:val="20"/>
              </w:rPr>
              <w:t>70/103 (68%)</w:t>
            </w:r>
          </w:p>
        </w:tc>
        <w:tc>
          <w:tcPr>
            <w:tcW w:w="643" w:type="pct"/>
          </w:tcPr>
          <w:p w14:paraId="081AECE4" w14:textId="77777777" w:rsidR="00DB369C" w:rsidRPr="00353FDC" w:rsidRDefault="00DB369C" w:rsidP="00A704EE">
            <w:pPr>
              <w:pStyle w:val="TableText0"/>
              <w:jc w:val="center"/>
              <w:rPr>
                <w:rFonts w:cs="Arial"/>
              </w:rPr>
            </w:pPr>
            <w:r w:rsidRPr="00353FDC">
              <w:t>-</w:t>
            </w:r>
          </w:p>
        </w:tc>
        <w:tc>
          <w:tcPr>
            <w:tcW w:w="980" w:type="pct"/>
            <w:vAlign w:val="center"/>
          </w:tcPr>
          <w:p w14:paraId="0BFEAC97" w14:textId="77777777" w:rsidR="00DB369C" w:rsidRPr="00353FDC" w:rsidRDefault="00DB369C" w:rsidP="00A704EE">
            <w:pPr>
              <w:pStyle w:val="TableText0"/>
              <w:jc w:val="center"/>
              <w:rPr>
                <w:rFonts w:cs="Arial"/>
              </w:rPr>
            </w:pPr>
            <w:r w:rsidRPr="00353FDC">
              <w:rPr>
                <w:rFonts w:cs="Arial"/>
              </w:rPr>
              <w:t>-</w:t>
            </w:r>
          </w:p>
        </w:tc>
      </w:tr>
      <w:tr w:rsidR="00DB369C" w:rsidRPr="00353FDC" w14:paraId="05AB02CF" w14:textId="77777777" w:rsidTr="005A203C">
        <w:trPr>
          <w:cantSplit/>
        </w:trPr>
        <w:tc>
          <w:tcPr>
            <w:tcW w:w="1334" w:type="pct"/>
            <w:vAlign w:val="center"/>
          </w:tcPr>
          <w:p w14:paraId="79F6376F" w14:textId="77777777" w:rsidR="00DB369C" w:rsidRPr="00353FDC" w:rsidRDefault="00DB369C" w:rsidP="00A704EE">
            <w:pPr>
              <w:pStyle w:val="TableText0"/>
            </w:pPr>
            <w:r w:rsidRPr="00353FDC">
              <w:t>Median months OS (95% CI)</w:t>
            </w:r>
          </w:p>
        </w:tc>
        <w:tc>
          <w:tcPr>
            <w:tcW w:w="943" w:type="pct"/>
            <w:vAlign w:val="center"/>
          </w:tcPr>
          <w:p w14:paraId="75B9A098" w14:textId="77777777" w:rsidR="00DB369C" w:rsidRPr="00353FDC" w:rsidRDefault="00DB369C" w:rsidP="00A704EE">
            <w:pPr>
              <w:pStyle w:val="TableText0"/>
              <w:jc w:val="center"/>
              <w:rPr>
                <w:rFonts w:cs="Arial"/>
              </w:rPr>
            </w:pPr>
            <w:r w:rsidRPr="00353FDC">
              <w:rPr>
                <w:rFonts w:cs="Times New Roman"/>
                <w:szCs w:val="20"/>
              </w:rPr>
              <w:t>21.7 (19.1, 24.3)</w:t>
            </w:r>
          </w:p>
        </w:tc>
        <w:tc>
          <w:tcPr>
            <w:tcW w:w="1100" w:type="pct"/>
            <w:vAlign w:val="center"/>
          </w:tcPr>
          <w:p w14:paraId="6D52F069" w14:textId="57D17B32" w:rsidR="00DB369C" w:rsidRPr="00353FDC" w:rsidRDefault="00DB369C" w:rsidP="00A704EE">
            <w:pPr>
              <w:pStyle w:val="TableText0"/>
              <w:jc w:val="center"/>
              <w:rPr>
                <w:rFonts w:cs="Arial"/>
              </w:rPr>
            </w:pPr>
            <w:r w:rsidRPr="00353FDC">
              <w:rPr>
                <w:rFonts w:cs="Times New Roman"/>
                <w:szCs w:val="20"/>
              </w:rPr>
              <w:t>16.9 (12.9, 20.6)</w:t>
            </w:r>
          </w:p>
        </w:tc>
        <w:tc>
          <w:tcPr>
            <w:tcW w:w="643" w:type="pct"/>
            <w:vAlign w:val="center"/>
          </w:tcPr>
          <w:p w14:paraId="21DDDC77" w14:textId="77777777" w:rsidR="00DB369C" w:rsidRPr="00353FDC" w:rsidRDefault="00DB369C" w:rsidP="00A704EE">
            <w:pPr>
              <w:pStyle w:val="TableText0"/>
              <w:jc w:val="center"/>
              <w:rPr>
                <w:rFonts w:cs="Arial"/>
              </w:rPr>
            </w:pPr>
            <w:r w:rsidRPr="00353FDC">
              <w:t>4.8</w:t>
            </w:r>
          </w:p>
        </w:tc>
        <w:tc>
          <w:tcPr>
            <w:tcW w:w="980" w:type="pct"/>
            <w:vAlign w:val="center"/>
          </w:tcPr>
          <w:p w14:paraId="575F7F7F" w14:textId="77777777" w:rsidR="00DB369C" w:rsidRPr="00353FDC" w:rsidRDefault="00DB369C" w:rsidP="00A704EE">
            <w:pPr>
              <w:pStyle w:val="TableText0"/>
              <w:jc w:val="center"/>
              <w:rPr>
                <w:rFonts w:cs="Arial"/>
                <w:b/>
              </w:rPr>
            </w:pPr>
            <w:r w:rsidRPr="00353FDC">
              <w:rPr>
                <w:b/>
                <w:szCs w:val="20"/>
              </w:rPr>
              <w:t>0.66 (0.49, 0.89)</w:t>
            </w:r>
          </w:p>
        </w:tc>
      </w:tr>
      <w:tr w:rsidR="00824092" w:rsidRPr="00353FDC" w14:paraId="0A19EBA6" w14:textId="77777777" w:rsidTr="00824092">
        <w:trPr>
          <w:cantSplit/>
        </w:trPr>
        <w:tc>
          <w:tcPr>
            <w:tcW w:w="5000" w:type="pct"/>
            <w:gridSpan w:val="5"/>
          </w:tcPr>
          <w:p w14:paraId="5CAD942A" w14:textId="2B3A1D63" w:rsidR="00824092" w:rsidRPr="00353FDC" w:rsidRDefault="00824092" w:rsidP="00A704EE">
            <w:pPr>
              <w:pStyle w:val="TableText0"/>
              <w:rPr>
                <w:b/>
                <w:bCs w:val="0"/>
                <w:szCs w:val="20"/>
              </w:rPr>
            </w:pPr>
            <w:r w:rsidRPr="00353FDC">
              <w:rPr>
                <w:b/>
                <w:bCs w:val="0"/>
              </w:rPr>
              <w:t>PFS</w:t>
            </w:r>
          </w:p>
        </w:tc>
      </w:tr>
      <w:tr w:rsidR="00DB369C" w:rsidRPr="00353FDC" w14:paraId="710A8BB8" w14:textId="77777777" w:rsidTr="005A203C">
        <w:trPr>
          <w:cantSplit/>
        </w:trPr>
        <w:tc>
          <w:tcPr>
            <w:tcW w:w="1334" w:type="pct"/>
          </w:tcPr>
          <w:p w14:paraId="1F71F15C" w14:textId="77777777" w:rsidR="00DB369C" w:rsidRPr="00353FDC" w:rsidRDefault="00DB369C" w:rsidP="00A704EE">
            <w:pPr>
              <w:pStyle w:val="TableText0"/>
            </w:pPr>
            <w:r w:rsidRPr="00353FDC">
              <w:t>Patients with event</w:t>
            </w:r>
          </w:p>
        </w:tc>
        <w:tc>
          <w:tcPr>
            <w:tcW w:w="943" w:type="pct"/>
          </w:tcPr>
          <w:p w14:paraId="714516C8" w14:textId="77777777" w:rsidR="00DB369C" w:rsidRPr="00353FDC" w:rsidRDefault="00DB369C" w:rsidP="00A704EE">
            <w:pPr>
              <w:pStyle w:val="TableText0"/>
              <w:jc w:val="center"/>
              <w:rPr>
                <w:rFonts w:cs="Times New Roman"/>
                <w:szCs w:val="20"/>
              </w:rPr>
            </w:pPr>
            <w:r w:rsidRPr="00353FDC">
              <w:t>183/199 (92%)</w:t>
            </w:r>
          </w:p>
        </w:tc>
        <w:tc>
          <w:tcPr>
            <w:tcW w:w="1100" w:type="pct"/>
          </w:tcPr>
          <w:p w14:paraId="0287F7FD" w14:textId="274E2B69" w:rsidR="00DB369C" w:rsidRPr="00353FDC" w:rsidRDefault="00DB369C" w:rsidP="00A704EE">
            <w:pPr>
              <w:pStyle w:val="TableText0"/>
              <w:jc w:val="center"/>
              <w:rPr>
                <w:rFonts w:cs="Times New Roman"/>
                <w:szCs w:val="20"/>
              </w:rPr>
            </w:pPr>
            <w:r w:rsidRPr="00353FDC">
              <w:t>82/103 (80%)</w:t>
            </w:r>
          </w:p>
        </w:tc>
        <w:tc>
          <w:tcPr>
            <w:tcW w:w="643" w:type="pct"/>
          </w:tcPr>
          <w:p w14:paraId="354145CE" w14:textId="77777777" w:rsidR="00DB369C" w:rsidRPr="00353FDC" w:rsidRDefault="00DB369C" w:rsidP="00A704EE">
            <w:pPr>
              <w:pStyle w:val="TableText0"/>
              <w:jc w:val="center"/>
            </w:pPr>
            <w:r w:rsidRPr="00353FDC">
              <w:t>-</w:t>
            </w:r>
          </w:p>
        </w:tc>
        <w:tc>
          <w:tcPr>
            <w:tcW w:w="980" w:type="pct"/>
          </w:tcPr>
          <w:p w14:paraId="241FBFB7" w14:textId="77777777" w:rsidR="00DB369C" w:rsidRPr="00353FDC" w:rsidRDefault="00DB369C" w:rsidP="00A704EE">
            <w:pPr>
              <w:pStyle w:val="TableText0"/>
              <w:jc w:val="center"/>
              <w:rPr>
                <w:b/>
                <w:szCs w:val="20"/>
              </w:rPr>
            </w:pPr>
            <w:r w:rsidRPr="00353FDC">
              <w:t>-</w:t>
            </w:r>
          </w:p>
        </w:tc>
      </w:tr>
      <w:tr w:rsidR="00DB369C" w:rsidRPr="00353FDC" w14:paraId="4CA68B9D" w14:textId="77777777" w:rsidTr="005A203C">
        <w:trPr>
          <w:cantSplit/>
        </w:trPr>
        <w:tc>
          <w:tcPr>
            <w:tcW w:w="1334" w:type="pct"/>
          </w:tcPr>
          <w:p w14:paraId="3C9F138C" w14:textId="77777777" w:rsidR="00DB369C" w:rsidRPr="00353FDC" w:rsidRDefault="00DB369C" w:rsidP="00A704EE">
            <w:pPr>
              <w:pStyle w:val="TableText0"/>
            </w:pPr>
            <w:r w:rsidRPr="00353FDC">
              <w:t>Median months PFS (95% CI)</w:t>
            </w:r>
          </w:p>
        </w:tc>
        <w:tc>
          <w:tcPr>
            <w:tcW w:w="943" w:type="pct"/>
          </w:tcPr>
          <w:p w14:paraId="3DBDA585" w14:textId="77777777" w:rsidR="00DB369C" w:rsidRPr="00353FDC" w:rsidRDefault="00DB369C" w:rsidP="00A704EE">
            <w:pPr>
              <w:pStyle w:val="TableText0"/>
              <w:jc w:val="center"/>
              <w:rPr>
                <w:rFonts w:cs="Times New Roman"/>
                <w:szCs w:val="20"/>
              </w:rPr>
            </w:pPr>
            <w:r w:rsidRPr="00353FDC">
              <w:t>3.5 (3.0, 5.5)</w:t>
            </w:r>
          </w:p>
        </w:tc>
        <w:tc>
          <w:tcPr>
            <w:tcW w:w="1100" w:type="pct"/>
          </w:tcPr>
          <w:p w14:paraId="2F83B9FB" w14:textId="77777777" w:rsidR="00DB369C" w:rsidRPr="00353FDC" w:rsidRDefault="00DB369C" w:rsidP="00A704EE">
            <w:pPr>
              <w:pStyle w:val="TableText0"/>
              <w:jc w:val="center"/>
              <w:rPr>
                <w:rFonts w:cs="Times New Roman"/>
                <w:szCs w:val="20"/>
              </w:rPr>
            </w:pPr>
            <w:r w:rsidRPr="00353FDC">
              <w:t>2.9 (2.8, 3.6)</w:t>
            </w:r>
          </w:p>
        </w:tc>
        <w:tc>
          <w:tcPr>
            <w:tcW w:w="643" w:type="pct"/>
          </w:tcPr>
          <w:p w14:paraId="6B82A3C7" w14:textId="77777777" w:rsidR="00DB369C" w:rsidRPr="00353FDC" w:rsidRDefault="00DB369C" w:rsidP="00A704EE">
            <w:pPr>
              <w:pStyle w:val="TableText0"/>
              <w:jc w:val="center"/>
            </w:pPr>
            <w:r w:rsidRPr="00353FDC">
              <w:t>0.6</w:t>
            </w:r>
          </w:p>
        </w:tc>
        <w:tc>
          <w:tcPr>
            <w:tcW w:w="980" w:type="pct"/>
          </w:tcPr>
          <w:p w14:paraId="0DD20215" w14:textId="77777777" w:rsidR="00DB369C" w:rsidRPr="00353FDC" w:rsidRDefault="00DB369C" w:rsidP="00A704EE">
            <w:pPr>
              <w:pStyle w:val="TableText0"/>
              <w:jc w:val="center"/>
              <w:rPr>
                <w:b/>
                <w:szCs w:val="20"/>
              </w:rPr>
            </w:pPr>
            <w:r w:rsidRPr="00353FDC">
              <w:t>0.82 (0.63, 1.1)</w:t>
            </w:r>
          </w:p>
        </w:tc>
      </w:tr>
    </w:tbl>
    <w:p w14:paraId="2C46D16A" w14:textId="77777777" w:rsidR="00DB369C" w:rsidRDefault="00DB369C" w:rsidP="00DB369C">
      <w:pPr>
        <w:pStyle w:val="FooterTableFigure"/>
      </w:pPr>
      <w:r>
        <w:t xml:space="preserve">Source: Table 5, p8 of the Executive Summary. </w:t>
      </w:r>
    </w:p>
    <w:p w14:paraId="33DC9F02" w14:textId="77777777" w:rsidR="00DB369C" w:rsidRDefault="00DB369C" w:rsidP="00DB369C">
      <w:pPr>
        <w:pStyle w:val="FooterTableFigure"/>
      </w:pPr>
      <w:r>
        <w:t>CI = confidence interval, HR = hazard ratio, ITT = intention-to-treat, n = number of participants reporting data, N = total participants in group, OS = overall survival, PCP = pre-choice pembrolizumab, PFS = progression-free survival.</w:t>
      </w:r>
    </w:p>
    <w:p w14:paraId="31CCDEDA" w14:textId="77777777" w:rsidR="00DB369C" w:rsidRDefault="00DB369C" w:rsidP="00DB369C">
      <w:pPr>
        <w:pStyle w:val="FooterTableFigure"/>
      </w:pPr>
      <w:r>
        <w:rPr>
          <w:vertAlign w:val="superscript"/>
        </w:rPr>
        <w:t>a</w:t>
      </w:r>
      <w:r>
        <w:t xml:space="preserve"> The data includes cross overs from the Investigator’s Choice to tebentafusp arm between October 2020 and April 2022</w:t>
      </w:r>
    </w:p>
    <w:p w14:paraId="1B8E23D8" w14:textId="77777777" w:rsidR="00DB369C" w:rsidRDefault="00DB369C" w:rsidP="00DB369C">
      <w:pPr>
        <w:pStyle w:val="FooterTableFigure"/>
      </w:pPr>
      <w:r w:rsidRPr="00B83739">
        <w:rPr>
          <w:b/>
          <w:bCs/>
        </w:rPr>
        <w:t>Bold</w:t>
      </w:r>
      <w:r w:rsidRPr="00B83739">
        <w:t xml:space="preserve"> indicates statistically significant results.</w:t>
      </w:r>
      <w:bookmarkEnd w:id="30"/>
    </w:p>
    <w:p w14:paraId="3701D65C" w14:textId="77777777" w:rsidR="00DB369C" w:rsidRPr="006231AA" w:rsidRDefault="00DB369C" w:rsidP="00DB369C">
      <w:pPr>
        <w:pStyle w:val="FooterTableFigure"/>
      </w:pPr>
      <w:r>
        <w:rPr>
          <w:i/>
          <w:iCs/>
        </w:rPr>
        <w:t xml:space="preserve">Italics </w:t>
      </w:r>
      <w:r>
        <w:t>corrected during evaluation.</w:t>
      </w:r>
    </w:p>
    <w:p w14:paraId="5C89466F" w14:textId="77777777" w:rsidR="00DB369C" w:rsidRPr="00D91C29" w:rsidRDefault="00DB369C" w:rsidP="00D77B44">
      <w:pPr>
        <w:pStyle w:val="3-BodyText"/>
        <w:rPr>
          <w:snapToGrid/>
          <w:lang w:val="en-US"/>
        </w:rPr>
      </w:pPr>
      <w:r w:rsidRPr="00D91C29">
        <w:rPr>
          <w:snapToGrid/>
          <w:lang w:val="en-US"/>
        </w:rPr>
        <w:t>In IMCgp100-202, at the first interim analysis (data cut-off: October 2020; median duration of follow-up of 14.1 months), tebentafusp was associated with statistically significantly improvement in OS compared to the investigator’s choice arm (HR: 0.51; 95% CI: 0.37, 0.71). Updated data from April 2022 data sweep (median duration of follow-up of 29.6 months) showed that OS remained superior in the tebentafusp arm when compared to the investigator’s choice arm, with an HR of 0.63 (95% CI: 0.49, 0.82).</w:t>
      </w:r>
    </w:p>
    <w:p w14:paraId="19600750" w14:textId="77777777" w:rsidR="00DB369C" w:rsidRPr="00D91C29" w:rsidRDefault="00DB369C" w:rsidP="00D77B44">
      <w:pPr>
        <w:pStyle w:val="3-BodyText"/>
        <w:rPr>
          <w:snapToGrid/>
          <w:lang w:val="en-US"/>
        </w:rPr>
      </w:pPr>
      <w:r w:rsidRPr="00D91C29">
        <w:rPr>
          <w:snapToGrid/>
          <w:lang w:val="en-US"/>
        </w:rPr>
        <w:t xml:space="preserve">For the subgroup analysis, OS was statistically significantly longer in the tebentafusp PCP arm compared to the pembrolizumab arm (median OS of 21.7 months for tebentafusp PCP versus 16.9 months for pembrolizumab), with a hazard ratio of 0.66 (95% CI: 0.49, 0.89). </w:t>
      </w:r>
    </w:p>
    <w:p w14:paraId="14054CA0" w14:textId="19863B7F" w:rsidR="00DB369C" w:rsidRPr="00AD2CF0" w:rsidRDefault="00DB369C" w:rsidP="00D77B44">
      <w:pPr>
        <w:pStyle w:val="3-BodyText"/>
      </w:pPr>
      <w:r w:rsidRPr="00AD2CF0">
        <w:t>In IMCgp100-202, at the first interim analysis (data cut-off: October 2020</w:t>
      </w:r>
      <w:r>
        <w:t>)</w:t>
      </w:r>
      <w:r w:rsidRPr="00AD2CF0">
        <w:t>, tebentafusp was associated with a statistically significant improvement in PFS compared with investigator’s choice (HR = 0.73; 95% CI: 0.58</w:t>
      </w:r>
      <w:r w:rsidR="00E251A8">
        <w:t xml:space="preserve">, </w:t>
      </w:r>
      <w:r w:rsidRPr="00AD2CF0">
        <w:t>0.94)</w:t>
      </w:r>
      <w:r>
        <w:t xml:space="preserve">. The </w:t>
      </w:r>
      <w:r w:rsidRPr="00AD2CF0">
        <w:t>improvement in PFS associated with tebentafusp from the April 2022 data sweep analysis</w:t>
      </w:r>
      <w:r>
        <w:t xml:space="preserve"> </w:t>
      </w:r>
      <w:r w:rsidRPr="00AD2CF0">
        <w:t xml:space="preserve">was consistent with the interim analysis, with an </w:t>
      </w:r>
      <w:r>
        <w:t>absolute difference of 0.5 months.</w:t>
      </w:r>
    </w:p>
    <w:p w14:paraId="2A595152" w14:textId="40FE4C37" w:rsidR="00DB369C" w:rsidRPr="00653DD9" w:rsidRDefault="00DB369C" w:rsidP="00D77B44">
      <w:pPr>
        <w:pStyle w:val="3-BodyText"/>
      </w:pPr>
      <w:r w:rsidRPr="00FC7B2A">
        <w:t xml:space="preserve">For the subgroup analysis, </w:t>
      </w:r>
      <w:r>
        <w:t>PF</w:t>
      </w:r>
      <w:r w:rsidRPr="00FC7B2A">
        <w:t>S was longer in the tebentafusp PCP arm compared to the pembrolizumab arm</w:t>
      </w:r>
      <w:r>
        <w:t xml:space="preserve">, with an absolute difference of 0.6 months. </w:t>
      </w:r>
      <w:r w:rsidR="00824092" w:rsidRPr="00653DD9">
        <w:t>T</w:t>
      </w:r>
      <w:r w:rsidRPr="00653DD9">
        <w:t>he extent of benefit with tebentafusp on PFS was relatively low compared to the magnitude of improvement in OS.</w:t>
      </w:r>
    </w:p>
    <w:p w14:paraId="3F917D4C" w14:textId="7D67C265" w:rsidR="00DB369C" w:rsidRPr="00D91C29" w:rsidRDefault="00E251A8" w:rsidP="00D77B44">
      <w:pPr>
        <w:pStyle w:val="3-BodyText"/>
      </w:pPr>
      <w:bookmarkStart w:id="31" w:name="_Ref121295057"/>
      <w:r>
        <w:lastRenderedPageBreak/>
        <w:t>P</w:t>
      </w:r>
      <w:r w:rsidR="00DB369C" w:rsidRPr="00D91C29">
        <w:t>atients from the investigator’s choice arm were allowed to cross over to tebentafusp arm between October 2020 and April 2022. The submission did not adjust the survival data for patients switching treatment due to following reasons:</w:t>
      </w:r>
      <w:bookmarkEnd w:id="31"/>
    </w:p>
    <w:p w14:paraId="4B80A387" w14:textId="77777777" w:rsidR="00DB369C" w:rsidRPr="00D91C29" w:rsidRDefault="00DB369C" w:rsidP="00824092">
      <w:pPr>
        <w:pStyle w:val="ListParagraph"/>
        <w:ind w:left="1077" w:hanging="357"/>
      </w:pPr>
      <w:r w:rsidRPr="00D91C29">
        <w:t>There were too few patients (n=14) who crossed over to tebentafusp to support a statistical analysis and adjustment for differences.</w:t>
      </w:r>
    </w:p>
    <w:p w14:paraId="210E407F" w14:textId="77777777" w:rsidR="00DB369C" w:rsidRPr="00D91C29" w:rsidRDefault="00DB369C" w:rsidP="00824092">
      <w:pPr>
        <w:pStyle w:val="ListParagraph"/>
        <w:ind w:left="1077" w:hanging="357"/>
      </w:pPr>
      <w:r w:rsidRPr="00D91C29">
        <w:t>Cross-over was not mandated in the protocol so there was no clinical rule for determining the time of cross</w:t>
      </w:r>
      <w:r>
        <w:t>-</w:t>
      </w:r>
      <w:r w:rsidRPr="00D91C29">
        <w:t>over, which would have produced significant additional uncertainty in an adjustment for cross-over, as stated above.</w:t>
      </w:r>
    </w:p>
    <w:p w14:paraId="3ACD026E" w14:textId="1CACCE6A" w:rsidR="00DB369C" w:rsidRPr="00D91C29" w:rsidRDefault="00DB369C" w:rsidP="00824092">
      <w:pPr>
        <w:pStyle w:val="ListParagraph"/>
        <w:ind w:left="1077" w:hanging="357"/>
      </w:pPr>
      <w:r w:rsidRPr="00D91C29">
        <w:t>All patients who crossed</w:t>
      </w:r>
      <w:r>
        <w:t xml:space="preserve"> </w:t>
      </w:r>
      <w:r w:rsidRPr="00D91C29">
        <w:t>over from the investigator’s choice treatment to tebentafusp had confirmed disease progression and discontinued treatment at the time of cross-over.</w:t>
      </w:r>
    </w:p>
    <w:p w14:paraId="54B3A831" w14:textId="19FB3A76" w:rsidR="00DB369C" w:rsidRPr="00D91C29" w:rsidRDefault="00DB369C" w:rsidP="00D77B44">
      <w:pPr>
        <w:pStyle w:val="3-BodyText"/>
      </w:pPr>
      <w:r w:rsidRPr="00D91C29">
        <w:fldChar w:fldCharType="begin" w:fldLock="1"/>
      </w:r>
      <w:r w:rsidRPr="00D91C29">
        <w:instrText xml:space="preserve"> REF _Ref121074446 \h </w:instrText>
      </w:r>
      <w:r>
        <w:instrText xml:space="preserve"> \* MERGEFORMAT </w:instrText>
      </w:r>
      <w:r w:rsidRPr="00D91C29">
        <w:fldChar w:fldCharType="separate"/>
      </w:r>
      <w:r w:rsidR="00A53FF4">
        <w:t>Figure 2</w:t>
      </w:r>
      <w:r w:rsidRPr="00D91C29">
        <w:fldChar w:fldCharType="end"/>
      </w:r>
      <w:r>
        <w:t xml:space="preserve"> and </w:t>
      </w:r>
      <w:r w:rsidRPr="00602C6E">
        <w:rPr>
          <w:rFonts w:eastAsia="Calibri"/>
        </w:rPr>
        <w:fldChar w:fldCharType="begin" w:fldLock="1"/>
      </w:r>
      <w:r w:rsidRPr="00602C6E">
        <w:rPr>
          <w:rFonts w:eastAsia="Calibri"/>
        </w:rPr>
        <w:instrText xml:space="preserve"> REF _Ref121294656 \h </w:instrText>
      </w:r>
      <w:r w:rsidRPr="00602C6E">
        <w:rPr>
          <w:rFonts w:eastAsia="Calibri"/>
        </w:rPr>
      </w:r>
      <w:r w:rsidRPr="00602C6E">
        <w:rPr>
          <w:rFonts w:eastAsia="Calibri"/>
        </w:rPr>
        <w:fldChar w:fldCharType="separate"/>
      </w:r>
      <w:r w:rsidR="00A53FF4">
        <w:t xml:space="preserve">Figure </w:t>
      </w:r>
      <w:r w:rsidR="00A53FF4">
        <w:rPr>
          <w:noProof/>
        </w:rPr>
        <w:t>3</w:t>
      </w:r>
      <w:r w:rsidRPr="00602C6E">
        <w:rPr>
          <w:rFonts w:eastAsia="Calibri"/>
        </w:rPr>
        <w:fldChar w:fldCharType="end"/>
      </w:r>
      <w:r w:rsidRPr="00602C6E">
        <w:rPr>
          <w:rFonts w:eastAsia="Calibri"/>
        </w:rPr>
        <w:t xml:space="preserve"> </w:t>
      </w:r>
      <w:r w:rsidRPr="00D91C29">
        <w:t xml:space="preserve">present the Kaplan-Meier (KM) OS </w:t>
      </w:r>
      <w:r>
        <w:t>and</w:t>
      </w:r>
      <w:r w:rsidRPr="00602C6E">
        <w:t xml:space="preserve"> PFS plots for the ITT population in IMCgp100-202 trial (data sweep: April 2022).</w:t>
      </w:r>
    </w:p>
    <w:p w14:paraId="0B48501F" w14:textId="50EC62C5" w:rsidR="00DB369C" w:rsidRDefault="00DB369C" w:rsidP="00DB369C">
      <w:pPr>
        <w:pStyle w:val="TableFigureHeading"/>
      </w:pPr>
      <w:bookmarkStart w:id="32" w:name="_Ref121074446"/>
      <w:bookmarkStart w:id="33" w:name="_Hlk121076071"/>
      <w:r>
        <w:t xml:space="preserve">Figure </w:t>
      </w:r>
      <w:r>
        <w:fldChar w:fldCharType="begin" w:fldLock="1"/>
      </w:r>
      <w:r>
        <w:instrText>seq Figure</w:instrText>
      </w:r>
      <w:r>
        <w:fldChar w:fldCharType="separate"/>
      </w:r>
      <w:r w:rsidR="00A53FF4">
        <w:rPr>
          <w:noProof/>
        </w:rPr>
        <w:t>2</w:t>
      </w:r>
      <w:r>
        <w:fldChar w:fldCharType="end"/>
      </w:r>
      <w:bookmarkEnd w:id="32"/>
      <w:r>
        <w:t xml:space="preserve">: </w:t>
      </w:r>
      <w:bookmarkEnd w:id="33"/>
      <w:r w:rsidRPr="009B4BC0">
        <w:t xml:space="preserve">KM analysis of </w:t>
      </w:r>
      <w:r>
        <w:t>O</w:t>
      </w:r>
      <w:r w:rsidRPr="009B4BC0">
        <w:t xml:space="preserve">S </w:t>
      </w:r>
      <w:r>
        <w:t>in IMCgp100-202 trial (Data sweep: April 2022)</w:t>
      </w:r>
    </w:p>
    <w:p w14:paraId="70367373" w14:textId="77777777" w:rsidR="00DB369C" w:rsidRPr="004A6BDA" w:rsidRDefault="00DB369C" w:rsidP="00DB369C">
      <w:pPr>
        <w:pStyle w:val="TableFigureHeading"/>
        <w:rPr>
          <w:rFonts w:eastAsia="Calibri"/>
        </w:rPr>
      </w:pPr>
      <w:r w:rsidRPr="001F63D5">
        <w:rPr>
          <w:noProof/>
          <w:lang w:eastAsia="en-GB"/>
        </w:rPr>
        <w:drawing>
          <wp:inline distT="0" distB="0" distL="0" distR="0" wp14:anchorId="3B506093" wp14:editId="4FAB5C01">
            <wp:extent cx="5705475" cy="2819400"/>
            <wp:effectExtent l="0" t="0" r="0" b="0"/>
            <wp:docPr id="71" name="Picture 71" descr="Figure 2: KM analysis of OS in IMCgp100-202 trial (Data sweep: April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Figure 2: KM analysis of OS in IMCgp100-202 trial (Data sweep: April 2022)"/>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b="3917"/>
                    <a:stretch/>
                  </pic:blipFill>
                  <pic:spPr bwMode="auto">
                    <a:xfrm>
                      <a:off x="0" y="0"/>
                      <a:ext cx="5706652" cy="2819982"/>
                    </a:xfrm>
                    <a:prstGeom prst="rect">
                      <a:avLst/>
                    </a:prstGeom>
                    <a:noFill/>
                    <a:ln>
                      <a:noFill/>
                    </a:ln>
                    <a:extLst>
                      <a:ext uri="{53640926-AAD7-44D8-BBD7-CCE9431645EC}">
                        <a14:shadowObscured xmlns:a14="http://schemas.microsoft.com/office/drawing/2010/main"/>
                      </a:ext>
                    </a:extLst>
                  </pic:spPr>
                </pic:pic>
              </a:graphicData>
            </a:graphic>
          </wp:inline>
        </w:drawing>
      </w:r>
    </w:p>
    <w:p w14:paraId="73F7F9D6" w14:textId="77777777" w:rsidR="00DB369C" w:rsidRDefault="00DB369C" w:rsidP="00DB369C">
      <w:pPr>
        <w:pStyle w:val="FooterTableFigure"/>
      </w:pPr>
      <w:r>
        <w:t>Source: Figure 2.5-1 B, p64 of the submission.</w:t>
      </w:r>
    </w:p>
    <w:p w14:paraId="107B9C3C" w14:textId="4F0DCBC1" w:rsidR="00DB369C" w:rsidRDefault="00DB369C" w:rsidP="00AE1C6A">
      <w:pPr>
        <w:pStyle w:val="FooterTableFigure"/>
        <w:rPr>
          <w:rFonts w:eastAsia="Calibri"/>
        </w:rPr>
      </w:pPr>
      <w:r>
        <w:t>CI = confidence interval, HR = hazard ratio</w:t>
      </w:r>
      <w:r>
        <w:rPr>
          <w:rFonts w:eastAsia="Calibri"/>
        </w:rPr>
        <w:t>, KM = Kaplan-Meier, OS = overall survival.</w:t>
      </w:r>
    </w:p>
    <w:p w14:paraId="71257386" w14:textId="5FE46324" w:rsidR="00DB369C" w:rsidRPr="00D91C29" w:rsidRDefault="00DB369C" w:rsidP="00DB369C">
      <w:pPr>
        <w:pStyle w:val="TableFigureHeading"/>
      </w:pPr>
      <w:bookmarkStart w:id="34" w:name="_Ref121294656"/>
      <w:r>
        <w:lastRenderedPageBreak/>
        <w:t xml:space="preserve">Figure </w:t>
      </w:r>
      <w:r>
        <w:fldChar w:fldCharType="begin" w:fldLock="1"/>
      </w:r>
      <w:r>
        <w:instrText>seq Figure</w:instrText>
      </w:r>
      <w:r>
        <w:fldChar w:fldCharType="separate"/>
      </w:r>
      <w:r w:rsidR="00A53FF4">
        <w:rPr>
          <w:noProof/>
        </w:rPr>
        <w:t>3</w:t>
      </w:r>
      <w:r>
        <w:fldChar w:fldCharType="end"/>
      </w:r>
      <w:bookmarkEnd w:id="34"/>
      <w:r w:rsidRPr="00D91C29">
        <w:t>: KM analysis of PFS for ITT population in IMCgp100-202 trial (Data sweep: April 2022)</w:t>
      </w:r>
    </w:p>
    <w:p w14:paraId="44CDD1B1" w14:textId="77777777" w:rsidR="00DB369C" w:rsidRPr="00D91C29" w:rsidRDefault="00DB369C" w:rsidP="00DB369C">
      <w:pPr>
        <w:pStyle w:val="3-BodyText"/>
        <w:numPr>
          <w:ilvl w:val="0"/>
          <w:numId w:val="0"/>
        </w:numPr>
        <w:rPr>
          <w:color w:val="0066FF"/>
        </w:rPr>
      </w:pPr>
      <w:r>
        <w:rPr>
          <w:noProof/>
        </w:rPr>
        <w:drawing>
          <wp:inline distT="0" distB="0" distL="0" distR="0" wp14:anchorId="29ADE108" wp14:editId="7BF56707">
            <wp:extent cx="3253740" cy="3194462"/>
            <wp:effectExtent l="0" t="0" r="5080" b="0"/>
            <wp:docPr id="582" name="Picture 582" descr="Figure 3: KM analysis of PFS for ITT population in IMCgp100-202 trial (Data sweep: April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descr="Figure 3: KM analysis of PFS for ITT population in IMCgp100-202 trial (Data sweep: April 2022)"/>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3253740" cy="3194462"/>
                    </a:xfrm>
                    <a:prstGeom prst="rect">
                      <a:avLst/>
                    </a:prstGeom>
                    <a:noFill/>
                    <a:ln>
                      <a:noFill/>
                    </a:ln>
                    <a:extLst>
                      <a:ext uri="{53640926-AAD7-44D8-BBD7-CCE9431645EC}">
                        <a14:shadowObscured xmlns:a14="http://schemas.microsoft.com/office/drawing/2010/main"/>
                      </a:ext>
                    </a:extLst>
                  </pic:spPr>
                </pic:pic>
              </a:graphicData>
            </a:graphic>
          </wp:inline>
        </w:drawing>
      </w:r>
    </w:p>
    <w:p w14:paraId="26F25070" w14:textId="77777777" w:rsidR="00DB369C" w:rsidRPr="00D91C29" w:rsidRDefault="00DB369C" w:rsidP="00DB369C">
      <w:pPr>
        <w:pStyle w:val="FooterTableFigure"/>
      </w:pPr>
      <w:r w:rsidRPr="00D91C29">
        <w:t>Source: Figure 2.5-8 B, p73 of the submission.</w:t>
      </w:r>
    </w:p>
    <w:p w14:paraId="3904AA0F" w14:textId="77777777" w:rsidR="00DB369C" w:rsidRDefault="00DB369C" w:rsidP="00DB369C">
      <w:pPr>
        <w:pStyle w:val="FooterTableFigure"/>
        <w:contextualSpacing w:val="0"/>
      </w:pPr>
      <w:r w:rsidRPr="00D91C29">
        <w:t xml:space="preserve">IC = investigator’s choice, </w:t>
      </w:r>
      <w:r>
        <w:t xml:space="preserve">ITT = intention-to-treat, </w:t>
      </w:r>
      <w:r w:rsidRPr="00D91C29">
        <w:t>KM = Kaplan-Meier, PFS = progression-free survival.</w:t>
      </w:r>
    </w:p>
    <w:p w14:paraId="3AF6A63A" w14:textId="77777777" w:rsidR="00DB369C" w:rsidRDefault="00DB369C" w:rsidP="00DB369C">
      <w:pPr>
        <w:pStyle w:val="3-BodyText"/>
        <w:numPr>
          <w:ilvl w:val="0"/>
          <w:numId w:val="0"/>
        </w:numPr>
        <w:rPr>
          <w:rFonts w:eastAsia="Calibri"/>
          <w:u w:val="single"/>
        </w:rPr>
      </w:pPr>
      <w:r w:rsidRPr="00073BA5">
        <w:rPr>
          <w:rFonts w:eastAsia="Calibri"/>
          <w:u w:val="single"/>
        </w:rPr>
        <w:t>Objective Response Rate</w:t>
      </w:r>
      <w:r>
        <w:rPr>
          <w:rFonts w:eastAsia="Calibri"/>
          <w:u w:val="single"/>
        </w:rPr>
        <w:t xml:space="preserve"> (ORR)</w:t>
      </w:r>
    </w:p>
    <w:p w14:paraId="2353C954" w14:textId="17E5C28A" w:rsidR="00DB369C" w:rsidRDefault="00DB369C" w:rsidP="00D77B44">
      <w:pPr>
        <w:pStyle w:val="3-BodyText"/>
        <w:rPr>
          <w:rFonts w:eastAsia="Calibri"/>
        </w:rPr>
      </w:pPr>
      <w:r w:rsidRPr="00972657">
        <w:rPr>
          <w:rFonts w:eastAsia="Calibri"/>
        </w:rPr>
        <w:fldChar w:fldCharType="begin" w:fldLock="1"/>
      </w:r>
      <w:r w:rsidRPr="00972657">
        <w:rPr>
          <w:rFonts w:eastAsia="Calibri"/>
        </w:rPr>
        <w:instrText xml:space="preserve"> REF _Ref121294752 \h </w:instrText>
      </w:r>
      <w:r>
        <w:rPr>
          <w:rFonts w:eastAsia="Calibri"/>
        </w:rPr>
        <w:instrText xml:space="preserve"> \* MERGEFORMAT </w:instrText>
      </w:r>
      <w:r w:rsidRPr="00972657">
        <w:rPr>
          <w:rFonts w:eastAsia="Calibri"/>
        </w:rPr>
      </w:r>
      <w:r w:rsidRPr="00972657">
        <w:rPr>
          <w:rFonts w:eastAsia="Calibri"/>
        </w:rPr>
        <w:fldChar w:fldCharType="separate"/>
      </w:r>
      <w:r w:rsidR="00A53FF4" w:rsidRPr="00A53FF4">
        <w:rPr>
          <w:rFonts w:eastAsiaTheme="majorEastAsia"/>
        </w:rPr>
        <w:t xml:space="preserve">Table </w:t>
      </w:r>
      <w:r w:rsidR="00A53FF4" w:rsidRPr="00A53FF4">
        <w:t>5</w:t>
      </w:r>
      <w:r w:rsidRPr="00972657">
        <w:rPr>
          <w:rFonts w:eastAsia="Calibri"/>
        </w:rPr>
        <w:fldChar w:fldCharType="end"/>
      </w:r>
      <w:r w:rsidRPr="00972657">
        <w:rPr>
          <w:rFonts w:eastAsia="Calibri"/>
        </w:rPr>
        <w:t xml:space="preserve"> summarises</w:t>
      </w:r>
      <w:r w:rsidRPr="00073BA5">
        <w:rPr>
          <w:rFonts w:eastAsia="Calibri"/>
        </w:rPr>
        <w:t xml:space="preserve"> the results for </w:t>
      </w:r>
      <w:r>
        <w:rPr>
          <w:rFonts w:eastAsia="Calibri"/>
        </w:rPr>
        <w:t>ORR,</w:t>
      </w:r>
      <w:r w:rsidRPr="00073BA5">
        <w:rPr>
          <w:rFonts w:eastAsia="Calibri"/>
        </w:rPr>
        <w:t xml:space="preserve"> best overall response and disease control rate in IMCgp100-202 trial for the ITT population</w:t>
      </w:r>
      <w:r>
        <w:rPr>
          <w:rFonts w:eastAsia="Calibri"/>
        </w:rPr>
        <w:t xml:space="preserve"> </w:t>
      </w:r>
      <w:r w:rsidRPr="00D47B12">
        <w:rPr>
          <w:rFonts w:eastAsia="Calibri"/>
        </w:rPr>
        <w:t>(data cut-off</w:t>
      </w:r>
      <w:r>
        <w:rPr>
          <w:rFonts w:eastAsia="Calibri"/>
        </w:rPr>
        <w:t xml:space="preserve">: </w:t>
      </w:r>
      <w:r w:rsidRPr="00D47B12">
        <w:rPr>
          <w:rFonts w:eastAsia="Calibri"/>
        </w:rPr>
        <w:t>October 2020</w:t>
      </w:r>
      <w:r>
        <w:rPr>
          <w:rFonts w:eastAsia="Calibri"/>
        </w:rPr>
        <w:t>)</w:t>
      </w:r>
      <w:r w:rsidRPr="00073BA5">
        <w:rPr>
          <w:rFonts w:eastAsia="Calibri"/>
        </w:rPr>
        <w:t>.</w:t>
      </w:r>
    </w:p>
    <w:p w14:paraId="605F6638" w14:textId="4FEF7FCA" w:rsidR="00DB369C" w:rsidRPr="000A0CD2" w:rsidRDefault="00DB369C" w:rsidP="00DB369C">
      <w:pPr>
        <w:pStyle w:val="TableFigureHeading"/>
      </w:pPr>
      <w:bookmarkStart w:id="35" w:name="_Ref121294752"/>
      <w:r w:rsidRPr="000A0CD2">
        <w:t xml:space="preserve">Table </w:t>
      </w:r>
      <w:r w:rsidRPr="00D6076E">
        <w:rPr>
          <w:rStyle w:val="CommentReference"/>
          <w:b/>
          <w:szCs w:val="24"/>
        </w:rPr>
        <w:fldChar w:fldCharType="begin" w:fldLock="1"/>
      </w:r>
      <w:r w:rsidRPr="00D6076E">
        <w:rPr>
          <w:rStyle w:val="CommentReference"/>
          <w:b/>
          <w:szCs w:val="24"/>
        </w:rPr>
        <w:instrText xml:space="preserve"> SEQ Table \* ARABIC </w:instrText>
      </w:r>
      <w:r w:rsidRPr="00D6076E">
        <w:rPr>
          <w:rStyle w:val="CommentReference"/>
          <w:b/>
          <w:szCs w:val="24"/>
        </w:rPr>
        <w:fldChar w:fldCharType="separate"/>
      </w:r>
      <w:r w:rsidR="00A53FF4">
        <w:rPr>
          <w:rStyle w:val="CommentReference"/>
          <w:b/>
          <w:noProof/>
          <w:szCs w:val="24"/>
        </w:rPr>
        <w:t>5</w:t>
      </w:r>
      <w:r w:rsidRPr="00D6076E">
        <w:rPr>
          <w:rStyle w:val="CommentReference"/>
          <w:b/>
          <w:szCs w:val="24"/>
        </w:rPr>
        <w:fldChar w:fldCharType="end"/>
      </w:r>
      <w:bookmarkEnd w:id="35"/>
      <w:r w:rsidRPr="000A0CD2">
        <w:t>: Summary of ORR, BOR, DCR in IMCgp100-202 trial (data cut-off: October 2020</w:t>
      </w:r>
      <w:r w:rsidR="000D025A">
        <w:t>; median duration of follow up = 14.1 months</w:t>
      </w:r>
      <w:r w:rsidR="000D025A" w:rsidRPr="000A0CD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2384"/>
        <w:gridCol w:w="2384"/>
      </w:tblGrid>
      <w:tr w:rsidR="00DB369C" w14:paraId="5C70CA74"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46E14FDB" w14:textId="77777777" w:rsidR="00DB369C" w:rsidRDefault="00DB369C" w:rsidP="00A704EE">
            <w:pPr>
              <w:keepNext/>
              <w:rPr>
                <w:rFonts w:ascii="Arial Narrow" w:hAnsi="Arial Narrow"/>
                <w:b/>
                <w:sz w:val="20"/>
                <w:szCs w:val="16"/>
              </w:rPr>
            </w:pPr>
          </w:p>
        </w:tc>
        <w:tc>
          <w:tcPr>
            <w:tcW w:w="1322" w:type="pct"/>
            <w:tcBorders>
              <w:top w:val="single" w:sz="4" w:space="0" w:color="auto"/>
              <w:left w:val="single" w:sz="4" w:space="0" w:color="auto"/>
              <w:bottom w:val="single" w:sz="4" w:space="0" w:color="auto"/>
              <w:right w:val="single" w:sz="4" w:space="0" w:color="auto"/>
            </w:tcBorders>
            <w:vAlign w:val="center"/>
            <w:hideMark/>
          </w:tcPr>
          <w:p w14:paraId="4CC15269" w14:textId="77777777" w:rsidR="00DB369C" w:rsidRDefault="00DB369C" w:rsidP="00A704EE">
            <w:pPr>
              <w:pStyle w:val="TableText0"/>
              <w:jc w:val="center"/>
              <w:rPr>
                <w:b/>
                <w:bCs w:val="0"/>
                <w:lang w:val="en-US"/>
              </w:rPr>
            </w:pPr>
            <w:r>
              <w:rPr>
                <w:b/>
                <w:bCs w:val="0"/>
                <w:lang w:val="en-US"/>
              </w:rPr>
              <w:t xml:space="preserve">Tebentafusp </w:t>
            </w:r>
          </w:p>
        </w:tc>
        <w:tc>
          <w:tcPr>
            <w:tcW w:w="1322" w:type="pct"/>
            <w:tcBorders>
              <w:top w:val="single" w:sz="4" w:space="0" w:color="auto"/>
              <w:left w:val="single" w:sz="4" w:space="0" w:color="auto"/>
              <w:bottom w:val="single" w:sz="4" w:space="0" w:color="auto"/>
              <w:right w:val="single" w:sz="4" w:space="0" w:color="auto"/>
            </w:tcBorders>
            <w:vAlign w:val="center"/>
            <w:hideMark/>
          </w:tcPr>
          <w:p w14:paraId="2F83556C" w14:textId="5E1E6C26" w:rsidR="00DB369C" w:rsidRDefault="00DB369C" w:rsidP="00A704EE">
            <w:pPr>
              <w:pStyle w:val="TableText0"/>
              <w:jc w:val="center"/>
              <w:rPr>
                <w:b/>
                <w:bCs w:val="0"/>
                <w:lang w:val="en-US"/>
              </w:rPr>
            </w:pPr>
            <w:r>
              <w:rPr>
                <w:b/>
                <w:bCs w:val="0"/>
                <w:lang w:val="en-US"/>
              </w:rPr>
              <w:t xml:space="preserve">Investigator </w:t>
            </w:r>
            <w:r w:rsidR="006D0DA2">
              <w:rPr>
                <w:b/>
                <w:bCs w:val="0"/>
                <w:lang w:val="en-US"/>
              </w:rPr>
              <w:t>c</w:t>
            </w:r>
            <w:r>
              <w:rPr>
                <w:b/>
                <w:bCs w:val="0"/>
                <w:lang w:val="en-US"/>
              </w:rPr>
              <w:t>hoice</w:t>
            </w:r>
          </w:p>
        </w:tc>
      </w:tr>
      <w:tr w:rsidR="00DB369C" w14:paraId="0266CEF0" w14:textId="77777777" w:rsidTr="005A203C">
        <w:tc>
          <w:tcPr>
            <w:tcW w:w="5000" w:type="pct"/>
            <w:gridSpan w:val="3"/>
            <w:tcBorders>
              <w:top w:val="single" w:sz="4" w:space="0" w:color="auto"/>
              <w:left w:val="single" w:sz="4" w:space="0" w:color="auto"/>
              <w:bottom w:val="single" w:sz="4" w:space="0" w:color="auto"/>
              <w:right w:val="single" w:sz="4" w:space="0" w:color="auto"/>
            </w:tcBorders>
            <w:hideMark/>
          </w:tcPr>
          <w:p w14:paraId="6E13A326" w14:textId="77777777" w:rsidR="00DB369C" w:rsidRDefault="00DB369C" w:rsidP="00A704EE">
            <w:pPr>
              <w:pStyle w:val="TableText0"/>
              <w:rPr>
                <w:b/>
                <w:bCs w:val="0"/>
                <w:lang w:val="en-US"/>
              </w:rPr>
            </w:pPr>
            <w:r>
              <w:rPr>
                <w:b/>
                <w:bCs w:val="0"/>
              </w:rPr>
              <w:t>Objective response rate (CR or PR)</w:t>
            </w:r>
          </w:p>
        </w:tc>
      </w:tr>
      <w:tr w:rsidR="00DB369C" w14:paraId="53725B6B" w14:textId="77777777" w:rsidTr="005A203C">
        <w:tc>
          <w:tcPr>
            <w:tcW w:w="2356" w:type="pct"/>
            <w:tcBorders>
              <w:top w:val="single" w:sz="4" w:space="0" w:color="auto"/>
              <w:left w:val="single" w:sz="4" w:space="0" w:color="auto"/>
              <w:bottom w:val="single" w:sz="4" w:space="0" w:color="auto"/>
              <w:right w:val="single" w:sz="4" w:space="0" w:color="auto"/>
            </w:tcBorders>
            <w:hideMark/>
          </w:tcPr>
          <w:p w14:paraId="3D1D707B" w14:textId="299D9CB3" w:rsidR="00DB369C" w:rsidRDefault="00DB369C" w:rsidP="00A704EE">
            <w:pPr>
              <w:pStyle w:val="TableText0"/>
              <w:rPr>
                <w:lang w:val="en-US"/>
              </w:rPr>
            </w:pPr>
            <w:r>
              <w:t>n (%)</w:t>
            </w:r>
            <w:r w:rsidR="00E251A8">
              <w:t xml:space="preserve"> </w:t>
            </w:r>
          </w:p>
        </w:tc>
        <w:tc>
          <w:tcPr>
            <w:tcW w:w="1322" w:type="pct"/>
            <w:tcBorders>
              <w:top w:val="single" w:sz="4" w:space="0" w:color="auto"/>
              <w:left w:val="single" w:sz="4" w:space="0" w:color="auto"/>
              <w:bottom w:val="single" w:sz="4" w:space="0" w:color="auto"/>
              <w:right w:val="single" w:sz="4" w:space="0" w:color="auto"/>
            </w:tcBorders>
            <w:hideMark/>
          </w:tcPr>
          <w:p w14:paraId="2D70E75E" w14:textId="77777777" w:rsidR="00DB369C" w:rsidRDefault="00DB369C" w:rsidP="00A704EE">
            <w:pPr>
              <w:pStyle w:val="TableText0"/>
              <w:jc w:val="center"/>
              <w:rPr>
                <w:lang w:val="en-US"/>
              </w:rPr>
            </w:pPr>
            <w:r>
              <w:t>23 (9.1%)</w:t>
            </w:r>
          </w:p>
        </w:tc>
        <w:tc>
          <w:tcPr>
            <w:tcW w:w="1322" w:type="pct"/>
            <w:tcBorders>
              <w:top w:val="single" w:sz="4" w:space="0" w:color="auto"/>
              <w:left w:val="single" w:sz="4" w:space="0" w:color="auto"/>
              <w:bottom w:val="single" w:sz="4" w:space="0" w:color="auto"/>
              <w:right w:val="single" w:sz="4" w:space="0" w:color="auto"/>
            </w:tcBorders>
            <w:hideMark/>
          </w:tcPr>
          <w:p w14:paraId="5F68D2F8" w14:textId="77777777" w:rsidR="00DB369C" w:rsidRDefault="00DB369C" w:rsidP="00A704EE">
            <w:pPr>
              <w:pStyle w:val="TableText0"/>
              <w:jc w:val="center"/>
              <w:rPr>
                <w:lang w:val="en-US"/>
              </w:rPr>
            </w:pPr>
            <w:r>
              <w:t>6 (4.8%)</w:t>
            </w:r>
          </w:p>
        </w:tc>
      </w:tr>
      <w:tr w:rsidR="00DB369C" w14:paraId="0478863E" w14:textId="77777777" w:rsidTr="005A203C">
        <w:tc>
          <w:tcPr>
            <w:tcW w:w="2356" w:type="pct"/>
            <w:tcBorders>
              <w:top w:val="single" w:sz="4" w:space="0" w:color="auto"/>
              <w:left w:val="single" w:sz="4" w:space="0" w:color="auto"/>
              <w:bottom w:val="single" w:sz="4" w:space="0" w:color="auto"/>
              <w:right w:val="single" w:sz="4" w:space="0" w:color="auto"/>
            </w:tcBorders>
            <w:hideMark/>
          </w:tcPr>
          <w:p w14:paraId="652A0437" w14:textId="77777777" w:rsidR="00DB369C" w:rsidRDefault="00DB369C" w:rsidP="00A704EE">
            <w:pPr>
              <w:pStyle w:val="TableText0"/>
              <w:rPr>
                <w:lang w:val="en-US"/>
              </w:rPr>
            </w:pPr>
            <w:r>
              <w:t>95% CI</w:t>
            </w:r>
          </w:p>
        </w:tc>
        <w:tc>
          <w:tcPr>
            <w:tcW w:w="1322" w:type="pct"/>
            <w:tcBorders>
              <w:top w:val="single" w:sz="4" w:space="0" w:color="auto"/>
              <w:left w:val="single" w:sz="4" w:space="0" w:color="auto"/>
              <w:bottom w:val="single" w:sz="4" w:space="0" w:color="auto"/>
              <w:right w:val="single" w:sz="4" w:space="0" w:color="auto"/>
            </w:tcBorders>
            <w:hideMark/>
          </w:tcPr>
          <w:p w14:paraId="17F0A4D9" w14:textId="74122CDA" w:rsidR="00DB369C" w:rsidRDefault="00DB369C" w:rsidP="00A704EE">
            <w:pPr>
              <w:pStyle w:val="TableText0"/>
              <w:jc w:val="center"/>
              <w:rPr>
                <w:lang w:val="en-US"/>
              </w:rPr>
            </w:pPr>
            <w:r>
              <w:t>5.9</w:t>
            </w:r>
            <w:r w:rsidR="00824092">
              <w:t xml:space="preserve">, </w:t>
            </w:r>
            <w:r>
              <w:t>13.4</w:t>
            </w:r>
          </w:p>
        </w:tc>
        <w:tc>
          <w:tcPr>
            <w:tcW w:w="1322" w:type="pct"/>
            <w:tcBorders>
              <w:top w:val="single" w:sz="4" w:space="0" w:color="auto"/>
              <w:left w:val="single" w:sz="4" w:space="0" w:color="auto"/>
              <w:bottom w:val="single" w:sz="4" w:space="0" w:color="auto"/>
              <w:right w:val="single" w:sz="4" w:space="0" w:color="auto"/>
            </w:tcBorders>
            <w:hideMark/>
          </w:tcPr>
          <w:p w14:paraId="05F0DDC5" w14:textId="784F91BE" w:rsidR="00DB369C" w:rsidRDefault="00DB369C" w:rsidP="00A704EE">
            <w:pPr>
              <w:pStyle w:val="TableText0"/>
              <w:jc w:val="center"/>
              <w:rPr>
                <w:lang w:val="en-US"/>
              </w:rPr>
            </w:pPr>
            <w:r>
              <w:t>1.8</w:t>
            </w:r>
            <w:r w:rsidR="00824092">
              <w:t xml:space="preserve">, </w:t>
            </w:r>
            <w:r>
              <w:t>10.1</w:t>
            </w:r>
          </w:p>
        </w:tc>
      </w:tr>
      <w:tr w:rsidR="00DB369C" w14:paraId="7DE2E92B" w14:textId="77777777" w:rsidTr="005A203C">
        <w:tc>
          <w:tcPr>
            <w:tcW w:w="2356" w:type="pct"/>
            <w:tcBorders>
              <w:top w:val="single" w:sz="4" w:space="0" w:color="auto"/>
              <w:left w:val="single" w:sz="4" w:space="0" w:color="auto"/>
              <w:bottom w:val="single" w:sz="4" w:space="0" w:color="auto"/>
              <w:right w:val="single" w:sz="4" w:space="0" w:color="auto"/>
            </w:tcBorders>
            <w:hideMark/>
          </w:tcPr>
          <w:p w14:paraId="1EC2AA6E" w14:textId="77777777" w:rsidR="00DB369C" w:rsidRDefault="00DB369C" w:rsidP="00A704EE">
            <w:pPr>
              <w:pStyle w:val="TableText0"/>
              <w:rPr>
                <w:lang w:val="en-US"/>
              </w:rPr>
            </w:pPr>
            <w:r>
              <w:t>Stratified odds ratio (95% CI of odds ratio)</w:t>
            </w:r>
          </w:p>
        </w:tc>
        <w:tc>
          <w:tcPr>
            <w:tcW w:w="2644" w:type="pct"/>
            <w:gridSpan w:val="2"/>
            <w:tcBorders>
              <w:top w:val="single" w:sz="4" w:space="0" w:color="auto"/>
              <w:left w:val="single" w:sz="4" w:space="0" w:color="auto"/>
              <w:bottom w:val="single" w:sz="4" w:space="0" w:color="auto"/>
              <w:right w:val="single" w:sz="4" w:space="0" w:color="auto"/>
            </w:tcBorders>
            <w:vAlign w:val="center"/>
            <w:hideMark/>
          </w:tcPr>
          <w:p w14:paraId="2D10F064" w14:textId="1F970B41" w:rsidR="00DB369C" w:rsidRDefault="00DB369C" w:rsidP="00A704EE">
            <w:pPr>
              <w:pStyle w:val="TableText0"/>
              <w:jc w:val="center"/>
              <w:rPr>
                <w:lang w:val="en-US"/>
              </w:rPr>
            </w:pPr>
            <w:r>
              <w:t>1.98 (0.79</w:t>
            </w:r>
            <w:r w:rsidR="00824092">
              <w:t xml:space="preserve">, </w:t>
            </w:r>
            <w:r>
              <w:t>4.97)</w:t>
            </w:r>
          </w:p>
        </w:tc>
      </w:tr>
      <w:tr w:rsidR="00DB369C" w14:paraId="05451007" w14:textId="77777777" w:rsidTr="005A203C">
        <w:tc>
          <w:tcPr>
            <w:tcW w:w="5000" w:type="pct"/>
            <w:gridSpan w:val="3"/>
            <w:tcBorders>
              <w:top w:val="single" w:sz="4" w:space="0" w:color="auto"/>
              <w:left w:val="single" w:sz="4" w:space="0" w:color="auto"/>
              <w:bottom w:val="single" w:sz="4" w:space="0" w:color="auto"/>
              <w:right w:val="single" w:sz="4" w:space="0" w:color="auto"/>
            </w:tcBorders>
            <w:hideMark/>
          </w:tcPr>
          <w:p w14:paraId="05180359" w14:textId="77777777" w:rsidR="00DB369C" w:rsidRDefault="00DB369C" w:rsidP="00A704EE">
            <w:pPr>
              <w:pStyle w:val="TableText0"/>
              <w:rPr>
                <w:b/>
                <w:bCs w:val="0"/>
                <w:lang w:val="en-US"/>
              </w:rPr>
            </w:pPr>
            <w:r>
              <w:rPr>
                <w:b/>
                <w:bCs w:val="0"/>
              </w:rPr>
              <w:t>Best overall response</w:t>
            </w:r>
          </w:p>
        </w:tc>
      </w:tr>
      <w:tr w:rsidR="00DB369C" w14:paraId="5A9AEE0A" w14:textId="77777777" w:rsidTr="005A203C">
        <w:tc>
          <w:tcPr>
            <w:tcW w:w="2356" w:type="pct"/>
            <w:tcBorders>
              <w:top w:val="single" w:sz="4" w:space="0" w:color="auto"/>
              <w:left w:val="single" w:sz="4" w:space="0" w:color="auto"/>
              <w:bottom w:val="single" w:sz="4" w:space="0" w:color="auto"/>
              <w:right w:val="single" w:sz="4" w:space="0" w:color="auto"/>
            </w:tcBorders>
            <w:hideMark/>
          </w:tcPr>
          <w:p w14:paraId="458493D7" w14:textId="77777777" w:rsidR="00DB369C" w:rsidRDefault="00DB369C" w:rsidP="00A704EE">
            <w:pPr>
              <w:pStyle w:val="TableText0"/>
              <w:rPr>
                <w:lang w:val="en-US"/>
              </w:rPr>
            </w:pPr>
            <w:r>
              <w:t>CR, n (%)</w:t>
            </w:r>
          </w:p>
        </w:tc>
        <w:tc>
          <w:tcPr>
            <w:tcW w:w="1322" w:type="pct"/>
            <w:tcBorders>
              <w:top w:val="single" w:sz="4" w:space="0" w:color="auto"/>
              <w:left w:val="single" w:sz="4" w:space="0" w:color="auto"/>
              <w:bottom w:val="single" w:sz="4" w:space="0" w:color="auto"/>
              <w:right w:val="single" w:sz="4" w:space="0" w:color="auto"/>
            </w:tcBorders>
            <w:hideMark/>
          </w:tcPr>
          <w:p w14:paraId="0A287AE5" w14:textId="77777777" w:rsidR="00DB369C" w:rsidRDefault="00DB369C" w:rsidP="00A704EE">
            <w:pPr>
              <w:pStyle w:val="TableText0"/>
              <w:jc w:val="center"/>
              <w:rPr>
                <w:lang w:val="en-US"/>
              </w:rPr>
            </w:pPr>
            <w:r>
              <w:t>1 (0.4%)</w:t>
            </w:r>
          </w:p>
        </w:tc>
        <w:tc>
          <w:tcPr>
            <w:tcW w:w="1322" w:type="pct"/>
            <w:tcBorders>
              <w:top w:val="single" w:sz="4" w:space="0" w:color="auto"/>
              <w:left w:val="single" w:sz="4" w:space="0" w:color="auto"/>
              <w:bottom w:val="single" w:sz="4" w:space="0" w:color="auto"/>
              <w:right w:val="single" w:sz="4" w:space="0" w:color="auto"/>
            </w:tcBorders>
            <w:hideMark/>
          </w:tcPr>
          <w:p w14:paraId="4DFF6A39" w14:textId="77777777" w:rsidR="00DB369C" w:rsidRDefault="00DB369C" w:rsidP="00A704EE">
            <w:pPr>
              <w:pStyle w:val="TableText0"/>
              <w:jc w:val="center"/>
              <w:rPr>
                <w:lang w:val="en-US"/>
              </w:rPr>
            </w:pPr>
            <w:r>
              <w:t>0 (0.0%)</w:t>
            </w:r>
          </w:p>
        </w:tc>
      </w:tr>
      <w:tr w:rsidR="00DB369C" w14:paraId="39E0FBE5" w14:textId="77777777" w:rsidTr="005A203C">
        <w:tc>
          <w:tcPr>
            <w:tcW w:w="2356" w:type="pct"/>
            <w:tcBorders>
              <w:top w:val="single" w:sz="4" w:space="0" w:color="auto"/>
              <w:left w:val="single" w:sz="4" w:space="0" w:color="auto"/>
              <w:bottom w:val="single" w:sz="4" w:space="0" w:color="auto"/>
              <w:right w:val="single" w:sz="4" w:space="0" w:color="auto"/>
            </w:tcBorders>
            <w:hideMark/>
          </w:tcPr>
          <w:p w14:paraId="04AACD9A" w14:textId="77777777" w:rsidR="00DB369C" w:rsidRDefault="00DB369C" w:rsidP="00A704EE">
            <w:pPr>
              <w:pStyle w:val="TableText0"/>
              <w:rPr>
                <w:lang w:val="en-US"/>
              </w:rPr>
            </w:pPr>
            <w:r>
              <w:t>PR, n (%)</w:t>
            </w:r>
          </w:p>
        </w:tc>
        <w:tc>
          <w:tcPr>
            <w:tcW w:w="1322" w:type="pct"/>
            <w:tcBorders>
              <w:top w:val="single" w:sz="4" w:space="0" w:color="auto"/>
              <w:left w:val="single" w:sz="4" w:space="0" w:color="auto"/>
              <w:bottom w:val="single" w:sz="4" w:space="0" w:color="auto"/>
              <w:right w:val="single" w:sz="4" w:space="0" w:color="auto"/>
            </w:tcBorders>
            <w:hideMark/>
          </w:tcPr>
          <w:p w14:paraId="279E49DD" w14:textId="77777777" w:rsidR="00DB369C" w:rsidRDefault="00DB369C" w:rsidP="00A704EE">
            <w:pPr>
              <w:pStyle w:val="TableText0"/>
              <w:jc w:val="center"/>
              <w:rPr>
                <w:lang w:val="en-US"/>
              </w:rPr>
            </w:pPr>
            <w:r>
              <w:t>22 (8.7%)</w:t>
            </w:r>
          </w:p>
        </w:tc>
        <w:tc>
          <w:tcPr>
            <w:tcW w:w="1322" w:type="pct"/>
            <w:tcBorders>
              <w:top w:val="single" w:sz="4" w:space="0" w:color="auto"/>
              <w:left w:val="single" w:sz="4" w:space="0" w:color="auto"/>
              <w:bottom w:val="single" w:sz="4" w:space="0" w:color="auto"/>
              <w:right w:val="single" w:sz="4" w:space="0" w:color="auto"/>
            </w:tcBorders>
            <w:hideMark/>
          </w:tcPr>
          <w:p w14:paraId="7E84709C" w14:textId="77777777" w:rsidR="00DB369C" w:rsidRDefault="00DB369C" w:rsidP="00A704EE">
            <w:pPr>
              <w:pStyle w:val="TableText0"/>
              <w:jc w:val="center"/>
              <w:rPr>
                <w:lang w:val="en-US"/>
              </w:rPr>
            </w:pPr>
            <w:r>
              <w:t>6 (4.8%)</w:t>
            </w:r>
          </w:p>
        </w:tc>
      </w:tr>
      <w:tr w:rsidR="00DB369C" w14:paraId="3E3DF675" w14:textId="77777777" w:rsidTr="005A203C">
        <w:tc>
          <w:tcPr>
            <w:tcW w:w="2356" w:type="pct"/>
            <w:tcBorders>
              <w:top w:val="single" w:sz="4" w:space="0" w:color="auto"/>
              <w:left w:val="single" w:sz="4" w:space="0" w:color="auto"/>
              <w:bottom w:val="single" w:sz="4" w:space="0" w:color="auto"/>
              <w:right w:val="single" w:sz="4" w:space="0" w:color="auto"/>
            </w:tcBorders>
            <w:hideMark/>
          </w:tcPr>
          <w:p w14:paraId="072C5756" w14:textId="77777777" w:rsidR="00DB369C" w:rsidRDefault="00DB369C" w:rsidP="00A704EE">
            <w:pPr>
              <w:pStyle w:val="TableText0"/>
              <w:rPr>
                <w:lang w:val="en-US"/>
              </w:rPr>
            </w:pPr>
            <w:r>
              <w:t>PD, n (%)</w:t>
            </w:r>
          </w:p>
        </w:tc>
        <w:tc>
          <w:tcPr>
            <w:tcW w:w="1322" w:type="pct"/>
            <w:tcBorders>
              <w:top w:val="single" w:sz="4" w:space="0" w:color="auto"/>
              <w:left w:val="single" w:sz="4" w:space="0" w:color="auto"/>
              <w:bottom w:val="single" w:sz="4" w:space="0" w:color="auto"/>
              <w:right w:val="single" w:sz="4" w:space="0" w:color="auto"/>
            </w:tcBorders>
            <w:hideMark/>
          </w:tcPr>
          <w:p w14:paraId="4B1F3B3C" w14:textId="77777777" w:rsidR="00DB369C" w:rsidRDefault="00DB369C" w:rsidP="00A704EE">
            <w:pPr>
              <w:pStyle w:val="TableText0"/>
              <w:jc w:val="center"/>
              <w:rPr>
                <w:lang w:val="en-US"/>
              </w:rPr>
            </w:pPr>
            <w:r>
              <w:t>131 (52.0%)</w:t>
            </w:r>
          </w:p>
        </w:tc>
        <w:tc>
          <w:tcPr>
            <w:tcW w:w="1322" w:type="pct"/>
            <w:tcBorders>
              <w:top w:val="single" w:sz="4" w:space="0" w:color="auto"/>
              <w:left w:val="single" w:sz="4" w:space="0" w:color="auto"/>
              <w:bottom w:val="single" w:sz="4" w:space="0" w:color="auto"/>
              <w:right w:val="single" w:sz="4" w:space="0" w:color="auto"/>
            </w:tcBorders>
            <w:hideMark/>
          </w:tcPr>
          <w:p w14:paraId="08304118" w14:textId="77777777" w:rsidR="00DB369C" w:rsidRDefault="00DB369C" w:rsidP="00A704EE">
            <w:pPr>
              <w:pStyle w:val="TableText0"/>
              <w:jc w:val="center"/>
              <w:rPr>
                <w:lang w:val="en-US"/>
              </w:rPr>
            </w:pPr>
            <w:r>
              <w:t>78 (61.9%)</w:t>
            </w:r>
          </w:p>
        </w:tc>
      </w:tr>
      <w:tr w:rsidR="00DB369C" w14:paraId="5E27B6D4" w14:textId="77777777" w:rsidTr="005A203C">
        <w:tc>
          <w:tcPr>
            <w:tcW w:w="2356" w:type="pct"/>
            <w:tcBorders>
              <w:top w:val="single" w:sz="4" w:space="0" w:color="auto"/>
              <w:left w:val="single" w:sz="4" w:space="0" w:color="auto"/>
              <w:bottom w:val="single" w:sz="4" w:space="0" w:color="auto"/>
              <w:right w:val="single" w:sz="4" w:space="0" w:color="auto"/>
            </w:tcBorders>
            <w:hideMark/>
          </w:tcPr>
          <w:p w14:paraId="6A24BDF1" w14:textId="77777777" w:rsidR="00DB369C" w:rsidRDefault="00DB369C" w:rsidP="00A704EE">
            <w:pPr>
              <w:pStyle w:val="TableText0"/>
              <w:rPr>
                <w:lang w:val="en-US"/>
              </w:rPr>
            </w:pPr>
            <w:r>
              <w:t>SD ≥ 12 weeks, n (%)</w:t>
            </w:r>
          </w:p>
        </w:tc>
        <w:tc>
          <w:tcPr>
            <w:tcW w:w="1322" w:type="pct"/>
            <w:tcBorders>
              <w:top w:val="single" w:sz="4" w:space="0" w:color="auto"/>
              <w:left w:val="single" w:sz="4" w:space="0" w:color="auto"/>
              <w:bottom w:val="single" w:sz="4" w:space="0" w:color="auto"/>
              <w:right w:val="single" w:sz="4" w:space="0" w:color="auto"/>
            </w:tcBorders>
            <w:hideMark/>
          </w:tcPr>
          <w:p w14:paraId="1E97C5C8" w14:textId="77777777" w:rsidR="00DB369C" w:rsidRDefault="00DB369C" w:rsidP="00A704EE">
            <w:pPr>
              <w:pStyle w:val="TableText0"/>
              <w:jc w:val="center"/>
              <w:rPr>
                <w:lang w:val="en-US"/>
              </w:rPr>
            </w:pPr>
            <w:r>
              <w:t>92 (36.5%)</w:t>
            </w:r>
          </w:p>
        </w:tc>
        <w:tc>
          <w:tcPr>
            <w:tcW w:w="1322" w:type="pct"/>
            <w:tcBorders>
              <w:top w:val="single" w:sz="4" w:space="0" w:color="auto"/>
              <w:left w:val="single" w:sz="4" w:space="0" w:color="auto"/>
              <w:bottom w:val="single" w:sz="4" w:space="0" w:color="auto"/>
              <w:right w:val="single" w:sz="4" w:space="0" w:color="auto"/>
            </w:tcBorders>
            <w:hideMark/>
          </w:tcPr>
          <w:p w14:paraId="3F8B4D77" w14:textId="77777777" w:rsidR="00DB369C" w:rsidRDefault="00DB369C" w:rsidP="00A704EE">
            <w:pPr>
              <w:pStyle w:val="TableText0"/>
              <w:jc w:val="center"/>
              <w:rPr>
                <w:lang w:val="en-US"/>
              </w:rPr>
            </w:pPr>
            <w:r>
              <w:t>28 (22.2%)</w:t>
            </w:r>
          </w:p>
        </w:tc>
      </w:tr>
      <w:tr w:rsidR="00DB369C" w14:paraId="48597F16" w14:textId="77777777" w:rsidTr="005A203C">
        <w:tc>
          <w:tcPr>
            <w:tcW w:w="2356" w:type="pct"/>
            <w:tcBorders>
              <w:top w:val="single" w:sz="4" w:space="0" w:color="auto"/>
              <w:left w:val="single" w:sz="4" w:space="0" w:color="auto"/>
              <w:bottom w:val="single" w:sz="4" w:space="0" w:color="auto"/>
              <w:right w:val="single" w:sz="4" w:space="0" w:color="auto"/>
            </w:tcBorders>
            <w:hideMark/>
          </w:tcPr>
          <w:p w14:paraId="349DD2BC" w14:textId="77777777" w:rsidR="00DB369C" w:rsidRDefault="00DB369C" w:rsidP="00A704EE">
            <w:pPr>
              <w:pStyle w:val="TableText0"/>
              <w:rPr>
                <w:lang w:val="en-US"/>
              </w:rPr>
            </w:pPr>
            <w:r>
              <w:t>Not evaluable</w:t>
            </w:r>
          </w:p>
        </w:tc>
        <w:tc>
          <w:tcPr>
            <w:tcW w:w="1322" w:type="pct"/>
            <w:tcBorders>
              <w:top w:val="single" w:sz="4" w:space="0" w:color="auto"/>
              <w:left w:val="single" w:sz="4" w:space="0" w:color="auto"/>
              <w:bottom w:val="single" w:sz="4" w:space="0" w:color="auto"/>
              <w:right w:val="single" w:sz="4" w:space="0" w:color="auto"/>
            </w:tcBorders>
            <w:hideMark/>
          </w:tcPr>
          <w:p w14:paraId="25AA4978" w14:textId="77777777" w:rsidR="00DB369C" w:rsidRDefault="00DB369C" w:rsidP="00A704EE">
            <w:pPr>
              <w:pStyle w:val="TableText0"/>
              <w:jc w:val="center"/>
              <w:rPr>
                <w:lang w:val="en-US"/>
              </w:rPr>
            </w:pPr>
            <w:r>
              <w:t>6 (2.4%)</w:t>
            </w:r>
          </w:p>
        </w:tc>
        <w:tc>
          <w:tcPr>
            <w:tcW w:w="1322" w:type="pct"/>
            <w:tcBorders>
              <w:top w:val="single" w:sz="4" w:space="0" w:color="auto"/>
              <w:left w:val="single" w:sz="4" w:space="0" w:color="auto"/>
              <w:bottom w:val="single" w:sz="4" w:space="0" w:color="auto"/>
              <w:right w:val="single" w:sz="4" w:space="0" w:color="auto"/>
            </w:tcBorders>
            <w:hideMark/>
          </w:tcPr>
          <w:p w14:paraId="10D14BE6" w14:textId="77777777" w:rsidR="00DB369C" w:rsidRDefault="00DB369C" w:rsidP="00A704EE">
            <w:pPr>
              <w:pStyle w:val="TableText0"/>
              <w:jc w:val="center"/>
              <w:rPr>
                <w:lang w:val="en-US"/>
              </w:rPr>
            </w:pPr>
            <w:r>
              <w:t>14 (11.1%)</w:t>
            </w:r>
          </w:p>
        </w:tc>
      </w:tr>
      <w:tr w:rsidR="00DB369C" w14:paraId="7692F06E" w14:textId="77777777" w:rsidTr="005A203C">
        <w:tc>
          <w:tcPr>
            <w:tcW w:w="5000" w:type="pct"/>
            <w:gridSpan w:val="3"/>
            <w:tcBorders>
              <w:top w:val="single" w:sz="4" w:space="0" w:color="auto"/>
              <w:left w:val="single" w:sz="4" w:space="0" w:color="auto"/>
              <w:bottom w:val="single" w:sz="4" w:space="0" w:color="auto"/>
              <w:right w:val="single" w:sz="4" w:space="0" w:color="auto"/>
            </w:tcBorders>
            <w:hideMark/>
          </w:tcPr>
          <w:p w14:paraId="2C6D423D" w14:textId="77777777" w:rsidR="00DB369C" w:rsidRDefault="00DB369C" w:rsidP="00A704EE">
            <w:pPr>
              <w:pStyle w:val="TableText0"/>
              <w:rPr>
                <w:b/>
                <w:bCs w:val="0"/>
                <w:lang w:val="en-US"/>
              </w:rPr>
            </w:pPr>
            <w:r>
              <w:rPr>
                <w:b/>
                <w:bCs w:val="0"/>
              </w:rPr>
              <w:t>Disease control rate (CR or PR or SD ≥ 12 weeks)</w:t>
            </w:r>
          </w:p>
        </w:tc>
      </w:tr>
      <w:tr w:rsidR="00DB369C" w14:paraId="60ED1844" w14:textId="77777777" w:rsidTr="005A203C">
        <w:tc>
          <w:tcPr>
            <w:tcW w:w="2356" w:type="pct"/>
            <w:tcBorders>
              <w:top w:val="single" w:sz="4" w:space="0" w:color="auto"/>
              <w:left w:val="single" w:sz="4" w:space="0" w:color="auto"/>
              <w:bottom w:val="single" w:sz="4" w:space="0" w:color="auto"/>
              <w:right w:val="single" w:sz="4" w:space="0" w:color="auto"/>
            </w:tcBorders>
            <w:hideMark/>
          </w:tcPr>
          <w:p w14:paraId="7E1E96BB" w14:textId="77777777" w:rsidR="00DB369C" w:rsidRDefault="00DB369C" w:rsidP="00A704EE">
            <w:pPr>
              <w:pStyle w:val="TableText0"/>
              <w:rPr>
                <w:lang w:val="en-US"/>
              </w:rPr>
            </w:pPr>
            <w:r>
              <w:t>n (%)</w:t>
            </w:r>
          </w:p>
        </w:tc>
        <w:tc>
          <w:tcPr>
            <w:tcW w:w="1322" w:type="pct"/>
            <w:tcBorders>
              <w:top w:val="single" w:sz="4" w:space="0" w:color="auto"/>
              <w:left w:val="single" w:sz="4" w:space="0" w:color="auto"/>
              <w:bottom w:val="single" w:sz="4" w:space="0" w:color="auto"/>
              <w:right w:val="single" w:sz="4" w:space="0" w:color="auto"/>
            </w:tcBorders>
            <w:hideMark/>
          </w:tcPr>
          <w:p w14:paraId="76897DFD" w14:textId="77777777" w:rsidR="00DB369C" w:rsidRDefault="00DB369C" w:rsidP="00A704EE">
            <w:pPr>
              <w:pStyle w:val="TableText0"/>
              <w:jc w:val="center"/>
              <w:rPr>
                <w:lang w:val="en-US"/>
              </w:rPr>
            </w:pPr>
            <w:r>
              <w:t>115 (45.6%)</w:t>
            </w:r>
          </w:p>
        </w:tc>
        <w:tc>
          <w:tcPr>
            <w:tcW w:w="1322" w:type="pct"/>
            <w:tcBorders>
              <w:top w:val="single" w:sz="4" w:space="0" w:color="auto"/>
              <w:left w:val="single" w:sz="4" w:space="0" w:color="auto"/>
              <w:bottom w:val="single" w:sz="4" w:space="0" w:color="auto"/>
              <w:right w:val="single" w:sz="4" w:space="0" w:color="auto"/>
            </w:tcBorders>
            <w:hideMark/>
          </w:tcPr>
          <w:p w14:paraId="13B34F12" w14:textId="77777777" w:rsidR="00DB369C" w:rsidRDefault="00DB369C" w:rsidP="00A704EE">
            <w:pPr>
              <w:pStyle w:val="TableText0"/>
              <w:jc w:val="center"/>
              <w:rPr>
                <w:lang w:val="en-US"/>
              </w:rPr>
            </w:pPr>
            <w:r>
              <w:t>34 (27.0%)</w:t>
            </w:r>
          </w:p>
        </w:tc>
      </w:tr>
      <w:tr w:rsidR="00DB369C" w14:paraId="672E0446" w14:textId="77777777" w:rsidTr="005A203C">
        <w:tc>
          <w:tcPr>
            <w:tcW w:w="2356" w:type="pct"/>
            <w:tcBorders>
              <w:top w:val="single" w:sz="4" w:space="0" w:color="auto"/>
              <w:left w:val="single" w:sz="4" w:space="0" w:color="auto"/>
              <w:bottom w:val="single" w:sz="4" w:space="0" w:color="auto"/>
              <w:right w:val="single" w:sz="4" w:space="0" w:color="auto"/>
            </w:tcBorders>
            <w:hideMark/>
          </w:tcPr>
          <w:p w14:paraId="02C8C16C" w14:textId="77777777" w:rsidR="00DB369C" w:rsidRDefault="00DB369C" w:rsidP="00A704EE">
            <w:pPr>
              <w:pStyle w:val="TableText0"/>
              <w:rPr>
                <w:lang w:val="en-US"/>
              </w:rPr>
            </w:pPr>
            <w:r>
              <w:t>95% CI</w:t>
            </w:r>
          </w:p>
        </w:tc>
        <w:tc>
          <w:tcPr>
            <w:tcW w:w="1322" w:type="pct"/>
            <w:tcBorders>
              <w:top w:val="single" w:sz="4" w:space="0" w:color="auto"/>
              <w:left w:val="single" w:sz="4" w:space="0" w:color="auto"/>
              <w:bottom w:val="single" w:sz="4" w:space="0" w:color="auto"/>
              <w:right w:val="single" w:sz="4" w:space="0" w:color="auto"/>
            </w:tcBorders>
            <w:hideMark/>
          </w:tcPr>
          <w:p w14:paraId="6AB1021B" w14:textId="00977F61" w:rsidR="00DB369C" w:rsidRDefault="00DB369C" w:rsidP="00A704EE">
            <w:pPr>
              <w:pStyle w:val="TableText0"/>
              <w:jc w:val="center"/>
              <w:rPr>
                <w:lang w:val="en-US"/>
              </w:rPr>
            </w:pPr>
            <w:r>
              <w:t>39.4</w:t>
            </w:r>
            <w:r w:rsidR="00824092">
              <w:t xml:space="preserve">, </w:t>
            </w:r>
            <w:r>
              <w:t>52.0</w:t>
            </w:r>
          </w:p>
        </w:tc>
        <w:tc>
          <w:tcPr>
            <w:tcW w:w="1322" w:type="pct"/>
            <w:tcBorders>
              <w:top w:val="single" w:sz="4" w:space="0" w:color="auto"/>
              <w:left w:val="single" w:sz="4" w:space="0" w:color="auto"/>
              <w:bottom w:val="single" w:sz="4" w:space="0" w:color="auto"/>
              <w:right w:val="single" w:sz="4" w:space="0" w:color="auto"/>
            </w:tcBorders>
            <w:hideMark/>
          </w:tcPr>
          <w:p w14:paraId="23AAB6A8" w14:textId="4EFE59A5" w:rsidR="00DB369C" w:rsidRDefault="00DB369C" w:rsidP="00A704EE">
            <w:pPr>
              <w:pStyle w:val="TableText0"/>
              <w:jc w:val="center"/>
              <w:rPr>
                <w:lang w:val="en-US"/>
              </w:rPr>
            </w:pPr>
            <w:r>
              <w:t>19.5</w:t>
            </w:r>
            <w:r w:rsidR="00824092">
              <w:t xml:space="preserve">, </w:t>
            </w:r>
            <w:r>
              <w:t>35.6</w:t>
            </w:r>
          </w:p>
        </w:tc>
      </w:tr>
      <w:tr w:rsidR="00DB369C" w14:paraId="2402E3E7" w14:textId="77777777" w:rsidTr="005A203C">
        <w:tc>
          <w:tcPr>
            <w:tcW w:w="2356" w:type="pct"/>
            <w:tcBorders>
              <w:top w:val="single" w:sz="4" w:space="0" w:color="auto"/>
              <w:left w:val="single" w:sz="4" w:space="0" w:color="auto"/>
              <w:bottom w:val="single" w:sz="4" w:space="0" w:color="auto"/>
              <w:right w:val="single" w:sz="4" w:space="0" w:color="auto"/>
            </w:tcBorders>
            <w:hideMark/>
          </w:tcPr>
          <w:p w14:paraId="6B66E8F0" w14:textId="77777777" w:rsidR="00DB369C" w:rsidRDefault="00DB369C" w:rsidP="00A704EE">
            <w:pPr>
              <w:pStyle w:val="TableText0"/>
              <w:rPr>
                <w:lang w:val="en-US"/>
              </w:rPr>
            </w:pPr>
            <w:r>
              <w:t>Stratified odds ratio (95% CI of odds ratio)</w:t>
            </w:r>
          </w:p>
        </w:tc>
        <w:tc>
          <w:tcPr>
            <w:tcW w:w="2644" w:type="pct"/>
            <w:gridSpan w:val="2"/>
            <w:tcBorders>
              <w:top w:val="single" w:sz="4" w:space="0" w:color="auto"/>
              <w:left w:val="single" w:sz="4" w:space="0" w:color="auto"/>
              <w:bottom w:val="single" w:sz="4" w:space="0" w:color="auto"/>
              <w:right w:val="single" w:sz="4" w:space="0" w:color="auto"/>
            </w:tcBorders>
            <w:vAlign w:val="center"/>
            <w:hideMark/>
          </w:tcPr>
          <w:p w14:paraId="66033486" w14:textId="0EC1EBA2" w:rsidR="00DB369C" w:rsidRDefault="00DB369C" w:rsidP="00A704EE">
            <w:pPr>
              <w:pStyle w:val="TableText0"/>
              <w:jc w:val="center"/>
              <w:rPr>
                <w:lang w:val="en-US"/>
              </w:rPr>
            </w:pPr>
            <w:r>
              <w:t>2.33 (1.45</w:t>
            </w:r>
            <w:r w:rsidR="00824092">
              <w:t xml:space="preserve">, </w:t>
            </w:r>
            <w:r>
              <w:t>3.75)</w:t>
            </w:r>
          </w:p>
        </w:tc>
      </w:tr>
    </w:tbl>
    <w:p w14:paraId="1DEDEBFD" w14:textId="77777777" w:rsidR="00DB369C" w:rsidRDefault="00DB369C" w:rsidP="00DB369C">
      <w:pPr>
        <w:pStyle w:val="FooterTableFigure"/>
      </w:pPr>
      <w:r>
        <w:t>Source: Table 2.5.4, p75 of the submission.</w:t>
      </w:r>
    </w:p>
    <w:p w14:paraId="4B82FEEF" w14:textId="77777777" w:rsidR="00DB369C" w:rsidRDefault="00DB369C" w:rsidP="00DB369C">
      <w:pPr>
        <w:pStyle w:val="FooterTableFigure"/>
      </w:pPr>
      <w:r>
        <w:t>BOR = best overall response, CI = confidence interval, CR = complete response, DCR = disease control rate, n = number of participants reporting data, N = total participants in group, PD = progressive disease, PR = partial response, SD = stable disease.</w:t>
      </w:r>
    </w:p>
    <w:p w14:paraId="7B7AEF3C" w14:textId="162669DA" w:rsidR="00DB369C" w:rsidRPr="00972657" w:rsidRDefault="00DB369C" w:rsidP="00D77B44">
      <w:pPr>
        <w:pStyle w:val="3-BodyText"/>
        <w:rPr>
          <w:i/>
          <w:iCs/>
        </w:rPr>
      </w:pPr>
      <w:r w:rsidRPr="00972657">
        <w:lastRenderedPageBreak/>
        <w:t xml:space="preserve">At the first interim analysis (data cut-off: October 2020), the ORR was higher in the tebentafusp arm compared with investigator’s choice arm (9.1% compared with 4.8%). </w:t>
      </w:r>
    </w:p>
    <w:p w14:paraId="3638DDE3" w14:textId="77777777" w:rsidR="00DB369C" w:rsidRDefault="00DB369C" w:rsidP="00DB369C">
      <w:pPr>
        <w:pStyle w:val="3-BodyText"/>
        <w:numPr>
          <w:ilvl w:val="0"/>
          <w:numId w:val="0"/>
        </w:numPr>
        <w:rPr>
          <w:u w:val="single"/>
        </w:rPr>
      </w:pPr>
      <w:r w:rsidRPr="00FD2456">
        <w:rPr>
          <w:u w:val="single"/>
        </w:rPr>
        <w:t>Duration of Response</w:t>
      </w:r>
      <w:r>
        <w:rPr>
          <w:u w:val="single"/>
        </w:rPr>
        <w:t xml:space="preserve"> (DOR)</w:t>
      </w:r>
    </w:p>
    <w:p w14:paraId="3EA52881" w14:textId="2BD189D7" w:rsidR="00DB369C" w:rsidRPr="00FD2456" w:rsidRDefault="00DB369C" w:rsidP="00D77B44">
      <w:pPr>
        <w:pStyle w:val="3-BodyText"/>
      </w:pPr>
      <w:r w:rsidRPr="00FD2456">
        <w:fldChar w:fldCharType="begin" w:fldLock="1"/>
      </w:r>
      <w:r w:rsidRPr="00FD2456">
        <w:instrText xml:space="preserve"> REF _Ref121076536 \h  \* MERGEFORMAT </w:instrText>
      </w:r>
      <w:r w:rsidRPr="00FD2456">
        <w:fldChar w:fldCharType="separate"/>
      </w:r>
      <w:r w:rsidR="00A53FF4" w:rsidRPr="000A0CD2">
        <w:t xml:space="preserve">Table </w:t>
      </w:r>
      <w:r w:rsidR="00A53FF4" w:rsidRPr="00A53FF4">
        <w:t>6</w:t>
      </w:r>
      <w:r w:rsidRPr="00FD2456">
        <w:fldChar w:fldCharType="end"/>
      </w:r>
      <w:r>
        <w:t xml:space="preserve"> </w:t>
      </w:r>
      <w:r w:rsidRPr="00FD2456">
        <w:t>summarises the results for duration of response in IMCgp100-202 trial</w:t>
      </w:r>
      <w:r>
        <w:rPr>
          <w:rFonts w:eastAsia="Calibri"/>
        </w:rPr>
        <w:t xml:space="preserve"> </w:t>
      </w:r>
      <w:r w:rsidRPr="00D47B12">
        <w:rPr>
          <w:rFonts w:eastAsia="Calibri"/>
        </w:rPr>
        <w:t>(data cut-off</w:t>
      </w:r>
      <w:r>
        <w:rPr>
          <w:rFonts w:eastAsia="Calibri"/>
        </w:rPr>
        <w:t xml:space="preserve">: </w:t>
      </w:r>
      <w:r w:rsidRPr="00D47B12">
        <w:rPr>
          <w:rFonts w:eastAsia="Calibri"/>
        </w:rPr>
        <w:t>October 2020</w:t>
      </w:r>
      <w:r>
        <w:rPr>
          <w:rFonts w:eastAsia="Calibri"/>
        </w:rPr>
        <w:t>)</w:t>
      </w:r>
      <w:r w:rsidRPr="00073BA5">
        <w:rPr>
          <w:rFonts w:eastAsia="Calibri"/>
        </w:rPr>
        <w:t>.</w:t>
      </w:r>
    </w:p>
    <w:p w14:paraId="06320353" w14:textId="5EC63D21" w:rsidR="000D025A" w:rsidRPr="000A0CD2" w:rsidRDefault="00DB369C" w:rsidP="000D025A">
      <w:pPr>
        <w:pStyle w:val="TableFigureHeading"/>
      </w:pPr>
      <w:bookmarkStart w:id="36" w:name="_Ref121076536"/>
      <w:r w:rsidRPr="000A0CD2">
        <w:t xml:space="preserve">Table </w:t>
      </w:r>
      <w:r w:rsidRPr="00287E55">
        <w:rPr>
          <w:rStyle w:val="CommentReference"/>
          <w:b/>
          <w:bCs w:val="0"/>
          <w:szCs w:val="24"/>
        </w:rPr>
        <w:fldChar w:fldCharType="begin" w:fldLock="1"/>
      </w:r>
      <w:r w:rsidRPr="00287E55">
        <w:rPr>
          <w:rStyle w:val="CommentReference"/>
          <w:b/>
          <w:bCs w:val="0"/>
          <w:szCs w:val="24"/>
        </w:rPr>
        <w:instrText xml:space="preserve"> SEQ Table \* ARABIC </w:instrText>
      </w:r>
      <w:r w:rsidRPr="00287E55">
        <w:rPr>
          <w:rStyle w:val="CommentReference"/>
          <w:b/>
          <w:bCs w:val="0"/>
          <w:szCs w:val="24"/>
        </w:rPr>
        <w:fldChar w:fldCharType="separate"/>
      </w:r>
      <w:r w:rsidR="00A53FF4">
        <w:rPr>
          <w:rStyle w:val="CommentReference"/>
          <w:b/>
          <w:bCs w:val="0"/>
          <w:noProof/>
          <w:szCs w:val="24"/>
        </w:rPr>
        <w:t>6</w:t>
      </w:r>
      <w:r w:rsidRPr="00287E55">
        <w:rPr>
          <w:rStyle w:val="CommentReference"/>
          <w:b/>
          <w:bCs w:val="0"/>
          <w:szCs w:val="24"/>
        </w:rPr>
        <w:fldChar w:fldCharType="end"/>
      </w:r>
      <w:bookmarkEnd w:id="36"/>
      <w:r w:rsidRPr="000A0CD2">
        <w:t>: Summary of DOR in IMCgp100-202 trial (data cut-off: October 2020</w:t>
      </w:r>
      <w:r w:rsidR="000D025A">
        <w:t>; median duration of follow up = 14.1 months</w:t>
      </w:r>
      <w:r w:rsidR="000D025A" w:rsidRPr="000A0CD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2384"/>
        <w:gridCol w:w="2384"/>
      </w:tblGrid>
      <w:tr w:rsidR="00DB369C" w14:paraId="3086CEB8"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311D9D5E" w14:textId="77777777" w:rsidR="00DB369C" w:rsidRDefault="00DB369C" w:rsidP="00A704EE">
            <w:pPr>
              <w:keepNext/>
              <w:rPr>
                <w:rFonts w:ascii="Arial Narrow" w:hAnsi="Arial Narrow"/>
                <w:b/>
                <w:sz w:val="20"/>
                <w:szCs w:val="16"/>
              </w:rPr>
            </w:pPr>
          </w:p>
        </w:tc>
        <w:tc>
          <w:tcPr>
            <w:tcW w:w="1322" w:type="pct"/>
            <w:tcBorders>
              <w:top w:val="single" w:sz="4" w:space="0" w:color="auto"/>
              <w:left w:val="single" w:sz="4" w:space="0" w:color="auto"/>
              <w:bottom w:val="single" w:sz="4" w:space="0" w:color="auto"/>
              <w:right w:val="single" w:sz="4" w:space="0" w:color="auto"/>
            </w:tcBorders>
            <w:vAlign w:val="center"/>
            <w:hideMark/>
          </w:tcPr>
          <w:p w14:paraId="582AF35E" w14:textId="77777777" w:rsidR="00DB369C" w:rsidRDefault="00DB369C" w:rsidP="00A704EE">
            <w:pPr>
              <w:pStyle w:val="TableText0"/>
              <w:jc w:val="center"/>
              <w:rPr>
                <w:b/>
                <w:bCs w:val="0"/>
                <w:lang w:val="en-US"/>
              </w:rPr>
            </w:pPr>
            <w:r>
              <w:rPr>
                <w:b/>
                <w:bCs w:val="0"/>
                <w:lang w:val="en-US"/>
              </w:rPr>
              <w:t xml:space="preserve">Tebentafusp </w:t>
            </w:r>
          </w:p>
        </w:tc>
        <w:tc>
          <w:tcPr>
            <w:tcW w:w="1322" w:type="pct"/>
            <w:tcBorders>
              <w:top w:val="single" w:sz="4" w:space="0" w:color="auto"/>
              <w:left w:val="single" w:sz="4" w:space="0" w:color="auto"/>
              <w:bottom w:val="single" w:sz="4" w:space="0" w:color="auto"/>
              <w:right w:val="single" w:sz="4" w:space="0" w:color="auto"/>
            </w:tcBorders>
            <w:vAlign w:val="center"/>
            <w:hideMark/>
          </w:tcPr>
          <w:p w14:paraId="02C73D49" w14:textId="30C26084" w:rsidR="00DB369C" w:rsidRDefault="00DB369C" w:rsidP="00A704EE">
            <w:pPr>
              <w:pStyle w:val="TableText0"/>
              <w:jc w:val="center"/>
              <w:rPr>
                <w:b/>
                <w:bCs w:val="0"/>
                <w:lang w:val="en-US"/>
              </w:rPr>
            </w:pPr>
            <w:r>
              <w:rPr>
                <w:b/>
                <w:bCs w:val="0"/>
                <w:lang w:val="en-US"/>
              </w:rPr>
              <w:t xml:space="preserve">Investigator </w:t>
            </w:r>
            <w:r w:rsidR="006D0DA2">
              <w:rPr>
                <w:b/>
                <w:bCs w:val="0"/>
                <w:lang w:val="en-US"/>
              </w:rPr>
              <w:t>c</w:t>
            </w:r>
            <w:r>
              <w:rPr>
                <w:b/>
                <w:bCs w:val="0"/>
                <w:lang w:val="en-US"/>
              </w:rPr>
              <w:t>hoice</w:t>
            </w:r>
          </w:p>
        </w:tc>
      </w:tr>
      <w:tr w:rsidR="00DB369C" w14:paraId="592099CD"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3EB54156" w14:textId="77777777" w:rsidR="00DB369C" w:rsidRDefault="00DB369C" w:rsidP="00A704EE">
            <w:pPr>
              <w:pStyle w:val="TableText0"/>
              <w:rPr>
                <w:lang w:val="en-US"/>
              </w:rPr>
            </w:pPr>
            <w:r>
              <w:t>Patients achieving ORR (N)</w:t>
            </w:r>
          </w:p>
        </w:tc>
        <w:tc>
          <w:tcPr>
            <w:tcW w:w="1322" w:type="pct"/>
            <w:tcBorders>
              <w:top w:val="single" w:sz="4" w:space="0" w:color="auto"/>
              <w:left w:val="single" w:sz="4" w:space="0" w:color="auto"/>
              <w:bottom w:val="single" w:sz="4" w:space="0" w:color="auto"/>
              <w:right w:val="single" w:sz="4" w:space="0" w:color="auto"/>
            </w:tcBorders>
            <w:hideMark/>
          </w:tcPr>
          <w:p w14:paraId="4A985E94" w14:textId="77777777" w:rsidR="00DB369C" w:rsidRDefault="00DB369C" w:rsidP="00A704EE">
            <w:pPr>
              <w:pStyle w:val="TableText0"/>
              <w:jc w:val="center"/>
              <w:rPr>
                <w:lang w:val="en-US"/>
              </w:rPr>
            </w:pPr>
            <w:r>
              <w:t xml:space="preserve">23 </w:t>
            </w:r>
          </w:p>
        </w:tc>
        <w:tc>
          <w:tcPr>
            <w:tcW w:w="1322" w:type="pct"/>
            <w:tcBorders>
              <w:top w:val="single" w:sz="4" w:space="0" w:color="auto"/>
              <w:left w:val="single" w:sz="4" w:space="0" w:color="auto"/>
              <w:bottom w:val="single" w:sz="4" w:space="0" w:color="auto"/>
              <w:right w:val="single" w:sz="4" w:space="0" w:color="auto"/>
            </w:tcBorders>
            <w:hideMark/>
          </w:tcPr>
          <w:p w14:paraId="5271218A" w14:textId="77777777" w:rsidR="00DB369C" w:rsidRDefault="00DB369C" w:rsidP="00A704EE">
            <w:pPr>
              <w:pStyle w:val="TableText0"/>
              <w:jc w:val="center"/>
              <w:rPr>
                <w:lang w:val="en-US"/>
              </w:rPr>
            </w:pPr>
            <w:r>
              <w:t xml:space="preserve">6 </w:t>
            </w:r>
          </w:p>
        </w:tc>
      </w:tr>
      <w:tr w:rsidR="00DB369C" w14:paraId="1FAAED91"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52B9322D" w14:textId="77777777" w:rsidR="00DB369C" w:rsidRDefault="00DB369C" w:rsidP="00A704EE">
            <w:pPr>
              <w:pStyle w:val="TableText0"/>
              <w:rPr>
                <w:lang w:val="en-US"/>
              </w:rPr>
            </w:pPr>
            <w:r>
              <w:t>Median follow</w:t>
            </w:r>
            <w:r>
              <w:noBreakHyphen/>
              <w:t>up, months (95% CI)</w:t>
            </w:r>
          </w:p>
        </w:tc>
        <w:tc>
          <w:tcPr>
            <w:tcW w:w="1322" w:type="pct"/>
            <w:tcBorders>
              <w:top w:val="single" w:sz="4" w:space="0" w:color="auto"/>
              <w:left w:val="single" w:sz="4" w:space="0" w:color="auto"/>
              <w:bottom w:val="single" w:sz="4" w:space="0" w:color="auto"/>
              <w:right w:val="single" w:sz="4" w:space="0" w:color="auto"/>
            </w:tcBorders>
            <w:vAlign w:val="center"/>
            <w:hideMark/>
          </w:tcPr>
          <w:p w14:paraId="25C6C6FC" w14:textId="5DBE7C03" w:rsidR="00DB369C" w:rsidRDefault="00DB369C" w:rsidP="00A704EE">
            <w:pPr>
              <w:pStyle w:val="TableText0"/>
              <w:jc w:val="center"/>
              <w:rPr>
                <w:lang w:val="en-US"/>
              </w:rPr>
            </w:pPr>
            <w:r>
              <w:t>10.8 (2.8</w:t>
            </w:r>
            <w:r w:rsidR="00824092">
              <w:t xml:space="preserve">, </w:t>
            </w:r>
            <w:r>
              <w:t>13.8)</w:t>
            </w:r>
          </w:p>
        </w:tc>
        <w:tc>
          <w:tcPr>
            <w:tcW w:w="1322" w:type="pct"/>
            <w:tcBorders>
              <w:top w:val="single" w:sz="4" w:space="0" w:color="auto"/>
              <w:left w:val="single" w:sz="4" w:space="0" w:color="auto"/>
              <w:bottom w:val="single" w:sz="4" w:space="0" w:color="auto"/>
              <w:right w:val="single" w:sz="4" w:space="0" w:color="auto"/>
            </w:tcBorders>
            <w:vAlign w:val="center"/>
            <w:hideMark/>
          </w:tcPr>
          <w:p w14:paraId="55CC74D5" w14:textId="6FA86284" w:rsidR="00DB369C" w:rsidRDefault="00DB369C" w:rsidP="00A704EE">
            <w:pPr>
              <w:pStyle w:val="TableText0"/>
              <w:jc w:val="center"/>
              <w:rPr>
                <w:lang w:val="en-US"/>
              </w:rPr>
            </w:pPr>
            <w:r>
              <w:t>9.3 (2.8</w:t>
            </w:r>
            <w:r w:rsidR="00824092">
              <w:t xml:space="preserve">, </w:t>
            </w:r>
            <w:r>
              <w:t>NE)</w:t>
            </w:r>
          </w:p>
        </w:tc>
      </w:tr>
      <w:tr w:rsidR="00DB369C" w14:paraId="75EFFF80" w14:textId="77777777" w:rsidTr="005A203C">
        <w:tc>
          <w:tcPr>
            <w:tcW w:w="5000" w:type="pct"/>
            <w:gridSpan w:val="3"/>
            <w:tcBorders>
              <w:top w:val="single" w:sz="4" w:space="0" w:color="auto"/>
              <w:left w:val="single" w:sz="4" w:space="0" w:color="auto"/>
              <w:bottom w:val="single" w:sz="4" w:space="0" w:color="auto"/>
              <w:right w:val="single" w:sz="4" w:space="0" w:color="auto"/>
            </w:tcBorders>
            <w:hideMark/>
          </w:tcPr>
          <w:p w14:paraId="7B689383" w14:textId="77777777" w:rsidR="00DB369C" w:rsidRDefault="00DB369C" w:rsidP="00A704EE">
            <w:pPr>
              <w:pStyle w:val="TableText0"/>
              <w:rPr>
                <w:b/>
              </w:rPr>
            </w:pPr>
            <w:r>
              <w:rPr>
                <w:b/>
                <w:bCs w:val="0"/>
              </w:rPr>
              <w:t>D</w:t>
            </w:r>
            <w:r>
              <w:rPr>
                <w:b/>
              </w:rPr>
              <w:t>uration of Response</w:t>
            </w:r>
          </w:p>
        </w:tc>
      </w:tr>
      <w:tr w:rsidR="00DB369C" w14:paraId="3F5F91C4"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1329B588" w14:textId="77777777" w:rsidR="00DB369C" w:rsidRDefault="00DB369C" w:rsidP="00A704EE">
            <w:pPr>
              <w:pStyle w:val="TableText0"/>
              <w:rPr>
                <w:lang w:val="en-US"/>
              </w:rPr>
            </w:pPr>
            <w:r>
              <w:t>PFS events, n (%)</w:t>
            </w:r>
          </w:p>
        </w:tc>
        <w:tc>
          <w:tcPr>
            <w:tcW w:w="1322" w:type="pct"/>
            <w:tcBorders>
              <w:top w:val="single" w:sz="4" w:space="0" w:color="auto"/>
              <w:left w:val="single" w:sz="4" w:space="0" w:color="auto"/>
              <w:bottom w:val="single" w:sz="4" w:space="0" w:color="auto"/>
              <w:right w:val="single" w:sz="4" w:space="0" w:color="auto"/>
            </w:tcBorders>
            <w:vAlign w:val="center"/>
            <w:hideMark/>
          </w:tcPr>
          <w:p w14:paraId="4225E8C4" w14:textId="77777777" w:rsidR="00DB369C" w:rsidRDefault="00DB369C" w:rsidP="00A704EE">
            <w:pPr>
              <w:pStyle w:val="TableText0"/>
              <w:jc w:val="center"/>
              <w:rPr>
                <w:lang w:val="en-US"/>
              </w:rPr>
            </w:pPr>
            <w:r>
              <w:t>9 (39.1%)</w:t>
            </w:r>
          </w:p>
        </w:tc>
        <w:tc>
          <w:tcPr>
            <w:tcW w:w="1322" w:type="pct"/>
            <w:tcBorders>
              <w:top w:val="single" w:sz="4" w:space="0" w:color="auto"/>
              <w:left w:val="single" w:sz="4" w:space="0" w:color="auto"/>
              <w:bottom w:val="single" w:sz="4" w:space="0" w:color="auto"/>
              <w:right w:val="single" w:sz="4" w:space="0" w:color="auto"/>
            </w:tcBorders>
            <w:vAlign w:val="center"/>
            <w:hideMark/>
          </w:tcPr>
          <w:p w14:paraId="435F702F" w14:textId="77777777" w:rsidR="00DB369C" w:rsidRDefault="00DB369C" w:rsidP="00A704EE">
            <w:pPr>
              <w:pStyle w:val="TableText0"/>
              <w:jc w:val="center"/>
              <w:rPr>
                <w:lang w:val="en-US"/>
              </w:rPr>
            </w:pPr>
            <w:r>
              <w:t>4 (66.7%)</w:t>
            </w:r>
          </w:p>
        </w:tc>
      </w:tr>
      <w:tr w:rsidR="00DB369C" w14:paraId="3E23B23D"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5067EC1C" w14:textId="77777777" w:rsidR="00DB369C" w:rsidRDefault="00DB369C" w:rsidP="00A704EE">
            <w:pPr>
              <w:pStyle w:val="TableText0"/>
              <w:rPr>
                <w:lang w:val="en-US"/>
              </w:rPr>
            </w:pPr>
            <w:r>
              <w:t>PD</w:t>
            </w:r>
          </w:p>
        </w:tc>
        <w:tc>
          <w:tcPr>
            <w:tcW w:w="1322" w:type="pct"/>
            <w:tcBorders>
              <w:top w:val="single" w:sz="4" w:space="0" w:color="auto"/>
              <w:left w:val="single" w:sz="4" w:space="0" w:color="auto"/>
              <w:bottom w:val="single" w:sz="4" w:space="0" w:color="auto"/>
              <w:right w:val="single" w:sz="4" w:space="0" w:color="auto"/>
            </w:tcBorders>
            <w:vAlign w:val="center"/>
            <w:hideMark/>
          </w:tcPr>
          <w:p w14:paraId="3DD9DB31" w14:textId="77777777" w:rsidR="00DB369C" w:rsidRDefault="00DB369C" w:rsidP="00A704EE">
            <w:pPr>
              <w:pStyle w:val="TableText0"/>
              <w:jc w:val="center"/>
              <w:rPr>
                <w:lang w:val="en-US"/>
              </w:rPr>
            </w:pPr>
            <w:r>
              <w:t>9 (39.1%)</w:t>
            </w:r>
          </w:p>
        </w:tc>
        <w:tc>
          <w:tcPr>
            <w:tcW w:w="1322" w:type="pct"/>
            <w:tcBorders>
              <w:top w:val="single" w:sz="4" w:space="0" w:color="auto"/>
              <w:left w:val="single" w:sz="4" w:space="0" w:color="auto"/>
              <w:bottom w:val="single" w:sz="4" w:space="0" w:color="auto"/>
              <w:right w:val="single" w:sz="4" w:space="0" w:color="auto"/>
            </w:tcBorders>
            <w:vAlign w:val="center"/>
            <w:hideMark/>
          </w:tcPr>
          <w:p w14:paraId="69BACBA7" w14:textId="77777777" w:rsidR="00DB369C" w:rsidRDefault="00DB369C" w:rsidP="00A704EE">
            <w:pPr>
              <w:pStyle w:val="TableText0"/>
              <w:jc w:val="center"/>
              <w:rPr>
                <w:lang w:val="en-US"/>
              </w:rPr>
            </w:pPr>
            <w:r>
              <w:t>4 (66.7%)</w:t>
            </w:r>
          </w:p>
        </w:tc>
      </w:tr>
      <w:tr w:rsidR="00DB369C" w14:paraId="0AEC07F4"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7A79AF90" w14:textId="77777777" w:rsidR="00DB369C" w:rsidRDefault="00DB369C" w:rsidP="00A704EE">
            <w:pPr>
              <w:pStyle w:val="TableText0"/>
              <w:rPr>
                <w:lang w:val="en-US"/>
              </w:rPr>
            </w:pPr>
            <w:r>
              <w:t>Death</w:t>
            </w:r>
          </w:p>
        </w:tc>
        <w:tc>
          <w:tcPr>
            <w:tcW w:w="1322" w:type="pct"/>
            <w:tcBorders>
              <w:top w:val="single" w:sz="4" w:space="0" w:color="auto"/>
              <w:left w:val="single" w:sz="4" w:space="0" w:color="auto"/>
              <w:bottom w:val="single" w:sz="4" w:space="0" w:color="auto"/>
              <w:right w:val="single" w:sz="4" w:space="0" w:color="auto"/>
            </w:tcBorders>
            <w:vAlign w:val="center"/>
            <w:hideMark/>
          </w:tcPr>
          <w:p w14:paraId="29512C9D" w14:textId="77777777" w:rsidR="00DB369C" w:rsidRDefault="00DB369C" w:rsidP="00A704EE">
            <w:pPr>
              <w:pStyle w:val="TableText0"/>
              <w:jc w:val="center"/>
              <w:rPr>
                <w:lang w:val="en-US"/>
              </w:rPr>
            </w:pPr>
            <w:r>
              <w:t>0 (0.0%)</w:t>
            </w:r>
          </w:p>
        </w:tc>
        <w:tc>
          <w:tcPr>
            <w:tcW w:w="1322" w:type="pct"/>
            <w:tcBorders>
              <w:top w:val="single" w:sz="4" w:space="0" w:color="auto"/>
              <w:left w:val="single" w:sz="4" w:space="0" w:color="auto"/>
              <w:bottom w:val="single" w:sz="4" w:space="0" w:color="auto"/>
              <w:right w:val="single" w:sz="4" w:space="0" w:color="auto"/>
            </w:tcBorders>
            <w:vAlign w:val="center"/>
            <w:hideMark/>
          </w:tcPr>
          <w:p w14:paraId="2A293BE8" w14:textId="77777777" w:rsidR="00DB369C" w:rsidRDefault="00DB369C" w:rsidP="00A704EE">
            <w:pPr>
              <w:pStyle w:val="TableText0"/>
              <w:jc w:val="center"/>
              <w:rPr>
                <w:lang w:val="en-US"/>
              </w:rPr>
            </w:pPr>
            <w:r>
              <w:t>0 (0.0%)</w:t>
            </w:r>
          </w:p>
        </w:tc>
      </w:tr>
      <w:tr w:rsidR="00DB369C" w14:paraId="5658718B"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1BF9D8DC" w14:textId="77777777" w:rsidR="00DB369C" w:rsidRDefault="00DB369C" w:rsidP="00A704EE">
            <w:pPr>
              <w:pStyle w:val="TableText0"/>
              <w:rPr>
                <w:lang w:val="en-US"/>
              </w:rPr>
            </w:pPr>
            <w:r>
              <w:t>Median (95% CI), months</w:t>
            </w:r>
          </w:p>
        </w:tc>
        <w:tc>
          <w:tcPr>
            <w:tcW w:w="1322" w:type="pct"/>
            <w:tcBorders>
              <w:top w:val="single" w:sz="4" w:space="0" w:color="auto"/>
              <w:left w:val="single" w:sz="4" w:space="0" w:color="auto"/>
              <w:bottom w:val="single" w:sz="4" w:space="0" w:color="auto"/>
              <w:right w:val="single" w:sz="4" w:space="0" w:color="auto"/>
            </w:tcBorders>
            <w:vAlign w:val="center"/>
            <w:hideMark/>
          </w:tcPr>
          <w:p w14:paraId="5B0132C2" w14:textId="29D86395" w:rsidR="00DB369C" w:rsidRDefault="00DB369C" w:rsidP="00A704EE">
            <w:pPr>
              <w:pStyle w:val="TableText0"/>
              <w:jc w:val="center"/>
              <w:rPr>
                <w:lang w:val="en-US"/>
              </w:rPr>
            </w:pPr>
            <w:r>
              <w:t>9.9 (5.4</w:t>
            </w:r>
            <w:r w:rsidR="00824092">
              <w:t xml:space="preserve">, </w:t>
            </w:r>
            <w:r>
              <w:t>NE)</w:t>
            </w:r>
          </w:p>
        </w:tc>
        <w:tc>
          <w:tcPr>
            <w:tcW w:w="1322" w:type="pct"/>
            <w:tcBorders>
              <w:top w:val="single" w:sz="4" w:space="0" w:color="auto"/>
              <w:left w:val="single" w:sz="4" w:space="0" w:color="auto"/>
              <w:bottom w:val="single" w:sz="4" w:space="0" w:color="auto"/>
              <w:right w:val="single" w:sz="4" w:space="0" w:color="auto"/>
            </w:tcBorders>
            <w:vAlign w:val="center"/>
            <w:hideMark/>
          </w:tcPr>
          <w:p w14:paraId="58051737" w14:textId="6D7107E5" w:rsidR="00DB369C" w:rsidRDefault="00DB369C" w:rsidP="00A704EE">
            <w:pPr>
              <w:pStyle w:val="TableText0"/>
              <w:jc w:val="center"/>
              <w:rPr>
                <w:lang w:val="en-US"/>
              </w:rPr>
            </w:pPr>
            <w:r>
              <w:t>9.7 (2.7</w:t>
            </w:r>
            <w:r w:rsidR="00824092">
              <w:t xml:space="preserve">, </w:t>
            </w:r>
            <w:r>
              <w:t>NE)</w:t>
            </w:r>
          </w:p>
        </w:tc>
      </w:tr>
      <w:tr w:rsidR="00DB369C" w14:paraId="600CB59D" w14:textId="77777777" w:rsidTr="005A203C">
        <w:tc>
          <w:tcPr>
            <w:tcW w:w="5000" w:type="pct"/>
            <w:gridSpan w:val="3"/>
            <w:tcBorders>
              <w:top w:val="single" w:sz="4" w:space="0" w:color="auto"/>
              <w:left w:val="single" w:sz="4" w:space="0" w:color="auto"/>
              <w:bottom w:val="single" w:sz="4" w:space="0" w:color="auto"/>
              <w:right w:val="single" w:sz="4" w:space="0" w:color="auto"/>
            </w:tcBorders>
            <w:hideMark/>
          </w:tcPr>
          <w:p w14:paraId="1A08D629" w14:textId="77777777" w:rsidR="00DB369C" w:rsidRDefault="00DB369C" w:rsidP="00A704EE">
            <w:pPr>
              <w:pStyle w:val="TableText0"/>
              <w:rPr>
                <w:b/>
                <w:bCs w:val="0"/>
                <w:lang w:val="en-US"/>
              </w:rPr>
            </w:pPr>
            <w:r>
              <w:rPr>
                <w:b/>
                <w:bCs w:val="0"/>
                <w:lang w:val="en-US"/>
              </w:rPr>
              <w:t>Kaplan Meier estimates for DOR (95% CI) [No. at risk]</w:t>
            </w:r>
          </w:p>
        </w:tc>
      </w:tr>
      <w:tr w:rsidR="00DB369C" w14:paraId="4A7A1C21"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62A03641" w14:textId="77777777" w:rsidR="00DB369C" w:rsidRDefault="00DB369C" w:rsidP="00A704EE">
            <w:pPr>
              <w:pStyle w:val="TableText0"/>
              <w:rPr>
                <w:lang w:val="en-US"/>
              </w:rPr>
            </w:pPr>
            <w:r>
              <w:t>3 months</w:t>
            </w:r>
          </w:p>
        </w:tc>
        <w:tc>
          <w:tcPr>
            <w:tcW w:w="1322" w:type="pct"/>
            <w:tcBorders>
              <w:top w:val="single" w:sz="4" w:space="0" w:color="auto"/>
              <w:left w:val="single" w:sz="4" w:space="0" w:color="auto"/>
              <w:bottom w:val="single" w:sz="4" w:space="0" w:color="auto"/>
              <w:right w:val="single" w:sz="4" w:space="0" w:color="auto"/>
            </w:tcBorders>
            <w:vAlign w:val="center"/>
            <w:hideMark/>
          </w:tcPr>
          <w:p w14:paraId="374E3CDF" w14:textId="2448C1F2" w:rsidR="00DB369C" w:rsidRDefault="00DB369C" w:rsidP="00A704EE">
            <w:pPr>
              <w:pStyle w:val="TableText0"/>
              <w:jc w:val="center"/>
              <w:rPr>
                <w:lang w:val="en-US"/>
              </w:rPr>
            </w:pPr>
            <w:r>
              <w:t>84.8 (59.5</w:t>
            </w:r>
            <w:r w:rsidR="00824092">
              <w:t xml:space="preserve">, </w:t>
            </w:r>
            <w:r>
              <w:t>94.9) [n = 14]</w:t>
            </w:r>
          </w:p>
        </w:tc>
        <w:tc>
          <w:tcPr>
            <w:tcW w:w="1322" w:type="pct"/>
            <w:tcBorders>
              <w:top w:val="single" w:sz="4" w:space="0" w:color="auto"/>
              <w:left w:val="single" w:sz="4" w:space="0" w:color="auto"/>
              <w:bottom w:val="single" w:sz="4" w:space="0" w:color="auto"/>
              <w:right w:val="single" w:sz="4" w:space="0" w:color="auto"/>
            </w:tcBorders>
            <w:vAlign w:val="center"/>
            <w:hideMark/>
          </w:tcPr>
          <w:p w14:paraId="4F820802" w14:textId="16452E2B" w:rsidR="00DB369C" w:rsidRDefault="00DB369C" w:rsidP="00A704EE">
            <w:pPr>
              <w:pStyle w:val="TableText0"/>
              <w:jc w:val="center"/>
              <w:rPr>
                <w:lang w:val="en-US"/>
              </w:rPr>
            </w:pPr>
            <w:r>
              <w:t>50.0 (11.1</w:t>
            </w:r>
            <w:r w:rsidR="00824092">
              <w:t xml:space="preserve">, </w:t>
            </w:r>
            <w:r>
              <w:t>80.4) [n = 2]</w:t>
            </w:r>
          </w:p>
        </w:tc>
      </w:tr>
      <w:tr w:rsidR="00DB369C" w14:paraId="6C2ECFDD"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4995EAF0" w14:textId="77777777" w:rsidR="00DB369C" w:rsidRDefault="00DB369C" w:rsidP="00A704EE">
            <w:pPr>
              <w:pStyle w:val="TableText0"/>
              <w:rPr>
                <w:lang w:val="en-US"/>
              </w:rPr>
            </w:pPr>
            <w:r>
              <w:t>6 months</w:t>
            </w:r>
          </w:p>
        </w:tc>
        <w:tc>
          <w:tcPr>
            <w:tcW w:w="1322" w:type="pct"/>
            <w:tcBorders>
              <w:top w:val="single" w:sz="4" w:space="0" w:color="auto"/>
              <w:left w:val="single" w:sz="4" w:space="0" w:color="auto"/>
              <w:bottom w:val="single" w:sz="4" w:space="0" w:color="auto"/>
              <w:right w:val="single" w:sz="4" w:space="0" w:color="auto"/>
            </w:tcBorders>
            <w:vAlign w:val="center"/>
            <w:hideMark/>
          </w:tcPr>
          <w:p w14:paraId="1762E7EF" w14:textId="7708E582" w:rsidR="00DB369C" w:rsidRDefault="00DB369C" w:rsidP="00A704EE">
            <w:pPr>
              <w:pStyle w:val="TableText0"/>
              <w:jc w:val="center"/>
              <w:rPr>
                <w:lang w:val="en-US"/>
              </w:rPr>
            </w:pPr>
            <w:r>
              <w:t>60.6 (34.2</w:t>
            </w:r>
            <w:r w:rsidR="00824092">
              <w:t xml:space="preserve">, </w:t>
            </w:r>
            <w:r>
              <w:t>7.2</w:t>
            </w:r>
            <w:r w:rsidR="007409C2" w:rsidRPr="007409C2">
              <w:rPr>
                <w:vertAlign w:val="superscript"/>
              </w:rPr>
              <w:t>a</w:t>
            </w:r>
            <w:r>
              <w:t>) [n = 10]</w:t>
            </w:r>
          </w:p>
        </w:tc>
        <w:tc>
          <w:tcPr>
            <w:tcW w:w="1322" w:type="pct"/>
            <w:tcBorders>
              <w:top w:val="single" w:sz="4" w:space="0" w:color="auto"/>
              <w:left w:val="single" w:sz="4" w:space="0" w:color="auto"/>
              <w:bottom w:val="single" w:sz="4" w:space="0" w:color="auto"/>
              <w:right w:val="single" w:sz="4" w:space="0" w:color="auto"/>
            </w:tcBorders>
            <w:vAlign w:val="center"/>
            <w:hideMark/>
          </w:tcPr>
          <w:p w14:paraId="48688122" w14:textId="2B59ADC7" w:rsidR="00DB369C" w:rsidRDefault="00DB369C" w:rsidP="00A704EE">
            <w:pPr>
              <w:pStyle w:val="TableText0"/>
              <w:jc w:val="center"/>
              <w:rPr>
                <w:lang w:val="en-US"/>
              </w:rPr>
            </w:pPr>
            <w:r>
              <w:t>50.0 (11.1</w:t>
            </w:r>
            <w:r w:rsidR="00824092">
              <w:t xml:space="preserve">, </w:t>
            </w:r>
            <w:r>
              <w:t>80.4) [n = 2]</w:t>
            </w:r>
          </w:p>
        </w:tc>
      </w:tr>
      <w:tr w:rsidR="00DB369C" w14:paraId="087628EB"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5AE93B4F" w14:textId="77777777" w:rsidR="00DB369C" w:rsidRDefault="00DB369C" w:rsidP="00A704EE">
            <w:pPr>
              <w:pStyle w:val="TableText0"/>
              <w:rPr>
                <w:lang w:val="en-US"/>
              </w:rPr>
            </w:pPr>
            <w:r>
              <w:t>9 months</w:t>
            </w:r>
          </w:p>
        </w:tc>
        <w:tc>
          <w:tcPr>
            <w:tcW w:w="1322" w:type="pct"/>
            <w:tcBorders>
              <w:top w:val="single" w:sz="4" w:space="0" w:color="auto"/>
              <w:left w:val="single" w:sz="4" w:space="0" w:color="auto"/>
              <w:bottom w:val="single" w:sz="4" w:space="0" w:color="auto"/>
              <w:right w:val="single" w:sz="4" w:space="0" w:color="auto"/>
            </w:tcBorders>
            <w:vAlign w:val="center"/>
            <w:hideMark/>
          </w:tcPr>
          <w:p w14:paraId="40952070" w14:textId="2A6C8762" w:rsidR="00DB369C" w:rsidRDefault="00DB369C" w:rsidP="00A704EE">
            <w:pPr>
              <w:pStyle w:val="TableText0"/>
              <w:jc w:val="center"/>
              <w:rPr>
                <w:lang w:val="en-US"/>
              </w:rPr>
            </w:pPr>
            <w:r>
              <w:t>54.5 (28.9</w:t>
            </w:r>
            <w:r w:rsidR="00824092">
              <w:t xml:space="preserve">, </w:t>
            </w:r>
            <w:r>
              <w:t>74.4) [n = 7]</w:t>
            </w:r>
          </w:p>
        </w:tc>
        <w:tc>
          <w:tcPr>
            <w:tcW w:w="1322" w:type="pct"/>
            <w:tcBorders>
              <w:top w:val="single" w:sz="4" w:space="0" w:color="auto"/>
              <w:left w:val="single" w:sz="4" w:space="0" w:color="auto"/>
              <w:bottom w:val="single" w:sz="4" w:space="0" w:color="auto"/>
              <w:right w:val="single" w:sz="4" w:space="0" w:color="auto"/>
            </w:tcBorders>
            <w:vAlign w:val="center"/>
            <w:hideMark/>
          </w:tcPr>
          <w:p w14:paraId="340A4141" w14:textId="20927725" w:rsidR="00DB369C" w:rsidRDefault="00DB369C" w:rsidP="00A704EE">
            <w:pPr>
              <w:pStyle w:val="TableText0"/>
              <w:jc w:val="center"/>
              <w:rPr>
                <w:lang w:val="en-US"/>
              </w:rPr>
            </w:pPr>
            <w:r>
              <w:t>50.0 (11.1</w:t>
            </w:r>
            <w:r w:rsidR="00824092">
              <w:t xml:space="preserve">, </w:t>
            </w:r>
            <w:r>
              <w:t>80.4) [n = 2]</w:t>
            </w:r>
          </w:p>
        </w:tc>
      </w:tr>
      <w:tr w:rsidR="00DB369C" w14:paraId="43AE3E93" w14:textId="77777777" w:rsidTr="005A203C">
        <w:tc>
          <w:tcPr>
            <w:tcW w:w="2356" w:type="pct"/>
            <w:tcBorders>
              <w:top w:val="single" w:sz="4" w:space="0" w:color="auto"/>
              <w:left w:val="single" w:sz="4" w:space="0" w:color="auto"/>
              <w:bottom w:val="single" w:sz="4" w:space="0" w:color="auto"/>
              <w:right w:val="single" w:sz="4" w:space="0" w:color="auto"/>
            </w:tcBorders>
            <w:vAlign w:val="center"/>
            <w:hideMark/>
          </w:tcPr>
          <w:p w14:paraId="380C6BBB" w14:textId="77777777" w:rsidR="00DB369C" w:rsidRDefault="00DB369C" w:rsidP="00A704EE">
            <w:pPr>
              <w:pStyle w:val="TableText0"/>
              <w:rPr>
                <w:lang w:val="en-US"/>
              </w:rPr>
            </w:pPr>
            <w:r>
              <w:t>12 months</w:t>
            </w:r>
          </w:p>
        </w:tc>
        <w:tc>
          <w:tcPr>
            <w:tcW w:w="1322" w:type="pct"/>
            <w:tcBorders>
              <w:top w:val="single" w:sz="4" w:space="0" w:color="auto"/>
              <w:left w:val="single" w:sz="4" w:space="0" w:color="auto"/>
              <w:bottom w:val="single" w:sz="4" w:space="0" w:color="auto"/>
              <w:right w:val="single" w:sz="4" w:space="0" w:color="auto"/>
            </w:tcBorders>
            <w:vAlign w:val="center"/>
            <w:hideMark/>
          </w:tcPr>
          <w:p w14:paraId="4F8DACCA" w14:textId="2DF1974A" w:rsidR="00DB369C" w:rsidRDefault="00DB369C" w:rsidP="00A704EE">
            <w:pPr>
              <w:pStyle w:val="TableText0"/>
              <w:jc w:val="center"/>
              <w:rPr>
                <w:lang w:val="en-US"/>
              </w:rPr>
            </w:pPr>
            <w:r>
              <w:t>46.8 (21.8</w:t>
            </w:r>
            <w:r w:rsidR="00824092">
              <w:t xml:space="preserve">, </w:t>
            </w:r>
            <w:r>
              <w:t>68.4) [n = 4]</w:t>
            </w:r>
          </w:p>
        </w:tc>
        <w:tc>
          <w:tcPr>
            <w:tcW w:w="1322" w:type="pct"/>
            <w:tcBorders>
              <w:top w:val="single" w:sz="4" w:space="0" w:color="auto"/>
              <w:left w:val="single" w:sz="4" w:space="0" w:color="auto"/>
              <w:bottom w:val="single" w:sz="4" w:space="0" w:color="auto"/>
              <w:right w:val="single" w:sz="4" w:space="0" w:color="auto"/>
            </w:tcBorders>
            <w:vAlign w:val="center"/>
            <w:hideMark/>
          </w:tcPr>
          <w:p w14:paraId="092AA2A5" w14:textId="2845CB59" w:rsidR="00DB369C" w:rsidRDefault="00DB369C" w:rsidP="00A704EE">
            <w:pPr>
              <w:pStyle w:val="TableText0"/>
              <w:jc w:val="center"/>
              <w:rPr>
                <w:lang w:val="en-US"/>
              </w:rPr>
            </w:pPr>
            <w:r>
              <w:t>50.0 (11.1</w:t>
            </w:r>
            <w:r w:rsidR="00824092">
              <w:t xml:space="preserve">, </w:t>
            </w:r>
            <w:r>
              <w:t>80.4) [n = 2]</w:t>
            </w:r>
          </w:p>
        </w:tc>
      </w:tr>
    </w:tbl>
    <w:p w14:paraId="0EA374CF" w14:textId="77777777" w:rsidR="00DB369C" w:rsidRPr="000E12EF" w:rsidRDefault="00DB369C" w:rsidP="00DB369C">
      <w:pPr>
        <w:pStyle w:val="TableText0"/>
        <w:rPr>
          <w:sz w:val="18"/>
          <w:szCs w:val="18"/>
        </w:rPr>
      </w:pPr>
      <w:r w:rsidRPr="000E12EF">
        <w:rPr>
          <w:sz w:val="18"/>
          <w:szCs w:val="18"/>
        </w:rPr>
        <w:t>Source: Table 2.5.6, p77 of the submission.</w:t>
      </w:r>
    </w:p>
    <w:p w14:paraId="2FC4CFCA" w14:textId="0A1DE0EF" w:rsidR="00DB369C" w:rsidRPr="000E12EF" w:rsidRDefault="00DB369C" w:rsidP="00DB369C">
      <w:pPr>
        <w:pStyle w:val="TableText0"/>
        <w:rPr>
          <w:i/>
          <w:iCs/>
          <w:sz w:val="18"/>
          <w:szCs w:val="18"/>
        </w:rPr>
      </w:pPr>
      <w:r w:rsidRPr="000E12EF">
        <w:rPr>
          <w:sz w:val="18"/>
          <w:szCs w:val="18"/>
        </w:rPr>
        <w:t>DOR = duration of response, CI = confidence interval, n = number of participants reporting data, N = total participants in group, NE = not estimated, ORR = overall response rate, PD = progressive disease, PFS = progression-free survival.</w:t>
      </w:r>
    </w:p>
    <w:p w14:paraId="2C6440C4" w14:textId="0A08E251" w:rsidR="00DB369C" w:rsidRPr="000E12EF" w:rsidRDefault="007409C2" w:rsidP="00AE1C6A">
      <w:pPr>
        <w:pStyle w:val="TableText0"/>
        <w:spacing w:after="120"/>
        <w:rPr>
          <w:sz w:val="18"/>
          <w:szCs w:val="18"/>
        </w:rPr>
      </w:pPr>
      <w:r w:rsidRPr="000E12EF">
        <w:rPr>
          <w:sz w:val="18"/>
          <w:szCs w:val="18"/>
          <w:vertAlign w:val="superscript"/>
        </w:rPr>
        <w:t xml:space="preserve">a </w:t>
      </w:r>
      <w:r w:rsidRPr="000E12EF">
        <w:rPr>
          <w:sz w:val="18"/>
          <w:szCs w:val="18"/>
        </w:rPr>
        <w:t>There was an error in reporting the Kaplan-Meier estimated for DOR at 6 months.</w:t>
      </w:r>
    </w:p>
    <w:p w14:paraId="1D156484" w14:textId="6E56FC9C" w:rsidR="00DB369C" w:rsidRPr="00653DD9" w:rsidRDefault="00DB369C" w:rsidP="00D77B44">
      <w:pPr>
        <w:pStyle w:val="3-BodyText"/>
      </w:pPr>
      <w:bookmarkStart w:id="37" w:name="_Hlk121077243"/>
      <w:r>
        <w:t>A</w:t>
      </w:r>
      <w:r w:rsidRPr="00FD2456">
        <w:t xml:space="preserve">t the first interim analysis (data cut-off: October 2020), </w:t>
      </w:r>
      <w:bookmarkEnd w:id="37"/>
      <w:r w:rsidRPr="00FD2456">
        <w:t xml:space="preserve">median duration of response was 9.9 months for tebentafusp compared to 9.7 months for investigator’s choice. </w:t>
      </w:r>
      <w:r w:rsidRPr="00653DD9">
        <w:t>However, the results were uncertain given the low number of patients achieving ORR</w:t>
      </w:r>
      <w:r w:rsidR="00A00780" w:rsidRPr="00653DD9">
        <w:t xml:space="preserve"> (</w:t>
      </w:r>
      <w:r w:rsidRPr="00653DD9">
        <w:t>23 in the tebentafusp arm and 6 in the investigator’s choice arm</w:t>
      </w:r>
      <w:r w:rsidR="00A00780" w:rsidRPr="00653DD9">
        <w:t>)</w:t>
      </w:r>
      <w:r w:rsidRPr="00653DD9">
        <w:t>.</w:t>
      </w:r>
    </w:p>
    <w:p w14:paraId="7F282FAF" w14:textId="595EA7AA" w:rsidR="00824092" w:rsidRPr="00824092" w:rsidRDefault="00824092" w:rsidP="00824092">
      <w:pPr>
        <w:pStyle w:val="3-BodyText"/>
        <w:numPr>
          <w:ilvl w:val="0"/>
          <w:numId w:val="0"/>
        </w:numPr>
        <w:rPr>
          <w:b/>
          <w:bCs/>
        </w:rPr>
      </w:pPr>
      <w:r w:rsidRPr="00824092">
        <w:rPr>
          <w:b/>
          <w:bCs/>
        </w:rPr>
        <w:t xml:space="preserve">IMCgp100-102 </w:t>
      </w:r>
      <w:r w:rsidR="00A00780">
        <w:rPr>
          <w:b/>
          <w:bCs/>
        </w:rPr>
        <w:t>study</w:t>
      </w:r>
    </w:p>
    <w:p w14:paraId="58BDD01A" w14:textId="6788AC75" w:rsidR="00DB369C" w:rsidRDefault="00DB369C" w:rsidP="00D77B44">
      <w:pPr>
        <w:pStyle w:val="3-BodyText"/>
      </w:pPr>
      <w:r w:rsidRPr="00FD2456">
        <w:t xml:space="preserve">The submission presented </w:t>
      </w:r>
      <w:r>
        <w:t>data</w:t>
      </w:r>
      <w:r w:rsidRPr="00FD2456">
        <w:t xml:space="preserve"> from the </w:t>
      </w:r>
      <w:r w:rsidR="00A00780">
        <w:t xml:space="preserve">single-arm </w:t>
      </w:r>
      <w:r w:rsidRPr="00FD2456">
        <w:t xml:space="preserve">IMCgp100-102 </w:t>
      </w:r>
      <w:r w:rsidR="00A00780">
        <w:t>study</w:t>
      </w:r>
      <w:r w:rsidRPr="00FD2456">
        <w:t xml:space="preserve"> to inform the tolerability and safety of tebentafusp</w:t>
      </w:r>
      <w:r w:rsidRPr="00A00780">
        <w:t>.</w:t>
      </w:r>
      <w:r>
        <w:rPr>
          <w:i/>
          <w:iCs/>
        </w:rPr>
        <w:t xml:space="preserve"> </w:t>
      </w:r>
      <w:r>
        <w:t xml:space="preserve">The results </w:t>
      </w:r>
      <w:r w:rsidR="00A00780">
        <w:t>from</w:t>
      </w:r>
      <w:r>
        <w:t xml:space="preserve"> the IMCgp100-102 </w:t>
      </w:r>
      <w:r w:rsidR="00A00780">
        <w:t>study</w:t>
      </w:r>
      <w:r>
        <w:t xml:space="preserve"> (median duration of follow-up of 19.6 months) are summarised below:</w:t>
      </w:r>
    </w:p>
    <w:p w14:paraId="04E55F79" w14:textId="03DE84A5" w:rsidR="00DB369C" w:rsidRPr="00287E55" w:rsidRDefault="00DB369C" w:rsidP="00824092">
      <w:pPr>
        <w:pStyle w:val="ListParagraph"/>
        <w:ind w:left="1077" w:hanging="357"/>
      </w:pPr>
      <w:r w:rsidRPr="00287E55">
        <w:t xml:space="preserve">the median OS was 16.8 months (95% CI: 12.9, 21.3). </w:t>
      </w:r>
      <w:r>
        <w:t xml:space="preserve">The </w:t>
      </w:r>
      <w:r w:rsidRPr="00287E55">
        <w:t xml:space="preserve">OS rate at 12 months was 61.8% (95% CI: 52.6%, 69.8%) and at 24 months </w:t>
      </w:r>
      <w:r w:rsidR="00A00780">
        <w:t xml:space="preserve">it </w:t>
      </w:r>
      <w:r w:rsidRPr="00287E55">
        <w:t>w</w:t>
      </w:r>
      <w:r>
        <w:t>as</w:t>
      </w:r>
      <w:r w:rsidRPr="00287E55">
        <w:t xml:space="preserve"> 37.0% (95% CI: 26.5%, 47.5%). </w:t>
      </w:r>
    </w:p>
    <w:p w14:paraId="6E8C5941" w14:textId="57424D01" w:rsidR="00DB369C" w:rsidRPr="00287E55" w:rsidRDefault="00DB369C" w:rsidP="00824092">
      <w:pPr>
        <w:pStyle w:val="ListParagraph"/>
        <w:ind w:left="1077" w:hanging="357"/>
      </w:pPr>
      <w:r w:rsidRPr="00287E55">
        <w:t xml:space="preserve">The median PFS (assessed by RECIST v1.1 by the investigator) was 2.3 months (95% CI: 1.9, 3.7). </w:t>
      </w:r>
      <w:r w:rsidR="00A00780">
        <w:t>T</w:t>
      </w:r>
      <w:r>
        <w:t xml:space="preserve">he </w:t>
      </w:r>
      <w:r w:rsidRPr="00287E55">
        <w:t xml:space="preserve">PFS rate at 6 months </w:t>
      </w:r>
      <w:r w:rsidR="00824092" w:rsidRPr="00287E55">
        <w:t>w</w:t>
      </w:r>
      <w:r w:rsidR="00824092">
        <w:t>as</w:t>
      </w:r>
      <w:r w:rsidR="00824092" w:rsidRPr="00287E55">
        <w:t xml:space="preserve"> </w:t>
      </w:r>
      <w:r w:rsidRPr="00287E55">
        <w:t>25.8% (95% CI: 18.5%, 33.7%) and at 12 months w</w:t>
      </w:r>
      <w:r>
        <w:t>as</w:t>
      </w:r>
      <w:r w:rsidRPr="00287E55">
        <w:t xml:space="preserve"> 12.8% (95% CI: 7.6%, 19.4%).</w:t>
      </w:r>
    </w:p>
    <w:p w14:paraId="19490A93" w14:textId="2590F0D0" w:rsidR="00DB369C" w:rsidRPr="00287E55" w:rsidRDefault="00DB369C" w:rsidP="00824092">
      <w:pPr>
        <w:pStyle w:val="ListParagraph"/>
        <w:ind w:left="1077" w:hanging="357"/>
      </w:pPr>
      <w:r w:rsidRPr="00287E55">
        <w:t xml:space="preserve">ORR of partial response was observed in 9 (7.1%) patients per investigator assessment. No patient had a complete response. </w:t>
      </w:r>
    </w:p>
    <w:p w14:paraId="22277BE7" w14:textId="77777777" w:rsidR="00DB369C" w:rsidRDefault="00DB369C" w:rsidP="00824092">
      <w:pPr>
        <w:pStyle w:val="ListParagraph"/>
        <w:ind w:left="1077" w:hanging="357"/>
      </w:pPr>
      <w:r w:rsidRPr="00287E55">
        <w:lastRenderedPageBreak/>
        <w:t xml:space="preserve">The median </w:t>
      </w:r>
      <w:r>
        <w:t>DOR</w:t>
      </w:r>
      <w:r w:rsidRPr="00287E55">
        <w:t xml:space="preserve"> per investigator assessment was not estimable. The landmark analysis of duration of response was 75.0% (95% CI: 31.5%, 93.1%) at 6 months and 56.3% (95% CI: 14.7%, 84.2%) at 12 months.</w:t>
      </w:r>
    </w:p>
    <w:p w14:paraId="5FC8FFDE" w14:textId="1F00C89F" w:rsidR="00DB369C" w:rsidRPr="00653DD9" w:rsidRDefault="00DB369C" w:rsidP="00D77B44">
      <w:pPr>
        <w:pStyle w:val="3-BodyText"/>
      </w:pPr>
      <w:r w:rsidRPr="00653DD9">
        <w:t xml:space="preserve">Overall, the results </w:t>
      </w:r>
      <w:r w:rsidR="00A00780" w:rsidRPr="00653DD9">
        <w:t>from the</w:t>
      </w:r>
      <w:r w:rsidRPr="00653DD9">
        <w:t xml:space="preserve"> IMCgp100-102 </w:t>
      </w:r>
      <w:r w:rsidR="00A00780" w:rsidRPr="00653DD9">
        <w:t>study</w:t>
      </w:r>
      <w:r w:rsidRPr="00653DD9">
        <w:t xml:space="preserve"> were consistent with the results for tebentafusp arm in the IMCgp</w:t>
      </w:r>
      <w:r w:rsidR="00AF234B" w:rsidRPr="00653DD9">
        <w:t>100</w:t>
      </w:r>
      <w:r w:rsidRPr="00653DD9">
        <w:t xml:space="preserve">-202 trial. </w:t>
      </w:r>
      <w:r w:rsidR="00A00780" w:rsidRPr="00653DD9">
        <w:t>T</w:t>
      </w:r>
      <w:r w:rsidRPr="00653DD9">
        <w:t>he submission could have performed a comparison of survival data from IMCgp100-202 and IMCgp100-102 trial to inform the efficacy of tebentafusp among patients who have received prior systemic therapy and those patients who have not. The comparison would have been informative given the wording of the proposed restriction does not restrict the use of tebentafusp in patients who have received prior systemic treatments for metastatic UM.</w:t>
      </w:r>
    </w:p>
    <w:p w14:paraId="1452C351" w14:textId="22E87AEF" w:rsidR="00B60939" w:rsidRDefault="00B60939" w:rsidP="00D86231">
      <w:pPr>
        <w:pStyle w:val="4-SubsectionHeading"/>
      </w:pPr>
      <w:bookmarkStart w:id="38" w:name="_Toc124257834"/>
      <w:r w:rsidRPr="00C9624D">
        <w:t>Comparative harms</w:t>
      </w:r>
      <w:bookmarkEnd w:id="27"/>
      <w:bookmarkEnd w:id="38"/>
    </w:p>
    <w:p w14:paraId="3FF845B4" w14:textId="5E6F16B0" w:rsidR="00D059C5" w:rsidRDefault="00D059C5" w:rsidP="00D059C5">
      <w:pPr>
        <w:pStyle w:val="3-BodyText"/>
      </w:pPr>
      <w:r w:rsidRPr="00972657">
        <w:t xml:space="preserve">The submission presented safety data for </w:t>
      </w:r>
      <w:r>
        <w:t>safety analysis set (</w:t>
      </w:r>
      <w:r w:rsidRPr="00972657">
        <w:t>SAS</w:t>
      </w:r>
      <w:r>
        <w:t>) (</w:t>
      </w:r>
      <w:r w:rsidRPr="00972657">
        <w:t>data cut-off: October 2020) as well as for subgroup population (tebentafusp PCP and pembrolizumab; data sweep: April 2022)</w:t>
      </w:r>
      <w:r w:rsidR="00390ACD">
        <w:t xml:space="preserve"> from the </w:t>
      </w:r>
      <w:r w:rsidR="00390ACD" w:rsidRPr="0049316C">
        <w:rPr>
          <w:rFonts w:eastAsia="Calibri"/>
        </w:rPr>
        <w:t>IMCgp100-202 trial</w:t>
      </w:r>
      <w:r w:rsidRPr="00972657">
        <w:t xml:space="preserve">. </w:t>
      </w:r>
      <w:r w:rsidR="00A00780">
        <w:t>A s</w:t>
      </w:r>
      <w:r w:rsidRPr="00972657">
        <w:t>ummary of key adverse events in SAS and subgroup population</w:t>
      </w:r>
      <w:r w:rsidR="00A00780">
        <w:t>s is</w:t>
      </w:r>
      <w:r w:rsidRPr="00972657">
        <w:t xml:space="preserve"> summarised in </w:t>
      </w:r>
      <w:r w:rsidRPr="00972657">
        <w:fldChar w:fldCharType="begin" w:fldLock="1"/>
      </w:r>
      <w:r w:rsidRPr="00972657">
        <w:instrText xml:space="preserve"> REF _Ref121061620 \h </w:instrText>
      </w:r>
      <w:r>
        <w:instrText xml:space="preserve"> \* MERGEFORMAT </w:instrText>
      </w:r>
      <w:r w:rsidRPr="00972657">
        <w:fldChar w:fldCharType="separate"/>
      </w:r>
      <w:r w:rsidR="00A53FF4">
        <w:t>Table 7</w:t>
      </w:r>
      <w:r w:rsidRPr="00972657">
        <w:fldChar w:fldCharType="end"/>
      </w:r>
      <w:r w:rsidRPr="00972657">
        <w:t>.</w:t>
      </w:r>
    </w:p>
    <w:p w14:paraId="7A1541E3" w14:textId="2932FEBD" w:rsidR="00D059C5" w:rsidRPr="000A0CD2" w:rsidRDefault="00D059C5" w:rsidP="00D059C5">
      <w:pPr>
        <w:pStyle w:val="TableFigureHeading"/>
        <w:jc w:val="both"/>
      </w:pPr>
      <w:bookmarkStart w:id="39" w:name="_Ref121061620"/>
      <w:r>
        <w:lastRenderedPageBreak/>
        <w:t xml:space="preserve">Table </w:t>
      </w:r>
      <w:fldSimple w:instr=" SEQ Table \* ARABIC " w:fldLock="1">
        <w:r w:rsidR="00A53FF4">
          <w:rPr>
            <w:noProof/>
          </w:rPr>
          <w:t>7</w:t>
        </w:r>
      </w:fldSimple>
      <w:bookmarkEnd w:id="39"/>
      <w:r>
        <w:t xml:space="preserve">: </w:t>
      </w:r>
      <w:r w:rsidRPr="000A0CD2">
        <w:t>Summary of key adverse events in the trials in SAS population (data cut-off: October 2020) and the subgroup population (data sweep: April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01"/>
        <w:gridCol w:w="1843"/>
        <w:gridCol w:w="1560"/>
        <w:gridCol w:w="1508"/>
      </w:tblGrid>
      <w:tr w:rsidR="00D059C5" w:rsidRPr="00080909" w14:paraId="360C7A01" w14:textId="77777777" w:rsidTr="00A00780">
        <w:trPr>
          <w:cantSplit/>
        </w:trPr>
        <w:tc>
          <w:tcPr>
            <w:tcW w:w="1334" w:type="pct"/>
            <w:tcMar>
              <w:left w:w="28" w:type="dxa"/>
              <w:right w:w="28" w:type="dxa"/>
            </w:tcMar>
            <w:vAlign w:val="center"/>
          </w:tcPr>
          <w:p w14:paraId="1C8DA02C" w14:textId="77777777" w:rsidR="00D059C5" w:rsidRPr="00080909" w:rsidRDefault="00D059C5" w:rsidP="00A00780">
            <w:pPr>
              <w:pStyle w:val="In-tableHeading"/>
            </w:pPr>
            <w:r w:rsidRPr="003D480D">
              <w:t>SAS Population</w:t>
            </w:r>
          </w:p>
        </w:tc>
        <w:tc>
          <w:tcPr>
            <w:tcW w:w="943" w:type="pct"/>
            <w:tcMar>
              <w:left w:w="28" w:type="dxa"/>
              <w:right w:w="28" w:type="dxa"/>
            </w:tcMar>
            <w:vAlign w:val="center"/>
          </w:tcPr>
          <w:p w14:paraId="00467175" w14:textId="77777777" w:rsidR="00D059C5" w:rsidRDefault="00D059C5" w:rsidP="00A704EE">
            <w:pPr>
              <w:pStyle w:val="In-tableHeading"/>
              <w:jc w:val="center"/>
            </w:pPr>
            <w:r>
              <w:t>Tebentafusp</w:t>
            </w:r>
          </w:p>
          <w:p w14:paraId="297B5532" w14:textId="2054C368" w:rsidR="00D059C5" w:rsidRPr="00080909" w:rsidRDefault="00D059C5" w:rsidP="00A704EE">
            <w:pPr>
              <w:pStyle w:val="In-tableHeading"/>
              <w:jc w:val="center"/>
            </w:pPr>
            <w:r>
              <w:t>n/N (%)</w:t>
            </w:r>
          </w:p>
        </w:tc>
        <w:tc>
          <w:tcPr>
            <w:tcW w:w="1022" w:type="pct"/>
            <w:tcMar>
              <w:left w:w="28" w:type="dxa"/>
              <w:right w:w="28" w:type="dxa"/>
            </w:tcMar>
            <w:vAlign w:val="center"/>
          </w:tcPr>
          <w:p w14:paraId="7B8021C6" w14:textId="352194AC" w:rsidR="00D059C5" w:rsidRDefault="00D059C5" w:rsidP="00A704EE">
            <w:pPr>
              <w:pStyle w:val="In-tableHeading"/>
              <w:jc w:val="center"/>
            </w:pPr>
            <w:r>
              <w:t>Investigator choice</w:t>
            </w:r>
          </w:p>
          <w:p w14:paraId="7D9CA382" w14:textId="1C4123EF" w:rsidR="00D059C5" w:rsidRPr="00080909" w:rsidRDefault="00D059C5" w:rsidP="00A704EE">
            <w:pPr>
              <w:pStyle w:val="In-tableHeading"/>
              <w:jc w:val="center"/>
            </w:pPr>
            <w:r>
              <w:t>n/N (%)</w:t>
            </w:r>
          </w:p>
        </w:tc>
        <w:tc>
          <w:tcPr>
            <w:tcW w:w="865" w:type="pct"/>
            <w:tcMar>
              <w:left w:w="28" w:type="dxa"/>
              <w:right w:w="28" w:type="dxa"/>
            </w:tcMar>
            <w:vAlign w:val="center"/>
          </w:tcPr>
          <w:p w14:paraId="7D39B8B8" w14:textId="77777777" w:rsidR="00D059C5" w:rsidRPr="00080909" w:rsidRDefault="00D059C5" w:rsidP="00A704EE">
            <w:pPr>
              <w:pStyle w:val="In-tableHeading"/>
              <w:jc w:val="center"/>
            </w:pPr>
            <w:r>
              <w:t>RD (95% CI)</w:t>
            </w:r>
          </w:p>
        </w:tc>
        <w:tc>
          <w:tcPr>
            <w:tcW w:w="836" w:type="pct"/>
            <w:tcMar>
              <w:left w:w="28" w:type="dxa"/>
              <w:right w:w="28" w:type="dxa"/>
            </w:tcMar>
            <w:vAlign w:val="center"/>
          </w:tcPr>
          <w:p w14:paraId="2A706CD9" w14:textId="77777777" w:rsidR="00D059C5" w:rsidRDefault="00D059C5" w:rsidP="00A704EE">
            <w:pPr>
              <w:pStyle w:val="In-tableHeading"/>
              <w:jc w:val="center"/>
            </w:pPr>
            <w:r>
              <w:t>RR (95% CI)</w:t>
            </w:r>
          </w:p>
        </w:tc>
      </w:tr>
      <w:tr w:rsidR="00D059C5" w14:paraId="7CBE9FB2"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tcPr>
          <w:p w14:paraId="17B1428C" w14:textId="77777777" w:rsidR="00D059C5" w:rsidRDefault="00D059C5" w:rsidP="00A704EE">
            <w:pPr>
              <w:pStyle w:val="TableText0"/>
            </w:pPr>
            <w:r>
              <w:t>Any TEAE</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52A198" w14:textId="11631B8A" w:rsidR="00D059C5" w:rsidRDefault="00D059C5" w:rsidP="00A704EE">
            <w:pPr>
              <w:pStyle w:val="TableText0"/>
              <w:jc w:val="center"/>
            </w:pPr>
            <w:r>
              <w:t>245/245 (100%)</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0E088E" w14:textId="77777777" w:rsidR="00D059C5" w:rsidRDefault="00D059C5" w:rsidP="00A704EE">
            <w:pPr>
              <w:pStyle w:val="TableText0"/>
              <w:jc w:val="center"/>
            </w:pPr>
            <w:r>
              <w:t>105/111 (94.6%)</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6AFC3D" w14:textId="77777777" w:rsidR="00D059C5" w:rsidRDefault="00D059C5" w:rsidP="00A704EE">
            <w:pPr>
              <w:pStyle w:val="TableText0"/>
              <w:jc w:val="center"/>
            </w:pPr>
            <w:r>
              <w:t>0.05 (0.01, 0.10)</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5B8308" w14:textId="77777777" w:rsidR="00D059C5" w:rsidRDefault="00D059C5" w:rsidP="00A704EE">
            <w:pPr>
              <w:pStyle w:val="TableText0"/>
              <w:jc w:val="center"/>
            </w:pPr>
            <w:r>
              <w:t>1.06 (1.01, 1.11)</w:t>
            </w:r>
          </w:p>
        </w:tc>
      </w:tr>
      <w:tr w:rsidR="00D059C5" w14:paraId="0F598D6E"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tcPr>
          <w:p w14:paraId="38016F0B" w14:textId="77777777" w:rsidR="00D059C5" w:rsidRDefault="00D059C5" w:rsidP="00A704EE">
            <w:pPr>
              <w:pStyle w:val="TableText0"/>
            </w:pPr>
            <w:r>
              <w:t xml:space="preserve">Any related TEAE </w:t>
            </w:r>
            <w:r w:rsidRPr="00064D38">
              <w:t>a</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0DCABF" w14:textId="77777777" w:rsidR="00D059C5" w:rsidRDefault="00D059C5" w:rsidP="00A704EE">
            <w:pPr>
              <w:pStyle w:val="TableText0"/>
              <w:jc w:val="center"/>
            </w:pPr>
            <w:r>
              <w:t>243/245 (99.2)</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27BB61" w14:textId="77777777" w:rsidR="00D059C5" w:rsidRDefault="00D059C5" w:rsidP="00A704EE">
            <w:pPr>
              <w:pStyle w:val="TableText0"/>
              <w:jc w:val="center"/>
            </w:pPr>
            <w:r>
              <w:t>91/111 (82.0%)</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4C68B6" w14:textId="77777777" w:rsidR="00D059C5" w:rsidRDefault="00D059C5" w:rsidP="00A704EE">
            <w:pPr>
              <w:pStyle w:val="TableText0"/>
              <w:jc w:val="center"/>
            </w:pPr>
            <w:r w:rsidRPr="00064D38">
              <w:t>0.17 (0.10</w:t>
            </w:r>
            <w:r>
              <w:t xml:space="preserve">, </w:t>
            </w:r>
            <w:r w:rsidRPr="00064D38">
              <w:t>0.24)</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59B3F4" w14:textId="77777777" w:rsidR="00D059C5" w:rsidRPr="00064D38" w:rsidRDefault="00D059C5" w:rsidP="00A704EE">
            <w:pPr>
              <w:pStyle w:val="TableText0"/>
              <w:jc w:val="center"/>
            </w:pPr>
            <w:r w:rsidRPr="00064D38">
              <w:t>1.21 (1.11</w:t>
            </w:r>
            <w:r>
              <w:t xml:space="preserve">, </w:t>
            </w:r>
            <w:r w:rsidRPr="00064D38">
              <w:t>1.32)</w:t>
            </w:r>
          </w:p>
        </w:tc>
      </w:tr>
      <w:tr w:rsidR="00D059C5" w14:paraId="2C7EA747"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tcPr>
          <w:p w14:paraId="79937D1D" w14:textId="77777777" w:rsidR="00D059C5" w:rsidRDefault="00D059C5" w:rsidP="00A704EE">
            <w:pPr>
              <w:pStyle w:val="TableText0"/>
            </w:pPr>
            <w:r>
              <w:t>Any TEAE with CTCAE Grade ≥ 3</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33BEAB" w14:textId="77777777" w:rsidR="00D059C5" w:rsidRDefault="00D059C5" w:rsidP="00A704EE">
            <w:pPr>
              <w:pStyle w:val="TableText0"/>
              <w:jc w:val="center"/>
            </w:pPr>
            <w:r>
              <w:t>133/245 (54.3%)</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2666C9" w14:textId="77777777" w:rsidR="00D059C5" w:rsidRDefault="00D059C5" w:rsidP="00A704EE">
            <w:pPr>
              <w:pStyle w:val="TableText0"/>
              <w:jc w:val="center"/>
            </w:pPr>
            <w:r>
              <w:t>40/111 (36.0%)</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41FD7E" w14:textId="77777777" w:rsidR="00D059C5" w:rsidRDefault="00D059C5" w:rsidP="00A704EE">
            <w:pPr>
              <w:pStyle w:val="TableText0"/>
              <w:jc w:val="center"/>
            </w:pPr>
            <w:r>
              <w:t>0.18 (0.07, 0.29)</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A6A7C2" w14:textId="77777777" w:rsidR="00D059C5" w:rsidRDefault="00D059C5" w:rsidP="00A704EE">
            <w:pPr>
              <w:pStyle w:val="TableText0"/>
              <w:jc w:val="center"/>
            </w:pPr>
            <w:r>
              <w:t>1.51 (1.15, 1.98)</w:t>
            </w:r>
          </w:p>
        </w:tc>
      </w:tr>
      <w:tr w:rsidR="00D059C5" w14:paraId="5EC0E9F2" w14:textId="77777777" w:rsidTr="00A00780">
        <w:trPr>
          <w:cantSplit/>
        </w:trPr>
        <w:tc>
          <w:tcPr>
            <w:tcW w:w="1334" w:type="pct"/>
            <w:tcBorders>
              <w:top w:val="single" w:sz="4" w:space="0" w:color="auto"/>
              <w:left w:val="single" w:sz="4" w:space="0" w:color="auto"/>
              <w:bottom w:val="nil"/>
              <w:right w:val="single" w:sz="4" w:space="0" w:color="auto"/>
            </w:tcBorders>
            <w:tcMar>
              <w:left w:w="28" w:type="dxa"/>
              <w:right w:w="28" w:type="dxa"/>
            </w:tcMar>
          </w:tcPr>
          <w:p w14:paraId="11E4148E" w14:textId="77777777" w:rsidR="00D059C5" w:rsidRDefault="00D059C5" w:rsidP="00A704EE">
            <w:pPr>
              <w:pStyle w:val="TableText0"/>
            </w:pPr>
            <w:r>
              <w:t xml:space="preserve">Any related TEAE with CTCAE Grade ≥ 3 </w:t>
            </w:r>
          </w:p>
        </w:tc>
        <w:tc>
          <w:tcPr>
            <w:tcW w:w="943" w:type="pct"/>
            <w:tcBorders>
              <w:top w:val="single" w:sz="4" w:space="0" w:color="auto"/>
              <w:left w:val="single" w:sz="4" w:space="0" w:color="auto"/>
              <w:bottom w:val="nil"/>
              <w:right w:val="single" w:sz="4" w:space="0" w:color="auto"/>
            </w:tcBorders>
            <w:tcMar>
              <w:left w:w="28" w:type="dxa"/>
              <w:right w:w="28" w:type="dxa"/>
            </w:tcMar>
            <w:vAlign w:val="center"/>
          </w:tcPr>
          <w:p w14:paraId="75F5432E" w14:textId="77777777" w:rsidR="00D059C5" w:rsidRDefault="00D059C5" w:rsidP="00A704EE">
            <w:pPr>
              <w:pStyle w:val="TableText0"/>
              <w:jc w:val="center"/>
            </w:pPr>
            <w:r>
              <w:t>109/245 (44.5%)</w:t>
            </w:r>
          </w:p>
        </w:tc>
        <w:tc>
          <w:tcPr>
            <w:tcW w:w="1022" w:type="pct"/>
            <w:tcBorders>
              <w:top w:val="single" w:sz="4" w:space="0" w:color="auto"/>
              <w:left w:val="single" w:sz="4" w:space="0" w:color="auto"/>
              <w:bottom w:val="nil"/>
              <w:right w:val="single" w:sz="4" w:space="0" w:color="auto"/>
            </w:tcBorders>
            <w:tcMar>
              <w:left w:w="28" w:type="dxa"/>
              <w:right w:w="28" w:type="dxa"/>
            </w:tcMar>
            <w:vAlign w:val="center"/>
          </w:tcPr>
          <w:p w14:paraId="5D1F335F" w14:textId="77777777" w:rsidR="00D059C5" w:rsidRDefault="00D059C5" w:rsidP="00A704EE">
            <w:pPr>
              <w:pStyle w:val="TableText0"/>
              <w:jc w:val="center"/>
            </w:pPr>
            <w:r>
              <w:t>19/111 (17.1%)</w:t>
            </w:r>
          </w:p>
        </w:tc>
        <w:tc>
          <w:tcPr>
            <w:tcW w:w="865" w:type="pct"/>
            <w:tcBorders>
              <w:top w:val="single" w:sz="4" w:space="0" w:color="auto"/>
              <w:left w:val="single" w:sz="4" w:space="0" w:color="auto"/>
              <w:bottom w:val="nil"/>
              <w:right w:val="single" w:sz="4" w:space="0" w:color="auto"/>
            </w:tcBorders>
            <w:tcMar>
              <w:left w:w="28" w:type="dxa"/>
              <w:right w:w="28" w:type="dxa"/>
            </w:tcMar>
            <w:vAlign w:val="center"/>
          </w:tcPr>
          <w:p w14:paraId="1102A080" w14:textId="77777777" w:rsidR="00D059C5" w:rsidRDefault="00D059C5" w:rsidP="00A704EE">
            <w:pPr>
              <w:pStyle w:val="TableText0"/>
              <w:jc w:val="center"/>
            </w:pPr>
            <w:r w:rsidRPr="00064D38">
              <w:t>0.27 (0.18</w:t>
            </w:r>
            <w:r>
              <w:t xml:space="preserve">, </w:t>
            </w:r>
            <w:r w:rsidRPr="00064D38">
              <w:t>0.37)</w:t>
            </w:r>
          </w:p>
        </w:tc>
        <w:tc>
          <w:tcPr>
            <w:tcW w:w="836" w:type="pct"/>
            <w:tcBorders>
              <w:top w:val="single" w:sz="4" w:space="0" w:color="auto"/>
              <w:left w:val="single" w:sz="4" w:space="0" w:color="auto"/>
              <w:bottom w:val="nil"/>
              <w:right w:val="single" w:sz="4" w:space="0" w:color="auto"/>
            </w:tcBorders>
            <w:tcMar>
              <w:left w:w="28" w:type="dxa"/>
              <w:right w:w="28" w:type="dxa"/>
            </w:tcMar>
            <w:vAlign w:val="center"/>
          </w:tcPr>
          <w:p w14:paraId="2CD411F0" w14:textId="77777777" w:rsidR="00D059C5" w:rsidRPr="00064D38" w:rsidRDefault="00D059C5" w:rsidP="00A704EE">
            <w:pPr>
              <w:pStyle w:val="TableText0"/>
              <w:jc w:val="center"/>
            </w:pPr>
            <w:r w:rsidRPr="00064D38">
              <w:t>2.60 (1.69</w:t>
            </w:r>
            <w:r>
              <w:t xml:space="preserve">, </w:t>
            </w:r>
            <w:r w:rsidRPr="00064D38">
              <w:t>4.01)</w:t>
            </w:r>
          </w:p>
        </w:tc>
      </w:tr>
      <w:tr w:rsidR="00D059C5" w14:paraId="6EFB5D88" w14:textId="77777777" w:rsidTr="00A00780">
        <w:trPr>
          <w:cantSplit/>
        </w:trPr>
        <w:tc>
          <w:tcPr>
            <w:tcW w:w="1334" w:type="pct"/>
            <w:tcBorders>
              <w:top w:val="nil"/>
              <w:left w:val="single" w:sz="4" w:space="0" w:color="auto"/>
              <w:bottom w:val="nil"/>
              <w:right w:val="single" w:sz="4" w:space="0" w:color="auto"/>
            </w:tcBorders>
            <w:tcMar>
              <w:left w:w="28" w:type="dxa"/>
              <w:right w:w="28" w:type="dxa"/>
            </w:tcMar>
          </w:tcPr>
          <w:p w14:paraId="29DBC6E0" w14:textId="77777777" w:rsidR="00D059C5" w:rsidRDefault="00D059C5" w:rsidP="00B84048">
            <w:pPr>
              <w:pStyle w:val="TableText0"/>
              <w:numPr>
                <w:ilvl w:val="0"/>
                <w:numId w:val="6"/>
              </w:numPr>
              <w:ind w:left="594"/>
            </w:pPr>
            <w:r>
              <w:t>Rash</w:t>
            </w:r>
          </w:p>
        </w:tc>
        <w:tc>
          <w:tcPr>
            <w:tcW w:w="943" w:type="pct"/>
            <w:tcBorders>
              <w:top w:val="nil"/>
              <w:left w:val="single" w:sz="4" w:space="0" w:color="auto"/>
              <w:bottom w:val="nil"/>
              <w:right w:val="single" w:sz="4" w:space="0" w:color="auto"/>
            </w:tcBorders>
            <w:tcMar>
              <w:left w:w="28" w:type="dxa"/>
              <w:right w:w="28" w:type="dxa"/>
            </w:tcMar>
            <w:vAlign w:val="center"/>
          </w:tcPr>
          <w:p w14:paraId="6F6950AB" w14:textId="77777777" w:rsidR="00D059C5" w:rsidRDefault="00D059C5" w:rsidP="00A704EE">
            <w:pPr>
              <w:pStyle w:val="TableText0"/>
              <w:jc w:val="center"/>
            </w:pPr>
            <w:r>
              <w:t>9.4%</w:t>
            </w:r>
          </w:p>
        </w:tc>
        <w:tc>
          <w:tcPr>
            <w:tcW w:w="1022" w:type="pct"/>
            <w:tcBorders>
              <w:top w:val="nil"/>
              <w:left w:val="single" w:sz="4" w:space="0" w:color="auto"/>
              <w:bottom w:val="nil"/>
              <w:right w:val="single" w:sz="4" w:space="0" w:color="auto"/>
            </w:tcBorders>
            <w:tcMar>
              <w:left w:w="28" w:type="dxa"/>
              <w:right w:w="28" w:type="dxa"/>
            </w:tcMar>
            <w:vAlign w:val="center"/>
          </w:tcPr>
          <w:p w14:paraId="3648B365" w14:textId="77777777" w:rsidR="00D059C5" w:rsidRDefault="00D059C5" w:rsidP="00A704EE">
            <w:pPr>
              <w:pStyle w:val="TableText0"/>
              <w:jc w:val="center"/>
            </w:pPr>
            <w:r>
              <w:t>0.0%</w:t>
            </w:r>
          </w:p>
        </w:tc>
        <w:tc>
          <w:tcPr>
            <w:tcW w:w="865" w:type="pct"/>
            <w:tcBorders>
              <w:top w:val="nil"/>
              <w:left w:val="single" w:sz="4" w:space="0" w:color="auto"/>
              <w:bottom w:val="nil"/>
              <w:right w:val="single" w:sz="4" w:space="0" w:color="auto"/>
            </w:tcBorders>
            <w:tcMar>
              <w:left w:w="28" w:type="dxa"/>
              <w:right w:w="28" w:type="dxa"/>
            </w:tcMar>
            <w:vAlign w:val="center"/>
          </w:tcPr>
          <w:p w14:paraId="1E170C86" w14:textId="77777777" w:rsidR="00D059C5" w:rsidRDefault="00D059C5" w:rsidP="00A704EE">
            <w:pPr>
              <w:pStyle w:val="TableText0"/>
              <w:jc w:val="center"/>
            </w:pPr>
            <w:r>
              <w:t>NR</w:t>
            </w:r>
          </w:p>
        </w:tc>
        <w:tc>
          <w:tcPr>
            <w:tcW w:w="836" w:type="pct"/>
            <w:tcBorders>
              <w:top w:val="nil"/>
              <w:left w:val="single" w:sz="4" w:space="0" w:color="auto"/>
              <w:bottom w:val="nil"/>
              <w:right w:val="single" w:sz="4" w:space="0" w:color="auto"/>
            </w:tcBorders>
            <w:tcMar>
              <w:left w:w="28" w:type="dxa"/>
              <w:right w:w="28" w:type="dxa"/>
            </w:tcMar>
          </w:tcPr>
          <w:p w14:paraId="75483A8E" w14:textId="77777777" w:rsidR="00D059C5" w:rsidRPr="00064D38" w:rsidRDefault="00D059C5" w:rsidP="00A704EE">
            <w:pPr>
              <w:pStyle w:val="TableText0"/>
              <w:jc w:val="center"/>
            </w:pPr>
            <w:r w:rsidRPr="00945E75">
              <w:t>NR</w:t>
            </w:r>
          </w:p>
        </w:tc>
      </w:tr>
      <w:tr w:rsidR="00D059C5" w14:paraId="325C6ED8" w14:textId="77777777" w:rsidTr="00A00780">
        <w:trPr>
          <w:cantSplit/>
        </w:trPr>
        <w:tc>
          <w:tcPr>
            <w:tcW w:w="1334" w:type="pct"/>
            <w:tcBorders>
              <w:top w:val="nil"/>
              <w:left w:val="single" w:sz="4" w:space="0" w:color="auto"/>
              <w:bottom w:val="nil"/>
              <w:right w:val="single" w:sz="4" w:space="0" w:color="auto"/>
            </w:tcBorders>
            <w:tcMar>
              <w:left w:w="28" w:type="dxa"/>
              <w:right w:w="28" w:type="dxa"/>
            </w:tcMar>
          </w:tcPr>
          <w:p w14:paraId="3C4025AA" w14:textId="77777777" w:rsidR="00D059C5" w:rsidRDefault="00D059C5" w:rsidP="00B84048">
            <w:pPr>
              <w:pStyle w:val="TableText0"/>
              <w:numPr>
                <w:ilvl w:val="0"/>
                <w:numId w:val="6"/>
              </w:numPr>
              <w:ind w:left="594"/>
            </w:pPr>
            <w:r>
              <w:t>Maculo-papular rash</w:t>
            </w:r>
          </w:p>
        </w:tc>
        <w:tc>
          <w:tcPr>
            <w:tcW w:w="943" w:type="pct"/>
            <w:tcBorders>
              <w:top w:val="nil"/>
              <w:left w:val="single" w:sz="4" w:space="0" w:color="auto"/>
              <w:bottom w:val="nil"/>
              <w:right w:val="single" w:sz="4" w:space="0" w:color="auto"/>
            </w:tcBorders>
            <w:tcMar>
              <w:left w:w="28" w:type="dxa"/>
              <w:right w:w="28" w:type="dxa"/>
            </w:tcMar>
            <w:vAlign w:val="center"/>
          </w:tcPr>
          <w:p w14:paraId="03F1BCF5" w14:textId="77777777" w:rsidR="00D059C5" w:rsidRDefault="00D059C5" w:rsidP="00A704EE">
            <w:pPr>
              <w:pStyle w:val="TableText0"/>
              <w:jc w:val="center"/>
            </w:pPr>
            <w:r>
              <w:t>8.6%</w:t>
            </w:r>
          </w:p>
        </w:tc>
        <w:tc>
          <w:tcPr>
            <w:tcW w:w="1022" w:type="pct"/>
            <w:tcBorders>
              <w:top w:val="nil"/>
              <w:left w:val="single" w:sz="4" w:space="0" w:color="auto"/>
              <w:bottom w:val="nil"/>
              <w:right w:val="single" w:sz="4" w:space="0" w:color="auto"/>
            </w:tcBorders>
            <w:tcMar>
              <w:left w:w="28" w:type="dxa"/>
              <w:right w:w="28" w:type="dxa"/>
            </w:tcMar>
            <w:vAlign w:val="center"/>
          </w:tcPr>
          <w:p w14:paraId="6BEAC071" w14:textId="77777777" w:rsidR="00D059C5" w:rsidRDefault="00D059C5" w:rsidP="00A704EE">
            <w:pPr>
              <w:pStyle w:val="TableText0"/>
              <w:jc w:val="center"/>
            </w:pPr>
            <w:r>
              <w:t>0.0%</w:t>
            </w:r>
          </w:p>
        </w:tc>
        <w:tc>
          <w:tcPr>
            <w:tcW w:w="865" w:type="pct"/>
            <w:tcBorders>
              <w:top w:val="nil"/>
              <w:left w:val="single" w:sz="4" w:space="0" w:color="auto"/>
              <w:bottom w:val="nil"/>
              <w:right w:val="single" w:sz="4" w:space="0" w:color="auto"/>
            </w:tcBorders>
            <w:tcMar>
              <w:left w:w="28" w:type="dxa"/>
              <w:right w:w="28" w:type="dxa"/>
            </w:tcMar>
          </w:tcPr>
          <w:p w14:paraId="27E5AD28" w14:textId="77777777" w:rsidR="00D059C5" w:rsidRDefault="00D059C5" w:rsidP="00A704EE">
            <w:pPr>
              <w:pStyle w:val="TableText0"/>
              <w:jc w:val="center"/>
            </w:pPr>
            <w:r w:rsidRPr="00C22318">
              <w:t>NR</w:t>
            </w:r>
          </w:p>
        </w:tc>
        <w:tc>
          <w:tcPr>
            <w:tcW w:w="836" w:type="pct"/>
            <w:tcBorders>
              <w:top w:val="nil"/>
              <w:left w:val="single" w:sz="4" w:space="0" w:color="auto"/>
              <w:bottom w:val="nil"/>
              <w:right w:val="single" w:sz="4" w:space="0" w:color="auto"/>
            </w:tcBorders>
            <w:tcMar>
              <w:left w:w="28" w:type="dxa"/>
              <w:right w:w="28" w:type="dxa"/>
            </w:tcMar>
          </w:tcPr>
          <w:p w14:paraId="3130A5FB" w14:textId="77777777" w:rsidR="00D059C5" w:rsidRPr="00064D38" w:rsidRDefault="00D059C5" w:rsidP="00A704EE">
            <w:pPr>
              <w:pStyle w:val="TableText0"/>
              <w:jc w:val="center"/>
            </w:pPr>
            <w:r w:rsidRPr="00945E75">
              <w:t>NR</w:t>
            </w:r>
          </w:p>
        </w:tc>
      </w:tr>
      <w:tr w:rsidR="00D059C5" w14:paraId="3EDC5EE3" w14:textId="77777777" w:rsidTr="00A00780">
        <w:trPr>
          <w:cantSplit/>
        </w:trPr>
        <w:tc>
          <w:tcPr>
            <w:tcW w:w="1334" w:type="pct"/>
            <w:tcBorders>
              <w:top w:val="nil"/>
              <w:left w:val="single" w:sz="4" w:space="0" w:color="auto"/>
              <w:bottom w:val="nil"/>
              <w:right w:val="single" w:sz="4" w:space="0" w:color="auto"/>
            </w:tcBorders>
            <w:tcMar>
              <w:left w:w="28" w:type="dxa"/>
              <w:right w:w="28" w:type="dxa"/>
            </w:tcMar>
          </w:tcPr>
          <w:p w14:paraId="1F151416" w14:textId="77777777" w:rsidR="00D059C5" w:rsidRDefault="00D059C5" w:rsidP="00B84048">
            <w:pPr>
              <w:pStyle w:val="TableText0"/>
              <w:numPr>
                <w:ilvl w:val="0"/>
                <w:numId w:val="6"/>
              </w:numPr>
              <w:ind w:left="594"/>
            </w:pPr>
            <w:r>
              <w:t>Hypertension</w:t>
            </w:r>
          </w:p>
        </w:tc>
        <w:tc>
          <w:tcPr>
            <w:tcW w:w="943" w:type="pct"/>
            <w:tcBorders>
              <w:top w:val="nil"/>
              <w:left w:val="single" w:sz="4" w:space="0" w:color="auto"/>
              <w:bottom w:val="nil"/>
              <w:right w:val="single" w:sz="4" w:space="0" w:color="auto"/>
            </w:tcBorders>
            <w:tcMar>
              <w:left w:w="28" w:type="dxa"/>
              <w:right w:w="28" w:type="dxa"/>
            </w:tcMar>
            <w:vAlign w:val="center"/>
          </w:tcPr>
          <w:p w14:paraId="06B04BA4" w14:textId="77777777" w:rsidR="00D059C5" w:rsidRDefault="00D059C5" w:rsidP="00A704EE">
            <w:pPr>
              <w:pStyle w:val="TableText0"/>
              <w:jc w:val="center"/>
            </w:pPr>
            <w:r>
              <w:t>8.6%</w:t>
            </w:r>
          </w:p>
        </w:tc>
        <w:tc>
          <w:tcPr>
            <w:tcW w:w="1022" w:type="pct"/>
            <w:tcBorders>
              <w:top w:val="nil"/>
              <w:left w:val="single" w:sz="4" w:space="0" w:color="auto"/>
              <w:bottom w:val="nil"/>
              <w:right w:val="single" w:sz="4" w:space="0" w:color="auto"/>
            </w:tcBorders>
            <w:tcMar>
              <w:left w:w="28" w:type="dxa"/>
              <w:right w:w="28" w:type="dxa"/>
            </w:tcMar>
            <w:vAlign w:val="center"/>
          </w:tcPr>
          <w:p w14:paraId="3452762C" w14:textId="77777777" w:rsidR="00D059C5" w:rsidRDefault="00D059C5" w:rsidP="00A704EE">
            <w:pPr>
              <w:pStyle w:val="TableText0"/>
              <w:jc w:val="center"/>
            </w:pPr>
            <w:r>
              <w:t>2.7%</w:t>
            </w:r>
          </w:p>
        </w:tc>
        <w:tc>
          <w:tcPr>
            <w:tcW w:w="865" w:type="pct"/>
            <w:tcBorders>
              <w:top w:val="nil"/>
              <w:left w:val="single" w:sz="4" w:space="0" w:color="auto"/>
              <w:bottom w:val="nil"/>
              <w:right w:val="single" w:sz="4" w:space="0" w:color="auto"/>
            </w:tcBorders>
            <w:tcMar>
              <w:left w:w="28" w:type="dxa"/>
              <w:right w:w="28" w:type="dxa"/>
            </w:tcMar>
          </w:tcPr>
          <w:p w14:paraId="5A8C342C" w14:textId="77777777" w:rsidR="00D059C5" w:rsidRDefault="00D059C5" w:rsidP="00A704EE">
            <w:pPr>
              <w:pStyle w:val="TableText0"/>
              <w:jc w:val="center"/>
            </w:pPr>
            <w:r w:rsidRPr="00C22318">
              <w:t>NR</w:t>
            </w:r>
          </w:p>
        </w:tc>
        <w:tc>
          <w:tcPr>
            <w:tcW w:w="836" w:type="pct"/>
            <w:tcBorders>
              <w:top w:val="nil"/>
              <w:left w:val="single" w:sz="4" w:space="0" w:color="auto"/>
              <w:bottom w:val="nil"/>
              <w:right w:val="single" w:sz="4" w:space="0" w:color="auto"/>
            </w:tcBorders>
            <w:tcMar>
              <w:left w:w="28" w:type="dxa"/>
              <w:right w:w="28" w:type="dxa"/>
            </w:tcMar>
          </w:tcPr>
          <w:p w14:paraId="4FBA730B" w14:textId="77777777" w:rsidR="00D059C5" w:rsidRPr="00064D38" w:rsidRDefault="00D059C5" w:rsidP="00A704EE">
            <w:pPr>
              <w:pStyle w:val="TableText0"/>
              <w:jc w:val="center"/>
            </w:pPr>
            <w:r w:rsidRPr="00945E75">
              <w:t>NR</w:t>
            </w:r>
          </w:p>
        </w:tc>
      </w:tr>
      <w:tr w:rsidR="00D059C5" w14:paraId="7316C4B9" w14:textId="77777777" w:rsidTr="00A00780">
        <w:trPr>
          <w:cantSplit/>
        </w:trPr>
        <w:tc>
          <w:tcPr>
            <w:tcW w:w="1334" w:type="pct"/>
            <w:tcBorders>
              <w:top w:val="nil"/>
              <w:left w:val="single" w:sz="4" w:space="0" w:color="auto"/>
              <w:bottom w:val="nil"/>
              <w:right w:val="single" w:sz="4" w:space="0" w:color="auto"/>
            </w:tcBorders>
            <w:tcMar>
              <w:left w:w="28" w:type="dxa"/>
              <w:right w:w="28" w:type="dxa"/>
            </w:tcMar>
          </w:tcPr>
          <w:p w14:paraId="273107E7" w14:textId="77777777" w:rsidR="00D059C5" w:rsidRDefault="00D059C5" w:rsidP="00B84048">
            <w:pPr>
              <w:pStyle w:val="TableText0"/>
              <w:numPr>
                <w:ilvl w:val="0"/>
                <w:numId w:val="6"/>
              </w:numPr>
              <w:ind w:left="594"/>
            </w:pPr>
            <w:r>
              <w:t>Increased AST</w:t>
            </w:r>
          </w:p>
        </w:tc>
        <w:tc>
          <w:tcPr>
            <w:tcW w:w="943" w:type="pct"/>
            <w:tcBorders>
              <w:top w:val="nil"/>
              <w:left w:val="single" w:sz="4" w:space="0" w:color="auto"/>
              <w:bottom w:val="nil"/>
              <w:right w:val="single" w:sz="4" w:space="0" w:color="auto"/>
            </w:tcBorders>
            <w:tcMar>
              <w:left w:w="28" w:type="dxa"/>
              <w:right w:w="28" w:type="dxa"/>
            </w:tcMar>
            <w:vAlign w:val="center"/>
          </w:tcPr>
          <w:p w14:paraId="1F08EFCD" w14:textId="77777777" w:rsidR="00D059C5" w:rsidRDefault="00D059C5" w:rsidP="00A704EE">
            <w:pPr>
              <w:pStyle w:val="TableText0"/>
              <w:jc w:val="center"/>
            </w:pPr>
            <w:r>
              <w:t>5.3%</w:t>
            </w:r>
          </w:p>
        </w:tc>
        <w:tc>
          <w:tcPr>
            <w:tcW w:w="1022" w:type="pct"/>
            <w:tcBorders>
              <w:top w:val="nil"/>
              <w:left w:val="single" w:sz="4" w:space="0" w:color="auto"/>
              <w:bottom w:val="nil"/>
              <w:right w:val="single" w:sz="4" w:space="0" w:color="auto"/>
            </w:tcBorders>
            <w:tcMar>
              <w:left w:w="28" w:type="dxa"/>
              <w:right w:w="28" w:type="dxa"/>
            </w:tcMar>
            <w:vAlign w:val="center"/>
          </w:tcPr>
          <w:p w14:paraId="34E45EDE" w14:textId="77777777" w:rsidR="00D059C5" w:rsidRDefault="00D059C5" w:rsidP="00A704EE">
            <w:pPr>
              <w:pStyle w:val="TableText0"/>
              <w:jc w:val="center"/>
            </w:pPr>
            <w:r>
              <w:t>0.9%</w:t>
            </w:r>
          </w:p>
        </w:tc>
        <w:tc>
          <w:tcPr>
            <w:tcW w:w="865" w:type="pct"/>
            <w:tcBorders>
              <w:top w:val="nil"/>
              <w:left w:val="single" w:sz="4" w:space="0" w:color="auto"/>
              <w:bottom w:val="nil"/>
              <w:right w:val="single" w:sz="4" w:space="0" w:color="auto"/>
            </w:tcBorders>
            <w:tcMar>
              <w:left w:w="28" w:type="dxa"/>
              <w:right w:w="28" w:type="dxa"/>
            </w:tcMar>
          </w:tcPr>
          <w:p w14:paraId="38184ADB" w14:textId="77777777" w:rsidR="00D059C5" w:rsidRDefault="00D059C5" w:rsidP="00A704EE">
            <w:pPr>
              <w:pStyle w:val="TableText0"/>
              <w:jc w:val="center"/>
            </w:pPr>
            <w:r w:rsidRPr="00C22318">
              <w:t>NR</w:t>
            </w:r>
          </w:p>
        </w:tc>
        <w:tc>
          <w:tcPr>
            <w:tcW w:w="836" w:type="pct"/>
            <w:tcBorders>
              <w:top w:val="nil"/>
              <w:left w:val="single" w:sz="4" w:space="0" w:color="auto"/>
              <w:bottom w:val="nil"/>
              <w:right w:val="single" w:sz="4" w:space="0" w:color="auto"/>
            </w:tcBorders>
            <w:tcMar>
              <w:left w:w="28" w:type="dxa"/>
              <w:right w:w="28" w:type="dxa"/>
            </w:tcMar>
          </w:tcPr>
          <w:p w14:paraId="16FC9618" w14:textId="77777777" w:rsidR="00D059C5" w:rsidRPr="00064D38" w:rsidRDefault="00D059C5" w:rsidP="00A704EE">
            <w:pPr>
              <w:pStyle w:val="TableText0"/>
              <w:jc w:val="center"/>
            </w:pPr>
            <w:r w:rsidRPr="00945E75">
              <w:t>NR</w:t>
            </w:r>
          </w:p>
        </w:tc>
      </w:tr>
      <w:tr w:rsidR="00D059C5" w14:paraId="3F085318" w14:textId="77777777" w:rsidTr="00A00780">
        <w:trPr>
          <w:cantSplit/>
        </w:trPr>
        <w:tc>
          <w:tcPr>
            <w:tcW w:w="1334" w:type="pct"/>
            <w:tcBorders>
              <w:top w:val="nil"/>
              <w:left w:val="single" w:sz="4" w:space="0" w:color="auto"/>
              <w:bottom w:val="single" w:sz="4" w:space="0" w:color="auto"/>
              <w:right w:val="single" w:sz="4" w:space="0" w:color="auto"/>
            </w:tcBorders>
            <w:tcMar>
              <w:left w:w="28" w:type="dxa"/>
              <w:right w:w="28" w:type="dxa"/>
            </w:tcMar>
          </w:tcPr>
          <w:p w14:paraId="4B85DB47" w14:textId="77777777" w:rsidR="00D059C5" w:rsidRDefault="00D059C5" w:rsidP="00B84048">
            <w:pPr>
              <w:pStyle w:val="TableText0"/>
              <w:numPr>
                <w:ilvl w:val="0"/>
                <w:numId w:val="6"/>
              </w:numPr>
              <w:ind w:left="594"/>
            </w:pPr>
            <w:r>
              <w:t>Fatigue</w:t>
            </w:r>
          </w:p>
        </w:tc>
        <w:tc>
          <w:tcPr>
            <w:tcW w:w="943" w:type="pct"/>
            <w:tcBorders>
              <w:top w:val="nil"/>
              <w:left w:val="single" w:sz="4" w:space="0" w:color="auto"/>
              <w:bottom w:val="single" w:sz="4" w:space="0" w:color="auto"/>
              <w:right w:val="single" w:sz="4" w:space="0" w:color="auto"/>
            </w:tcBorders>
            <w:tcMar>
              <w:left w:w="28" w:type="dxa"/>
              <w:right w:w="28" w:type="dxa"/>
            </w:tcMar>
            <w:vAlign w:val="center"/>
          </w:tcPr>
          <w:p w14:paraId="693A0630" w14:textId="77777777" w:rsidR="00D059C5" w:rsidRDefault="00D059C5" w:rsidP="00A704EE">
            <w:pPr>
              <w:pStyle w:val="TableText0"/>
              <w:jc w:val="center"/>
            </w:pPr>
            <w:r>
              <w:t>5.3%</w:t>
            </w:r>
          </w:p>
        </w:tc>
        <w:tc>
          <w:tcPr>
            <w:tcW w:w="1022" w:type="pct"/>
            <w:tcBorders>
              <w:top w:val="nil"/>
              <w:left w:val="single" w:sz="4" w:space="0" w:color="auto"/>
              <w:bottom w:val="single" w:sz="4" w:space="0" w:color="auto"/>
              <w:right w:val="single" w:sz="4" w:space="0" w:color="auto"/>
            </w:tcBorders>
            <w:tcMar>
              <w:left w:w="28" w:type="dxa"/>
              <w:right w:w="28" w:type="dxa"/>
            </w:tcMar>
            <w:vAlign w:val="center"/>
          </w:tcPr>
          <w:p w14:paraId="720C3FA5" w14:textId="77777777" w:rsidR="00D059C5" w:rsidRDefault="00D059C5" w:rsidP="00A704EE">
            <w:pPr>
              <w:pStyle w:val="TableText0"/>
              <w:jc w:val="center"/>
            </w:pPr>
            <w:r>
              <w:t>0.9%</w:t>
            </w:r>
          </w:p>
        </w:tc>
        <w:tc>
          <w:tcPr>
            <w:tcW w:w="865" w:type="pct"/>
            <w:tcBorders>
              <w:top w:val="nil"/>
              <w:left w:val="single" w:sz="4" w:space="0" w:color="auto"/>
              <w:bottom w:val="single" w:sz="4" w:space="0" w:color="auto"/>
              <w:right w:val="single" w:sz="4" w:space="0" w:color="auto"/>
            </w:tcBorders>
            <w:tcMar>
              <w:left w:w="28" w:type="dxa"/>
              <w:right w:w="28" w:type="dxa"/>
            </w:tcMar>
          </w:tcPr>
          <w:p w14:paraId="5AF27F79" w14:textId="77777777" w:rsidR="00D059C5" w:rsidRDefault="00D059C5" w:rsidP="00A704EE">
            <w:pPr>
              <w:pStyle w:val="TableText0"/>
              <w:jc w:val="center"/>
            </w:pPr>
            <w:r w:rsidRPr="00C22318">
              <w:t>NR</w:t>
            </w:r>
          </w:p>
        </w:tc>
        <w:tc>
          <w:tcPr>
            <w:tcW w:w="836" w:type="pct"/>
            <w:tcBorders>
              <w:top w:val="nil"/>
              <w:left w:val="single" w:sz="4" w:space="0" w:color="auto"/>
              <w:bottom w:val="single" w:sz="4" w:space="0" w:color="auto"/>
              <w:right w:val="single" w:sz="4" w:space="0" w:color="auto"/>
            </w:tcBorders>
            <w:tcMar>
              <w:left w:w="28" w:type="dxa"/>
              <w:right w:w="28" w:type="dxa"/>
            </w:tcMar>
          </w:tcPr>
          <w:p w14:paraId="24111967" w14:textId="77777777" w:rsidR="00D059C5" w:rsidRPr="00064D38" w:rsidRDefault="00D059C5" w:rsidP="00A704EE">
            <w:pPr>
              <w:pStyle w:val="TableText0"/>
              <w:jc w:val="center"/>
            </w:pPr>
            <w:r w:rsidRPr="00945E75">
              <w:t>NR</w:t>
            </w:r>
          </w:p>
        </w:tc>
      </w:tr>
      <w:tr w:rsidR="00D059C5" w14:paraId="7BB94F6F"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tcPr>
          <w:p w14:paraId="3D688EEB" w14:textId="77777777" w:rsidR="00D059C5" w:rsidRDefault="00D059C5" w:rsidP="00A704EE">
            <w:pPr>
              <w:pStyle w:val="TableText0"/>
            </w:pPr>
            <w:r>
              <w:t>Any TESAE</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3FA6FC" w14:textId="77777777" w:rsidR="00D059C5" w:rsidRDefault="00D059C5" w:rsidP="00A704EE">
            <w:pPr>
              <w:pStyle w:val="TableText0"/>
              <w:jc w:val="center"/>
            </w:pPr>
            <w:r>
              <w:t>69/245 (28.2%)</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F5F4AD" w14:textId="77777777" w:rsidR="00D059C5" w:rsidRDefault="00D059C5" w:rsidP="00A704EE">
            <w:pPr>
              <w:pStyle w:val="TableText0"/>
              <w:jc w:val="center"/>
            </w:pPr>
            <w:r>
              <w:t>26/111 (23.4%)</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B876AD" w14:textId="77777777" w:rsidR="00D059C5" w:rsidRDefault="00D059C5" w:rsidP="00A704EE">
            <w:pPr>
              <w:pStyle w:val="TableText0"/>
              <w:jc w:val="center"/>
            </w:pPr>
            <w:r w:rsidRPr="00064D38">
              <w:t>0.05 (-0.05</w:t>
            </w:r>
            <w:r>
              <w:t xml:space="preserve">, </w:t>
            </w:r>
            <w:r w:rsidRPr="00064D38">
              <w:t>0.14)</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AD9EFF" w14:textId="77777777" w:rsidR="00D059C5" w:rsidRPr="00064D38" w:rsidRDefault="00D059C5" w:rsidP="00A704EE">
            <w:pPr>
              <w:pStyle w:val="TableText0"/>
              <w:jc w:val="center"/>
            </w:pPr>
            <w:r w:rsidRPr="00972657">
              <w:t xml:space="preserve">NR </w:t>
            </w:r>
            <w:r w:rsidRPr="00064D38">
              <w:t>(0.81</w:t>
            </w:r>
            <w:r>
              <w:t xml:space="preserve">, </w:t>
            </w:r>
            <w:r w:rsidRPr="00064D38">
              <w:t>1.78)</w:t>
            </w:r>
          </w:p>
        </w:tc>
      </w:tr>
      <w:tr w:rsidR="00D059C5" w14:paraId="3FFA810F"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tcPr>
          <w:p w14:paraId="0F295B60" w14:textId="77777777" w:rsidR="00D059C5" w:rsidRDefault="00D059C5" w:rsidP="00A704EE">
            <w:pPr>
              <w:pStyle w:val="TableText0"/>
            </w:pPr>
            <w:r>
              <w:t>Any related TESAE</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A323B4" w14:textId="77777777" w:rsidR="00D059C5" w:rsidRDefault="00D059C5" w:rsidP="00A704EE">
            <w:pPr>
              <w:pStyle w:val="TableText0"/>
              <w:jc w:val="center"/>
            </w:pPr>
            <w:r>
              <w:t>54/245 (22.0%)</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9D8236" w14:textId="77777777" w:rsidR="00D059C5" w:rsidRDefault="00D059C5" w:rsidP="00A704EE">
            <w:pPr>
              <w:pStyle w:val="TableText0"/>
              <w:jc w:val="center"/>
            </w:pPr>
            <w:r>
              <w:t>8/111 (7.2%)</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9938F2" w14:textId="77777777" w:rsidR="00D059C5" w:rsidRDefault="00D059C5" w:rsidP="00A704EE">
            <w:pPr>
              <w:pStyle w:val="TableText0"/>
              <w:jc w:val="center"/>
            </w:pPr>
            <w:r w:rsidRPr="00064D38">
              <w:t>0.15 (0.08</w:t>
            </w:r>
            <w:r>
              <w:t xml:space="preserve">, </w:t>
            </w:r>
            <w:r w:rsidRPr="00064D38">
              <w:t>0.22)</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2A61E6" w14:textId="77777777" w:rsidR="00D059C5" w:rsidRPr="00064D38" w:rsidRDefault="00D059C5" w:rsidP="00A704EE">
            <w:pPr>
              <w:pStyle w:val="TableText0"/>
              <w:jc w:val="center"/>
            </w:pPr>
            <w:r w:rsidRPr="00064D38">
              <w:t>3.06 (1.51</w:t>
            </w:r>
            <w:r>
              <w:t xml:space="preserve">, </w:t>
            </w:r>
            <w:r w:rsidRPr="00064D38">
              <w:t>6.21)</w:t>
            </w:r>
          </w:p>
        </w:tc>
      </w:tr>
      <w:tr w:rsidR="00D059C5" w14:paraId="6108649D"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tcPr>
          <w:p w14:paraId="0835E163" w14:textId="77777777" w:rsidR="00D059C5" w:rsidRDefault="00D059C5" w:rsidP="00A704EE">
            <w:pPr>
              <w:pStyle w:val="TableText0"/>
            </w:pPr>
            <w:r>
              <w:t>Any TEAE leading to death</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144AA4" w14:textId="77777777" w:rsidR="00D059C5" w:rsidRDefault="00D059C5" w:rsidP="00A704EE">
            <w:pPr>
              <w:pStyle w:val="TableText0"/>
              <w:jc w:val="center"/>
            </w:pPr>
            <w:r>
              <w:t>1/245 (0.4%)</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80277C" w14:textId="77777777" w:rsidR="00D059C5" w:rsidRDefault="00D059C5" w:rsidP="00A704EE">
            <w:pPr>
              <w:pStyle w:val="TableText0"/>
              <w:jc w:val="center"/>
            </w:pPr>
            <w:r>
              <w:t>2/111 (1.8%)</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77727A" w14:textId="77777777" w:rsidR="00D059C5" w:rsidRDefault="00D059C5" w:rsidP="00A704EE">
            <w:pPr>
              <w:pStyle w:val="TableText0"/>
              <w:jc w:val="center"/>
            </w:pPr>
            <w:r w:rsidRPr="00064D38">
              <w:t>-0.01 (-0.04</w:t>
            </w:r>
            <w:r>
              <w:t xml:space="preserve">, </w:t>
            </w:r>
            <w:r w:rsidRPr="00064D38">
              <w:t>0.01)</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6F6F2A" w14:textId="77777777" w:rsidR="00D059C5" w:rsidRPr="00064D38" w:rsidRDefault="00D059C5" w:rsidP="00A704EE">
            <w:pPr>
              <w:pStyle w:val="TableText0"/>
              <w:jc w:val="center"/>
            </w:pPr>
            <w:r w:rsidRPr="00064D38">
              <w:t>0.23 (0.02</w:t>
            </w:r>
            <w:r>
              <w:t xml:space="preserve">, </w:t>
            </w:r>
            <w:r w:rsidRPr="00064D38">
              <w:t>2.47)</w:t>
            </w:r>
          </w:p>
        </w:tc>
      </w:tr>
      <w:tr w:rsidR="00D059C5" w14:paraId="5724EAAD"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tcPr>
          <w:p w14:paraId="1A08CA62" w14:textId="77777777" w:rsidR="00D059C5" w:rsidRDefault="00D059C5" w:rsidP="00A704EE">
            <w:pPr>
              <w:pStyle w:val="TableText0"/>
            </w:pPr>
            <w:r>
              <w:t>Any related TEAE leading to death</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48C1EE" w14:textId="77777777" w:rsidR="00D059C5" w:rsidRDefault="00D059C5" w:rsidP="00A704EE">
            <w:pPr>
              <w:pStyle w:val="TableText0"/>
              <w:jc w:val="center"/>
            </w:pPr>
            <w:r>
              <w:t>0</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44A75F" w14:textId="77777777" w:rsidR="00D059C5" w:rsidRDefault="00D059C5" w:rsidP="00A704EE">
            <w:pPr>
              <w:pStyle w:val="TableText0"/>
              <w:jc w:val="center"/>
            </w:pPr>
            <w:r>
              <w:t>0</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D5AE2B" w14:textId="77777777" w:rsidR="00D059C5" w:rsidRDefault="00D059C5" w:rsidP="00A704EE">
            <w:pPr>
              <w:pStyle w:val="TableText0"/>
              <w:jc w:val="center"/>
            </w:pPr>
            <w:r w:rsidRPr="00064D38">
              <w:t>NA</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878C79" w14:textId="77777777" w:rsidR="00D059C5" w:rsidRPr="00064D38" w:rsidRDefault="00D059C5" w:rsidP="00A704EE">
            <w:pPr>
              <w:pStyle w:val="TableText0"/>
              <w:jc w:val="center"/>
            </w:pPr>
            <w:r w:rsidRPr="00064D38">
              <w:t>NA</w:t>
            </w:r>
          </w:p>
        </w:tc>
      </w:tr>
      <w:tr w:rsidR="00D059C5" w14:paraId="732DE1F5"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tcPr>
          <w:p w14:paraId="3E4BDE31" w14:textId="77777777" w:rsidR="00D059C5" w:rsidRDefault="00D059C5" w:rsidP="00A704EE">
            <w:pPr>
              <w:pStyle w:val="TableText0"/>
            </w:pPr>
            <w:r>
              <w:t>Any TEAE leading to study drug discontinuation</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97D47D" w14:textId="77777777" w:rsidR="00D059C5" w:rsidRDefault="00D059C5" w:rsidP="00A704EE">
            <w:pPr>
              <w:pStyle w:val="TableText0"/>
              <w:jc w:val="center"/>
            </w:pPr>
            <w:r>
              <w:t>8/245 (3.3%)</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BFC5AE" w14:textId="77777777" w:rsidR="00D059C5" w:rsidRDefault="00D059C5" w:rsidP="00A704EE">
            <w:pPr>
              <w:pStyle w:val="TableText0"/>
              <w:jc w:val="center"/>
            </w:pPr>
            <w:r>
              <w:t>7/111 (6.3%)</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0F913C" w14:textId="4FBAD55D" w:rsidR="00D059C5" w:rsidRDefault="00D059C5" w:rsidP="00A704EE">
            <w:pPr>
              <w:pStyle w:val="TableText0"/>
              <w:jc w:val="center"/>
            </w:pPr>
            <w:r w:rsidRPr="00064D38">
              <w:t>-0.03 (-0.08</w:t>
            </w:r>
            <w:r>
              <w:t>,</w:t>
            </w:r>
            <w:r w:rsidR="00A00780">
              <w:t xml:space="preserve"> </w:t>
            </w:r>
            <w:r w:rsidRPr="00064D38">
              <w:t>-0.02)</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43695C" w14:textId="77777777" w:rsidR="00D059C5" w:rsidRPr="00064D38" w:rsidRDefault="00D059C5" w:rsidP="00A704EE">
            <w:pPr>
              <w:pStyle w:val="TableText0"/>
              <w:jc w:val="center"/>
            </w:pPr>
            <w:r w:rsidRPr="00064D38">
              <w:t>0.52 (0.19</w:t>
            </w:r>
            <w:r>
              <w:t xml:space="preserve">, </w:t>
            </w:r>
            <w:r w:rsidRPr="00064D38">
              <w:t>1.339)</w:t>
            </w:r>
          </w:p>
        </w:tc>
      </w:tr>
      <w:tr w:rsidR="00D059C5" w14:paraId="7C423301"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tcPr>
          <w:p w14:paraId="424277A7" w14:textId="77777777" w:rsidR="00D059C5" w:rsidRDefault="00D059C5" w:rsidP="00A704EE">
            <w:pPr>
              <w:pStyle w:val="TableText0"/>
            </w:pPr>
            <w:r>
              <w:t>Any related TEAE leading to study drug discontinuation</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F5210E" w14:textId="77777777" w:rsidR="00D059C5" w:rsidRDefault="00D059C5" w:rsidP="00A704EE">
            <w:pPr>
              <w:pStyle w:val="TableText0"/>
              <w:jc w:val="center"/>
            </w:pPr>
            <w:r>
              <w:t>5/245 (2.0%)</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01D253" w14:textId="77777777" w:rsidR="00D059C5" w:rsidRDefault="00D059C5" w:rsidP="00A704EE">
            <w:pPr>
              <w:pStyle w:val="TableText0"/>
              <w:jc w:val="center"/>
            </w:pPr>
            <w:r>
              <w:t>5/111 (4.5%)</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EEBBDA" w14:textId="4D98289A" w:rsidR="00D059C5" w:rsidRDefault="00D059C5" w:rsidP="00A704EE">
            <w:pPr>
              <w:pStyle w:val="TableText0"/>
              <w:jc w:val="center"/>
            </w:pPr>
            <w:r w:rsidRPr="00064D38">
              <w:t>-0.02 (-0.07</w:t>
            </w:r>
            <w:r>
              <w:t>,</w:t>
            </w:r>
            <w:r w:rsidR="00A00780">
              <w:t xml:space="preserve"> </w:t>
            </w:r>
            <w:r w:rsidRPr="00064D38">
              <w:t>-0.02)</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A98438" w14:textId="77777777" w:rsidR="00D059C5" w:rsidRPr="00064D38" w:rsidRDefault="00D059C5" w:rsidP="00A704EE">
            <w:pPr>
              <w:pStyle w:val="TableText0"/>
              <w:jc w:val="center"/>
            </w:pPr>
            <w:r w:rsidRPr="00064D38">
              <w:t>0.45 (0.13</w:t>
            </w:r>
            <w:r>
              <w:t xml:space="preserve">, </w:t>
            </w:r>
            <w:r w:rsidRPr="00064D38">
              <w:t>1.53)</w:t>
            </w:r>
          </w:p>
        </w:tc>
      </w:tr>
      <w:tr w:rsidR="00D059C5" w14:paraId="186D9BEB" w14:textId="77777777" w:rsidTr="00A00780">
        <w:trPr>
          <w:cantSplit/>
        </w:trPr>
        <w:tc>
          <w:tcPr>
            <w:tcW w:w="1334" w:type="pct"/>
            <w:tcMar>
              <w:left w:w="28" w:type="dxa"/>
              <w:right w:w="28" w:type="dxa"/>
            </w:tcMar>
            <w:vAlign w:val="center"/>
          </w:tcPr>
          <w:p w14:paraId="12ABA554" w14:textId="77777777" w:rsidR="00D059C5" w:rsidRDefault="00D059C5" w:rsidP="00A00780">
            <w:pPr>
              <w:pStyle w:val="TableText0"/>
            </w:pPr>
            <w:r w:rsidRPr="003D480D">
              <w:rPr>
                <w:b/>
                <w:bCs w:val="0"/>
              </w:rPr>
              <w:t>Subgroup Population</w:t>
            </w:r>
          </w:p>
        </w:tc>
        <w:tc>
          <w:tcPr>
            <w:tcW w:w="943" w:type="pct"/>
            <w:tcMar>
              <w:left w:w="28" w:type="dxa"/>
              <w:right w:w="28" w:type="dxa"/>
            </w:tcMar>
            <w:vAlign w:val="center"/>
          </w:tcPr>
          <w:p w14:paraId="5DF233A6" w14:textId="77777777" w:rsidR="00D059C5" w:rsidRPr="003D480D" w:rsidRDefault="00D059C5" w:rsidP="00A704EE">
            <w:pPr>
              <w:pStyle w:val="In-tableHeading"/>
              <w:jc w:val="center"/>
            </w:pPr>
            <w:r>
              <w:t>Tebentafusp PCP</w:t>
            </w:r>
          </w:p>
          <w:p w14:paraId="2FB4409F" w14:textId="13DE388B" w:rsidR="00D059C5" w:rsidRPr="003D480D" w:rsidRDefault="00D059C5" w:rsidP="00A704EE">
            <w:pPr>
              <w:pStyle w:val="TableText0"/>
              <w:jc w:val="center"/>
              <w:rPr>
                <w:b/>
                <w:bCs w:val="0"/>
              </w:rPr>
            </w:pPr>
            <w:r w:rsidRPr="003D480D">
              <w:rPr>
                <w:b/>
                <w:bCs w:val="0"/>
              </w:rPr>
              <w:t>n/N (%)</w:t>
            </w:r>
          </w:p>
        </w:tc>
        <w:tc>
          <w:tcPr>
            <w:tcW w:w="1022" w:type="pct"/>
            <w:tcMar>
              <w:left w:w="28" w:type="dxa"/>
              <w:right w:w="28" w:type="dxa"/>
            </w:tcMar>
            <w:vAlign w:val="center"/>
          </w:tcPr>
          <w:p w14:paraId="311FDB05" w14:textId="77777777" w:rsidR="00D059C5" w:rsidRPr="003D480D" w:rsidRDefault="00D059C5" w:rsidP="00A704EE">
            <w:pPr>
              <w:pStyle w:val="In-tableHeading"/>
              <w:jc w:val="center"/>
            </w:pPr>
            <w:r>
              <w:t>Pembrolizumab</w:t>
            </w:r>
          </w:p>
          <w:p w14:paraId="2E221EB1" w14:textId="60F1687D" w:rsidR="00D059C5" w:rsidRPr="003D480D" w:rsidRDefault="00D059C5" w:rsidP="00A704EE">
            <w:pPr>
              <w:pStyle w:val="TableText0"/>
              <w:jc w:val="center"/>
              <w:rPr>
                <w:b/>
                <w:bCs w:val="0"/>
              </w:rPr>
            </w:pPr>
            <w:r w:rsidRPr="003D480D">
              <w:rPr>
                <w:b/>
                <w:bCs w:val="0"/>
              </w:rPr>
              <w:t>n/N (%)</w:t>
            </w:r>
          </w:p>
        </w:tc>
        <w:tc>
          <w:tcPr>
            <w:tcW w:w="865" w:type="pct"/>
            <w:tcMar>
              <w:left w:w="28" w:type="dxa"/>
              <w:right w:w="28" w:type="dxa"/>
            </w:tcMar>
            <w:vAlign w:val="center"/>
          </w:tcPr>
          <w:p w14:paraId="6E0037E7" w14:textId="77777777" w:rsidR="00D059C5" w:rsidRPr="003D480D" w:rsidRDefault="00D059C5" w:rsidP="00A704EE">
            <w:pPr>
              <w:pStyle w:val="TableText0"/>
              <w:jc w:val="center"/>
              <w:rPr>
                <w:b/>
                <w:bCs w:val="0"/>
              </w:rPr>
            </w:pPr>
            <w:r w:rsidRPr="003D480D">
              <w:rPr>
                <w:b/>
                <w:bCs w:val="0"/>
              </w:rPr>
              <w:t>RD (95% CI)</w:t>
            </w:r>
          </w:p>
        </w:tc>
        <w:tc>
          <w:tcPr>
            <w:tcW w:w="836" w:type="pct"/>
            <w:tcMar>
              <w:left w:w="28" w:type="dxa"/>
              <w:right w:w="28" w:type="dxa"/>
            </w:tcMar>
            <w:vAlign w:val="center"/>
          </w:tcPr>
          <w:p w14:paraId="196D7D53" w14:textId="77777777" w:rsidR="00D059C5" w:rsidRPr="003D480D" w:rsidRDefault="00D059C5" w:rsidP="00A704EE">
            <w:pPr>
              <w:pStyle w:val="TableText0"/>
              <w:jc w:val="center"/>
              <w:rPr>
                <w:b/>
                <w:bCs w:val="0"/>
              </w:rPr>
            </w:pPr>
            <w:r w:rsidRPr="003D480D">
              <w:rPr>
                <w:b/>
                <w:bCs w:val="0"/>
              </w:rPr>
              <w:t>RR (95% CI)</w:t>
            </w:r>
          </w:p>
        </w:tc>
      </w:tr>
      <w:tr w:rsidR="00D059C5" w14:paraId="00F9935A"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0333C7" w14:textId="77777777" w:rsidR="00D059C5" w:rsidRDefault="00D059C5" w:rsidP="00A704EE">
            <w:pPr>
              <w:pStyle w:val="TableText0"/>
            </w:pPr>
            <w:r>
              <w:t>Any TEAE</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E635FA" w14:textId="62D991CA" w:rsidR="00D059C5" w:rsidRDefault="00D059C5" w:rsidP="00A704EE">
            <w:pPr>
              <w:pStyle w:val="TableText0"/>
              <w:jc w:val="center"/>
            </w:pPr>
            <w:r>
              <w:t>193/193 (100%)</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B1AC1B" w14:textId="77777777" w:rsidR="00D059C5" w:rsidRDefault="00D059C5" w:rsidP="00A704EE">
            <w:pPr>
              <w:pStyle w:val="TableText0"/>
              <w:jc w:val="center"/>
            </w:pPr>
            <w:r>
              <w:t>87/91 (95.6%)</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248469" w14:textId="77777777" w:rsidR="00D059C5" w:rsidRPr="00064D38" w:rsidRDefault="00D059C5" w:rsidP="00A704EE">
            <w:pPr>
              <w:pStyle w:val="TableText0"/>
              <w:jc w:val="center"/>
            </w:pPr>
            <w:r w:rsidRPr="00064D38">
              <w:t>4.4 (0.2, 8.6)</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F8B30C" w14:textId="77777777" w:rsidR="00D059C5" w:rsidRDefault="00D059C5" w:rsidP="00A704EE">
            <w:pPr>
              <w:pStyle w:val="TableText0"/>
              <w:jc w:val="center"/>
            </w:pPr>
            <w:r>
              <w:t>1.05 (1.00, 1.09)</w:t>
            </w:r>
          </w:p>
        </w:tc>
      </w:tr>
      <w:tr w:rsidR="00D059C5" w14:paraId="6B0FF8F4"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969BD2" w14:textId="77777777" w:rsidR="00D059C5" w:rsidRDefault="00D059C5" w:rsidP="00A704EE">
            <w:pPr>
              <w:pStyle w:val="TableText0"/>
            </w:pPr>
            <w:r>
              <w:t>Any related TEAE</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E47CA5" w14:textId="77777777" w:rsidR="00D059C5" w:rsidRDefault="00D059C5" w:rsidP="00A704EE">
            <w:pPr>
              <w:pStyle w:val="TableText0"/>
              <w:jc w:val="center"/>
            </w:pPr>
            <w:r>
              <w:t>191/193 (99.0%)</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8E6B25" w14:textId="77777777" w:rsidR="00D059C5" w:rsidRDefault="00D059C5" w:rsidP="00A704EE">
            <w:pPr>
              <w:pStyle w:val="TableText0"/>
              <w:jc w:val="center"/>
            </w:pPr>
            <w:r>
              <w:t>73/91 (80.2%)</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B1212F" w14:textId="77777777" w:rsidR="00D059C5" w:rsidRPr="00064D38" w:rsidRDefault="00D059C5" w:rsidP="00A704EE">
            <w:pPr>
              <w:pStyle w:val="TableText0"/>
              <w:jc w:val="center"/>
            </w:pPr>
            <w:r w:rsidRPr="00064D38">
              <w:t>18.7 (10.4, 27.1)</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52F864" w14:textId="77777777" w:rsidR="00D059C5" w:rsidRDefault="00D059C5" w:rsidP="00A704EE">
            <w:pPr>
              <w:pStyle w:val="TableText0"/>
              <w:jc w:val="center"/>
            </w:pPr>
            <w:r w:rsidRPr="00064D38">
              <w:t>1.23 (1.11, 1.37)</w:t>
            </w:r>
          </w:p>
        </w:tc>
      </w:tr>
      <w:tr w:rsidR="00D059C5" w14:paraId="5B28FF6C"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CEA6AB" w14:textId="77777777" w:rsidR="00D059C5" w:rsidRDefault="00D059C5" w:rsidP="00A704EE">
            <w:pPr>
              <w:pStyle w:val="TableText0"/>
            </w:pPr>
            <w:r>
              <w:t>Any TEAE with CTCAE Grade ≥ 3</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DCDC0B" w14:textId="77777777" w:rsidR="00D059C5" w:rsidRDefault="00D059C5" w:rsidP="00A704EE">
            <w:pPr>
              <w:pStyle w:val="TableText0"/>
              <w:jc w:val="center"/>
            </w:pPr>
            <w:r>
              <w:t>115/193 (59.6%)</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F25762" w14:textId="77777777" w:rsidR="00D059C5" w:rsidRDefault="00D059C5" w:rsidP="00A704EE">
            <w:pPr>
              <w:pStyle w:val="TableText0"/>
              <w:jc w:val="center"/>
            </w:pPr>
            <w:r>
              <w:t>32/91 (35.2%)</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0F05B8" w14:textId="77777777" w:rsidR="00D059C5" w:rsidRPr="00064D38" w:rsidRDefault="00D059C5" w:rsidP="00A704EE">
            <w:pPr>
              <w:pStyle w:val="TableText0"/>
              <w:jc w:val="center"/>
            </w:pPr>
            <w:r w:rsidRPr="00064D38">
              <w:t>24.4 (12.4, 36.4)</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5B49BF" w14:textId="77777777" w:rsidR="00D059C5" w:rsidRDefault="00D059C5" w:rsidP="00A704EE">
            <w:pPr>
              <w:pStyle w:val="TableText0"/>
              <w:jc w:val="center"/>
            </w:pPr>
            <w:r>
              <w:t>1.69 (1.25, 2.29)</w:t>
            </w:r>
          </w:p>
        </w:tc>
      </w:tr>
      <w:tr w:rsidR="00D059C5" w14:paraId="5ED0FE61"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DBC6AC" w14:textId="77777777" w:rsidR="00D059C5" w:rsidRDefault="00D059C5" w:rsidP="00A704EE">
            <w:pPr>
              <w:pStyle w:val="TableText0"/>
            </w:pPr>
            <w:r>
              <w:t xml:space="preserve">Any related TEAE with CTCAE Grade ≥ 3 </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6198A9" w14:textId="77777777" w:rsidR="00D059C5" w:rsidRDefault="00D059C5" w:rsidP="00A704EE">
            <w:pPr>
              <w:pStyle w:val="TableText0"/>
              <w:jc w:val="center"/>
            </w:pPr>
            <w:r w:rsidRPr="00064D38">
              <w:t>88/193 (45.6%)</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2A85FB" w14:textId="77777777" w:rsidR="00D059C5" w:rsidRDefault="00D059C5" w:rsidP="00A704EE">
            <w:pPr>
              <w:pStyle w:val="TableText0"/>
              <w:jc w:val="center"/>
            </w:pPr>
            <w:r w:rsidRPr="00064D38">
              <w:t>15/91 (16.5%)</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62A7F4" w14:textId="77777777" w:rsidR="00D059C5" w:rsidRPr="00064D38" w:rsidRDefault="00D059C5" w:rsidP="00A704EE">
            <w:pPr>
              <w:pStyle w:val="TableText0"/>
              <w:jc w:val="center"/>
            </w:pPr>
            <w:r w:rsidRPr="00064D38">
              <w:t>29.1 (18.7, 39.5)</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D21733" w14:textId="77777777" w:rsidR="00D059C5" w:rsidRDefault="00D059C5" w:rsidP="00A704EE">
            <w:pPr>
              <w:pStyle w:val="TableText0"/>
              <w:jc w:val="center"/>
            </w:pPr>
            <w:r w:rsidRPr="00064D38">
              <w:t>2.77 (1.70, 4.50)</w:t>
            </w:r>
          </w:p>
        </w:tc>
      </w:tr>
      <w:tr w:rsidR="00D059C5" w14:paraId="76B56EB9"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BBBCF0" w14:textId="77777777" w:rsidR="00D059C5" w:rsidRDefault="00D059C5" w:rsidP="00A704EE">
            <w:pPr>
              <w:pStyle w:val="TableText0"/>
            </w:pPr>
            <w:r>
              <w:t>Any TESAE</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4BF3AA" w14:textId="77777777" w:rsidR="00D059C5" w:rsidRDefault="00D059C5" w:rsidP="00A704EE">
            <w:pPr>
              <w:pStyle w:val="TableText0"/>
              <w:jc w:val="center"/>
            </w:pPr>
            <w:r w:rsidRPr="00064D38">
              <w:t>57/193</w:t>
            </w:r>
            <w:r>
              <w:t xml:space="preserve"> </w:t>
            </w:r>
            <w:r w:rsidRPr="00064D38">
              <w:t>(29.5%)</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CFAE9A" w14:textId="77777777" w:rsidR="00D059C5" w:rsidRDefault="00D059C5" w:rsidP="00A704EE">
            <w:pPr>
              <w:pStyle w:val="TableText0"/>
              <w:jc w:val="center"/>
            </w:pPr>
            <w:r w:rsidRPr="00064D38">
              <w:t>16/91 (17.6%)</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6A2EBA" w14:textId="77777777" w:rsidR="00D059C5" w:rsidRPr="00064D38" w:rsidRDefault="00D059C5" w:rsidP="00A704EE">
            <w:pPr>
              <w:pStyle w:val="TableText0"/>
              <w:jc w:val="center"/>
            </w:pPr>
            <w:r w:rsidRPr="00064D38">
              <w:t>12.0 (1.8, 22.1)</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8F54CF" w14:textId="77777777" w:rsidR="00D059C5" w:rsidRDefault="00D059C5" w:rsidP="00A704EE">
            <w:pPr>
              <w:pStyle w:val="TableText0"/>
              <w:jc w:val="center"/>
            </w:pPr>
            <w:r w:rsidRPr="00064D38">
              <w:t>1.68 (1.02, 2.76)</w:t>
            </w:r>
          </w:p>
        </w:tc>
      </w:tr>
      <w:tr w:rsidR="00D059C5" w14:paraId="1E1D7AEE"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65B422" w14:textId="77777777" w:rsidR="00D059C5" w:rsidRDefault="00D059C5" w:rsidP="00A704EE">
            <w:pPr>
              <w:pStyle w:val="TableText0"/>
            </w:pPr>
            <w:r>
              <w:t>Any related TESAE</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BC38D2" w14:textId="77777777" w:rsidR="00D059C5" w:rsidRDefault="00D059C5" w:rsidP="00A704EE">
            <w:pPr>
              <w:pStyle w:val="TableText0"/>
              <w:jc w:val="center"/>
            </w:pPr>
            <w:r w:rsidRPr="00064D38">
              <w:t>35/193</w:t>
            </w:r>
            <w:r>
              <w:t xml:space="preserve"> </w:t>
            </w:r>
            <w:r w:rsidRPr="00064D38">
              <w:t>(18.1%)</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DC9A2A" w14:textId="77777777" w:rsidR="00D059C5" w:rsidRDefault="00D059C5" w:rsidP="00A704EE">
            <w:pPr>
              <w:pStyle w:val="TableText0"/>
              <w:jc w:val="center"/>
            </w:pPr>
            <w:r w:rsidRPr="00064D38">
              <w:t>5/91 (5.5%)</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134135" w14:textId="77777777" w:rsidR="00D059C5" w:rsidRPr="00064D38" w:rsidRDefault="00D059C5" w:rsidP="00A704EE">
            <w:pPr>
              <w:pStyle w:val="TableText0"/>
              <w:jc w:val="center"/>
            </w:pPr>
            <w:r w:rsidRPr="00064D38">
              <w:t>12.6 (5.5, 19.8)</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B96325" w14:textId="77777777" w:rsidR="00D059C5" w:rsidRDefault="00D059C5" w:rsidP="00A704EE">
            <w:pPr>
              <w:pStyle w:val="TableText0"/>
              <w:jc w:val="center"/>
            </w:pPr>
            <w:r w:rsidRPr="00064D38">
              <w:t>3.30 (1.34, 8.14)</w:t>
            </w:r>
          </w:p>
        </w:tc>
      </w:tr>
      <w:tr w:rsidR="00D059C5" w14:paraId="73D32ADA"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01B2EE" w14:textId="77777777" w:rsidR="00D059C5" w:rsidRDefault="00D059C5" w:rsidP="00A704EE">
            <w:pPr>
              <w:pStyle w:val="TableText0"/>
            </w:pPr>
            <w:r>
              <w:t>Any TEAE leading to study drug discontinuation</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3A56B0" w14:textId="77777777" w:rsidR="00D059C5" w:rsidRDefault="00D059C5" w:rsidP="00A704EE">
            <w:pPr>
              <w:pStyle w:val="TableText0"/>
              <w:jc w:val="center"/>
            </w:pPr>
            <w:r w:rsidRPr="00064D38">
              <w:t>7/193</w:t>
            </w:r>
            <w:r>
              <w:t xml:space="preserve"> </w:t>
            </w:r>
            <w:r w:rsidRPr="00064D38">
              <w:t>(3.6%)</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1C6C17" w14:textId="77777777" w:rsidR="00D059C5" w:rsidRDefault="00D059C5" w:rsidP="00A704EE">
            <w:pPr>
              <w:pStyle w:val="TableText0"/>
              <w:jc w:val="center"/>
            </w:pPr>
            <w:r w:rsidRPr="00064D38">
              <w:t>6/91 (6.6%)</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6B7325" w14:textId="77777777" w:rsidR="00D059C5" w:rsidRPr="00064D38" w:rsidRDefault="00D059C5" w:rsidP="00A704EE">
            <w:pPr>
              <w:pStyle w:val="TableText0"/>
              <w:jc w:val="center"/>
            </w:pPr>
            <w:r w:rsidRPr="00064D38">
              <w:t>-3.0 ( -8.7, 2.8)</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2CFC2D" w14:textId="77777777" w:rsidR="00D059C5" w:rsidRDefault="00D059C5" w:rsidP="00A704EE">
            <w:pPr>
              <w:pStyle w:val="TableText0"/>
              <w:jc w:val="center"/>
            </w:pPr>
            <w:r w:rsidRPr="00064D38">
              <w:t>0.55 (0.19, 1.59)</w:t>
            </w:r>
          </w:p>
        </w:tc>
      </w:tr>
      <w:tr w:rsidR="00D059C5" w14:paraId="432D09FB" w14:textId="77777777" w:rsidTr="00A00780">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1FEB9A" w14:textId="77777777" w:rsidR="00D059C5" w:rsidRDefault="00D059C5" w:rsidP="00A704EE">
            <w:pPr>
              <w:pStyle w:val="TableText0"/>
            </w:pPr>
            <w:r>
              <w:t>Any related TEAE leading to study drug discontinuation</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9E36E7" w14:textId="77777777" w:rsidR="00D059C5" w:rsidRDefault="00D059C5" w:rsidP="00A704EE">
            <w:pPr>
              <w:pStyle w:val="TableText0"/>
              <w:jc w:val="center"/>
            </w:pPr>
            <w:r w:rsidRPr="00064D38">
              <w:t>4/193</w:t>
            </w:r>
            <w:r>
              <w:t xml:space="preserve"> </w:t>
            </w:r>
            <w:r w:rsidRPr="00064D38">
              <w:t>(2.1%)</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AD3274" w14:textId="77777777" w:rsidR="00D059C5" w:rsidRDefault="00D059C5" w:rsidP="00A704EE">
            <w:pPr>
              <w:pStyle w:val="TableText0"/>
              <w:jc w:val="center"/>
            </w:pPr>
            <w:r w:rsidRPr="00064D38">
              <w:t>4/91 (4.4%)</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7573C3" w14:textId="77777777" w:rsidR="00D059C5" w:rsidRPr="00064D38" w:rsidRDefault="00D059C5" w:rsidP="00A704EE">
            <w:pPr>
              <w:pStyle w:val="TableText0"/>
              <w:jc w:val="center"/>
            </w:pPr>
            <w:r w:rsidRPr="00064D38">
              <w:t>-2.3 ( -7.0, 2.3)</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E70810" w14:textId="77777777" w:rsidR="00D059C5" w:rsidRDefault="00D059C5" w:rsidP="00A704EE">
            <w:pPr>
              <w:pStyle w:val="TableText0"/>
              <w:jc w:val="center"/>
            </w:pPr>
            <w:r w:rsidRPr="00064D38">
              <w:t>0.47 (0.12, 1.84)</w:t>
            </w:r>
          </w:p>
        </w:tc>
      </w:tr>
    </w:tbl>
    <w:p w14:paraId="31E4B68E" w14:textId="77777777" w:rsidR="00D059C5" w:rsidRDefault="00D059C5" w:rsidP="00AE1C6A">
      <w:pPr>
        <w:pStyle w:val="FooterTableFigure"/>
        <w:keepNext/>
      </w:pPr>
      <w:r>
        <w:t>Source: Table 2.5.8, p81 and Table 2.5.9, pp81-82 of the submission.</w:t>
      </w:r>
    </w:p>
    <w:p w14:paraId="2E3C2D4B" w14:textId="1726764A" w:rsidR="00D059C5" w:rsidRDefault="00D059C5" w:rsidP="00D059C5">
      <w:pPr>
        <w:pStyle w:val="FooterTableFigure"/>
        <w:rPr>
          <w:rFonts w:eastAsia="Calibri"/>
        </w:rPr>
      </w:pPr>
      <w:r>
        <w:rPr>
          <w:rFonts w:eastAsia="Calibri"/>
        </w:rPr>
        <w:t>CI = confidence interval,</w:t>
      </w:r>
      <w:r>
        <w:t xml:space="preserve"> </w:t>
      </w:r>
      <w:r>
        <w:rPr>
          <w:rFonts w:eastAsia="Calibri"/>
        </w:rPr>
        <w:t>CTCAE = Common Terminology Criteria for Adverse Events, n = number of participants reporting data, N = total participants in group, NR = not reported, PCP = pre-choice pembrolizumab, RD = risk difference, RR = relative risk, SAS = safety analysis set, TEAE = treatment-emergent adverse event, TESAE = treatment emergent serious adverse event.</w:t>
      </w:r>
    </w:p>
    <w:p w14:paraId="21912AF1" w14:textId="1CEE42F7" w:rsidR="00D059C5" w:rsidRPr="00AF3847" w:rsidRDefault="00D059C5" w:rsidP="00D059C5">
      <w:pPr>
        <w:pStyle w:val="3-BodyText"/>
        <w:rPr>
          <w:rFonts w:eastAsia="Calibri"/>
        </w:rPr>
      </w:pPr>
      <w:r w:rsidRPr="00AF3847">
        <w:rPr>
          <w:rFonts w:eastAsia="Calibri"/>
        </w:rPr>
        <w:t xml:space="preserve">For the SAS population, all patients in the tebentafusp arm experienced </w:t>
      </w:r>
      <w:r w:rsidR="00A00780" w:rsidRPr="00AF3847">
        <w:rPr>
          <w:rFonts w:eastAsia="Calibri"/>
        </w:rPr>
        <w:t xml:space="preserve">a </w:t>
      </w:r>
      <w:r w:rsidRPr="00AF3847">
        <w:rPr>
          <w:rFonts w:eastAsia="Calibri"/>
        </w:rPr>
        <w:t xml:space="preserve">treatment-emergent adverse event (TEAE), compared to 94.6% patients in the investigator’s choice arm. Tebentafusp was associated with more Grade ≥ 3 treatment-related TEAEs when compared with investigator’s choice arm </w:t>
      </w:r>
      <w:bookmarkStart w:id="40" w:name="_Hlk124254994"/>
      <w:r w:rsidRPr="00AF3847">
        <w:rPr>
          <w:rFonts w:eastAsia="Calibri"/>
        </w:rPr>
        <w:t xml:space="preserve">(44.5% compared with 17.1%) </w:t>
      </w:r>
      <w:bookmarkEnd w:id="40"/>
      <w:r w:rsidRPr="00AF3847">
        <w:rPr>
          <w:rFonts w:eastAsia="Calibri"/>
        </w:rPr>
        <w:t xml:space="preserve">and more treatment-related serious TEAE (22.0% compared with 7.2%). </w:t>
      </w:r>
      <w:r w:rsidR="00F77759" w:rsidRPr="00AF3847">
        <w:t>The PSCR noted that 3.3% of patients in the tebentafusp arm and 6.6% in the pembrolizumab discontinued treatment due to TEAE.</w:t>
      </w:r>
    </w:p>
    <w:p w14:paraId="59293199" w14:textId="77777777" w:rsidR="00D059C5" w:rsidRPr="00AF3847" w:rsidRDefault="00D059C5" w:rsidP="00D059C5">
      <w:pPr>
        <w:pStyle w:val="3-BodyText"/>
        <w:rPr>
          <w:rFonts w:eastAsia="Calibri"/>
        </w:rPr>
      </w:pPr>
      <w:r w:rsidRPr="00AF3847">
        <w:rPr>
          <w:rFonts w:eastAsia="Calibri"/>
        </w:rPr>
        <w:lastRenderedPageBreak/>
        <w:t>A total of 84 (34.3%) patients in the tebentafusp arm and 57 (51.4%) patients in the investigator’s choice arm died.</w:t>
      </w:r>
      <w:r w:rsidRPr="00AF3847">
        <w:t xml:space="preserve"> The majority of patients in both treatment arms died due to disease progression and none of the deaths in either arm was considered to be treatment related.</w:t>
      </w:r>
    </w:p>
    <w:p w14:paraId="1C609074" w14:textId="5D99C626" w:rsidR="00D059C5" w:rsidRPr="00AF3847" w:rsidRDefault="00D059C5" w:rsidP="00D059C5">
      <w:pPr>
        <w:pStyle w:val="3-BodyText"/>
        <w:rPr>
          <w:rFonts w:eastAsia="Calibri"/>
        </w:rPr>
      </w:pPr>
      <w:r w:rsidRPr="00AF3847">
        <w:rPr>
          <w:rFonts w:eastAsia="Calibri"/>
        </w:rPr>
        <w:t xml:space="preserve">Similar to the SAS population, all patients in the tebentafusp PCP arm experienced </w:t>
      </w:r>
      <w:r w:rsidR="00A00780" w:rsidRPr="00AF3847">
        <w:rPr>
          <w:rFonts w:eastAsia="Calibri"/>
        </w:rPr>
        <w:t xml:space="preserve">a </w:t>
      </w:r>
      <w:r w:rsidRPr="00AF3847">
        <w:rPr>
          <w:rFonts w:eastAsia="Calibri"/>
        </w:rPr>
        <w:t>TEAE compared to 9</w:t>
      </w:r>
      <w:r w:rsidR="00DB369C" w:rsidRPr="00AF3847">
        <w:rPr>
          <w:rFonts w:eastAsia="Calibri"/>
        </w:rPr>
        <w:t>5</w:t>
      </w:r>
      <w:r w:rsidRPr="00AF3847">
        <w:rPr>
          <w:rFonts w:eastAsia="Calibri"/>
        </w:rPr>
        <w:t xml:space="preserve">.6% patients in the pembrolizumab arm. Tebentafusp PCP was associated with more Grade ≥ 3 treatment-related TEAEs when compared with pembrolizumab (45.6% compared with 16.5%) and more treatment-related serious TEAE (18.1% compared with 5.5%). </w:t>
      </w:r>
      <w:r w:rsidR="00A00780" w:rsidRPr="00AF3847">
        <w:rPr>
          <w:rFonts w:eastAsia="Calibri"/>
        </w:rPr>
        <w:t>T</w:t>
      </w:r>
      <w:r w:rsidRPr="00AF3847">
        <w:rPr>
          <w:rFonts w:eastAsia="Calibri"/>
        </w:rPr>
        <w:t>he submission did not report death-related data for the subgroup population.</w:t>
      </w:r>
    </w:p>
    <w:p w14:paraId="7FBE7737" w14:textId="77777777" w:rsidR="00FF0EC4" w:rsidRPr="00AF3847" w:rsidRDefault="00D059C5" w:rsidP="00FF0EC4">
      <w:pPr>
        <w:pStyle w:val="3-BodyText"/>
        <w:rPr>
          <w:rFonts w:eastAsia="Calibri"/>
        </w:rPr>
      </w:pPr>
      <w:r w:rsidRPr="00AF3847">
        <w:rPr>
          <w:rFonts w:eastAsia="Calibri"/>
        </w:rPr>
        <w:t>According to the TGA Product Information (PI) for tebentafusp, a boxed warning is included for CRS as it has the potential to become serious or life-threatening if not managed appropriately. Special warning for skin reactions and elevated hepatic enzymes are also included in the TGA PI.</w:t>
      </w:r>
    </w:p>
    <w:p w14:paraId="35031FE2" w14:textId="22428893" w:rsidR="00FF0EC4" w:rsidRPr="00AF3847" w:rsidRDefault="00D059C5" w:rsidP="00FF0EC4">
      <w:pPr>
        <w:pStyle w:val="3-BodyText"/>
        <w:rPr>
          <w:rFonts w:eastAsia="Calibri"/>
        </w:rPr>
      </w:pPr>
      <w:r w:rsidRPr="00AF3847">
        <w:rPr>
          <w:rFonts w:eastAsia="Calibri"/>
        </w:rPr>
        <w:t>In the IMCgp100-202 trial (SAS population), 89% of patients in the tebentafusp arm experienced any grade CRS</w:t>
      </w:r>
      <w:r w:rsidR="006D0DA2" w:rsidRPr="00AF3847">
        <w:rPr>
          <w:rFonts w:eastAsia="Calibri"/>
        </w:rPr>
        <w:t xml:space="preserve"> (Grade 1: 12%; Grade 2: 76%; Grade 3: 0.8%); however, n</w:t>
      </w:r>
      <w:r w:rsidRPr="00AF3847">
        <w:rPr>
          <w:rFonts w:eastAsia="Calibri"/>
        </w:rPr>
        <w:t>o patient</w:t>
      </w:r>
      <w:r w:rsidR="006D0DA2" w:rsidRPr="00AF3847">
        <w:rPr>
          <w:rFonts w:eastAsia="Calibri"/>
        </w:rPr>
        <w:t>s</w:t>
      </w:r>
      <w:r w:rsidRPr="00AF3847">
        <w:rPr>
          <w:rFonts w:eastAsia="Calibri"/>
        </w:rPr>
        <w:t xml:space="preserve"> experienced CRS of Grade 4 or died due to CRS. </w:t>
      </w:r>
      <w:r w:rsidR="006D0DA2" w:rsidRPr="00AF3847">
        <w:rPr>
          <w:rFonts w:eastAsia="Calibri"/>
        </w:rPr>
        <w:t>The m</w:t>
      </w:r>
      <w:r w:rsidRPr="00AF3847">
        <w:rPr>
          <w:rFonts w:eastAsia="Calibri"/>
        </w:rPr>
        <w:t xml:space="preserve">ost common </w:t>
      </w:r>
      <w:r w:rsidR="006D0DA2" w:rsidRPr="00AF3847">
        <w:rPr>
          <w:rFonts w:eastAsia="Calibri"/>
        </w:rPr>
        <w:t xml:space="preserve">CRS associated </w:t>
      </w:r>
      <w:r w:rsidRPr="00AF3847">
        <w:rPr>
          <w:rFonts w:eastAsia="Calibri"/>
        </w:rPr>
        <w:t>AEs were pyrexia (76%), hypotension (38%), chills (47%), nausea (43%), vomiting (26%), fatigue (41%) and headache (22%).</w:t>
      </w:r>
      <w:r w:rsidR="00FF0EC4" w:rsidRPr="00AF3847">
        <w:rPr>
          <w:rFonts w:eastAsia="Calibri"/>
        </w:rPr>
        <w:t xml:space="preserve"> </w:t>
      </w:r>
      <w:r w:rsidR="00411CCD" w:rsidRPr="00AF3847">
        <w:t xml:space="preserve">The ESC noted that </w:t>
      </w:r>
      <w:r w:rsidR="00FF0EC4" w:rsidRPr="00AF3847">
        <w:t>Australian prescribing clinicians would have little experience managing CRS</w:t>
      </w:r>
      <w:r w:rsidR="00411CCD" w:rsidRPr="00AF3847">
        <w:t>. The E</w:t>
      </w:r>
      <w:r w:rsidR="00FF0EC4" w:rsidRPr="00AF3847">
        <w:t xml:space="preserve">SC </w:t>
      </w:r>
      <w:r w:rsidR="00411CCD" w:rsidRPr="00AF3847">
        <w:t xml:space="preserve">therefore </w:t>
      </w:r>
      <w:r w:rsidR="00FF0EC4" w:rsidRPr="00AF3847">
        <w:t xml:space="preserve">considered that </w:t>
      </w:r>
      <w:r w:rsidR="00411CCD" w:rsidRPr="00AF3847">
        <w:t xml:space="preserve">it was </w:t>
      </w:r>
      <w:r w:rsidR="00FF0EC4" w:rsidRPr="00AF3847">
        <w:t xml:space="preserve">possible that the </w:t>
      </w:r>
      <w:r w:rsidR="00411CCD" w:rsidRPr="00AF3847">
        <w:t>incidence of adverse events associated with CRS in IMCgp100-202 u</w:t>
      </w:r>
      <w:r w:rsidR="00FF0EC4" w:rsidRPr="00AF3847">
        <w:t>nderestimate</w:t>
      </w:r>
      <w:r w:rsidR="00411CCD" w:rsidRPr="00AF3847">
        <w:t>d</w:t>
      </w:r>
      <w:r w:rsidR="00FF0EC4" w:rsidRPr="00AF3847">
        <w:t xml:space="preserve"> the </w:t>
      </w:r>
      <w:r w:rsidR="00411CCD" w:rsidRPr="00AF3847">
        <w:t>real-world</w:t>
      </w:r>
      <w:r w:rsidR="00FF0EC4" w:rsidRPr="00AF3847">
        <w:t xml:space="preserve"> potential harms of tebentafusp, particularly with regard to the risk of death from CRS.</w:t>
      </w:r>
    </w:p>
    <w:p w14:paraId="24C65A3E" w14:textId="0EC79B55" w:rsidR="00D059C5" w:rsidRPr="00AF3847" w:rsidRDefault="00D059C5" w:rsidP="00D059C5">
      <w:pPr>
        <w:pStyle w:val="3-BodyText"/>
        <w:rPr>
          <w:rFonts w:eastAsia="Calibri"/>
        </w:rPr>
      </w:pPr>
      <w:r w:rsidRPr="00AF3847">
        <w:rPr>
          <w:rFonts w:eastAsia="Calibri"/>
        </w:rPr>
        <w:t>Additionally, acute skin reactions occurred in 91% of patients treated with tebentafusp, including any grade rash (83.0%), pruritus (69.0%), erythema (25.0%) and cutaneous oedema (grouped term, 27.0%). Most skin reactions observed in the tebentafusp were of were Grade 1 (27.0%), Grade 2 (38.0%) and Grade 3 (18.4%). No patient experienced skin reactions of Grade 4 or died due to skin reactions.</w:t>
      </w:r>
    </w:p>
    <w:p w14:paraId="1A9ECDF8" w14:textId="1A155BFD" w:rsidR="001F3E4A" w:rsidRPr="00AF3847" w:rsidRDefault="001F3E4A" w:rsidP="00D059C5">
      <w:pPr>
        <w:pStyle w:val="3-BodyText"/>
        <w:rPr>
          <w:rFonts w:eastAsia="Calibri"/>
        </w:rPr>
      </w:pPr>
      <w:r w:rsidRPr="00AF3847">
        <w:rPr>
          <w:rFonts w:eastAsia="Calibri"/>
        </w:rPr>
        <w:t xml:space="preserve">In IMCgp100-102 trial, </w:t>
      </w:r>
      <w:r w:rsidR="00420D85" w:rsidRPr="00AF3847">
        <w:rPr>
          <w:rFonts w:eastAsia="Calibri"/>
        </w:rPr>
        <w:t xml:space="preserve">the most common </w:t>
      </w:r>
      <w:r w:rsidRPr="00AF3847">
        <w:rPr>
          <w:rFonts w:eastAsia="Calibri"/>
        </w:rPr>
        <w:t xml:space="preserve">Grade≥ 3 treatment-related TEAEs were maculopapular </w:t>
      </w:r>
      <w:r w:rsidR="00420D85" w:rsidRPr="00AF3847">
        <w:rPr>
          <w:rFonts w:eastAsia="Calibri"/>
        </w:rPr>
        <w:t xml:space="preserve">rash </w:t>
      </w:r>
      <w:r w:rsidRPr="00AF3847">
        <w:rPr>
          <w:rFonts w:eastAsia="Calibri"/>
        </w:rPr>
        <w:t>(13%), hypotension (8%), increased aspartate aminotransferase (AST; 5%), and hypophosphatemia (5%).</w:t>
      </w:r>
    </w:p>
    <w:p w14:paraId="29067010" w14:textId="77777777" w:rsidR="00D059C5" w:rsidRPr="00D059C5" w:rsidRDefault="00D059C5" w:rsidP="00D059C5">
      <w:pPr>
        <w:pStyle w:val="4-SubsectionHeading"/>
        <w:rPr>
          <w:snapToGrid w:val="0"/>
        </w:rPr>
      </w:pPr>
      <w:bookmarkStart w:id="41" w:name="_Toc22897643"/>
      <w:bookmarkStart w:id="42" w:name="_Toc121469888"/>
      <w:bookmarkStart w:id="43" w:name="_Toc124257835"/>
      <w:r w:rsidRPr="00D059C5">
        <w:rPr>
          <w:snapToGrid w:val="0"/>
        </w:rPr>
        <w:t>Benefits/harms</w:t>
      </w:r>
      <w:bookmarkEnd w:id="41"/>
      <w:bookmarkEnd w:id="42"/>
      <w:bookmarkEnd w:id="43"/>
    </w:p>
    <w:p w14:paraId="5E731966" w14:textId="36212100" w:rsidR="00282268" w:rsidRPr="0049316C" w:rsidRDefault="00282268" w:rsidP="00282268">
      <w:pPr>
        <w:pStyle w:val="3-BodyText"/>
        <w:rPr>
          <w:rFonts w:ascii="Arial Narrow" w:hAnsi="Arial Narrow"/>
          <w:b/>
          <w:color w:val="0066FF"/>
          <w:sz w:val="20"/>
          <w:szCs w:val="16"/>
        </w:rPr>
      </w:pPr>
      <w:r w:rsidRPr="00ED5BD4">
        <w:rPr>
          <w:lang w:val="en-US"/>
        </w:rPr>
        <w:t xml:space="preserve">A summary of the comparative benefits and harms for </w:t>
      </w:r>
      <w:r>
        <w:rPr>
          <w:lang w:val="en-US"/>
        </w:rPr>
        <w:t>tebentafusp</w:t>
      </w:r>
      <w:r w:rsidR="006D0DA2">
        <w:rPr>
          <w:lang w:val="en-US"/>
        </w:rPr>
        <w:t xml:space="preserve"> </w:t>
      </w:r>
      <w:r w:rsidRPr="00ED5BD4">
        <w:rPr>
          <w:lang w:val="en-US"/>
        </w:rPr>
        <w:t xml:space="preserve">versus </w:t>
      </w:r>
      <w:r w:rsidR="00411215">
        <w:rPr>
          <w:lang w:val="en-US"/>
        </w:rPr>
        <w:t>investigator’s choice</w:t>
      </w:r>
      <w:r w:rsidR="00411215" w:rsidRPr="00ED5BD4">
        <w:rPr>
          <w:lang w:val="en-US"/>
        </w:rPr>
        <w:t xml:space="preserve"> </w:t>
      </w:r>
      <w:proofErr w:type="gramStart"/>
      <w:r w:rsidRPr="00ED5BD4">
        <w:rPr>
          <w:lang w:val="en-US"/>
        </w:rPr>
        <w:t>is presented</w:t>
      </w:r>
      <w:proofErr w:type="gramEnd"/>
      <w:r w:rsidRPr="00ED5BD4">
        <w:rPr>
          <w:lang w:val="en-US"/>
        </w:rPr>
        <w:t xml:space="preserve"> in</w:t>
      </w:r>
      <w:r>
        <w:rPr>
          <w:lang w:val="en-US"/>
        </w:rPr>
        <w:t xml:space="preserve"> </w:t>
      </w:r>
      <w:r>
        <w:rPr>
          <w:lang w:val="en-US"/>
        </w:rPr>
        <w:fldChar w:fldCharType="begin" w:fldLock="1"/>
      </w:r>
      <w:r>
        <w:rPr>
          <w:lang w:val="en-US"/>
        </w:rPr>
        <w:instrText xml:space="preserve"> REF _Ref121295893 \h </w:instrText>
      </w:r>
      <w:r>
        <w:rPr>
          <w:lang w:val="en-US"/>
        </w:rPr>
      </w:r>
      <w:r>
        <w:rPr>
          <w:lang w:val="en-US"/>
        </w:rPr>
        <w:fldChar w:fldCharType="separate"/>
      </w:r>
      <w:r w:rsidR="00A53FF4">
        <w:t xml:space="preserve">Table </w:t>
      </w:r>
      <w:r w:rsidR="00A53FF4">
        <w:rPr>
          <w:noProof/>
        </w:rPr>
        <w:t>8</w:t>
      </w:r>
      <w:r>
        <w:rPr>
          <w:lang w:val="en-US"/>
        </w:rPr>
        <w:fldChar w:fldCharType="end"/>
      </w:r>
      <w:r>
        <w:rPr>
          <w:lang w:val="en-US"/>
        </w:rPr>
        <w:t>.</w:t>
      </w:r>
    </w:p>
    <w:p w14:paraId="5EB4CD53" w14:textId="7896FD56" w:rsidR="00282268" w:rsidRPr="000A0CD2" w:rsidRDefault="00282268" w:rsidP="00282268">
      <w:pPr>
        <w:pStyle w:val="TableFigureHeading"/>
      </w:pPr>
      <w:bookmarkStart w:id="44" w:name="_Ref121295893"/>
      <w:bookmarkStart w:id="45" w:name="_Hlk121295773"/>
      <w:r>
        <w:lastRenderedPageBreak/>
        <w:t xml:space="preserve">Table </w:t>
      </w:r>
      <w:fldSimple w:instr=" SEQ Table \* ARABIC " w:fldLock="1">
        <w:r w:rsidR="00A53FF4">
          <w:rPr>
            <w:noProof/>
          </w:rPr>
          <w:t>8</w:t>
        </w:r>
      </w:fldSimple>
      <w:bookmarkEnd w:id="44"/>
      <w:r>
        <w:t xml:space="preserve">: </w:t>
      </w:r>
      <w:r w:rsidRPr="000A0CD2">
        <w:t xml:space="preserve">Summary of comparative benefits and harms for tebentafusp and </w:t>
      </w:r>
      <w:r w:rsidR="008B6E9C">
        <w:t>investigators choice</w:t>
      </w:r>
      <w:r w:rsidR="00B22910">
        <w:t xml:space="preserve"> </w:t>
      </w:r>
      <w:r w:rsidR="006D0DA2">
        <w:t>(data cut-off: October 2020; median duration of follow up = 14.1 months)</w:t>
      </w:r>
    </w:p>
    <w:tbl>
      <w:tblPr>
        <w:tblStyle w:val="TableGrid"/>
        <w:tblW w:w="5000" w:type="pct"/>
        <w:tblCellMar>
          <w:left w:w="28" w:type="dxa"/>
          <w:right w:w="28" w:type="dxa"/>
        </w:tblCellMar>
        <w:tblLook w:val="04A0" w:firstRow="1" w:lastRow="0" w:firstColumn="1" w:lastColumn="0" w:noHBand="0" w:noVBand="1"/>
      </w:tblPr>
      <w:tblGrid>
        <w:gridCol w:w="2831"/>
        <w:gridCol w:w="1699"/>
        <w:gridCol w:w="1562"/>
        <w:gridCol w:w="1417"/>
        <w:gridCol w:w="1508"/>
      </w:tblGrid>
      <w:tr w:rsidR="006D0DA2" w:rsidRPr="00511320" w14:paraId="5E3BB58D" w14:textId="77777777" w:rsidTr="006D0DA2">
        <w:trPr>
          <w:trHeight w:val="20"/>
        </w:trPr>
        <w:tc>
          <w:tcPr>
            <w:tcW w:w="5000" w:type="pct"/>
            <w:gridSpan w:val="5"/>
            <w:tcBorders>
              <w:bottom w:val="single" w:sz="4" w:space="0" w:color="auto"/>
            </w:tcBorders>
            <w:shd w:val="clear" w:color="auto" w:fill="auto"/>
          </w:tcPr>
          <w:p w14:paraId="0D325035" w14:textId="181615CF" w:rsidR="006D0DA2" w:rsidRPr="00511320" w:rsidRDefault="006D0DA2" w:rsidP="006D0DA2">
            <w:pPr>
              <w:pStyle w:val="In-tableHeading"/>
            </w:pPr>
            <w:r>
              <w:t>Benefits</w:t>
            </w:r>
          </w:p>
        </w:tc>
      </w:tr>
      <w:tr w:rsidR="00B22910" w:rsidRPr="00511320" w14:paraId="6B34F36C" w14:textId="77777777" w:rsidTr="006D0DA2">
        <w:trPr>
          <w:trHeight w:val="20"/>
        </w:trPr>
        <w:tc>
          <w:tcPr>
            <w:tcW w:w="1570" w:type="pct"/>
            <w:tcBorders>
              <w:bottom w:val="single" w:sz="4" w:space="0" w:color="auto"/>
            </w:tcBorders>
            <w:shd w:val="clear" w:color="auto" w:fill="auto"/>
          </w:tcPr>
          <w:p w14:paraId="5935D127" w14:textId="0BC823E7" w:rsidR="00282268" w:rsidRPr="00330DAA" w:rsidRDefault="00282268" w:rsidP="00A704EE">
            <w:pPr>
              <w:pStyle w:val="In-tableHeading"/>
            </w:pPr>
          </w:p>
        </w:tc>
        <w:tc>
          <w:tcPr>
            <w:tcW w:w="942" w:type="pct"/>
            <w:tcBorders>
              <w:bottom w:val="single" w:sz="4" w:space="0" w:color="auto"/>
            </w:tcBorders>
            <w:shd w:val="clear" w:color="auto" w:fill="auto"/>
            <w:vAlign w:val="center"/>
          </w:tcPr>
          <w:p w14:paraId="00A5A382" w14:textId="01486336" w:rsidR="00282268" w:rsidRPr="00330DAA" w:rsidRDefault="00282268" w:rsidP="006D0DA2">
            <w:pPr>
              <w:pStyle w:val="In-tableHeading"/>
              <w:jc w:val="center"/>
            </w:pPr>
            <w:r>
              <w:t>Tebentafusp</w:t>
            </w:r>
          </w:p>
        </w:tc>
        <w:tc>
          <w:tcPr>
            <w:tcW w:w="866" w:type="pct"/>
            <w:tcBorders>
              <w:bottom w:val="single" w:sz="4" w:space="0" w:color="auto"/>
            </w:tcBorders>
            <w:shd w:val="clear" w:color="auto" w:fill="auto"/>
            <w:vAlign w:val="center"/>
          </w:tcPr>
          <w:p w14:paraId="6D7E59A3" w14:textId="7DFF028A" w:rsidR="00282268" w:rsidRPr="00330DAA" w:rsidRDefault="00B22910" w:rsidP="006D0DA2">
            <w:pPr>
              <w:pStyle w:val="In-tableHeading"/>
              <w:jc w:val="center"/>
            </w:pPr>
            <w:r>
              <w:t xml:space="preserve">Investigator </w:t>
            </w:r>
            <w:r w:rsidR="006D0DA2">
              <w:t>c</w:t>
            </w:r>
            <w:r>
              <w:t>hoice</w:t>
            </w:r>
          </w:p>
        </w:tc>
        <w:tc>
          <w:tcPr>
            <w:tcW w:w="786" w:type="pct"/>
            <w:tcBorders>
              <w:bottom w:val="single" w:sz="4" w:space="0" w:color="auto"/>
            </w:tcBorders>
            <w:shd w:val="clear" w:color="auto" w:fill="auto"/>
            <w:vAlign w:val="center"/>
          </w:tcPr>
          <w:p w14:paraId="2341B0E3" w14:textId="66867178" w:rsidR="00282268" w:rsidRPr="00330DAA" w:rsidRDefault="00282268" w:rsidP="006D0DA2">
            <w:pPr>
              <w:pStyle w:val="In-tableHeading"/>
              <w:jc w:val="center"/>
              <w:rPr>
                <w:rFonts w:asciiTheme="minorHAnsi" w:hAnsiTheme="minorHAnsi"/>
              </w:rPr>
            </w:pPr>
            <w:r w:rsidRPr="00330DAA">
              <w:t xml:space="preserve">Absolute </w:t>
            </w:r>
            <w:r w:rsidR="006D0DA2">
              <w:t>d</w:t>
            </w:r>
            <w:r w:rsidRPr="00330DAA">
              <w:t>ifference</w:t>
            </w:r>
          </w:p>
        </w:tc>
        <w:tc>
          <w:tcPr>
            <w:tcW w:w="836" w:type="pct"/>
            <w:tcBorders>
              <w:bottom w:val="single" w:sz="4" w:space="0" w:color="auto"/>
            </w:tcBorders>
            <w:shd w:val="clear" w:color="auto" w:fill="auto"/>
            <w:vAlign w:val="center"/>
          </w:tcPr>
          <w:p w14:paraId="2A2BBE6C" w14:textId="77777777" w:rsidR="00282268" w:rsidRPr="00511320" w:rsidRDefault="00282268" w:rsidP="006D0DA2">
            <w:pPr>
              <w:pStyle w:val="In-tableHeading"/>
              <w:jc w:val="center"/>
            </w:pPr>
            <w:r w:rsidRPr="00511320">
              <w:t>HR (95% CI)</w:t>
            </w:r>
          </w:p>
        </w:tc>
      </w:tr>
      <w:tr w:rsidR="00B22910" w:rsidRPr="00511320" w14:paraId="594CC836" w14:textId="77777777" w:rsidTr="00B22910">
        <w:trPr>
          <w:trHeight w:val="20"/>
        </w:trPr>
        <w:tc>
          <w:tcPr>
            <w:tcW w:w="5000" w:type="pct"/>
            <w:gridSpan w:val="5"/>
            <w:tcBorders>
              <w:bottom w:val="single" w:sz="4" w:space="0" w:color="auto"/>
            </w:tcBorders>
            <w:shd w:val="clear" w:color="auto" w:fill="auto"/>
          </w:tcPr>
          <w:p w14:paraId="696B6D4B" w14:textId="73A70AF7" w:rsidR="00282268" w:rsidRPr="00511320" w:rsidRDefault="00282268" w:rsidP="00A704EE">
            <w:pPr>
              <w:pStyle w:val="In-tableHeading"/>
            </w:pPr>
            <w:r w:rsidRPr="00330DAA">
              <w:t xml:space="preserve">Progression free survival </w:t>
            </w:r>
          </w:p>
        </w:tc>
      </w:tr>
      <w:tr w:rsidR="000D025A" w:rsidRPr="00C67006" w14:paraId="0A361C56" w14:textId="77777777" w:rsidTr="006D0DA2">
        <w:trPr>
          <w:trHeight w:val="20"/>
        </w:trPr>
        <w:tc>
          <w:tcPr>
            <w:tcW w:w="1570" w:type="pct"/>
            <w:tcBorders>
              <w:bottom w:val="single" w:sz="4" w:space="0" w:color="auto"/>
              <w:right w:val="single" w:sz="4" w:space="0" w:color="auto"/>
            </w:tcBorders>
            <w:shd w:val="clear" w:color="auto" w:fill="auto"/>
          </w:tcPr>
          <w:p w14:paraId="71A9A405" w14:textId="77777777" w:rsidR="000D025A" w:rsidRPr="00330DAA" w:rsidRDefault="000D025A" w:rsidP="00B22910">
            <w:pPr>
              <w:pStyle w:val="TableText0"/>
            </w:pPr>
            <w:r w:rsidRPr="00330DAA">
              <w:t>Progressed, n (%)</w:t>
            </w:r>
          </w:p>
        </w:tc>
        <w:tc>
          <w:tcPr>
            <w:tcW w:w="942" w:type="pct"/>
            <w:tcBorders>
              <w:left w:val="single" w:sz="4" w:space="0" w:color="auto"/>
              <w:bottom w:val="single" w:sz="4" w:space="0" w:color="auto"/>
              <w:right w:val="single" w:sz="4" w:space="0" w:color="auto"/>
            </w:tcBorders>
            <w:shd w:val="clear" w:color="auto" w:fill="auto"/>
            <w:vAlign w:val="center"/>
          </w:tcPr>
          <w:p w14:paraId="14063CF2" w14:textId="33C3A264" w:rsidR="000D025A" w:rsidRPr="00330DAA" w:rsidRDefault="000D025A" w:rsidP="00B22910">
            <w:pPr>
              <w:pStyle w:val="TableText0"/>
              <w:jc w:val="center"/>
            </w:pPr>
            <w:r>
              <w:t>198/252 (78.6%)</w:t>
            </w:r>
          </w:p>
        </w:tc>
        <w:tc>
          <w:tcPr>
            <w:tcW w:w="866" w:type="pct"/>
            <w:tcBorders>
              <w:left w:val="single" w:sz="4" w:space="0" w:color="auto"/>
              <w:bottom w:val="single" w:sz="4" w:space="0" w:color="auto"/>
              <w:right w:val="single" w:sz="4" w:space="0" w:color="auto"/>
            </w:tcBorders>
            <w:shd w:val="clear" w:color="auto" w:fill="auto"/>
            <w:vAlign w:val="center"/>
          </w:tcPr>
          <w:p w14:paraId="4E5CBD65" w14:textId="733999FC" w:rsidR="000D025A" w:rsidRPr="00330DAA" w:rsidRDefault="000D025A" w:rsidP="00B22910">
            <w:pPr>
              <w:pStyle w:val="TableText0"/>
              <w:jc w:val="center"/>
            </w:pPr>
            <w:r>
              <w:t>97/126 (77.0%)</w:t>
            </w:r>
          </w:p>
        </w:tc>
        <w:tc>
          <w:tcPr>
            <w:tcW w:w="786" w:type="pct"/>
            <w:tcBorders>
              <w:left w:val="single" w:sz="4" w:space="0" w:color="auto"/>
              <w:bottom w:val="single" w:sz="4" w:space="0" w:color="auto"/>
              <w:right w:val="single" w:sz="4" w:space="0" w:color="auto"/>
            </w:tcBorders>
            <w:shd w:val="clear" w:color="auto" w:fill="auto"/>
            <w:vAlign w:val="center"/>
          </w:tcPr>
          <w:p w14:paraId="56DAAF58" w14:textId="03D55994" w:rsidR="000D025A" w:rsidRPr="00311D9B" w:rsidRDefault="000D025A" w:rsidP="00B22910">
            <w:pPr>
              <w:pStyle w:val="TableText0"/>
              <w:jc w:val="center"/>
              <w:rPr>
                <w:color w:val="0070C0"/>
              </w:rPr>
            </w:pPr>
            <w:r>
              <w:t>-</w:t>
            </w:r>
          </w:p>
        </w:tc>
        <w:tc>
          <w:tcPr>
            <w:tcW w:w="836" w:type="pct"/>
            <w:vMerge w:val="restart"/>
            <w:tcBorders>
              <w:left w:val="single" w:sz="4" w:space="0" w:color="auto"/>
            </w:tcBorders>
            <w:shd w:val="clear" w:color="auto" w:fill="auto"/>
            <w:vAlign w:val="center"/>
          </w:tcPr>
          <w:p w14:paraId="1E85B324" w14:textId="50A9A39E" w:rsidR="000D025A" w:rsidRPr="001767C6" w:rsidRDefault="000D025A" w:rsidP="00B22910">
            <w:pPr>
              <w:pStyle w:val="TableText0"/>
              <w:jc w:val="center"/>
              <w:rPr>
                <w:szCs w:val="20"/>
              </w:rPr>
            </w:pPr>
            <w:r w:rsidRPr="00983756">
              <w:rPr>
                <w:b/>
                <w:bCs w:val="0"/>
              </w:rPr>
              <w:t>0.73 (0.58, 0.94)</w:t>
            </w:r>
          </w:p>
        </w:tc>
      </w:tr>
      <w:tr w:rsidR="000D025A" w:rsidRPr="00C67006" w14:paraId="0509367A" w14:textId="77777777" w:rsidTr="006D0DA2">
        <w:trPr>
          <w:trHeight w:val="20"/>
        </w:trPr>
        <w:tc>
          <w:tcPr>
            <w:tcW w:w="1570" w:type="pct"/>
            <w:tcBorders>
              <w:bottom w:val="single" w:sz="4" w:space="0" w:color="auto"/>
              <w:right w:val="single" w:sz="4" w:space="0" w:color="auto"/>
            </w:tcBorders>
            <w:shd w:val="clear" w:color="auto" w:fill="auto"/>
          </w:tcPr>
          <w:p w14:paraId="58E9C1D1" w14:textId="77777777" w:rsidR="000D025A" w:rsidRPr="00330DAA" w:rsidRDefault="000D025A" w:rsidP="00B22910">
            <w:pPr>
              <w:pStyle w:val="TableText0"/>
            </w:pPr>
            <w:r w:rsidRPr="00330DAA">
              <w:t>Median PFS</w:t>
            </w:r>
            <w:r>
              <w:t xml:space="preserve">, </w:t>
            </w:r>
            <w:r w:rsidRPr="00330DAA">
              <w:t>months</w:t>
            </w:r>
            <w:r>
              <w:t xml:space="preserve"> (95% CI)</w:t>
            </w:r>
          </w:p>
        </w:tc>
        <w:tc>
          <w:tcPr>
            <w:tcW w:w="942" w:type="pct"/>
            <w:tcBorders>
              <w:left w:val="single" w:sz="4" w:space="0" w:color="auto"/>
              <w:bottom w:val="single" w:sz="4" w:space="0" w:color="auto"/>
              <w:right w:val="single" w:sz="4" w:space="0" w:color="auto"/>
            </w:tcBorders>
            <w:shd w:val="clear" w:color="auto" w:fill="auto"/>
            <w:vAlign w:val="center"/>
          </w:tcPr>
          <w:p w14:paraId="1ABD6012" w14:textId="0F29482A" w:rsidR="000D025A" w:rsidRPr="00330DAA" w:rsidRDefault="000D025A" w:rsidP="00B22910">
            <w:pPr>
              <w:pStyle w:val="TableText0"/>
              <w:jc w:val="center"/>
              <w:rPr>
                <w:rFonts w:cs="Times New Roman"/>
                <w:szCs w:val="20"/>
              </w:rPr>
            </w:pPr>
            <w:r>
              <w:rPr>
                <w:szCs w:val="20"/>
              </w:rPr>
              <w:t>3.3 (3.0, 5.0)</w:t>
            </w:r>
          </w:p>
        </w:tc>
        <w:tc>
          <w:tcPr>
            <w:tcW w:w="866" w:type="pct"/>
            <w:tcBorders>
              <w:left w:val="single" w:sz="4" w:space="0" w:color="auto"/>
              <w:bottom w:val="single" w:sz="4" w:space="0" w:color="auto"/>
              <w:right w:val="single" w:sz="4" w:space="0" w:color="auto"/>
            </w:tcBorders>
            <w:shd w:val="clear" w:color="auto" w:fill="auto"/>
            <w:vAlign w:val="center"/>
          </w:tcPr>
          <w:p w14:paraId="6E1B50A7" w14:textId="3DC23D5D" w:rsidR="000D025A" w:rsidRPr="00330DAA" w:rsidRDefault="000D025A" w:rsidP="00B22910">
            <w:pPr>
              <w:pStyle w:val="TableText0"/>
              <w:jc w:val="center"/>
              <w:rPr>
                <w:rFonts w:cs="Times New Roman"/>
                <w:szCs w:val="20"/>
              </w:rPr>
            </w:pPr>
            <w:r>
              <w:rPr>
                <w:szCs w:val="20"/>
              </w:rPr>
              <w:t>2.9 (2.8, 3.0)</w:t>
            </w:r>
          </w:p>
        </w:tc>
        <w:tc>
          <w:tcPr>
            <w:tcW w:w="786" w:type="pct"/>
            <w:tcBorders>
              <w:left w:val="single" w:sz="4" w:space="0" w:color="auto"/>
              <w:bottom w:val="single" w:sz="4" w:space="0" w:color="auto"/>
              <w:right w:val="single" w:sz="4" w:space="0" w:color="auto"/>
            </w:tcBorders>
            <w:shd w:val="clear" w:color="auto" w:fill="auto"/>
            <w:vAlign w:val="center"/>
          </w:tcPr>
          <w:p w14:paraId="28F206C3" w14:textId="5FB8E4E9" w:rsidR="000D025A" w:rsidRPr="00330DAA" w:rsidRDefault="000D025A" w:rsidP="00B22910">
            <w:pPr>
              <w:pStyle w:val="TableText0"/>
              <w:jc w:val="center"/>
            </w:pPr>
            <w:r>
              <w:t>0.4 months</w:t>
            </w:r>
          </w:p>
        </w:tc>
        <w:tc>
          <w:tcPr>
            <w:tcW w:w="836" w:type="pct"/>
            <w:vMerge/>
            <w:tcBorders>
              <w:left w:val="single" w:sz="4" w:space="0" w:color="auto"/>
            </w:tcBorders>
            <w:shd w:val="clear" w:color="auto" w:fill="auto"/>
            <w:vAlign w:val="center"/>
          </w:tcPr>
          <w:p w14:paraId="67FA367D" w14:textId="77777777" w:rsidR="000D025A" w:rsidRPr="00C67006" w:rsidRDefault="000D025A" w:rsidP="00B22910">
            <w:pPr>
              <w:pStyle w:val="TableText0"/>
              <w:rPr>
                <w:szCs w:val="20"/>
              </w:rPr>
            </w:pPr>
          </w:p>
        </w:tc>
      </w:tr>
      <w:tr w:rsidR="000D025A" w:rsidRPr="00C67006" w14:paraId="6563CBC3" w14:textId="77777777" w:rsidTr="006D0DA2">
        <w:trPr>
          <w:trHeight w:val="20"/>
        </w:trPr>
        <w:tc>
          <w:tcPr>
            <w:tcW w:w="1570" w:type="pct"/>
            <w:tcBorders>
              <w:bottom w:val="single" w:sz="4" w:space="0" w:color="auto"/>
              <w:right w:val="single" w:sz="4" w:space="0" w:color="auto"/>
            </w:tcBorders>
            <w:shd w:val="clear" w:color="auto" w:fill="auto"/>
          </w:tcPr>
          <w:p w14:paraId="55FBA9D5" w14:textId="58254865" w:rsidR="000D025A" w:rsidRPr="00330DAA" w:rsidRDefault="000D025A" w:rsidP="00B22910">
            <w:pPr>
              <w:pStyle w:val="TableText0"/>
            </w:pPr>
            <w:r>
              <w:t>% not progressed at 12 months</w:t>
            </w:r>
          </w:p>
        </w:tc>
        <w:tc>
          <w:tcPr>
            <w:tcW w:w="942" w:type="pct"/>
            <w:tcBorders>
              <w:left w:val="single" w:sz="4" w:space="0" w:color="auto"/>
              <w:bottom w:val="single" w:sz="4" w:space="0" w:color="auto"/>
              <w:right w:val="single" w:sz="4" w:space="0" w:color="auto"/>
            </w:tcBorders>
            <w:shd w:val="clear" w:color="auto" w:fill="auto"/>
          </w:tcPr>
          <w:p w14:paraId="32AF3575" w14:textId="30B25256" w:rsidR="000D025A" w:rsidRPr="00710C08" w:rsidRDefault="000D025A" w:rsidP="00B22910">
            <w:pPr>
              <w:pStyle w:val="TableText0"/>
              <w:jc w:val="center"/>
            </w:pPr>
            <w:r w:rsidRPr="00FB04AC">
              <w:t>14.1 (9.5, 19.5)</w:t>
            </w:r>
          </w:p>
        </w:tc>
        <w:tc>
          <w:tcPr>
            <w:tcW w:w="866" w:type="pct"/>
            <w:tcBorders>
              <w:left w:val="single" w:sz="4" w:space="0" w:color="auto"/>
              <w:bottom w:val="single" w:sz="4" w:space="0" w:color="auto"/>
              <w:right w:val="single" w:sz="4" w:space="0" w:color="auto"/>
            </w:tcBorders>
            <w:shd w:val="clear" w:color="auto" w:fill="auto"/>
          </w:tcPr>
          <w:p w14:paraId="06A2A49F" w14:textId="34921633" w:rsidR="000D025A" w:rsidRPr="00710C08" w:rsidRDefault="000D025A" w:rsidP="00B22910">
            <w:pPr>
              <w:pStyle w:val="TableText0"/>
              <w:jc w:val="center"/>
            </w:pPr>
            <w:r w:rsidRPr="00B22910">
              <w:t>6.2 (2.3, 13.0)</w:t>
            </w:r>
          </w:p>
        </w:tc>
        <w:tc>
          <w:tcPr>
            <w:tcW w:w="786" w:type="pct"/>
            <w:tcBorders>
              <w:left w:val="single" w:sz="4" w:space="0" w:color="auto"/>
              <w:bottom w:val="single" w:sz="4" w:space="0" w:color="auto"/>
              <w:right w:val="single" w:sz="4" w:space="0" w:color="auto"/>
            </w:tcBorders>
            <w:shd w:val="clear" w:color="auto" w:fill="auto"/>
          </w:tcPr>
          <w:p w14:paraId="28921672" w14:textId="534FC4CA" w:rsidR="000D025A" w:rsidRPr="00710C08" w:rsidRDefault="000D025A" w:rsidP="00B22910">
            <w:pPr>
              <w:pStyle w:val="TableText0"/>
              <w:jc w:val="center"/>
            </w:pPr>
            <w:r>
              <w:t>7.9</w:t>
            </w:r>
          </w:p>
        </w:tc>
        <w:tc>
          <w:tcPr>
            <w:tcW w:w="836" w:type="pct"/>
            <w:vMerge/>
            <w:tcBorders>
              <w:left w:val="single" w:sz="4" w:space="0" w:color="auto"/>
            </w:tcBorders>
            <w:shd w:val="clear" w:color="auto" w:fill="auto"/>
          </w:tcPr>
          <w:p w14:paraId="0773CD1D" w14:textId="77777777" w:rsidR="000D025A" w:rsidRPr="00C67006" w:rsidRDefault="000D025A" w:rsidP="00B22910">
            <w:pPr>
              <w:pStyle w:val="TableText0"/>
              <w:rPr>
                <w:szCs w:val="20"/>
              </w:rPr>
            </w:pPr>
          </w:p>
        </w:tc>
      </w:tr>
      <w:tr w:rsidR="000D025A" w:rsidRPr="00C67006" w14:paraId="52FC41A4" w14:textId="77777777" w:rsidTr="006D0DA2">
        <w:trPr>
          <w:trHeight w:val="20"/>
        </w:trPr>
        <w:tc>
          <w:tcPr>
            <w:tcW w:w="1570" w:type="pct"/>
            <w:tcBorders>
              <w:bottom w:val="single" w:sz="4" w:space="0" w:color="auto"/>
              <w:right w:val="single" w:sz="4" w:space="0" w:color="auto"/>
            </w:tcBorders>
            <w:shd w:val="clear" w:color="auto" w:fill="auto"/>
          </w:tcPr>
          <w:p w14:paraId="7580D9BF" w14:textId="233FE3BE" w:rsidR="000D025A" w:rsidRPr="00330DAA" w:rsidRDefault="000D025A" w:rsidP="00282268">
            <w:pPr>
              <w:pStyle w:val="TableText0"/>
            </w:pPr>
            <w:r>
              <w:t>% not progressed at 24 months</w:t>
            </w:r>
          </w:p>
        </w:tc>
        <w:tc>
          <w:tcPr>
            <w:tcW w:w="942" w:type="pct"/>
            <w:tcBorders>
              <w:left w:val="single" w:sz="4" w:space="0" w:color="auto"/>
              <w:bottom w:val="single" w:sz="4" w:space="0" w:color="auto"/>
              <w:right w:val="single" w:sz="4" w:space="0" w:color="auto"/>
            </w:tcBorders>
            <w:shd w:val="clear" w:color="auto" w:fill="auto"/>
          </w:tcPr>
          <w:p w14:paraId="6B2E727D" w14:textId="2D022E07" w:rsidR="000D025A" w:rsidRPr="00710C08" w:rsidRDefault="000D025A" w:rsidP="00B22910">
            <w:pPr>
              <w:pStyle w:val="TableText0"/>
              <w:jc w:val="center"/>
            </w:pPr>
            <w:r>
              <w:t>9.2 (5.1, 14.8)</w:t>
            </w:r>
          </w:p>
        </w:tc>
        <w:tc>
          <w:tcPr>
            <w:tcW w:w="866" w:type="pct"/>
            <w:tcBorders>
              <w:left w:val="single" w:sz="4" w:space="0" w:color="auto"/>
              <w:bottom w:val="single" w:sz="4" w:space="0" w:color="auto"/>
              <w:right w:val="single" w:sz="4" w:space="0" w:color="auto"/>
            </w:tcBorders>
            <w:shd w:val="clear" w:color="auto" w:fill="auto"/>
          </w:tcPr>
          <w:p w14:paraId="6FEB1A39" w14:textId="6151884C" w:rsidR="000D025A" w:rsidRPr="00710C08" w:rsidRDefault="000D025A" w:rsidP="00282268">
            <w:pPr>
              <w:pStyle w:val="TableText0"/>
              <w:jc w:val="center"/>
            </w:pPr>
            <w:r>
              <w:t xml:space="preserve">0.0 </w:t>
            </w:r>
          </w:p>
        </w:tc>
        <w:tc>
          <w:tcPr>
            <w:tcW w:w="786" w:type="pct"/>
            <w:tcBorders>
              <w:left w:val="single" w:sz="4" w:space="0" w:color="auto"/>
              <w:bottom w:val="single" w:sz="4" w:space="0" w:color="auto"/>
              <w:right w:val="single" w:sz="4" w:space="0" w:color="auto"/>
            </w:tcBorders>
            <w:shd w:val="clear" w:color="auto" w:fill="auto"/>
          </w:tcPr>
          <w:p w14:paraId="2959DD71" w14:textId="1BAF4489" w:rsidR="000D025A" w:rsidRPr="00710C08" w:rsidRDefault="000D025A" w:rsidP="00282268">
            <w:pPr>
              <w:pStyle w:val="TableText0"/>
              <w:jc w:val="center"/>
            </w:pPr>
            <w:r>
              <w:t>9.2</w:t>
            </w:r>
          </w:p>
        </w:tc>
        <w:tc>
          <w:tcPr>
            <w:tcW w:w="836" w:type="pct"/>
            <w:vMerge/>
            <w:tcBorders>
              <w:left w:val="single" w:sz="4" w:space="0" w:color="auto"/>
              <w:bottom w:val="nil"/>
            </w:tcBorders>
            <w:shd w:val="clear" w:color="auto" w:fill="auto"/>
          </w:tcPr>
          <w:p w14:paraId="7790FEB5" w14:textId="77777777" w:rsidR="000D025A" w:rsidRPr="00C67006" w:rsidRDefault="000D025A" w:rsidP="00282268">
            <w:pPr>
              <w:pStyle w:val="TableText0"/>
              <w:rPr>
                <w:szCs w:val="20"/>
              </w:rPr>
            </w:pPr>
          </w:p>
        </w:tc>
      </w:tr>
      <w:tr w:rsidR="00B22910" w:rsidRPr="00511320" w14:paraId="1777D36D" w14:textId="77777777" w:rsidTr="00B22910">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D7B8A5C" w14:textId="48E4FD29" w:rsidR="00282268" w:rsidRPr="00330DAA" w:rsidRDefault="00282268" w:rsidP="00A704EE">
            <w:pPr>
              <w:pStyle w:val="In-tableHeading"/>
            </w:pPr>
            <w:r w:rsidRPr="00330DAA">
              <w:t xml:space="preserve">Overall survival </w:t>
            </w:r>
          </w:p>
        </w:tc>
      </w:tr>
      <w:tr w:rsidR="00B22910" w:rsidRPr="00511320" w14:paraId="0B853977" w14:textId="77777777" w:rsidTr="006D0DA2">
        <w:trPr>
          <w:trHeight w:val="20"/>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6AF6B491" w14:textId="77777777" w:rsidR="00B22910" w:rsidRPr="00330DAA" w:rsidRDefault="00B22910" w:rsidP="00B22910">
            <w:pPr>
              <w:pStyle w:val="TableText0"/>
            </w:pPr>
            <w:r w:rsidRPr="00330DAA">
              <w:t xml:space="preserve">Deaths, n/N (%) </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14:paraId="157A12D1" w14:textId="19CDB26C" w:rsidR="00B22910" w:rsidRPr="00330DAA" w:rsidRDefault="00B22910" w:rsidP="00B22910">
            <w:pPr>
              <w:pStyle w:val="TableText0"/>
              <w:jc w:val="center"/>
            </w:pPr>
            <w:r>
              <w:t>87/252 (34.5%)</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0730A463" w14:textId="03428B84" w:rsidR="00B22910" w:rsidRPr="00330DAA" w:rsidRDefault="00B22910" w:rsidP="00B22910">
            <w:pPr>
              <w:pStyle w:val="TableText0"/>
              <w:jc w:val="center"/>
            </w:pPr>
            <w:r>
              <w:t>63/126 (50.0%)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01F0FE0" w14:textId="2AEEF5DC" w:rsidR="00B22910" w:rsidRPr="00330DAA" w:rsidRDefault="00B22910" w:rsidP="00B22910">
            <w:pPr>
              <w:pStyle w:val="TableText0"/>
              <w:jc w:val="center"/>
            </w:pPr>
            <w:r>
              <w:t>-</w:t>
            </w:r>
          </w:p>
        </w:tc>
        <w:tc>
          <w:tcPr>
            <w:tcW w:w="836" w:type="pct"/>
            <w:vMerge w:val="restart"/>
            <w:tcBorders>
              <w:top w:val="single" w:sz="4" w:space="0" w:color="auto"/>
              <w:left w:val="single" w:sz="4" w:space="0" w:color="auto"/>
              <w:right w:val="single" w:sz="4" w:space="0" w:color="auto"/>
            </w:tcBorders>
            <w:shd w:val="clear" w:color="auto" w:fill="auto"/>
            <w:vAlign w:val="center"/>
          </w:tcPr>
          <w:p w14:paraId="72B10121" w14:textId="2C5AC787" w:rsidR="00B22910" w:rsidRPr="00A74415" w:rsidRDefault="00B22910" w:rsidP="00B22910">
            <w:pPr>
              <w:pStyle w:val="TableText0"/>
              <w:jc w:val="center"/>
              <w:rPr>
                <w:b/>
                <w:bCs w:val="0"/>
                <w:szCs w:val="20"/>
              </w:rPr>
            </w:pPr>
            <w:r w:rsidRPr="00B15E0E">
              <w:rPr>
                <w:b/>
                <w:bCs w:val="0"/>
              </w:rPr>
              <w:t>0.51 (0.37, 0.71)</w:t>
            </w:r>
          </w:p>
        </w:tc>
      </w:tr>
      <w:tr w:rsidR="00B22910" w:rsidRPr="00C67006" w14:paraId="15D273E9" w14:textId="77777777" w:rsidTr="006D0DA2">
        <w:trPr>
          <w:trHeight w:val="20"/>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10FA420E" w14:textId="77777777" w:rsidR="00B22910" w:rsidRPr="00330DAA" w:rsidRDefault="00B22910" w:rsidP="00B22910">
            <w:pPr>
              <w:pStyle w:val="TableText0"/>
            </w:pPr>
            <w:r>
              <w:t xml:space="preserve">Median OS, </w:t>
            </w:r>
            <w:r w:rsidRPr="00330DAA">
              <w:t>months</w:t>
            </w:r>
            <w:r>
              <w:t xml:space="preserve"> (95% CI)</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14:paraId="6BC4D2EC" w14:textId="31A53EEA" w:rsidR="00B22910" w:rsidRPr="00330DAA" w:rsidRDefault="00B22910" w:rsidP="00B22910">
            <w:pPr>
              <w:pStyle w:val="TableText0"/>
              <w:jc w:val="center"/>
              <w:rPr>
                <w:rFonts w:cs="Times New Roman"/>
                <w:szCs w:val="20"/>
              </w:rPr>
            </w:pPr>
            <w:r>
              <w:rPr>
                <w:szCs w:val="20"/>
              </w:rPr>
              <w:t>21.7 (18.6, 28.6)</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78DC9EA4" w14:textId="2B6B6BAE" w:rsidR="00B22910" w:rsidRPr="00330DAA" w:rsidRDefault="00B22910" w:rsidP="00B22910">
            <w:pPr>
              <w:pStyle w:val="TableText0"/>
              <w:jc w:val="center"/>
              <w:rPr>
                <w:rFonts w:cs="Times New Roman"/>
                <w:szCs w:val="20"/>
              </w:rPr>
            </w:pPr>
            <w:r>
              <w:rPr>
                <w:szCs w:val="20"/>
              </w:rPr>
              <w:t>16.0 (9.7, 18.4)</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2BF03F9" w14:textId="530EAF6D" w:rsidR="00B22910" w:rsidRPr="00330DAA" w:rsidRDefault="00B22910" w:rsidP="00B22910">
            <w:pPr>
              <w:pStyle w:val="TableText0"/>
              <w:jc w:val="center"/>
            </w:pPr>
            <w:r>
              <w:t>5.7 months</w:t>
            </w:r>
          </w:p>
        </w:tc>
        <w:tc>
          <w:tcPr>
            <w:tcW w:w="836" w:type="pct"/>
            <w:vMerge/>
            <w:tcBorders>
              <w:left w:val="single" w:sz="4" w:space="0" w:color="auto"/>
              <w:right w:val="single" w:sz="4" w:space="0" w:color="auto"/>
            </w:tcBorders>
            <w:shd w:val="clear" w:color="auto" w:fill="auto"/>
            <w:vAlign w:val="center"/>
          </w:tcPr>
          <w:p w14:paraId="35082DD1" w14:textId="77777777" w:rsidR="00B22910" w:rsidRPr="00C67006" w:rsidRDefault="00B22910" w:rsidP="00B22910">
            <w:pPr>
              <w:pStyle w:val="TableText0"/>
              <w:rPr>
                <w:szCs w:val="20"/>
              </w:rPr>
            </w:pPr>
          </w:p>
        </w:tc>
      </w:tr>
      <w:tr w:rsidR="00B22910" w:rsidRPr="00C67006" w14:paraId="6D28F5F3" w14:textId="77777777" w:rsidTr="006D0DA2">
        <w:trPr>
          <w:trHeight w:val="20"/>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10D8260E" w14:textId="0CEEF2B6" w:rsidR="00B22910" w:rsidRDefault="00B22910" w:rsidP="00B22910">
            <w:pPr>
              <w:pStyle w:val="TableText0"/>
            </w:pPr>
            <w:r>
              <w:t>% alive at 12 months (95% CI)</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F388F79" w14:textId="756CD1CB" w:rsidR="00B22910" w:rsidRDefault="00B22910" w:rsidP="00B22910">
            <w:pPr>
              <w:pStyle w:val="TableText0"/>
              <w:jc w:val="center"/>
              <w:rPr>
                <w:rFonts w:cs="Times New Roman"/>
                <w:szCs w:val="20"/>
              </w:rPr>
            </w:pPr>
            <w:r w:rsidRPr="00506634">
              <w:t>73.2 (66.4, 78.8)</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7E4EB20" w14:textId="6AB959D8" w:rsidR="00B22910" w:rsidRDefault="00B22910" w:rsidP="00B22910">
            <w:pPr>
              <w:pStyle w:val="TableText0"/>
              <w:jc w:val="center"/>
              <w:rPr>
                <w:rFonts w:cs="Times New Roman"/>
                <w:szCs w:val="20"/>
              </w:rPr>
            </w:pPr>
            <w:r w:rsidRPr="00B22910">
              <w:rPr>
                <w:rFonts w:cs="Times New Roman"/>
                <w:szCs w:val="20"/>
              </w:rPr>
              <w:t>58.5 (48.3, 67.3)</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341D001F" w14:textId="57D70EEC" w:rsidR="00B22910" w:rsidRDefault="00B22910" w:rsidP="00B22910">
            <w:pPr>
              <w:pStyle w:val="TableText0"/>
              <w:jc w:val="center"/>
            </w:pPr>
            <w:r>
              <w:t>14.7</w:t>
            </w:r>
          </w:p>
        </w:tc>
        <w:tc>
          <w:tcPr>
            <w:tcW w:w="836" w:type="pct"/>
            <w:vMerge/>
            <w:tcBorders>
              <w:left w:val="single" w:sz="4" w:space="0" w:color="auto"/>
              <w:right w:val="single" w:sz="4" w:space="0" w:color="auto"/>
            </w:tcBorders>
            <w:shd w:val="clear" w:color="auto" w:fill="auto"/>
          </w:tcPr>
          <w:p w14:paraId="579A6267" w14:textId="77777777" w:rsidR="00B22910" w:rsidRPr="00C67006" w:rsidRDefault="00B22910" w:rsidP="00B22910">
            <w:pPr>
              <w:pStyle w:val="TableText0"/>
              <w:rPr>
                <w:szCs w:val="20"/>
              </w:rPr>
            </w:pPr>
          </w:p>
        </w:tc>
      </w:tr>
      <w:tr w:rsidR="00B22910" w:rsidRPr="00C67006" w14:paraId="49C264E9" w14:textId="77777777" w:rsidTr="006D0DA2">
        <w:trPr>
          <w:trHeight w:val="20"/>
        </w:trPr>
        <w:tc>
          <w:tcPr>
            <w:tcW w:w="1570" w:type="pct"/>
            <w:tcBorders>
              <w:top w:val="single" w:sz="4" w:space="0" w:color="auto"/>
              <w:left w:val="single" w:sz="4" w:space="0" w:color="auto"/>
              <w:bottom w:val="single" w:sz="4" w:space="0" w:color="auto"/>
              <w:right w:val="single" w:sz="4" w:space="0" w:color="auto"/>
            </w:tcBorders>
            <w:shd w:val="clear" w:color="auto" w:fill="auto"/>
          </w:tcPr>
          <w:p w14:paraId="2161EAFE" w14:textId="5C2AD2E5" w:rsidR="00B22910" w:rsidRDefault="00B22910" w:rsidP="00B22910">
            <w:pPr>
              <w:pStyle w:val="TableText0"/>
            </w:pPr>
            <w:r>
              <w:t>% alive at 24 months (95% CI)</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480D735" w14:textId="63B8B278" w:rsidR="00B22910" w:rsidRDefault="00B22910" w:rsidP="00B22910">
            <w:pPr>
              <w:pStyle w:val="TableText0"/>
              <w:jc w:val="center"/>
              <w:rPr>
                <w:rFonts w:cs="Times New Roman"/>
                <w:szCs w:val="20"/>
              </w:rPr>
            </w:pPr>
            <w:r w:rsidRPr="00D72720">
              <w:t>44.8 (34.9, 54.2)</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DCCEA4B" w14:textId="3FA3A13A" w:rsidR="00B22910" w:rsidRDefault="00B22910" w:rsidP="00B22910">
            <w:pPr>
              <w:pStyle w:val="TableText0"/>
              <w:jc w:val="center"/>
              <w:rPr>
                <w:rFonts w:cs="Times New Roman"/>
                <w:szCs w:val="20"/>
              </w:rPr>
            </w:pPr>
            <w:r w:rsidRPr="00B22910">
              <w:rPr>
                <w:rFonts w:cs="Times New Roman"/>
                <w:szCs w:val="20"/>
              </w:rPr>
              <w:t>20.3 (9.1, 34.7)</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5944F126" w14:textId="4564DD37" w:rsidR="00B22910" w:rsidRDefault="00B22910" w:rsidP="00B22910">
            <w:pPr>
              <w:pStyle w:val="TableText0"/>
              <w:jc w:val="center"/>
            </w:pPr>
            <w:r>
              <w:t>24.5</w:t>
            </w:r>
          </w:p>
        </w:tc>
        <w:tc>
          <w:tcPr>
            <w:tcW w:w="836" w:type="pct"/>
            <w:vMerge/>
            <w:tcBorders>
              <w:left w:val="single" w:sz="4" w:space="0" w:color="auto"/>
              <w:bottom w:val="nil"/>
              <w:right w:val="single" w:sz="4" w:space="0" w:color="auto"/>
            </w:tcBorders>
            <w:shd w:val="clear" w:color="auto" w:fill="auto"/>
          </w:tcPr>
          <w:p w14:paraId="44E41798" w14:textId="77777777" w:rsidR="00B22910" w:rsidRPr="00C67006" w:rsidRDefault="00B22910" w:rsidP="00B22910">
            <w:pPr>
              <w:pStyle w:val="TableText0"/>
              <w:rPr>
                <w:szCs w:val="20"/>
              </w:rPr>
            </w:pPr>
          </w:p>
        </w:tc>
      </w:tr>
    </w:tbl>
    <w:tbl>
      <w:tblPr>
        <w:tblW w:w="5000" w:type="pct"/>
        <w:tblLayout w:type="fixed"/>
        <w:tblCellMar>
          <w:left w:w="28" w:type="dxa"/>
          <w:right w:w="28" w:type="dxa"/>
        </w:tblCellMar>
        <w:tblLook w:val="04A0" w:firstRow="1" w:lastRow="0" w:firstColumn="1" w:lastColumn="0" w:noHBand="0" w:noVBand="1"/>
      </w:tblPr>
      <w:tblGrid>
        <w:gridCol w:w="1840"/>
        <w:gridCol w:w="1062"/>
        <w:gridCol w:w="1203"/>
        <w:gridCol w:w="1277"/>
        <w:gridCol w:w="1062"/>
        <w:gridCol w:w="1064"/>
        <w:gridCol w:w="1509"/>
      </w:tblGrid>
      <w:tr w:rsidR="00282268" w:rsidRPr="00E2771E" w14:paraId="5A7C6D5D" w14:textId="77777777" w:rsidTr="00A704EE">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45B561F9" w14:textId="7AC561DD" w:rsidR="00282268" w:rsidRPr="00E2771E" w:rsidRDefault="00282268" w:rsidP="00A704EE">
            <w:pPr>
              <w:pStyle w:val="In-tableHeading"/>
            </w:pPr>
            <w:r w:rsidRPr="00E2771E">
              <w:t>Harms</w:t>
            </w:r>
          </w:p>
        </w:tc>
      </w:tr>
      <w:tr w:rsidR="00411215" w:rsidRPr="00E2771E" w14:paraId="5E2B179A" w14:textId="77777777" w:rsidTr="006D0DA2">
        <w:trPr>
          <w:trHeight w:val="70"/>
        </w:trPr>
        <w:tc>
          <w:tcPr>
            <w:tcW w:w="10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7C75CE" w14:textId="77777777" w:rsidR="00411215" w:rsidRPr="00E340C0" w:rsidRDefault="00411215" w:rsidP="00411215">
            <w:pPr>
              <w:pStyle w:val="TableText0"/>
            </w:pPr>
          </w:p>
        </w:tc>
        <w:tc>
          <w:tcPr>
            <w:tcW w:w="589" w:type="pct"/>
            <w:vMerge w:val="restart"/>
            <w:tcBorders>
              <w:top w:val="single" w:sz="4" w:space="0" w:color="auto"/>
              <w:left w:val="single" w:sz="4" w:space="0" w:color="auto"/>
              <w:bottom w:val="single" w:sz="4" w:space="0" w:color="auto"/>
              <w:right w:val="single" w:sz="4" w:space="0" w:color="auto"/>
            </w:tcBorders>
            <w:vAlign w:val="center"/>
          </w:tcPr>
          <w:p w14:paraId="2BC044B1" w14:textId="5112AEE9" w:rsidR="00411215" w:rsidRPr="00E340C0" w:rsidRDefault="00411215" w:rsidP="006D0DA2">
            <w:pPr>
              <w:pStyle w:val="In-tableHeading"/>
              <w:jc w:val="center"/>
            </w:pPr>
            <w:r>
              <w:t>Tebentafusp</w:t>
            </w:r>
          </w:p>
        </w:tc>
        <w:tc>
          <w:tcPr>
            <w:tcW w:w="667" w:type="pct"/>
            <w:vMerge w:val="restart"/>
            <w:tcBorders>
              <w:top w:val="single" w:sz="4" w:space="0" w:color="auto"/>
              <w:left w:val="single" w:sz="4" w:space="0" w:color="auto"/>
              <w:bottom w:val="single" w:sz="4" w:space="0" w:color="auto"/>
              <w:right w:val="single" w:sz="4" w:space="0" w:color="auto"/>
            </w:tcBorders>
            <w:vAlign w:val="center"/>
          </w:tcPr>
          <w:p w14:paraId="0A1800A9" w14:textId="27A2A88F" w:rsidR="00411215" w:rsidRPr="00E340C0" w:rsidRDefault="00411215" w:rsidP="006D0DA2">
            <w:pPr>
              <w:pStyle w:val="In-tableHeading"/>
              <w:jc w:val="center"/>
            </w:pPr>
            <w:r>
              <w:t xml:space="preserve">Investigator </w:t>
            </w:r>
            <w:r w:rsidR="006D0DA2">
              <w:t>c</w:t>
            </w:r>
            <w:r>
              <w:t>hoice</w:t>
            </w:r>
          </w:p>
        </w:tc>
        <w:tc>
          <w:tcPr>
            <w:tcW w:w="708" w:type="pct"/>
            <w:vMerge w:val="restart"/>
            <w:tcBorders>
              <w:top w:val="single" w:sz="4" w:space="0" w:color="auto"/>
              <w:left w:val="single" w:sz="4" w:space="0" w:color="auto"/>
              <w:bottom w:val="single" w:sz="4" w:space="0" w:color="auto"/>
              <w:right w:val="single" w:sz="4" w:space="0" w:color="auto"/>
            </w:tcBorders>
            <w:vAlign w:val="center"/>
          </w:tcPr>
          <w:p w14:paraId="55DE1C60" w14:textId="77777777" w:rsidR="00411215" w:rsidRPr="00E340C0" w:rsidRDefault="00411215" w:rsidP="006D0DA2">
            <w:pPr>
              <w:pStyle w:val="In-tableHeading"/>
              <w:jc w:val="center"/>
            </w:pPr>
            <w:r w:rsidRPr="00E340C0">
              <w:t>RR</w:t>
            </w:r>
          </w:p>
          <w:p w14:paraId="44F36591" w14:textId="77777777" w:rsidR="00411215" w:rsidRPr="00E340C0" w:rsidRDefault="00411215" w:rsidP="006D0DA2">
            <w:pPr>
              <w:pStyle w:val="In-tableHeading"/>
              <w:jc w:val="center"/>
            </w:pPr>
            <w:r w:rsidRPr="00E340C0">
              <w:t>(95% CI)</w:t>
            </w:r>
          </w:p>
        </w:tc>
        <w:tc>
          <w:tcPr>
            <w:tcW w:w="1179" w:type="pct"/>
            <w:gridSpan w:val="2"/>
            <w:tcBorders>
              <w:top w:val="single" w:sz="4" w:space="0" w:color="auto"/>
              <w:left w:val="single" w:sz="4" w:space="0" w:color="auto"/>
              <w:bottom w:val="single" w:sz="4" w:space="0" w:color="auto"/>
              <w:right w:val="single" w:sz="4" w:space="0" w:color="auto"/>
            </w:tcBorders>
            <w:vAlign w:val="center"/>
          </w:tcPr>
          <w:p w14:paraId="488C4B95" w14:textId="77777777" w:rsidR="00411215" w:rsidRPr="00E340C0" w:rsidRDefault="00411215" w:rsidP="006D0DA2">
            <w:pPr>
              <w:pStyle w:val="In-tableHeading"/>
              <w:jc w:val="center"/>
            </w:pPr>
            <w:r w:rsidRPr="00E340C0">
              <w:t>Event rate/100 patients</w:t>
            </w:r>
          </w:p>
        </w:tc>
        <w:tc>
          <w:tcPr>
            <w:tcW w:w="837" w:type="pct"/>
            <w:vMerge w:val="restart"/>
            <w:tcBorders>
              <w:top w:val="single" w:sz="4" w:space="0" w:color="auto"/>
              <w:left w:val="single" w:sz="4" w:space="0" w:color="auto"/>
              <w:bottom w:val="single" w:sz="4" w:space="0" w:color="auto"/>
              <w:right w:val="single" w:sz="4" w:space="0" w:color="auto"/>
            </w:tcBorders>
            <w:vAlign w:val="center"/>
          </w:tcPr>
          <w:p w14:paraId="493C8026" w14:textId="77777777" w:rsidR="00411215" w:rsidRPr="00E340C0" w:rsidRDefault="00411215" w:rsidP="006D0DA2">
            <w:pPr>
              <w:pStyle w:val="In-tableHeading"/>
              <w:jc w:val="center"/>
            </w:pPr>
            <w:r w:rsidRPr="00E340C0">
              <w:t>RD</w:t>
            </w:r>
          </w:p>
          <w:p w14:paraId="310D16A9" w14:textId="77777777" w:rsidR="00411215" w:rsidRPr="00E340C0" w:rsidRDefault="00411215" w:rsidP="006D0DA2">
            <w:pPr>
              <w:pStyle w:val="In-tableHeading"/>
              <w:jc w:val="center"/>
            </w:pPr>
            <w:r w:rsidRPr="00E340C0">
              <w:t>(95% CI)</w:t>
            </w:r>
          </w:p>
        </w:tc>
      </w:tr>
      <w:tr w:rsidR="00282268" w:rsidRPr="00E2771E" w14:paraId="73C0B654" w14:textId="77777777" w:rsidTr="006D0DA2">
        <w:trPr>
          <w:trHeight w:val="390"/>
        </w:trPr>
        <w:tc>
          <w:tcPr>
            <w:tcW w:w="10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35505A" w14:textId="77777777" w:rsidR="00282268" w:rsidRPr="00E2771E" w:rsidRDefault="00282268" w:rsidP="00A704EE">
            <w:pPr>
              <w:pStyle w:val="TableText0"/>
            </w:pPr>
          </w:p>
        </w:tc>
        <w:tc>
          <w:tcPr>
            <w:tcW w:w="589" w:type="pct"/>
            <w:vMerge/>
            <w:tcBorders>
              <w:top w:val="single" w:sz="4" w:space="0" w:color="auto"/>
              <w:left w:val="single" w:sz="4" w:space="0" w:color="auto"/>
              <w:bottom w:val="single" w:sz="4" w:space="0" w:color="auto"/>
              <w:right w:val="single" w:sz="4" w:space="0" w:color="auto"/>
            </w:tcBorders>
            <w:vAlign w:val="center"/>
          </w:tcPr>
          <w:p w14:paraId="36586BA1" w14:textId="77777777" w:rsidR="00282268" w:rsidRPr="00E2771E" w:rsidRDefault="00282268" w:rsidP="00A704EE">
            <w:pPr>
              <w:pStyle w:val="TableText0"/>
              <w:jc w:val="center"/>
            </w:pPr>
          </w:p>
        </w:tc>
        <w:tc>
          <w:tcPr>
            <w:tcW w:w="667" w:type="pct"/>
            <w:vMerge/>
            <w:tcBorders>
              <w:top w:val="single" w:sz="4" w:space="0" w:color="auto"/>
              <w:left w:val="single" w:sz="4" w:space="0" w:color="auto"/>
              <w:bottom w:val="single" w:sz="4" w:space="0" w:color="auto"/>
              <w:right w:val="single" w:sz="4" w:space="0" w:color="auto"/>
            </w:tcBorders>
            <w:vAlign w:val="center"/>
          </w:tcPr>
          <w:p w14:paraId="7925DEA5" w14:textId="77777777" w:rsidR="00282268" w:rsidRPr="00E2771E" w:rsidRDefault="00282268" w:rsidP="00A704EE">
            <w:pPr>
              <w:pStyle w:val="TableText0"/>
              <w:jc w:val="center"/>
            </w:pPr>
          </w:p>
        </w:tc>
        <w:tc>
          <w:tcPr>
            <w:tcW w:w="708" w:type="pct"/>
            <w:vMerge/>
            <w:tcBorders>
              <w:top w:val="single" w:sz="4" w:space="0" w:color="auto"/>
              <w:left w:val="single" w:sz="4" w:space="0" w:color="auto"/>
              <w:bottom w:val="single" w:sz="4" w:space="0" w:color="auto"/>
              <w:right w:val="single" w:sz="4" w:space="0" w:color="auto"/>
            </w:tcBorders>
            <w:vAlign w:val="center"/>
          </w:tcPr>
          <w:p w14:paraId="3CDB5401" w14:textId="77777777" w:rsidR="00282268" w:rsidRPr="00E2771E" w:rsidRDefault="00282268" w:rsidP="00A704EE">
            <w:pPr>
              <w:pStyle w:val="TableText0"/>
              <w:jc w:val="center"/>
            </w:pPr>
          </w:p>
        </w:tc>
        <w:tc>
          <w:tcPr>
            <w:tcW w:w="589" w:type="pct"/>
            <w:tcBorders>
              <w:top w:val="single" w:sz="4" w:space="0" w:color="auto"/>
              <w:left w:val="single" w:sz="4" w:space="0" w:color="auto"/>
              <w:bottom w:val="single" w:sz="4" w:space="0" w:color="auto"/>
              <w:right w:val="single" w:sz="4" w:space="0" w:color="auto"/>
            </w:tcBorders>
            <w:vAlign w:val="center"/>
          </w:tcPr>
          <w:p w14:paraId="45329224" w14:textId="7FAF8552" w:rsidR="00282268" w:rsidRPr="00E2771E" w:rsidRDefault="00282268" w:rsidP="006D0DA2">
            <w:pPr>
              <w:pStyle w:val="In-tableHeading"/>
              <w:jc w:val="center"/>
            </w:pPr>
            <w:r>
              <w:t>Tebentafusp</w:t>
            </w:r>
          </w:p>
        </w:tc>
        <w:tc>
          <w:tcPr>
            <w:tcW w:w="589" w:type="pct"/>
            <w:tcBorders>
              <w:top w:val="single" w:sz="4" w:space="0" w:color="auto"/>
              <w:left w:val="single" w:sz="4" w:space="0" w:color="auto"/>
              <w:bottom w:val="single" w:sz="4" w:space="0" w:color="auto"/>
              <w:right w:val="single" w:sz="4" w:space="0" w:color="auto"/>
            </w:tcBorders>
          </w:tcPr>
          <w:p w14:paraId="401D3882" w14:textId="52A13763" w:rsidR="00282268" w:rsidRPr="00E2771E" w:rsidRDefault="00411215" w:rsidP="00A704EE">
            <w:pPr>
              <w:pStyle w:val="In-tableHeading"/>
              <w:jc w:val="center"/>
            </w:pPr>
            <w:r>
              <w:t xml:space="preserve">Investigator </w:t>
            </w:r>
            <w:r w:rsidR="006D0DA2">
              <w:t>c</w:t>
            </w:r>
            <w:r>
              <w:t>hoice</w:t>
            </w:r>
          </w:p>
        </w:tc>
        <w:tc>
          <w:tcPr>
            <w:tcW w:w="837" w:type="pct"/>
            <w:vMerge/>
            <w:tcBorders>
              <w:top w:val="single" w:sz="4" w:space="0" w:color="auto"/>
              <w:left w:val="single" w:sz="4" w:space="0" w:color="auto"/>
              <w:bottom w:val="single" w:sz="4" w:space="0" w:color="auto"/>
              <w:right w:val="single" w:sz="4" w:space="0" w:color="auto"/>
            </w:tcBorders>
            <w:vAlign w:val="center"/>
          </w:tcPr>
          <w:p w14:paraId="3C0DAD5E" w14:textId="77777777" w:rsidR="00282268" w:rsidRPr="00E2771E" w:rsidRDefault="00282268" w:rsidP="00A704EE">
            <w:pPr>
              <w:pStyle w:val="TableText0"/>
              <w:jc w:val="center"/>
            </w:pPr>
          </w:p>
        </w:tc>
      </w:tr>
      <w:tr w:rsidR="00411215" w:rsidRPr="00E2771E" w14:paraId="4A7B7AC2" w14:textId="77777777" w:rsidTr="00411215">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431FA3C9" w14:textId="77777777" w:rsidR="00411215" w:rsidRPr="00E2771E" w:rsidRDefault="00411215" w:rsidP="00411215">
            <w:pPr>
              <w:pStyle w:val="TableText0"/>
            </w:pPr>
            <w:r w:rsidRPr="00800BB3">
              <w:t>Any TEAE</w:t>
            </w:r>
          </w:p>
        </w:tc>
        <w:tc>
          <w:tcPr>
            <w:tcW w:w="589" w:type="pct"/>
            <w:tcBorders>
              <w:top w:val="single" w:sz="4" w:space="0" w:color="auto"/>
              <w:left w:val="single" w:sz="4" w:space="0" w:color="auto"/>
              <w:bottom w:val="single" w:sz="4" w:space="0" w:color="auto"/>
              <w:right w:val="single" w:sz="4" w:space="0" w:color="auto"/>
            </w:tcBorders>
            <w:vAlign w:val="center"/>
          </w:tcPr>
          <w:p w14:paraId="2FDB25D2" w14:textId="5858D12C" w:rsidR="00411215" w:rsidRPr="00E2771E" w:rsidRDefault="00411215" w:rsidP="00411215">
            <w:pPr>
              <w:pStyle w:val="TableText0"/>
              <w:jc w:val="center"/>
            </w:pPr>
            <w:r w:rsidRPr="00182756">
              <w:t>245</w:t>
            </w:r>
            <w:r>
              <w:t xml:space="preserve">/245 </w:t>
            </w:r>
            <w:r w:rsidRPr="00182756">
              <w:t>(100</w:t>
            </w:r>
            <w:r>
              <w:t>%</w:t>
            </w:r>
            <w:r w:rsidRPr="00182756">
              <w:t>)</w:t>
            </w:r>
          </w:p>
        </w:tc>
        <w:tc>
          <w:tcPr>
            <w:tcW w:w="667" w:type="pct"/>
            <w:tcBorders>
              <w:top w:val="single" w:sz="4" w:space="0" w:color="auto"/>
              <w:left w:val="single" w:sz="4" w:space="0" w:color="auto"/>
              <w:bottom w:val="single" w:sz="4" w:space="0" w:color="auto"/>
              <w:right w:val="single" w:sz="4" w:space="0" w:color="auto"/>
            </w:tcBorders>
            <w:vAlign w:val="center"/>
          </w:tcPr>
          <w:p w14:paraId="038B1F43" w14:textId="4DBC452A" w:rsidR="00411215" w:rsidRPr="00E2771E" w:rsidRDefault="00411215" w:rsidP="00411215">
            <w:pPr>
              <w:pStyle w:val="TableText0"/>
              <w:jc w:val="center"/>
            </w:pPr>
            <w:r w:rsidRPr="00182756">
              <w:t>105</w:t>
            </w:r>
            <w:r>
              <w:t>/111</w:t>
            </w:r>
            <w:r w:rsidRPr="00182756">
              <w:t xml:space="preserve"> (94.6</w:t>
            </w:r>
            <w:r>
              <w:t>%</w:t>
            </w:r>
            <w:r w:rsidRPr="00182756">
              <w:t>)</w:t>
            </w:r>
          </w:p>
        </w:tc>
        <w:tc>
          <w:tcPr>
            <w:tcW w:w="708" w:type="pct"/>
            <w:tcBorders>
              <w:top w:val="single" w:sz="4" w:space="0" w:color="auto"/>
              <w:left w:val="single" w:sz="4" w:space="0" w:color="auto"/>
              <w:bottom w:val="single" w:sz="4" w:space="0" w:color="auto"/>
              <w:right w:val="single" w:sz="4" w:space="0" w:color="auto"/>
            </w:tcBorders>
            <w:vAlign w:val="center"/>
          </w:tcPr>
          <w:p w14:paraId="0B3B0FBB" w14:textId="29EC42D1" w:rsidR="00411215" w:rsidRPr="00E2771E" w:rsidRDefault="00411215" w:rsidP="00411215">
            <w:pPr>
              <w:pStyle w:val="TableText0"/>
              <w:jc w:val="center"/>
            </w:pPr>
            <w:r w:rsidRPr="00B94EA5">
              <w:t>1.06 (1.01, 1.11)</w:t>
            </w:r>
          </w:p>
        </w:tc>
        <w:tc>
          <w:tcPr>
            <w:tcW w:w="589" w:type="pct"/>
            <w:tcBorders>
              <w:top w:val="single" w:sz="4" w:space="0" w:color="auto"/>
              <w:left w:val="single" w:sz="4" w:space="0" w:color="auto"/>
              <w:bottom w:val="single" w:sz="4" w:space="0" w:color="auto"/>
              <w:right w:val="single" w:sz="4" w:space="0" w:color="auto"/>
            </w:tcBorders>
            <w:vAlign w:val="center"/>
          </w:tcPr>
          <w:p w14:paraId="73D729DC" w14:textId="67CC064B" w:rsidR="00411215" w:rsidRPr="00E2771E" w:rsidRDefault="00411215" w:rsidP="00411215">
            <w:pPr>
              <w:pStyle w:val="TableText0"/>
              <w:jc w:val="center"/>
            </w:pPr>
            <w:r>
              <w:t>100</w:t>
            </w:r>
          </w:p>
        </w:tc>
        <w:tc>
          <w:tcPr>
            <w:tcW w:w="589" w:type="pct"/>
            <w:tcBorders>
              <w:top w:val="single" w:sz="4" w:space="0" w:color="auto"/>
              <w:left w:val="single" w:sz="4" w:space="0" w:color="auto"/>
              <w:bottom w:val="single" w:sz="4" w:space="0" w:color="auto"/>
              <w:right w:val="single" w:sz="4" w:space="0" w:color="auto"/>
            </w:tcBorders>
            <w:vAlign w:val="center"/>
          </w:tcPr>
          <w:p w14:paraId="206DCE37" w14:textId="191A5832" w:rsidR="00411215" w:rsidRPr="00E2771E" w:rsidRDefault="00411215" w:rsidP="00411215">
            <w:pPr>
              <w:pStyle w:val="TableText0"/>
              <w:jc w:val="center"/>
            </w:pPr>
            <w:r>
              <w:t>95</w:t>
            </w:r>
          </w:p>
        </w:tc>
        <w:tc>
          <w:tcPr>
            <w:tcW w:w="837" w:type="pct"/>
            <w:tcBorders>
              <w:top w:val="single" w:sz="4" w:space="0" w:color="auto"/>
              <w:left w:val="single" w:sz="4" w:space="0" w:color="auto"/>
              <w:bottom w:val="single" w:sz="4" w:space="0" w:color="auto"/>
              <w:right w:val="single" w:sz="4" w:space="0" w:color="auto"/>
            </w:tcBorders>
            <w:vAlign w:val="center"/>
          </w:tcPr>
          <w:p w14:paraId="2F8CE009" w14:textId="22B62DB0" w:rsidR="00411215" w:rsidRPr="006B0409" w:rsidRDefault="00411215" w:rsidP="00411215">
            <w:pPr>
              <w:pStyle w:val="TableText0"/>
              <w:jc w:val="center"/>
            </w:pPr>
            <w:r w:rsidRPr="00B94EA5">
              <w:t>0.05 (0.01, 0.10)</w:t>
            </w:r>
          </w:p>
        </w:tc>
      </w:tr>
      <w:tr w:rsidR="00411215" w:rsidRPr="00E2771E" w14:paraId="48F732D7" w14:textId="77777777" w:rsidTr="006D0DA2">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7E2134DF" w14:textId="77777777" w:rsidR="00411215" w:rsidRPr="00E2771E" w:rsidRDefault="00411215" w:rsidP="00411215">
            <w:pPr>
              <w:pStyle w:val="TableText0"/>
            </w:pPr>
            <w:r w:rsidRPr="00800BB3">
              <w:t>Any related TEAE</w:t>
            </w:r>
          </w:p>
        </w:tc>
        <w:tc>
          <w:tcPr>
            <w:tcW w:w="589" w:type="pct"/>
            <w:tcBorders>
              <w:top w:val="single" w:sz="4" w:space="0" w:color="auto"/>
              <w:left w:val="single" w:sz="4" w:space="0" w:color="auto"/>
              <w:bottom w:val="single" w:sz="4" w:space="0" w:color="auto"/>
              <w:right w:val="single" w:sz="4" w:space="0" w:color="auto"/>
            </w:tcBorders>
            <w:vAlign w:val="center"/>
          </w:tcPr>
          <w:p w14:paraId="5AF64B64" w14:textId="088916C2" w:rsidR="00411215" w:rsidRPr="00E2771E" w:rsidRDefault="00411215" w:rsidP="00411215">
            <w:pPr>
              <w:pStyle w:val="TableText0"/>
              <w:jc w:val="center"/>
            </w:pPr>
            <w:r w:rsidRPr="0045104C">
              <w:t>243</w:t>
            </w:r>
            <w:r>
              <w:t>/245</w:t>
            </w:r>
            <w:r w:rsidRPr="0045104C">
              <w:t xml:space="preserve"> (99.2)</w:t>
            </w:r>
          </w:p>
        </w:tc>
        <w:tc>
          <w:tcPr>
            <w:tcW w:w="667" w:type="pct"/>
            <w:tcBorders>
              <w:top w:val="single" w:sz="4" w:space="0" w:color="auto"/>
              <w:left w:val="single" w:sz="4" w:space="0" w:color="auto"/>
              <w:bottom w:val="single" w:sz="4" w:space="0" w:color="auto"/>
              <w:right w:val="single" w:sz="4" w:space="0" w:color="auto"/>
            </w:tcBorders>
            <w:vAlign w:val="center"/>
          </w:tcPr>
          <w:p w14:paraId="610F2639" w14:textId="77777777" w:rsidR="00411215" w:rsidRDefault="00411215" w:rsidP="00411215">
            <w:pPr>
              <w:pStyle w:val="TableText0"/>
              <w:jc w:val="center"/>
            </w:pPr>
            <w:r w:rsidRPr="0045104C">
              <w:t>91</w:t>
            </w:r>
            <w:r>
              <w:t>/111</w:t>
            </w:r>
            <w:r w:rsidRPr="0045104C">
              <w:t xml:space="preserve"> </w:t>
            </w:r>
          </w:p>
          <w:p w14:paraId="4EB641A2" w14:textId="5A06E19A" w:rsidR="00411215" w:rsidRPr="00E2771E" w:rsidRDefault="00411215" w:rsidP="00411215">
            <w:pPr>
              <w:pStyle w:val="TableText0"/>
              <w:jc w:val="center"/>
            </w:pPr>
            <w:r w:rsidRPr="0045104C">
              <w:t>(82.0</w:t>
            </w:r>
            <w:r>
              <w:t>%</w:t>
            </w:r>
            <w:r w:rsidRPr="0045104C">
              <w:t>)</w:t>
            </w:r>
          </w:p>
        </w:tc>
        <w:tc>
          <w:tcPr>
            <w:tcW w:w="708" w:type="pct"/>
            <w:tcBorders>
              <w:top w:val="single" w:sz="4" w:space="0" w:color="auto"/>
              <w:left w:val="single" w:sz="4" w:space="0" w:color="auto"/>
              <w:bottom w:val="single" w:sz="4" w:space="0" w:color="auto"/>
              <w:right w:val="single" w:sz="4" w:space="0" w:color="auto"/>
            </w:tcBorders>
            <w:vAlign w:val="center"/>
          </w:tcPr>
          <w:p w14:paraId="4100C555" w14:textId="0FB4226E" w:rsidR="00411215" w:rsidRPr="00E2771E" w:rsidRDefault="00411215" w:rsidP="00411215">
            <w:pPr>
              <w:pStyle w:val="TableText0"/>
              <w:jc w:val="center"/>
            </w:pPr>
            <w:r w:rsidRPr="005258F4">
              <w:t>1.21 (1.11, 1.32)</w:t>
            </w:r>
          </w:p>
        </w:tc>
        <w:tc>
          <w:tcPr>
            <w:tcW w:w="589" w:type="pct"/>
            <w:tcBorders>
              <w:top w:val="single" w:sz="4" w:space="0" w:color="auto"/>
              <w:left w:val="single" w:sz="4" w:space="0" w:color="auto"/>
              <w:bottom w:val="single" w:sz="4" w:space="0" w:color="auto"/>
              <w:right w:val="single" w:sz="4" w:space="0" w:color="auto"/>
            </w:tcBorders>
            <w:vAlign w:val="center"/>
          </w:tcPr>
          <w:p w14:paraId="559F33C8" w14:textId="0C998B3D" w:rsidR="00411215" w:rsidRPr="00E2771E" w:rsidRDefault="00411215" w:rsidP="00411215">
            <w:pPr>
              <w:pStyle w:val="TableText0"/>
              <w:jc w:val="center"/>
            </w:pPr>
            <w:r>
              <w:t>99</w:t>
            </w:r>
          </w:p>
        </w:tc>
        <w:tc>
          <w:tcPr>
            <w:tcW w:w="589" w:type="pct"/>
            <w:tcBorders>
              <w:top w:val="single" w:sz="4" w:space="0" w:color="auto"/>
              <w:left w:val="single" w:sz="4" w:space="0" w:color="auto"/>
              <w:bottom w:val="single" w:sz="4" w:space="0" w:color="auto"/>
              <w:right w:val="single" w:sz="4" w:space="0" w:color="auto"/>
            </w:tcBorders>
            <w:vAlign w:val="center"/>
          </w:tcPr>
          <w:p w14:paraId="57925AB1" w14:textId="797F5C41" w:rsidR="00411215" w:rsidRPr="00E2771E" w:rsidRDefault="00411215" w:rsidP="00411215">
            <w:pPr>
              <w:pStyle w:val="TableText0"/>
              <w:jc w:val="center"/>
            </w:pPr>
            <w:r>
              <w:t>82</w:t>
            </w:r>
          </w:p>
        </w:tc>
        <w:tc>
          <w:tcPr>
            <w:tcW w:w="837" w:type="pct"/>
            <w:tcBorders>
              <w:top w:val="single" w:sz="4" w:space="0" w:color="auto"/>
              <w:left w:val="single" w:sz="4" w:space="0" w:color="auto"/>
              <w:bottom w:val="single" w:sz="4" w:space="0" w:color="auto"/>
              <w:right w:val="single" w:sz="4" w:space="0" w:color="auto"/>
            </w:tcBorders>
            <w:vAlign w:val="center"/>
          </w:tcPr>
          <w:p w14:paraId="24AE2CBE" w14:textId="26031330" w:rsidR="00411215" w:rsidRPr="006B0409" w:rsidRDefault="00411215" w:rsidP="00411215">
            <w:pPr>
              <w:pStyle w:val="TableText0"/>
              <w:jc w:val="center"/>
            </w:pPr>
            <w:r w:rsidRPr="005917AA">
              <w:t>0.17 (0.10, 0.24)</w:t>
            </w:r>
          </w:p>
        </w:tc>
      </w:tr>
      <w:tr w:rsidR="00411215" w:rsidRPr="00E2771E" w14:paraId="3C445C16" w14:textId="77777777" w:rsidTr="006D0DA2">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4E663653" w14:textId="77777777" w:rsidR="00411215" w:rsidRPr="00E2771E" w:rsidRDefault="00411215" w:rsidP="00411215">
            <w:pPr>
              <w:pStyle w:val="TableText0"/>
            </w:pPr>
            <w:r w:rsidRPr="00800BB3">
              <w:t>Any TEAE with CTCAE Grade ≥ 3</w:t>
            </w:r>
          </w:p>
        </w:tc>
        <w:tc>
          <w:tcPr>
            <w:tcW w:w="589" w:type="pct"/>
            <w:tcBorders>
              <w:top w:val="single" w:sz="4" w:space="0" w:color="auto"/>
              <w:left w:val="single" w:sz="4" w:space="0" w:color="auto"/>
              <w:bottom w:val="single" w:sz="4" w:space="0" w:color="auto"/>
              <w:right w:val="single" w:sz="4" w:space="0" w:color="auto"/>
            </w:tcBorders>
            <w:vAlign w:val="center"/>
          </w:tcPr>
          <w:p w14:paraId="03484216" w14:textId="7C0B111D" w:rsidR="00411215" w:rsidRPr="00E2771E" w:rsidRDefault="00411215" w:rsidP="00411215">
            <w:pPr>
              <w:pStyle w:val="TableText0"/>
              <w:jc w:val="center"/>
            </w:pPr>
            <w:r w:rsidRPr="00CE11E0">
              <w:t>133</w:t>
            </w:r>
            <w:r>
              <w:t>/245</w:t>
            </w:r>
            <w:r w:rsidRPr="00CE11E0">
              <w:t xml:space="preserve"> (54.3</w:t>
            </w:r>
            <w:r>
              <w:t>%</w:t>
            </w:r>
            <w:r w:rsidRPr="00CE11E0">
              <w:t>)</w:t>
            </w:r>
          </w:p>
        </w:tc>
        <w:tc>
          <w:tcPr>
            <w:tcW w:w="667" w:type="pct"/>
            <w:tcBorders>
              <w:top w:val="single" w:sz="4" w:space="0" w:color="auto"/>
              <w:left w:val="single" w:sz="4" w:space="0" w:color="auto"/>
              <w:bottom w:val="single" w:sz="4" w:space="0" w:color="auto"/>
              <w:right w:val="single" w:sz="4" w:space="0" w:color="auto"/>
            </w:tcBorders>
            <w:vAlign w:val="center"/>
          </w:tcPr>
          <w:p w14:paraId="32A205FE" w14:textId="77777777" w:rsidR="00411215" w:rsidRDefault="00411215" w:rsidP="00411215">
            <w:pPr>
              <w:pStyle w:val="TableText0"/>
              <w:jc w:val="center"/>
            </w:pPr>
            <w:r w:rsidRPr="00CE11E0">
              <w:t>40</w:t>
            </w:r>
            <w:r>
              <w:t>/111</w:t>
            </w:r>
            <w:r w:rsidRPr="00CE11E0">
              <w:t xml:space="preserve"> </w:t>
            </w:r>
          </w:p>
          <w:p w14:paraId="7A0A8498" w14:textId="6771FED8" w:rsidR="00411215" w:rsidRPr="00E2771E" w:rsidRDefault="00411215" w:rsidP="00411215">
            <w:pPr>
              <w:pStyle w:val="TableText0"/>
              <w:jc w:val="center"/>
            </w:pPr>
            <w:r w:rsidRPr="00CE11E0">
              <w:t>(36.0</w:t>
            </w:r>
            <w:r>
              <w:t>%</w:t>
            </w:r>
            <w:r w:rsidRPr="00CE11E0">
              <w:t>)</w:t>
            </w:r>
          </w:p>
        </w:tc>
        <w:tc>
          <w:tcPr>
            <w:tcW w:w="708" w:type="pct"/>
            <w:tcBorders>
              <w:top w:val="single" w:sz="4" w:space="0" w:color="auto"/>
              <w:left w:val="single" w:sz="4" w:space="0" w:color="auto"/>
              <w:bottom w:val="single" w:sz="4" w:space="0" w:color="auto"/>
              <w:right w:val="single" w:sz="4" w:space="0" w:color="auto"/>
            </w:tcBorders>
            <w:vAlign w:val="center"/>
          </w:tcPr>
          <w:p w14:paraId="008DA90F" w14:textId="1B4A85F4" w:rsidR="00411215" w:rsidRPr="00E2771E" w:rsidRDefault="00411215" w:rsidP="00411215">
            <w:pPr>
              <w:pStyle w:val="TableText0"/>
              <w:jc w:val="center"/>
            </w:pPr>
            <w:r w:rsidRPr="00B94EA5">
              <w:t>1.51 (1.15, 1.98)</w:t>
            </w:r>
          </w:p>
        </w:tc>
        <w:tc>
          <w:tcPr>
            <w:tcW w:w="589" w:type="pct"/>
            <w:tcBorders>
              <w:top w:val="single" w:sz="4" w:space="0" w:color="auto"/>
              <w:left w:val="single" w:sz="4" w:space="0" w:color="auto"/>
              <w:bottom w:val="single" w:sz="4" w:space="0" w:color="auto"/>
              <w:right w:val="single" w:sz="4" w:space="0" w:color="auto"/>
            </w:tcBorders>
            <w:vAlign w:val="center"/>
          </w:tcPr>
          <w:p w14:paraId="559B53BA" w14:textId="1501A12F" w:rsidR="00411215" w:rsidRPr="00E2771E" w:rsidRDefault="00411215" w:rsidP="00411215">
            <w:pPr>
              <w:pStyle w:val="TableText0"/>
              <w:jc w:val="center"/>
            </w:pPr>
            <w:r>
              <w:t>54</w:t>
            </w:r>
          </w:p>
        </w:tc>
        <w:tc>
          <w:tcPr>
            <w:tcW w:w="589" w:type="pct"/>
            <w:tcBorders>
              <w:top w:val="single" w:sz="4" w:space="0" w:color="auto"/>
              <w:left w:val="single" w:sz="4" w:space="0" w:color="auto"/>
              <w:bottom w:val="single" w:sz="4" w:space="0" w:color="auto"/>
              <w:right w:val="single" w:sz="4" w:space="0" w:color="auto"/>
            </w:tcBorders>
            <w:vAlign w:val="center"/>
          </w:tcPr>
          <w:p w14:paraId="42E7F803" w14:textId="7A913CBF" w:rsidR="00411215" w:rsidRPr="00E2771E" w:rsidRDefault="00411215" w:rsidP="00411215">
            <w:pPr>
              <w:pStyle w:val="TableText0"/>
              <w:jc w:val="center"/>
            </w:pPr>
            <w:r>
              <w:t>36</w:t>
            </w:r>
          </w:p>
        </w:tc>
        <w:tc>
          <w:tcPr>
            <w:tcW w:w="837" w:type="pct"/>
            <w:tcBorders>
              <w:top w:val="single" w:sz="4" w:space="0" w:color="auto"/>
              <w:left w:val="single" w:sz="4" w:space="0" w:color="auto"/>
              <w:bottom w:val="single" w:sz="4" w:space="0" w:color="auto"/>
              <w:right w:val="single" w:sz="4" w:space="0" w:color="auto"/>
            </w:tcBorders>
            <w:vAlign w:val="center"/>
          </w:tcPr>
          <w:p w14:paraId="5822708B" w14:textId="30D45FD4" w:rsidR="00411215" w:rsidRPr="006B0409" w:rsidRDefault="00411215" w:rsidP="00411215">
            <w:pPr>
              <w:pStyle w:val="TableText0"/>
              <w:jc w:val="center"/>
            </w:pPr>
            <w:r w:rsidRPr="005917AA">
              <w:t>0.18 (0.07, 0.29)</w:t>
            </w:r>
          </w:p>
        </w:tc>
      </w:tr>
      <w:tr w:rsidR="00411215" w:rsidRPr="00E2771E" w14:paraId="73F37E67" w14:textId="77777777" w:rsidTr="006D0DA2">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258D9ECC" w14:textId="77777777" w:rsidR="00411215" w:rsidRPr="00E2771E" w:rsidRDefault="00411215" w:rsidP="00411215">
            <w:pPr>
              <w:pStyle w:val="TableText0"/>
            </w:pPr>
            <w:r w:rsidRPr="00800BB3">
              <w:t xml:space="preserve">Any related TEAE with CTCAE Grade ≥ 3 </w:t>
            </w:r>
          </w:p>
        </w:tc>
        <w:tc>
          <w:tcPr>
            <w:tcW w:w="589" w:type="pct"/>
            <w:tcBorders>
              <w:top w:val="single" w:sz="4" w:space="0" w:color="auto"/>
              <w:left w:val="single" w:sz="4" w:space="0" w:color="auto"/>
              <w:bottom w:val="single" w:sz="4" w:space="0" w:color="auto"/>
              <w:right w:val="single" w:sz="4" w:space="0" w:color="auto"/>
            </w:tcBorders>
            <w:vAlign w:val="center"/>
          </w:tcPr>
          <w:p w14:paraId="4511B3AD" w14:textId="48EC4C33" w:rsidR="00411215" w:rsidRPr="00E2771E" w:rsidRDefault="00411215" w:rsidP="00411215">
            <w:pPr>
              <w:pStyle w:val="TableText0"/>
              <w:jc w:val="center"/>
            </w:pPr>
            <w:r w:rsidRPr="0045104C">
              <w:t>109</w:t>
            </w:r>
            <w:r>
              <w:t>/245</w:t>
            </w:r>
            <w:r w:rsidRPr="0045104C">
              <w:t xml:space="preserve"> (44.5</w:t>
            </w:r>
            <w:r>
              <w:t>%</w:t>
            </w:r>
            <w:r w:rsidRPr="0045104C">
              <w:t>)</w:t>
            </w:r>
          </w:p>
        </w:tc>
        <w:tc>
          <w:tcPr>
            <w:tcW w:w="667" w:type="pct"/>
            <w:tcBorders>
              <w:top w:val="single" w:sz="4" w:space="0" w:color="auto"/>
              <w:left w:val="single" w:sz="4" w:space="0" w:color="auto"/>
              <w:bottom w:val="single" w:sz="4" w:space="0" w:color="auto"/>
              <w:right w:val="single" w:sz="4" w:space="0" w:color="auto"/>
            </w:tcBorders>
            <w:vAlign w:val="center"/>
          </w:tcPr>
          <w:p w14:paraId="314CAF03" w14:textId="77777777" w:rsidR="00411215" w:rsidRDefault="00411215" w:rsidP="00411215">
            <w:pPr>
              <w:pStyle w:val="TableText0"/>
              <w:jc w:val="center"/>
            </w:pPr>
            <w:r w:rsidRPr="0045104C">
              <w:t>19</w:t>
            </w:r>
            <w:r>
              <w:t>/111</w:t>
            </w:r>
            <w:r w:rsidRPr="0045104C">
              <w:t xml:space="preserve"> </w:t>
            </w:r>
          </w:p>
          <w:p w14:paraId="1500AFD8" w14:textId="340F41FA" w:rsidR="00411215" w:rsidRPr="00E2771E" w:rsidRDefault="00411215" w:rsidP="00411215">
            <w:pPr>
              <w:pStyle w:val="TableText0"/>
              <w:jc w:val="center"/>
            </w:pPr>
            <w:r w:rsidRPr="0045104C">
              <w:t>(17.1</w:t>
            </w:r>
            <w:r>
              <w:t>%</w:t>
            </w:r>
            <w:r w:rsidRPr="0045104C">
              <w:t>)</w:t>
            </w:r>
          </w:p>
        </w:tc>
        <w:tc>
          <w:tcPr>
            <w:tcW w:w="708" w:type="pct"/>
            <w:tcBorders>
              <w:top w:val="single" w:sz="4" w:space="0" w:color="auto"/>
              <w:left w:val="single" w:sz="4" w:space="0" w:color="auto"/>
              <w:bottom w:val="single" w:sz="4" w:space="0" w:color="auto"/>
              <w:right w:val="single" w:sz="4" w:space="0" w:color="auto"/>
            </w:tcBorders>
            <w:vAlign w:val="center"/>
          </w:tcPr>
          <w:p w14:paraId="56669B6D" w14:textId="44B2506F" w:rsidR="00411215" w:rsidRPr="00E2771E" w:rsidRDefault="00411215" w:rsidP="00411215">
            <w:pPr>
              <w:pStyle w:val="TableText0"/>
              <w:jc w:val="center"/>
            </w:pPr>
            <w:r w:rsidRPr="005258F4">
              <w:t>2.60 (1.69, 4.01)</w:t>
            </w:r>
          </w:p>
        </w:tc>
        <w:tc>
          <w:tcPr>
            <w:tcW w:w="589" w:type="pct"/>
            <w:tcBorders>
              <w:top w:val="single" w:sz="4" w:space="0" w:color="auto"/>
              <w:left w:val="single" w:sz="4" w:space="0" w:color="auto"/>
              <w:bottom w:val="single" w:sz="4" w:space="0" w:color="auto"/>
              <w:right w:val="single" w:sz="4" w:space="0" w:color="auto"/>
            </w:tcBorders>
            <w:vAlign w:val="center"/>
          </w:tcPr>
          <w:p w14:paraId="39659A03" w14:textId="07C49695" w:rsidR="00411215" w:rsidRPr="00E2771E" w:rsidRDefault="00411215" w:rsidP="00411215">
            <w:pPr>
              <w:pStyle w:val="TableText0"/>
              <w:jc w:val="center"/>
            </w:pPr>
            <w:r>
              <w:t>45</w:t>
            </w:r>
          </w:p>
        </w:tc>
        <w:tc>
          <w:tcPr>
            <w:tcW w:w="589" w:type="pct"/>
            <w:tcBorders>
              <w:top w:val="single" w:sz="4" w:space="0" w:color="auto"/>
              <w:left w:val="single" w:sz="4" w:space="0" w:color="auto"/>
              <w:bottom w:val="single" w:sz="4" w:space="0" w:color="auto"/>
              <w:right w:val="single" w:sz="4" w:space="0" w:color="auto"/>
            </w:tcBorders>
            <w:vAlign w:val="center"/>
          </w:tcPr>
          <w:p w14:paraId="09D230C5" w14:textId="50331AA7" w:rsidR="00411215" w:rsidRPr="00E2771E" w:rsidRDefault="00411215" w:rsidP="00411215">
            <w:pPr>
              <w:pStyle w:val="TableText0"/>
              <w:jc w:val="center"/>
            </w:pPr>
            <w:r>
              <w:t>17</w:t>
            </w:r>
          </w:p>
        </w:tc>
        <w:tc>
          <w:tcPr>
            <w:tcW w:w="837" w:type="pct"/>
            <w:tcBorders>
              <w:top w:val="single" w:sz="4" w:space="0" w:color="auto"/>
              <w:left w:val="single" w:sz="4" w:space="0" w:color="auto"/>
              <w:bottom w:val="single" w:sz="4" w:space="0" w:color="auto"/>
              <w:right w:val="single" w:sz="4" w:space="0" w:color="auto"/>
            </w:tcBorders>
            <w:vAlign w:val="center"/>
          </w:tcPr>
          <w:p w14:paraId="5FA5BA93" w14:textId="5392549B" w:rsidR="00411215" w:rsidRPr="006B0409" w:rsidRDefault="00411215" w:rsidP="00411215">
            <w:pPr>
              <w:pStyle w:val="TableText0"/>
              <w:jc w:val="center"/>
            </w:pPr>
            <w:r w:rsidRPr="005917AA">
              <w:t>0.27 (0.18, 0.37)</w:t>
            </w:r>
          </w:p>
        </w:tc>
      </w:tr>
      <w:tr w:rsidR="00411215" w:rsidRPr="00E2771E" w14:paraId="201A9D4A" w14:textId="77777777" w:rsidTr="006D0DA2">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5F452FED" w14:textId="77777777" w:rsidR="00411215" w:rsidRPr="00E2771E" w:rsidRDefault="00411215" w:rsidP="00411215">
            <w:pPr>
              <w:pStyle w:val="TableText0"/>
            </w:pPr>
            <w:r w:rsidRPr="00D82947">
              <w:t>Any TESAE</w:t>
            </w:r>
          </w:p>
        </w:tc>
        <w:tc>
          <w:tcPr>
            <w:tcW w:w="589" w:type="pct"/>
            <w:tcBorders>
              <w:top w:val="single" w:sz="4" w:space="0" w:color="auto"/>
              <w:left w:val="single" w:sz="4" w:space="0" w:color="auto"/>
              <w:bottom w:val="single" w:sz="4" w:space="0" w:color="auto"/>
              <w:right w:val="single" w:sz="4" w:space="0" w:color="auto"/>
            </w:tcBorders>
            <w:vAlign w:val="center"/>
          </w:tcPr>
          <w:p w14:paraId="1B7E79E6" w14:textId="31F520BD" w:rsidR="00411215" w:rsidRPr="00E2771E" w:rsidRDefault="00411215" w:rsidP="00411215">
            <w:pPr>
              <w:pStyle w:val="TableText0"/>
              <w:jc w:val="center"/>
            </w:pPr>
            <w:r w:rsidRPr="001C5690">
              <w:t>69</w:t>
            </w:r>
            <w:r>
              <w:t>/245</w:t>
            </w:r>
            <w:r w:rsidRPr="001C5690">
              <w:t xml:space="preserve"> (28.2</w:t>
            </w:r>
            <w:r>
              <w:t>%</w:t>
            </w:r>
            <w:r w:rsidRPr="001C5690">
              <w:t>)</w:t>
            </w:r>
          </w:p>
        </w:tc>
        <w:tc>
          <w:tcPr>
            <w:tcW w:w="667" w:type="pct"/>
            <w:tcBorders>
              <w:top w:val="single" w:sz="4" w:space="0" w:color="auto"/>
              <w:left w:val="single" w:sz="4" w:space="0" w:color="auto"/>
              <w:bottom w:val="single" w:sz="4" w:space="0" w:color="auto"/>
              <w:right w:val="single" w:sz="4" w:space="0" w:color="auto"/>
            </w:tcBorders>
            <w:vAlign w:val="center"/>
          </w:tcPr>
          <w:p w14:paraId="5F392461" w14:textId="77777777" w:rsidR="00411215" w:rsidRDefault="00411215" w:rsidP="00411215">
            <w:pPr>
              <w:pStyle w:val="TableText0"/>
              <w:jc w:val="center"/>
            </w:pPr>
            <w:r w:rsidRPr="001C5690">
              <w:t>26</w:t>
            </w:r>
            <w:r>
              <w:t>/111</w:t>
            </w:r>
            <w:r w:rsidRPr="001C5690">
              <w:t xml:space="preserve"> </w:t>
            </w:r>
          </w:p>
          <w:p w14:paraId="375A2E68" w14:textId="3CC64454" w:rsidR="00411215" w:rsidRPr="00E2771E" w:rsidRDefault="00411215" w:rsidP="00411215">
            <w:pPr>
              <w:pStyle w:val="TableText0"/>
              <w:jc w:val="center"/>
            </w:pPr>
            <w:r w:rsidRPr="001C5690">
              <w:t>(23.4</w:t>
            </w:r>
            <w:r>
              <w:t>%</w:t>
            </w:r>
            <w:r w:rsidRPr="001C5690">
              <w:t>)</w:t>
            </w:r>
          </w:p>
        </w:tc>
        <w:tc>
          <w:tcPr>
            <w:tcW w:w="708" w:type="pct"/>
            <w:tcBorders>
              <w:top w:val="single" w:sz="4" w:space="0" w:color="auto"/>
              <w:left w:val="single" w:sz="4" w:space="0" w:color="auto"/>
              <w:bottom w:val="single" w:sz="4" w:space="0" w:color="auto"/>
              <w:right w:val="single" w:sz="4" w:space="0" w:color="auto"/>
            </w:tcBorders>
            <w:vAlign w:val="center"/>
          </w:tcPr>
          <w:p w14:paraId="19B32B78" w14:textId="209579E9" w:rsidR="00411215" w:rsidRPr="00E2771E" w:rsidRDefault="00411215" w:rsidP="00411215">
            <w:pPr>
              <w:pStyle w:val="TableText0"/>
              <w:jc w:val="center"/>
            </w:pPr>
            <w:r w:rsidRPr="00411215">
              <w:t>NR</w:t>
            </w:r>
            <w:r w:rsidRPr="005258F4">
              <w:t xml:space="preserve"> (0.81, 1.78)</w:t>
            </w:r>
          </w:p>
        </w:tc>
        <w:tc>
          <w:tcPr>
            <w:tcW w:w="589" w:type="pct"/>
            <w:tcBorders>
              <w:top w:val="single" w:sz="4" w:space="0" w:color="auto"/>
              <w:left w:val="single" w:sz="4" w:space="0" w:color="auto"/>
              <w:bottom w:val="single" w:sz="4" w:space="0" w:color="auto"/>
              <w:right w:val="single" w:sz="4" w:space="0" w:color="auto"/>
            </w:tcBorders>
            <w:vAlign w:val="center"/>
          </w:tcPr>
          <w:p w14:paraId="09974C5A" w14:textId="217293CC" w:rsidR="00411215" w:rsidRPr="00E2771E" w:rsidRDefault="00411215" w:rsidP="00411215">
            <w:pPr>
              <w:pStyle w:val="TableText0"/>
              <w:jc w:val="center"/>
            </w:pPr>
            <w:r>
              <w:t>28</w:t>
            </w:r>
          </w:p>
        </w:tc>
        <w:tc>
          <w:tcPr>
            <w:tcW w:w="589" w:type="pct"/>
            <w:tcBorders>
              <w:top w:val="single" w:sz="4" w:space="0" w:color="auto"/>
              <w:left w:val="single" w:sz="4" w:space="0" w:color="auto"/>
              <w:bottom w:val="single" w:sz="4" w:space="0" w:color="auto"/>
              <w:right w:val="single" w:sz="4" w:space="0" w:color="auto"/>
            </w:tcBorders>
            <w:vAlign w:val="center"/>
          </w:tcPr>
          <w:p w14:paraId="0C58BD30" w14:textId="439CBCC5" w:rsidR="00411215" w:rsidRPr="00E2771E" w:rsidRDefault="00411215" w:rsidP="00411215">
            <w:pPr>
              <w:pStyle w:val="TableText0"/>
              <w:jc w:val="center"/>
            </w:pPr>
            <w:r>
              <w:t>23</w:t>
            </w:r>
          </w:p>
        </w:tc>
        <w:tc>
          <w:tcPr>
            <w:tcW w:w="837" w:type="pct"/>
            <w:tcBorders>
              <w:top w:val="single" w:sz="4" w:space="0" w:color="auto"/>
              <w:left w:val="single" w:sz="4" w:space="0" w:color="auto"/>
              <w:bottom w:val="single" w:sz="4" w:space="0" w:color="auto"/>
              <w:right w:val="single" w:sz="4" w:space="0" w:color="auto"/>
            </w:tcBorders>
            <w:vAlign w:val="center"/>
          </w:tcPr>
          <w:p w14:paraId="435E9F86" w14:textId="6F02AC3A" w:rsidR="00411215" w:rsidRPr="006B0409" w:rsidRDefault="00411215" w:rsidP="00411215">
            <w:pPr>
              <w:pStyle w:val="TableText0"/>
              <w:jc w:val="center"/>
            </w:pPr>
            <w:r w:rsidRPr="00B22D8A">
              <w:t>0.05 (-0.05, 0.14)</w:t>
            </w:r>
          </w:p>
        </w:tc>
      </w:tr>
      <w:tr w:rsidR="00411215" w:rsidRPr="00E2771E" w14:paraId="6EACE90F" w14:textId="77777777" w:rsidTr="006D0DA2">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3810EFE8" w14:textId="77777777" w:rsidR="00411215" w:rsidRPr="00E2771E" w:rsidRDefault="00411215" w:rsidP="00411215">
            <w:pPr>
              <w:pStyle w:val="TableText0"/>
            </w:pPr>
            <w:r w:rsidRPr="00D82947">
              <w:t>Any related TESAE</w:t>
            </w:r>
          </w:p>
        </w:tc>
        <w:tc>
          <w:tcPr>
            <w:tcW w:w="589" w:type="pct"/>
            <w:tcBorders>
              <w:top w:val="single" w:sz="4" w:space="0" w:color="auto"/>
              <w:left w:val="single" w:sz="4" w:space="0" w:color="auto"/>
              <w:bottom w:val="single" w:sz="4" w:space="0" w:color="auto"/>
              <w:right w:val="single" w:sz="4" w:space="0" w:color="auto"/>
            </w:tcBorders>
            <w:vAlign w:val="center"/>
          </w:tcPr>
          <w:p w14:paraId="63850473" w14:textId="21163476" w:rsidR="00411215" w:rsidRPr="00E2771E" w:rsidRDefault="00411215" w:rsidP="00411215">
            <w:pPr>
              <w:pStyle w:val="TableText0"/>
              <w:jc w:val="center"/>
            </w:pPr>
            <w:r w:rsidRPr="0045104C">
              <w:t>54</w:t>
            </w:r>
            <w:r>
              <w:t>/245</w:t>
            </w:r>
            <w:r w:rsidRPr="0045104C">
              <w:t xml:space="preserve"> (22.0</w:t>
            </w:r>
            <w:r>
              <w:t>%</w:t>
            </w:r>
            <w:r w:rsidRPr="0045104C">
              <w:t>)</w:t>
            </w:r>
          </w:p>
        </w:tc>
        <w:tc>
          <w:tcPr>
            <w:tcW w:w="667" w:type="pct"/>
            <w:tcBorders>
              <w:top w:val="single" w:sz="4" w:space="0" w:color="auto"/>
              <w:left w:val="single" w:sz="4" w:space="0" w:color="auto"/>
              <w:bottom w:val="single" w:sz="4" w:space="0" w:color="auto"/>
              <w:right w:val="single" w:sz="4" w:space="0" w:color="auto"/>
            </w:tcBorders>
            <w:vAlign w:val="center"/>
          </w:tcPr>
          <w:p w14:paraId="7B7E3615" w14:textId="77777777" w:rsidR="00411215" w:rsidRDefault="00411215" w:rsidP="00411215">
            <w:pPr>
              <w:pStyle w:val="TableText0"/>
              <w:jc w:val="center"/>
            </w:pPr>
            <w:r w:rsidRPr="0045104C">
              <w:t>8</w:t>
            </w:r>
            <w:r>
              <w:t>/111</w:t>
            </w:r>
            <w:r w:rsidRPr="0045104C">
              <w:t xml:space="preserve"> </w:t>
            </w:r>
          </w:p>
          <w:p w14:paraId="42012823" w14:textId="3C8F8BE1" w:rsidR="00411215" w:rsidRPr="00E2771E" w:rsidRDefault="00411215" w:rsidP="00411215">
            <w:pPr>
              <w:pStyle w:val="TableText0"/>
              <w:jc w:val="center"/>
            </w:pPr>
            <w:r w:rsidRPr="0045104C">
              <w:t>(7.2</w:t>
            </w:r>
            <w:r>
              <w:t>%</w:t>
            </w:r>
            <w:r w:rsidRPr="0045104C">
              <w:t>)</w:t>
            </w:r>
          </w:p>
        </w:tc>
        <w:tc>
          <w:tcPr>
            <w:tcW w:w="708" w:type="pct"/>
            <w:tcBorders>
              <w:top w:val="single" w:sz="4" w:space="0" w:color="auto"/>
              <w:left w:val="single" w:sz="4" w:space="0" w:color="auto"/>
              <w:bottom w:val="single" w:sz="4" w:space="0" w:color="auto"/>
              <w:right w:val="single" w:sz="4" w:space="0" w:color="auto"/>
            </w:tcBorders>
            <w:vAlign w:val="center"/>
          </w:tcPr>
          <w:p w14:paraId="416D9850" w14:textId="07E61187" w:rsidR="00411215" w:rsidRPr="00E2771E" w:rsidRDefault="00411215" w:rsidP="00411215">
            <w:pPr>
              <w:pStyle w:val="TableText0"/>
              <w:jc w:val="center"/>
            </w:pPr>
            <w:r w:rsidRPr="005258F4">
              <w:t>3.06 (1.51, 6.21)</w:t>
            </w:r>
          </w:p>
        </w:tc>
        <w:tc>
          <w:tcPr>
            <w:tcW w:w="589" w:type="pct"/>
            <w:tcBorders>
              <w:top w:val="single" w:sz="4" w:space="0" w:color="auto"/>
              <w:left w:val="single" w:sz="4" w:space="0" w:color="auto"/>
              <w:bottom w:val="single" w:sz="4" w:space="0" w:color="auto"/>
              <w:right w:val="single" w:sz="4" w:space="0" w:color="auto"/>
            </w:tcBorders>
            <w:vAlign w:val="center"/>
          </w:tcPr>
          <w:p w14:paraId="247912F3" w14:textId="203B1E85" w:rsidR="00411215" w:rsidRPr="00E2771E" w:rsidRDefault="00411215" w:rsidP="00411215">
            <w:pPr>
              <w:pStyle w:val="TableText0"/>
              <w:jc w:val="center"/>
            </w:pPr>
            <w:r>
              <w:t>22</w:t>
            </w:r>
          </w:p>
        </w:tc>
        <w:tc>
          <w:tcPr>
            <w:tcW w:w="589" w:type="pct"/>
            <w:tcBorders>
              <w:top w:val="single" w:sz="4" w:space="0" w:color="auto"/>
              <w:left w:val="single" w:sz="4" w:space="0" w:color="auto"/>
              <w:bottom w:val="single" w:sz="4" w:space="0" w:color="auto"/>
              <w:right w:val="single" w:sz="4" w:space="0" w:color="auto"/>
            </w:tcBorders>
            <w:vAlign w:val="center"/>
          </w:tcPr>
          <w:p w14:paraId="53D8BE9B" w14:textId="170E89D1" w:rsidR="00411215" w:rsidRPr="00E2771E" w:rsidRDefault="00411215" w:rsidP="00411215">
            <w:pPr>
              <w:pStyle w:val="TableText0"/>
              <w:jc w:val="center"/>
            </w:pPr>
            <w:r>
              <w:t>7</w:t>
            </w:r>
          </w:p>
        </w:tc>
        <w:tc>
          <w:tcPr>
            <w:tcW w:w="837" w:type="pct"/>
            <w:tcBorders>
              <w:top w:val="single" w:sz="4" w:space="0" w:color="auto"/>
              <w:left w:val="single" w:sz="4" w:space="0" w:color="auto"/>
              <w:bottom w:val="single" w:sz="4" w:space="0" w:color="auto"/>
              <w:right w:val="single" w:sz="4" w:space="0" w:color="auto"/>
            </w:tcBorders>
            <w:vAlign w:val="center"/>
          </w:tcPr>
          <w:p w14:paraId="3D152157" w14:textId="23C9E4EE" w:rsidR="00411215" w:rsidRPr="006B0409" w:rsidRDefault="00411215" w:rsidP="00411215">
            <w:pPr>
              <w:pStyle w:val="TableText0"/>
              <w:jc w:val="center"/>
            </w:pPr>
            <w:r w:rsidRPr="00B22D8A">
              <w:t>0.15 (0.08, 0.22)</w:t>
            </w:r>
          </w:p>
        </w:tc>
      </w:tr>
      <w:tr w:rsidR="00411215" w:rsidRPr="00E2771E" w14:paraId="1BC51E19" w14:textId="77777777" w:rsidTr="006D0DA2">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7A75D836" w14:textId="13603550" w:rsidR="00411215" w:rsidRPr="00E2771E" w:rsidRDefault="00411215" w:rsidP="00411215">
            <w:pPr>
              <w:pStyle w:val="TableText0"/>
            </w:pPr>
            <w:r w:rsidRPr="00D82947">
              <w:t xml:space="preserve">Any TEAE leading to </w:t>
            </w:r>
            <w:r>
              <w:t>death</w:t>
            </w:r>
          </w:p>
        </w:tc>
        <w:tc>
          <w:tcPr>
            <w:tcW w:w="589" w:type="pct"/>
            <w:tcBorders>
              <w:top w:val="single" w:sz="4" w:space="0" w:color="auto"/>
              <w:left w:val="single" w:sz="4" w:space="0" w:color="auto"/>
              <w:bottom w:val="single" w:sz="4" w:space="0" w:color="auto"/>
              <w:right w:val="single" w:sz="4" w:space="0" w:color="auto"/>
            </w:tcBorders>
            <w:vAlign w:val="center"/>
          </w:tcPr>
          <w:p w14:paraId="54EAB09E" w14:textId="77777777" w:rsidR="00411215" w:rsidRDefault="00411215" w:rsidP="00411215">
            <w:pPr>
              <w:pStyle w:val="TableText0"/>
              <w:jc w:val="center"/>
            </w:pPr>
            <w:r w:rsidRPr="001C5690">
              <w:t>1</w:t>
            </w:r>
            <w:r>
              <w:t>/245</w:t>
            </w:r>
          </w:p>
          <w:p w14:paraId="60279517" w14:textId="06403EFC" w:rsidR="00411215" w:rsidRPr="00E2771E" w:rsidRDefault="00411215" w:rsidP="00411215">
            <w:pPr>
              <w:pStyle w:val="TableText0"/>
              <w:jc w:val="center"/>
            </w:pPr>
            <w:r w:rsidRPr="001C5690">
              <w:t>(0.4</w:t>
            </w:r>
            <w:r>
              <w:t>%</w:t>
            </w:r>
            <w:r w:rsidRPr="001C5690">
              <w:t>)</w:t>
            </w:r>
          </w:p>
        </w:tc>
        <w:tc>
          <w:tcPr>
            <w:tcW w:w="667" w:type="pct"/>
            <w:tcBorders>
              <w:top w:val="single" w:sz="4" w:space="0" w:color="auto"/>
              <w:left w:val="single" w:sz="4" w:space="0" w:color="auto"/>
              <w:bottom w:val="single" w:sz="4" w:space="0" w:color="auto"/>
              <w:right w:val="single" w:sz="4" w:space="0" w:color="auto"/>
            </w:tcBorders>
            <w:vAlign w:val="center"/>
          </w:tcPr>
          <w:p w14:paraId="3747A001" w14:textId="77777777" w:rsidR="00411215" w:rsidRDefault="00411215" w:rsidP="00411215">
            <w:pPr>
              <w:pStyle w:val="TableText0"/>
              <w:jc w:val="center"/>
            </w:pPr>
            <w:r w:rsidRPr="001C5690">
              <w:t>2</w:t>
            </w:r>
            <w:r>
              <w:t>/111</w:t>
            </w:r>
            <w:r w:rsidRPr="001C5690">
              <w:t xml:space="preserve"> </w:t>
            </w:r>
          </w:p>
          <w:p w14:paraId="3F3A3EE1" w14:textId="4F249565" w:rsidR="00411215" w:rsidRPr="00E2771E" w:rsidRDefault="00411215" w:rsidP="00411215">
            <w:pPr>
              <w:pStyle w:val="TableText0"/>
              <w:jc w:val="center"/>
            </w:pPr>
            <w:r w:rsidRPr="001C5690">
              <w:t>(1.8</w:t>
            </w:r>
            <w:r>
              <w:t>%</w:t>
            </w:r>
            <w:r w:rsidRPr="001C5690">
              <w:t>)</w:t>
            </w:r>
          </w:p>
        </w:tc>
        <w:tc>
          <w:tcPr>
            <w:tcW w:w="708" w:type="pct"/>
            <w:tcBorders>
              <w:top w:val="single" w:sz="4" w:space="0" w:color="auto"/>
              <w:left w:val="single" w:sz="4" w:space="0" w:color="auto"/>
              <w:bottom w:val="single" w:sz="4" w:space="0" w:color="auto"/>
              <w:right w:val="single" w:sz="4" w:space="0" w:color="auto"/>
            </w:tcBorders>
            <w:vAlign w:val="center"/>
          </w:tcPr>
          <w:p w14:paraId="388B0CB7" w14:textId="0CF9D70C" w:rsidR="00411215" w:rsidRPr="00E2771E" w:rsidRDefault="00411215" w:rsidP="00411215">
            <w:pPr>
              <w:pStyle w:val="TableText0"/>
              <w:jc w:val="center"/>
            </w:pPr>
            <w:r w:rsidRPr="005258F4">
              <w:t>0.23 (0.02, 2.47)</w:t>
            </w:r>
          </w:p>
        </w:tc>
        <w:tc>
          <w:tcPr>
            <w:tcW w:w="589" w:type="pct"/>
            <w:tcBorders>
              <w:top w:val="single" w:sz="4" w:space="0" w:color="auto"/>
              <w:left w:val="single" w:sz="4" w:space="0" w:color="auto"/>
              <w:bottom w:val="single" w:sz="4" w:space="0" w:color="auto"/>
              <w:right w:val="single" w:sz="4" w:space="0" w:color="auto"/>
            </w:tcBorders>
            <w:vAlign w:val="center"/>
          </w:tcPr>
          <w:p w14:paraId="49738D31" w14:textId="67BB8C39" w:rsidR="00411215" w:rsidRPr="00E2771E" w:rsidRDefault="00411215" w:rsidP="00411215">
            <w:pPr>
              <w:pStyle w:val="TableText0"/>
              <w:jc w:val="center"/>
            </w:pPr>
            <w:r>
              <w:t>1</w:t>
            </w:r>
          </w:p>
        </w:tc>
        <w:tc>
          <w:tcPr>
            <w:tcW w:w="589" w:type="pct"/>
            <w:tcBorders>
              <w:top w:val="single" w:sz="4" w:space="0" w:color="auto"/>
              <w:left w:val="single" w:sz="4" w:space="0" w:color="auto"/>
              <w:bottom w:val="single" w:sz="4" w:space="0" w:color="auto"/>
              <w:right w:val="single" w:sz="4" w:space="0" w:color="auto"/>
            </w:tcBorders>
            <w:vAlign w:val="center"/>
          </w:tcPr>
          <w:p w14:paraId="70FC59EE" w14:textId="20FF4EA3" w:rsidR="00411215" w:rsidRPr="00E2771E" w:rsidRDefault="00411215" w:rsidP="00411215">
            <w:pPr>
              <w:pStyle w:val="TableText0"/>
              <w:jc w:val="center"/>
            </w:pPr>
            <w:r>
              <w:t>2</w:t>
            </w:r>
          </w:p>
        </w:tc>
        <w:tc>
          <w:tcPr>
            <w:tcW w:w="837" w:type="pct"/>
            <w:tcBorders>
              <w:top w:val="single" w:sz="4" w:space="0" w:color="auto"/>
              <w:left w:val="single" w:sz="4" w:space="0" w:color="auto"/>
              <w:bottom w:val="single" w:sz="4" w:space="0" w:color="auto"/>
              <w:right w:val="single" w:sz="4" w:space="0" w:color="auto"/>
            </w:tcBorders>
            <w:vAlign w:val="center"/>
          </w:tcPr>
          <w:p w14:paraId="1C12E418" w14:textId="7D787437" w:rsidR="00411215" w:rsidRPr="006B0409" w:rsidRDefault="00411215" w:rsidP="00411215">
            <w:pPr>
              <w:pStyle w:val="TableText0"/>
              <w:jc w:val="center"/>
            </w:pPr>
            <w:r w:rsidRPr="00B22D8A">
              <w:t>-0.01 (-0.04,</w:t>
            </w:r>
            <w:r>
              <w:t xml:space="preserve"> </w:t>
            </w:r>
            <w:r w:rsidRPr="00B22D8A">
              <w:t>0.01)</w:t>
            </w:r>
          </w:p>
        </w:tc>
      </w:tr>
      <w:tr w:rsidR="00411215" w:rsidRPr="00E2771E" w14:paraId="41C78680" w14:textId="77777777" w:rsidTr="006D0DA2">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74207374" w14:textId="110F5A3E" w:rsidR="00411215" w:rsidRPr="00E2771E" w:rsidRDefault="00411215" w:rsidP="00411215">
            <w:pPr>
              <w:pStyle w:val="TableText0"/>
            </w:pPr>
            <w:r w:rsidRPr="00D82947">
              <w:t>Any TEAE leading to study drug discontinuation</w:t>
            </w:r>
            <w:r w:rsidRPr="00D82947" w:rsidDel="00411215">
              <w:t xml:space="preserve"> </w:t>
            </w:r>
          </w:p>
        </w:tc>
        <w:tc>
          <w:tcPr>
            <w:tcW w:w="589" w:type="pct"/>
            <w:tcBorders>
              <w:top w:val="single" w:sz="4" w:space="0" w:color="auto"/>
              <w:left w:val="single" w:sz="4" w:space="0" w:color="auto"/>
              <w:bottom w:val="single" w:sz="4" w:space="0" w:color="auto"/>
              <w:right w:val="single" w:sz="4" w:space="0" w:color="auto"/>
            </w:tcBorders>
            <w:vAlign w:val="center"/>
          </w:tcPr>
          <w:p w14:paraId="670B26F9" w14:textId="48778328" w:rsidR="00411215" w:rsidRPr="00E2771E" w:rsidRDefault="00411215" w:rsidP="00411215">
            <w:pPr>
              <w:pStyle w:val="TableText0"/>
              <w:jc w:val="center"/>
            </w:pPr>
            <w:r w:rsidRPr="001C5690">
              <w:t>69</w:t>
            </w:r>
            <w:r>
              <w:t>/245</w:t>
            </w:r>
            <w:r w:rsidRPr="001C5690">
              <w:t xml:space="preserve"> (28.2</w:t>
            </w:r>
            <w:r>
              <w:t>%</w:t>
            </w:r>
            <w:r w:rsidRPr="001C5690">
              <w:t>)</w:t>
            </w:r>
          </w:p>
        </w:tc>
        <w:tc>
          <w:tcPr>
            <w:tcW w:w="667" w:type="pct"/>
            <w:tcBorders>
              <w:top w:val="single" w:sz="4" w:space="0" w:color="auto"/>
              <w:left w:val="single" w:sz="4" w:space="0" w:color="auto"/>
              <w:bottom w:val="single" w:sz="4" w:space="0" w:color="auto"/>
              <w:right w:val="single" w:sz="4" w:space="0" w:color="auto"/>
            </w:tcBorders>
            <w:vAlign w:val="center"/>
          </w:tcPr>
          <w:p w14:paraId="4223CD7D" w14:textId="77777777" w:rsidR="00411215" w:rsidRDefault="00411215" w:rsidP="00411215">
            <w:pPr>
              <w:pStyle w:val="TableText0"/>
              <w:jc w:val="center"/>
            </w:pPr>
            <w:r w:rsidRPr="001C5690">
              <w:t>26</w:t>
            </w:r>
            <w:r>
              <w:t>/111</w:t>
            </w:r>
            <w:r w:rsidRPr="001C5690">
              <w:t xml:space="preserve"> </w:t>
            </w:r>
          </w:p>
          <w:p w14:paraId="6D9293CD" w14:textId="43A61EF0" w:rsidR="00411215" w:rsidRPr="00E2771E" w:rsidRDefault="00411215" w:rsidP="00411215">
            <w:pPr>
              <w:pStyle w:val="TableText0"/>
              <w:jc w:val="center"/>
            </w:pPr>
            <w:r w:rsidRPr="001C5690">
              <w:t>(23.4</w:t>
            </w:r>
            <w:r>
              <w:t>%</w:t>
            </w:r>
            <w:r w:rsidRPr="001C5690">
              <w:t>)</w:t>
            </w:r>
          </w:p>
        </w:tc>
        <w:tc>
          <w:tcPr>
            <w:tcW w:w="708" w:type="pct"/>
            <w:tcBorders>
              <w:top w:val="single" w:sz="4" w:space="0" w:color="auto"/>
              <w:left w:val="single" w:sz="4" w:space="0" w:color="auto"/>
              <w:bottom w:val="single" w:sz="4" w:space="0" w:color="auto"/>
              <w:right w:val="single" w:sz="4" w:space="0" w:color="auto"/>
            </w:tcBorders>
            <w:vAlign w:val="center"/>
          </w:tcPr>
          <w:p w14:paraId="2B3D1902" w14:textId="5D4EAD50" w:rsidR="00411215" w:rsidRPr="00E2771E" w:rsidRDefault="00411215" w:rsidP="00411215">
            <w:pPr>
              <w:pStyle w:val="TableText0"/>
              <w:jc w:val="center"/>
            </w:pPr>
            <w:r w:rsidRPr="00950384">
              <w:t>0.52 (0.19, 1.3</w:t>
            </w:r>
            <w:r>
              <w:t>9</w:t>
            </w:r>
            <w:r w:rsidRPr="00950384">
              <w:t>)</w:t>
            </w:r>
          </w:p>
        </w:tc>
        <w:tc>
          <w:tcPr>
            <w:tcW w:w="589" w:type="pct"/>
            <w:tcBorders>
              <w:top w:val="single" w:sz="4" w:space="0" w:color="auto"/>
              <w:left w:val="single" w:sz="4" w:space="0" w:color="auto"/>
              <w:bottom w:val="single" w:sz="4" w:space="0" w:color="auto"/>
              <w:right w:val="single" w:sz="4" w:space="0" w:color="auto"/>
            </w:tcBorders>
            <w:vAlign w:val="center"/>
          </w:tcPr>
          <w:p w14:paraId="61F52D2D" w14:textId="2E5BAD21" w:rsidR="00411215" w:rsidRPr="00E2771E" w:rsidRDefault="00411215" w:rsidP="00411215">
            <w:pPr>
              <w:pStyle w:val="TableText0"/>
              <w:jc w:val="center"/>
            </w:pPr>
            <w:r>
              <w:t>28</w:t>
            </w:r>
          </w:p>
        </w:tc>
        <w:tc>
          <w:tcPr>
            <w:tcW w:w="589" w:type="pct"/>
            <w:tcBorders>
              <w:top w:val="single" w:sz="4" w:space="0" w:color="auto"/>
              <w:left w:val="single" w:sz="4" w:space="0" w:color="auto"/>
              <w:bottom w:val="single" w:sz="4" w:space="0" w:color="auto"/>
              <w:right w:val="single" w:sz="4" w:space="0" w:color="auto"/>
            </w:tcBorders>
            <w:vAlign w:val="center"/>
          </w:tcPr>
          <w:p w14:paraId="15D3142E" w14:textId="0E0DA761" w:rsidR="00411215" w:rsidRPr="00E2771E" w:rsidRDefault="00411215" w:rsidP="00411215">
            <w:pPr>
              <w:pStyle w:val="TableText0"/>
              <w:jc w:val="center"/>
            </w:pPr>
            <w:r>
              <w:t>23</w:t>
            </w:r>
          </w:p>
        </w:tc>
        <w:tc>
          <w:tcPr>
            <w:tcW w:w="837" w:type="pct"/>
            <w:tcBorders>
              <w:top w:val="single" w:sz="4" w:space="0" w:color="auto"/>
              <w:left w:val="single" w:sz="4" w:space="0" w:color="auto"/>
              <w:bottom w:val="single" w:sz="4" w:space="0" w:color="auto"/>
              <w:right w:val="single" w:sz="4" w:space="0" w:color="auto"/>
            </w:tcBorders>
            <w:vAlign w:val="center"/>
          </w:tcPr>
          <w:p w14:paraId="5DB9F3B6" w14:textId="3CDAE64A" w:rsidR="00411215" w:rsidRPr="006B0409" w:rsidRDefault="00411215" w:rsidP="00411215">
            <w:pPr>
              <w:pStyle w:val="TableText0"/>
              <w:jc w:val="center"/>
            </w:pPr>
            <w:r w:rsidRPr="005258F4">
              <w:t>-0.03 (-0.08, -0.02)</w:t>
            </w:r>
          </w:p>
        </w:tc>
      </w:tr>
      <w:tr w:rsidR="00BA1551" w:rsidRPr="00E2771E" w14:paraId="1CFD17B2" w14:textId="77777777" w:rsidTr="00411215">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6102EE88" w14:textId="3A9264D4" w:rsidR="00411215" w:rsidRPr="00D82947" w:rsidRDefault="00411215" w:rsidP="00411215">
            <w:pPr>
              <w:pStyle w:val="TableText0"/>
            </w:pPr>
            <w:r w:rsidRPr="00D82947">
              <w:t>Any related TEAE leading to study drug discontinuation</w:t>
            </w:r>
          </w:p>
        </w:tc>
        <w:tc>
          <w:tcPr>
            <w:tcW w:w="589" w:type="pct"/>
            <w:tcBorders>
              <w:top w:val="single" w:sz="4" w:space="0" w:color="auto"/>
              <w:left w:val="single" w:sz="4" w:space="0" w:color="auto"/>
              <w:bottom w:val="single" w:sz="4" w:space="0" w:color="auto"/>
              <w:right w:val="single" w:sz="4" w:space="0" w:color="auto"/>
            </w:tcBorders>
            <w:vAlign w:val="center"/>
          </w:tcPr>
          <w:p w14:paraId="4885D450" w14:textId="1FF0DEDB" w:rsidR="00411215" w:rsidRPr="00D9229D" w:rsidDel="00411215" w:rsidRDefault="00411215" w:rsidP="00411215">
            <w:pPr>
              <w:pStyle w:val="TableText0"/>
              <w:jc w:val="center"/>
              <w:rPr>
                <w:szCs w:val="20"/>
              </w:rPr>
            </w:pPr>
            <w:r w:rsidRPr="0045104C">
              <w:t>54</w:t>
            </w:r>
            <w:r>
              <w:t>/245</w:t>
            </w:r>
            <w:r w:rsidRPr="0045104C">
              <w:t xml:space="preserve"> (22.0</w:t>
            </w:r>
            <w:r>
              <w:t>%</w:t>
            </w:r>
            <w:r w:rsidRPr="0045104C">
              <w:t>)</w:t>
            </w:r>
          </w:p>
        </w:tc>
        <w:tc>
          <w:tcPr>
            <w:tcW w:w="667" w:type="pct"/>
            <w:tcBorders>
              <w:top w:val="single" w:sz="4" w:space="0" w:color="auto"/>
              <w:left w:val="single" w:sz="4" w:space="0" w:color="auto"/>
              <w:bottom w:val="single" w:sz="4" w:space="0" w:color="auto"/>
              <w:right w:val="single" w:sz="4" w:space="0" w:color="auto"/>
            </w:tcBorders>
            <w:vAlign w:val="center"/>
          </w:tcPr>
          <w:p w14:paraId="042AEAA6" w14:textId="77777777" w:rsidR="00411215" w:rsidRDefault="00411215" w:rsidP="00411215">
            <w:pPr>
              <w:pStyle w:val="TableText0"/>
              <w:jc w:val="center"/>
            </w:pPr>
            <w:r w:rsidRPr="0045104C">
              <w:t>8</w:t>
            </w:r>
            <w:r>
              <w:t>/111</w:t>
            </w:r>
            <w:r w:rsidRPr="0045104C">
              <w:t xml:space="preserve"> </w:t>
            </w:r>
          </w:p>
          <w:p w14:paraId="512ED309" w14:textId="45EBDA85" w:rsidR="00411215" w:rsidRPr="00D9229D" w:rsidDel="00411215" w:rsidRDefault="00411215" w:rsidP="00411215">
            <w:pPr>
              <w:pStyle w:val="TableText0"/>
              <w:jc w:val="center"/>
              <w:rPr>
                <w:szCs w:val="20"/>
              </w:rPr>
            </w:pPr>
            <w:r w:rsidRPr="0045104C">
              <w:t>(7.2</w:t>
            </w:r>
            <w:r>
              <w:t>%</w:t>
            </w:r>
            <w:r w:rsidRPr="0045104C">
              <w:t>)</w:t>
            </w:r>
          </w:p>
        </w:tc>
        <w:tc>
          <w:tcPr>
            <w:tcW w:w="708" w:type="pct"/>
            <w:tcBorders>
              <w:top w:val="single" w:sz="4" w:space="0" w:color="auto"/>
              <w:left w:val="single" w:sz="4" w:space="0" w:color="auto"/>
              <w:bottom w:val="single" w:sz="4" w:space="0" w:color="auto"/>
              <w:right w:val="single" w:sz="4" w:space="0" w:color="auto"/>
            </w:tcBorders>
            <w:vAlign w:val="center"/>
          </w:tcPr>
          <w:p w14:paraId="0C62CF2C" w14:textId="5EAEA710" w:rsidR="00411215" w:rsidRPr="00D9229D" w:rsidDel="00411215" w:rsidRDefault="00411215" w:rsidP="00411215">
            <w:pPr>
              <w:pStyle w:val="TableText0"/>
              <w:jc w:val="center"/>
              <w:rPr>
                <w:szCs w:val="20"/>
              </w:rPr>
            </w:pPr>
            <w:r w:rsidRPr="00950384">
              <w:t>0.45 (0.13, 1.53)</w:t>
            </w:r>
          </w:p>
        </w:tc>
        <w:tc>
          <w:tcPr>
            <w:tcW w:w="589" w:type="pct"/>
            <w:tcBorders>
              <w:top w:val="single" w:sz="4" w:space="0" w:color="auto"/>
              <w:left w:val="single" w:sz="4" w:space="0" w:color="auto"/>
              <w:bottom w:val="single" w:sz="4" w:space="0" w:color="auto"/>
              <w:right w:val="single" w:sz="4" w:space="0" w:color="auto"/>
            </w:tcBorders>
            <w:vAlign w:val="center"/>
          </w:tcPr>
          <w:p w14:paraId="45B288BA" w14:textId="5E848414" w:rsidR="00411215" w:rsidRPr="00855620" w:rsidDel="00411215" w:rsidRDefault="00411215" w:rsidP="00411215">
            <w:pPr>
              <w:pStyle w:val="TableText0"/>
              <w:jc w:val="center"/>
            </w:pPr>
            <w:r>
              <w:t>22</w:t>
            </w:r>
          </w:p>
        </w:tc>
        <w:tc>
          <w:tcPr>
            <w:tcW w:w="589" w:type="pct"/>
            <w:tcBorders>
              <w:top w:val="single" w:sz="4" w:space="0" w:color="auto"/>
              <w:left w:val="single" w:sz="4" w:space="0" w:color="auto"/>
              <w:bottom w:val="single" w:sz="4" w:space="0" w:color="auto"/>
              <w:right w:val="single" w:sz="4" w:space="0" w:color="auto"/>
            </w:tcBorders>
            <w:vAlign w:val="center"/>
          </w:tcPr>
          <w:p w14:paraId="6D3414D2" w14:textId="324F7F14" w:rsidR="00411215" w:rsidRPr="00855620" w:rsidDel="00411215" w:rsidRDefault="00411215" w:rsidP="00411215">
            <w:pPr>
              <w:pStyle w:val="TableText0"/>
              <w:jc w:val="center"/>
            </w:pPr>
            <w:r>
              <w:t>7</w:t>
            </w:r>
          </w:p>
        </w:tc>
        <w:tc>
          <w:tcPr>
            <w:tcW w:w="837" w:type="pct"/>
            <w:tcBorders>
              <w:top w:val="single" w:sz="4" w:space="0" w:color="auto"/>
              <w:left w:val="single" w:sz="4" w:space="0" w:color="auto"/>
              <w:bottom w:val="single" w:sz="4" w:space="0" w:color="auto"/>
              <w:right w:val="single" w:sz="4" w:space="0" w:color="auto"/>
            </w:tcBorders>
            <w:vAlign w:val="center"/>
          </w:tcPr>
          <w:p w14:paraId="020FA08C" w14:textId="0B618A6D" w:rsidR="00411215" w:rsidRPr="006B0409" w:rsidDel="00411215" w:rsidRDefault="00411215" w:rsidP="00411215">
            <w:pPr>
              <w:pStyle w:val="TableText0"/>
              <w:jc w:val="center"/>
            </w:pPr>
            <w:r w:rsidRPr="005258F4">
              <w:t>-0.02 (-0.07, -0.02)</w:t>
            </w:r>
          </w:p>
        </w:tc>
      </w:tr>
    </w:tbl>
    <w:p w14:paraId="1E7FC03B" w14:textId="5CA5C652" w:rsidR="00282268" w:rsidRPr="00B1011F" w:rsidRDefault="00282268" w:rsidP="00282268">
      <w:pPr>
        <w:pStyle w:val="FooterTableFigure"/>
      </w:pPr>
      <w:r>
        <w:t>Source: Table 5, p8 of the Executive Summary</w:t>
      </w:r>
      <w:r w:rsidR="000D025A">
        <w:t xml:space="preserve">; </w:t>
      </w:r>
      <w:r w:rsidR="00411215">
        <w:t xml:space="preserve">Table 2.5.8, p81 </w:t>
      </w:r>
      <w:r>
        <w:t>of the submission</w:t>
      </w:r>
      <w:r w:rsidR="00411215">
        <w:t>; Ta</w:t>
      </w:r>
      <w:r w:rsidR="000D025A">
        <w:t>ble 16, p67 and Table 18, pp69-70 of Clinical Study Report.</w:t>
      </w:r>
    </w:p>
    <w:p w14:paraId="25FE6835" w14:textId="5EB62017" w:rsidR="00282268" w:rsidRDefault="00282268" w:rsidP="00282268">
      <w:pPr>
        <w:pStyle w:val="FooterTableFigure"/>
        <w:rPr>
          <w:rFonts w:eastAsia="Calibri"/>
        </w:rPr>
      </w:pPr>
      <w:r w:rsidRPr="001767C6">
        <w:t xml:space="preserve">AE = adverse event, CI = confidence interval, </w:t>
      </w:r>
      <w:r>
        <w:rPr>
          <w:rFonts w:eastAsia="Calibri"/>
        </w:rPr>
        <w:t xml:space="preserve">CTCAE = Common Terminology Criteria for Adverse Events, </w:t>
      </w:r>
      <w:r w:rsidRPr="001767C6">
        <w:t>n = number of participants reporting data, N = total participants in group, OS = overall survival, HR = hazard ratio,</w:t>
      </w:r>
      <w:r>
        <w:t xml:space="preserve"> Pembro = pembrolizumab,</w:t>
      </w:r>
      <w:r w:rsidRPr="001767C6">
        <w:t xml:space="preserve"> PFS = progression-free survival, RD = risk difference</w:t>
      </w:r>
      <w:r>
        <w:t xml:space="preserve">, </w:t>
      </w:r>
      <w:r w:rsidRPr="001767C6">
        <w:t>RR = risk ratio, TEAE = treatment emergent adverse event</w:t>
      </w:r>
      <w:r>
        <w:t xml:space="preserve">, </w:t>
      </w:r>
      <w:r>
        <w:rPr>
          <w:rFonts w:eastAsia="Calibri"/>
        </w:rPr>
        <w:t>TESAE = treatment emergent serious adverse event.</w:t>
      </w:r>
    </w:p>
    <w:p w14:paraId="2BF08BC0" w14:textId="77777777" w:rsidR="00282268" w:rsidRPr="00D91C29" w:rsidRDefault="00282268" w:rsidP="00282268">
      <w:pPr>
        <w:pStyle w:val="FooterTableFigure"/>
      </w:pPr>
      <w:r w:rsidRPr="00B83739">
        <w:rPr>
          <w:b/>
          <w:bCs/>
        </w:rPr>
        <w:t>Bold</w:t>
      </w:r>
      <w:r w:rsidRPr="00B83739">
        <w:t xml:space="preserve"> indicates statistically significant results.</w:t>
      </w:r>
    </w:p>
    <w:bookmarkEnd w:id="45"/>
    <w:p w14:paraId="3E6BB85D" w14:textId="291F39ED" w:rsidR="00282268" w:rsidRPr="00282268" w:rsidRDefault="00282268" w:rsidP="00D77B44">
      <w:pPr>
        <w:pStyle w:val="3-BodyText"/>
      </w:pPr>
      <w:r w:rsidRPr="00282268">
        <w:t xml:space="preserve">On the basis of direct evidence presented by the submission, </w:t>
      </w:r>
      <w:r w:rsidR="00241A7B">
        <w:t xml:space="preserve">for every 100 patients treated with </w:t>
      </w:r>
      <w:r w:rsidRPr="00282268">
        <w:t xml:space="preserve">tebentafusp </w:t>
      </w:r>
      <w:r w:rsidR="00241A7B">
        <w:t>in comparison with</w:t>
      </w:r>
      <w:r w:rsidR="00241A7B" w:rsidRPr="00282268">
        <w:t xml:space="preserve"> </w:t>
      </w:r>
      <w:r w:rsidR="008B6E9C">
        <w:t>investigators choice</w:t>
      </w:r>
      <w:r w:rsidRPr="00282268">
        <w:t>:</w:t>
      </w:r>
    </w:p>
    <w:p w14:paraId="2AE572DF" w14:textId="39254027" w:rsidR="008B6E9C" w:rsidRDefault="008B6E9C" w:rsidP="00A704EE">
      <w:pPr>
        <w:pStyle w:val="ListParagraph"/>
        <w:ind w:left="1077" w:hanging="357"/>
      </w:pPr>
      <w:r>
        <w:t xml:space="preserve">Approximately </w:t>
      </w:r>
      <w:r w:rsidR="001929E9">
        <w:t xml:space="preserve">8 </w:t>
      </w:r>
      <w:r>
        <w:t>additional patients will remain progression free after 12 months</w:t>
      </w:r>
      <w:r w:rsidR="006D0DA2">
        <w:t xml:space="preserve"> and 9 additional patients will remain progression free after 24 months</w:t>
      </w:r>
      <w:r w:rsidR="001929E9">
        <w:t>.</w:t>
      </w:r>
    </w:p>
    <w:p w14:paraId="3E8BCF86" w14:textId="13A31901" w:rsidR="00282268" w:rsidRPr="00282268" w:rsidRDefault="00241A7B" w:rsidP="00390ACD">
      <w:pPr>
        <w:pStyle w:val="ListParagraph"/>
        <w:ind w:left="1077" w:hanging="357"/>
      </w:pPr>
      <w:r>
        <w:lastRenderedPageBreak/>
        <w:t>Approximately 15 additional patients will be alive after 12 months</w:t>
      </w:r>
      <w:r w:rsidR="006D0DA2">
        <w:t xml:space="preserve"> and 25 additional patients will be alive after </w:t>
      </w:r>
      <w:r w:rsidR="00521E5D">
        <w:t>24 months</w:t>
      </w:r>
      <w:r w:rsidR="00B22910">
        <w:t>.</w:t>
      </w:r>
    </w:p>
    <w:p w14:paraId="14A51130" w14:textId="7145B9D9" w:rsidR="00282268" w:rsidRDefault="00282268" w:rsidP="00D77B44">
      <w:pPr>
        <w:pStyle w:val="3-BodyText"/>
      </w:pPr>
      <w:r w:rsidRPr="00282268">
        <w:t xml:space="preserve">On the basis of direct evidence presented by the submission, for every 100 patients treated with tebentafusp in comparison with </w:t>
      </w:r>
      <w:r w:rsidR="00006787">
        <w:t>investigator’s choice</w:t>
      </w:r>
      <w:r>
        <w:t>,</w:t>
      </w:r>
      <w:r w:rsidRPr="00282268">
        <w:t xml:space="preserve"> over a median duration of follow-up of </w:t>
      </w:r>
      <w:r w:rsidR="00521E5D">
        <w:t>14.1</w:t>
      </w:r>
      <w:r w:rsidRPr="00282268">
        <w:t xml:space="preserve"> months:</w:t>
      </w:r>
    </w:p>
    <w:p w14:paraId="138B700A" w14:textId="77777777" w:rsidR="00411CCD" w:rsidRPr="00282268" w:rsidRDefault="00411CCD" w:rsidP="00B84048">
      <w:pPr>
        <w:pStyle w:val="ListParagraph"/>
        <w:numPr>
          <w:ilvl w:val="0"/>
          <w:numId w:val="11"/>
        </w:numPr>
        <w:ind w:left="1080" w:hanging="360"/>
      </w:pPr>
      <w:r w:rsidRPr="00282268">
        <w:t>Approximately 2</w:t>
      </w:r>
      <w:r>
        <w:t>7</w:t>
      </w:r>
      <w:r w:rsidRPr="00282268">
        <w:t xml:space="preserve"> additional patients would experience treatment related adverse events (≥ Grade 3).</w:t>
      </w:r>
    </w:p>
    <w:p w14:paraId="6755E1AF" w14:textId="77777777" w:rsidR="00411CCD" w:rsidRPr="00411CCD" w:rsidRDefault="00411CCD" w:rsidP="00B84048">
      <w:pPr>
        <w:pStyle w:val="ListParagraph"/>
        <w:numPr>
          <w:ilvl w:val="0"/>
          <w:numId w:val="11"/>
        </w:numPr>
        <w:ind w:left="1080" w:hanging="360"/>
        <w:rPr>
          <w:rStyle w:val="TableFigureHeadingChar"/>
          <w:rFonts w:asciiTheme="minorHAnsi" w:hAnsiTheme="minorHAnsi" w:cs="Arial"/>
          <w:b w:val="0"/>
          <w:bCs w:val="0"/>
        </w:rPr>
      </w:pPr>
      <w:r w:rsidRPr="00282268">
        <w:t>Approximately 1</w:t>
      </w:r>
      <w:r>
        <w:t>5</w:t>
      </w:r>
      <w:r w:rsidRPr="00282268">
        <w:t xml:space="preserve"> additional patients would experience treatment related serious adverse events.</w:t>
      </w:r>
    </w:p>
    <w:p w14:paraId="2CF07525" w14:textId="31FA8406" w:rsidR="00FF0EC4" w:rsidRPr="00AF3847" w:rsidRDefault="00411CCD" w:rsidP="00D77B44">
      <w:pPr>
        <w:pStyle w:val="3-BodyText"/>
      </w:pPr>
      <w:r w:rsidRPr="00AF3847">
        <w:t>As noted above, t</w:t>
      </w:r>
      <w:r w:rsidR="00FF0EC4" w:rsidRPr="00AF3847">
        <w:t xml:space="preserve">he ESC considered that Australian prescribing clinicians would have little experience managing CRS. The ESC therefore considered that it </w:t>
      </w:r>
      <w:r w:rsidRPr="00AF3847">
        <w:t>was</w:t>
      </w:r>
      <w:r w:rsidR="00FF0EC4" w:rsidRPr="00AF3847">
        <w:t xml:space="preserve"> possible that the harms </w:t>
      </w:r>
      <w:r w:rsidRPr="00AF3847">
        <w:t xml:space="preserve">associated with tebentafusp in </w:t>
      </w:r>
      <w:r w:rsidRPr="00AF3847">
        <w:rPr>
          <w:rFonts w:eastAsia="Calibri"/>
        </w:rPr>
        <w:t>IMCgp100-102 underestimated the real-world potential for adverse events, particularly the risk of death associated with CRS.</w:t>
      </w:r>
    </w:p>
    <w:p w14:paraId="7A1772B6" w14:textId="23BB3145" w:rsidR="00B60939" w:rsidRPr="00C9624D" w:rsidRDefault="00B60939" w:rsidP="00E9094A">
      <w:pPr>
        <w:pStyle w:val="4-SubsectionHeading"/>
      </w:pPr>
      <w:bookmarkStart w:id="46" w:name="_Toc22897644"/>
      <w:bookmarkStart w:id="47" w:name="_Toc124257836"/>
      <w:r w:rsidRPr="00C9624D">
        <w:t>Clinical claim</w:t>
      </w:r>
      <w:bookmarkEnd w:id="46"/>
      <w:bookmarkEnd w:id="47"/>
    </w:p>
    <w:p w14:paraId="2444DA1F" w14:textId="56FB5D26" w:rsidR="00521E5D" w:rsidRPr="00AF3847" w:rsidRDefault="00C146BC" w:rsidP="00C146BC">
      <w:pPr>
        <w:pStyle w:val="3-BodyText"/>
        <w:rPr>
          <w:rFonts w:eastAsia="Calibri"/>
        </w:rPr>
      </w:pPr>
      <w:bookmarkStart w:id="48" w:name="_Toc22897645"/>
      <w:r w:rsidRPr="00AF3847">
        <w:t>The submission described tebentafusp as superior in terms of effectiveness compared to pembrolizumab. Th</w:t>
      </w:r>
      <w:r w:rsidR="005018A5" w:rsidRPr="00AF3847">
        <w:t xml:space="preserve">e </w:t>
      </w:r>
      <w:r w:rsidR="00B515FF">
        <w:t xml:space="preserve">PBAC agreed with </w:t>
      </w:r>
      <w:r w:rsidR="005018A5" w:rsidRPr="00AF3847">
        <w:t xml:space="preserve">ESC </w:t>
      </w:r>
      <w:r w:rsidR="00B515FF">
        <w:t xml:space="preserve">and </w:t>
      </w:r>
      <w:r w:rsidR="005018A5" w:rsidRPr="00AF3847">
        <w:t>considered that th</w:t>
      </w:r>
      <w:r w:rsidRPr="00AF3847">
        <w:t>is claim was adequately supported</w:t>
      </w:r>
      <w:r w:rsidR="00521E5D" w:rsidRPr="00AF3847">
        <w:t xml:space="preserve">. </w:t>
      </w:r>
    </w:p>
    <w:p w14:paraId="6800908F" w14:textId="7679BB32" w:rsidR="00C146BC" w:rsidRPr="00AF3847" w:rsidRDefault="00C146BC" w:rsidP="00C146BC">
      <w:pPr>
        <w:pStyle w:val="3-BodyText"/>
        <w:rPr>
          <w:rFonts w:eastAsia="Calibri"/>
        </w:rPr>
      </w:pPr>
      <w:r w:rsidRPr="00AF3847">
        <w:rPr>
          <w:rFonts w:eastAsia="Calibri"/>
        </w:rPr>
        <w:t xml:space="preserve">The submission </w:t>
      </w:r>
      <w:r w:rsidR="00282268" w:rsidRPr="00AF3847">
        <w:rPr>
          <w:rFonts w:eastAsia="Calibri"/>
        </w:rPr>
        <w:t xml:space="preserve">described </w:t>
      </w:r>
      <w:r w:rsidRPr="00AF3847">
        <w:rPr>
          <w:rFonts w:eastAsia="Calibri"/>
        </w:rPr>
        <w:t>tebentafusp as non-inferior in terms of safety compared to pembrolizumab. Th</w:t>
      </w:r>
      <w:r w:rsidR="005018A5" w:rsidRPr="00AF3847">
        <w:rPr>
          <w:rFonts w:eastAsia="Calibri"/>
        </w:rPr>
        <w:t xml:space="preserve">e </w:t>
      </w:r>
      <w:r w:rsidR="00B515FF">
        <w:rPr>
          <w:rFonts w:eastAsia="Calibri"/>
        </w:rPr>
        <w:t xml:space="preserve">PBAC agreed with </w:t>
      </w:r>
      <w:r w:rsidR="005018A5" w:rsidRPr="00AF3847">
        <w:rPr>
          <w:rFonts w:eastAsia="Calibri"/>
        </w:rPr>
        <w:t xml:space="preserve">ESC </w:t>
      </w:r>
      <w:r w:rsidR="00B515FF">
        <w:rPr>
          <w:rFonts w:eastAsia="Calibri"/>
        </w:rPr>
        <w:t xml:space="preserve">and </w:t>
      </w:r>
      <w:r w:rsidR="005018A5" w:rsidRPr="00AF3847">
        <w:rPr>
          <w:rFonts w:eastAsia="Calibri"/>
        </w:rPr>
        <w:t>considered that th</w:t>
      </w:r>
      <w:r w:rsidRPr="00AF3847">
        <w:rPr>
          <w:rFonts w:eastAsia="Calibri"/>
        </w:rPr>
        <w:t xml:space="preserve">is claim was not supported </w:t>
      </w:r>
      <w:r w:rsidR="00521E5D" w:rsidRPr="00AF3847">
        <w:rPr>
          <w:rFonts w:eastAsia="Calibri"/>
        </w:rPr>
        <w:t>as tebentafusp was associated with</w:t>
      </w:r>
      <w:r w:rsidRPr="00AF3847">
        <w:rPr>
          <w:rFonts w:eastAsia="Calibri"/>
        </w:rPr>
        <w:t>:</w:t>
      </w:r>
    </w:p>
    <w:p w14:paraId="78B6A56C" w14:textId="7AEB8AC8" w:rsidR="00C146BC" w:rsidRPr="00AF3847" w:rsidRDefault="00C146BC" w:rsidP="008B6E9C">
      <w:pPr>
        <w:pStyle w:val="ListParagraph"/>
        <w:ind w:left="1077" w:hanging="357"/>
        <w:rPr>
          <w:rFonts w:eastAsia="Calibri"/>
        </w:rPr>
      </w:pPr>
      <w:r w:rsidRPr="00AF3847">
        <w:rPr>
          <w:rFonts w:eastAsia="Calibri"/>
        </w:rPr>
        <w:t>CRS, which may be serious or life-threatening</w:t>
      </w:r>
      <w:r w:rsidR="00521E5D" w:rsidRPr="00AF3847">
        <w:rPr>
          <w:rFonts w:eastAsia="Calibri"/>
        </w:rPr>
        <w:t>;</w:t>
      </w:r>
    </w:p>
    <w:p w14:paraId="20532409" w14:textId="6EB70BE8" w:rsidR="000D025A" w:rsidRPr="00AF3847" w:rsidRDefault="00521E5D" w:rsidP="000D025A">
      <w:pPr>
        <w:pStyle w:val="ListParagraph"/>
        <w:ind w:left="1077" w:hanging="357"/>
        <w:rPr>
          <w:rFonts w:eastAsia="Calibri"/>
        </w:rPr>
      </w:pPr>
      <w:r w:rsidRPr="00AF3847">
        <w:rPr>
          <w:rFonts w:eastAsia="Calibri"/>
        </w:rPr>
        <w:t>more</w:t>
      </w:r>
      <w:r w:rsidR="00C146BC" w:rsidRPr="00AF3847">
        <w:rPr>
          <w:rFonts w:eastAsia="Calibri"/>
        </w:rPr>
        <w:t xml:space="preserve"> treatment-related TEAE</w:t>
      </w:r>
      <w:r w:rsidRPr="00AF3847">
        <w:rPr>
          <w:rFonts w:eastAsia="Calibri"/>
        </w:rPr>
        <w:t>s</w:t>
      </w:r>
      <w:r w:rsidR="00C146BC" w:rsidRPr="00AF3847">
        <w:rPr>
          <w:rFonts w:eastAsia="Calibri"/>
        </w:rPr>
        <w:t xml:space="preserve"> (≥</w:t>
      </w:r>
      <w:r w:rsidRPr="00AF3847">
        <w:rPr>
          <w:rFonts w:eastAsia="Calibri"/>
        </w:rPr>
        <w:t xml:space="preserve"> </w:t>
      </w:r>
      <w:r w:rsidR="00C146BC" w:rsidRPr="00AF3847">
        <w:rPr>
          <w:rFonts w:eastAsia="Calibri"/>
        </w:rPr>
        <w:t>Grade 3) compared to investigator’s choice (44% compared to 17%)</w:t>
      </w:r>
      <w:r w:rsidRPr="00AF3847">
        <w:rPr>
          <w:rFonts w:eastAsia="Calibri"/>
        </w:rPr>
        <w:t>; and</w:t>
      </w:r>
    </w:p>
    <w:p w14:paraId="05FC5E4D" w14:textId="28274D6C" w:rsidR="000D025A" w:rsidRPr="00AF3847" w:rsidRDefault="000D025A" w:rsidP="000D025A">
      <w:pPr>
        <w:pStyle w:val="ListParagraph"/>
        <w:ind w:left="1077" w:hanging="357"/>
        <w:rPr>
          <w:rFonts w:eastAsia="Calibri"/>
        </w:rPr>
      </w:pPr>
      <w:r w:rsidRPr="00AF3847">
        <w:t xml:space="preserve">more Grade ≥ 3 treatment-related TEAEs when compared with pembrolizumab (45.6% compared </w:t>
      </w:r>
      <w:r w:rsidR="00521E5D" w:rsidRPr="00AF3847">
        <w:t>to</w:t>
      </w:r>
      <w:r w:rsidRPr="00AF3847">
        <w:t xml:space="preserve"> 16.5%) and more treatment-related serious TEAE</w:t>
      </w:r>
      <w:r w:rsidR="00343AA3" w:rsidRPr="00AF3847">
        <w:t>s</w:t>
      </w:r>
      <w:r w:rsidRPr="00AF3847">
        <w:t xml:space="preserve"> (18.1% compared with 5.5%).</w:t>
      </w:r>
    </w:p>
    <w:p w14:paraId="4D8E8C20" w14:textId="77777777" w:rsidR="00DF0B64" w:rsidRDefault="00DF0B64" w:rsidP="00DF0B64">
      <w:pPr>
        <w:pStyle w:val="4-SubsectionHeading"/>
      </w:pPr>
      <w:bookmarkStart w:id="49" w:name="_Toc124257837"/>
      <w:bookmarkStart w:id="50" w:name="_Hlk76376200"/>
      <w:bookmarkEnd w:id="48"/>
      <w:r w:rsidRPr="00C9624D">
        <w:t>Economic analysis</w:t>
      </w:r>
      <w:bookmarkEnd w:id="49"/>
      <w:r w:rsidRPr="00C9624D">
        <w:t xml:space="preserve"> </w:t>
      </w:r>
    </w:p>
    <w:bookmarkEnd w:id="50"/>
    <w:p w14:paraId="363C0AFA" w14:textId="190A2056" w:rsidR="006B0C9B" w:rsidRPr="0076691A" w:rsidRDefault="006B0C9B" w:rsidP="006B0C9B">
      <w:pPr>
        <w:pStyle w:val="3-BodyText"/>
      </w:pPr>
      <w:r w:rsidRPr="0076691A">
        <w:t xml:space="preserve">The submission presented a cost-utility analysis (CUA) comparing tebentafusp versus pembrolizumab. A summary of the model structure is presented in </w:t>
      </w:r>
      <w:r w:rsidRPr="0076691A">
        <w:fldChar w:fldCharType="begin" w:fldLock="1"/>
      </w:r>
      <w:r w:rsidRPr="0076691A">
        <w:instrText xml:space="preserve"> REF _Ref121240222 \h </w:instrText>
      </w:r>
      <w:r w:rsidRPr="0076691A">
        <w:fldChar w:fldCharType="separate"/>
      </w:r>
      <w:r w:rsidR="00A53FF4">
        <w:t xml:space="preserve">Table </w:t>
      </w:r>
      <w:r w:rsidR="00A53FF4">
        <w:rPr>
          <w:noProof/>
        </w:rPr>
        <w:t>9</w:t>
      </w:r>
      <w:r w:rsidRPr="0076691A">
        <w:fldChar w:fldCharType="end"/>
      </w:r>
      <w:r w:rsidRPr="0076691A">
        <w:t>.</w:t>
      </w:r>
    </w:p>
    <w:p w14:paraId="387DD97C" w14:textId="096BCF9A" w:rsidR="006B0C9B" w:rsidRPr="000A0CD2" w:rsidRDefault="006B0C9B" w:rsidP="006B0C9B">
      <w:pPr>
        <w:pStyle w:val="TableFigureHeading"/>
      </w:pPr>
      <w:bookmarkStart w:id="51" w:name="_Ref121240222"/>
      <w:r>
        <w:lastRenderedPageBreak/>
        <w:t xml:space="preserve">Table </w:t>
      </w:r>
      <w:fldSimple w:instr=" SEQ Table \* ARABIC " w:fldLock="1">
        <w:r w:rsidR="00A53FF4">
          <w:rPr>
            <w:noProof/>
          </w:rPr>
          <w:t>9</w:t>
        </w:r>
      </w:fldSimple>
      <w:bookmarkEnd w:id="51"/>
      <w:r>
        <w:t>:</w:t>
      </w:r>
      <w:r w:rsidRPr="000A0CD2">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6B0C9B" w:rsidRPr="003D1DE4" w14:paraId="6F58BCC5" w14:textId="77777777" w:rsidTr="00A704EE">
        <w:trPr>
          <w:tblHeader/>
        </w:trPr>
        <w:tc>
          <w:tcPr>
            <w:tcW w:w="1396" w:type="pct"/>
            <w:shd w:val="clear" w:color="auto" w:fill="auto"/>
            <w:vAlign w:val="center"/>
          </w:tcPr>
          <w:p w14:paraId="4F0D3A85" w14:textId="77777777" w:rsidR="006B0C9B" w:rsidRPr="00641FB3" w:rsidRDefault="006B0C9B" w:rsidP="00A704EE">
            <w:pPr>
              <w:pStyle w:val="In-tableHeading"/>
            </w:pPr>
            <w:r w:rsidRPr="00641FB3">
              <w:t>Component</w:t>
            </w:r>
          </w:p>
        </w:tc>
        <w:tc>
          <w:tcPr>
            <w:tcW w:w="3604" w:type="pct"/>
            <w:shd w:val="clear" w:color="auto" w:fill="auto"/>
            <w:vAlign w:val="center"/>
          </w:tcPr>
          <w:p w14:paraId="498ADD4D" w14:textId="77777777" w:rsidR="006B0C9B" w:rsidRPr="00641FB3" w:rsidRDefault="006B0C9B" w:rsidP="00A704EE">
            <w:pPr>
              <w:pStyle w:val="In-tableHeading"/>
            </w:pPr>
            <w:r w:rsidRPr="00641FB3">
              <w:t>Summary</w:t>
            </w:r>
          </w:p>
        </w:tc>
      </w:tr>
      <w:tr w:rsidR="006B0C9B" w:rsidRPr="00E2771E" w14:paraId="37DCB6B9" w14:textId="77777777" w:rsidTr="00A704EE">
        <w:tc>
          <w:tcPr>
            <w:tcW w:w="1396" w:type="pct"/>
            <w:shd w:val="clear" w:color="auto" w:fill="auto"/>
            <w:vAlign w:val="center"/>
          </w:tcPr>
          <w:p w14:paraId="3A4EBDB0" w14:textId="77777777" w:rsidR="006B0C9B" w:rsidRPr="00E2771E" w:rsidRDefault="006B0C9B" w:rsidP="00A704EE">
            <w:pPr>
              <w:pStyle w:val="TableText0"/>
            </w:pPr>
            <w:r>
              <w:t>Treatments</w:t>
            </w:r>
          </w:p>
        </w:tc>
        <w:tc>
          <w:tcPr>
            <w:tcW w:w="3604" w:type="pct"/>
            <w:shd w:val="clear" w:color="auto" w:fill="auto"/>
            <w:vAlign w:val="center"/>
          </w:tcPr>
          <w:p w14:paraId="79CFE6F8" w14:textId="57153691" w:rsidR="006B0C9B" w:rsidRPr="00E2771E" w:rsidRDefault="006B0C9B" w:rsidP="00A704EE">
            <w:pPr>
              <w:pStyle w:val="TableText0"/>
            </w:pPr>
            <w:r>
              <w:t xml:space="preserve">Tebentafusp versus </w:t>
            </w:r>
            <w:r w:rsidR="00E521CC">
              <w:t>p</w:t>
            </w:r>
            <w:r>
              <w:t>embrolizumab</w:t>
            </w:r>
          </w:p>
        </w:tc>
      </w:tr>
      <w:tr w:rsidR="006B0C9B" w:rsidRPr="00E2771E" w14:paraId="6B66749B" w14:textId="77777777" w:rsidTr="00A704EE">
        <w:tc>
          <w:tcPr>
            <w:tcW w:w="1396" w:type="pct"/>
            <w:shd w:val="clear" w:color="auto" w:fill="auto"/>
            <w:vAlign w:val="center"/>
          </w:tcPr>
          <w:p w14:paraId="295AB026" w14:textId="77777777" w:rsidR="006B0C9B" w:rsidRPr="00E2771E" w:rsidRDefault="006B0C9B" w:rsidP="00A704EE">
            <w:pPr>
              <w:pStyle w:val="TableText0"/>
            </w:pPr>
            <w:r w:rsidRPr="00E2771E">
              <w:t>Time horizon</w:t>
            </w:r>
          </w:p>
        </w:tc>
        <w:tc>
          <w:tcPr>
            <w:tcW w:w="3604" w:type="pct"/>
            <w:shd w:val="clear" w:color="auto" w:fill="auto"/>
            <w:vAlign w:val="center"/>
          </w:tcPr>
          <w:p w14:paraId="17246C96" w14:textId="6311528B" w:rsidR="006B0C9B" w:rsidRPr="00E2771E" w:rsidRDefault="006B0C9B" w:rsidP="00A704EE">
            <w:pPr>
              <w:pStyle w:val="TableText0"/>
            </w:pPr>
            <w:r>
              <w:t>20</w:t>
            </w:r>
            <w:r w:rsidRPr="00E2771E">
              <w:t xml:space="preserve"> years in the model base case versus </w:t>
            </w:r>
            <w:r w:rsidR="005C5786">
              <w:t>a maximum duration of follow-up of 50 months in the trial</w:t>
            </w:r>
            <w:r w:rsidR="00AB6E47">
              <w:t>. Reduced to 15 years in the pre-PBAC response.</w:t>
            </w:r>
          </w:p>
        </w:tc>
      </w:tr>
      <w:tr w:rsidR="006B0C9B" w:rsidRPr="00E2771E" w14:paraId="3DB38A3D" w14:textId="77777777" w:rsidTr="00A704EE">
        <w:tc>
          <w:tcPr>
            <w:tcW w:w="1396" w:type="pct"/>
            <w:shd w:val="clear" w:color="auto" w:fill="auto"/>
            <w:vAlign w:val="center"/>
          </w:tcPr>
          <w:p w14:paraId="54944E66" w14:textId="77777777" w:rsidR="006B0C9B" w:rsidRPr="00E2771E" w:rsidRDefault="006B0C9B" w:rsidP="00A704EE">
            <w:pPr>
              <w:pStyle w:val="TableText0"/>
            </w:pPr>
            <w:r w:rsidRPr="00E2771E">
              <w:t>Outcomes</w:t>
            </w:r>
          </w:p>
        </w:tc>
        <w:tc>
          <w:tcPr>
            <w:tcW w:w="3604" w:type="pct"/>
            <w:shd w:val="clear" w:color="auto" w:fill="auto"/>
            <w:vAlign w:val="center"/>
          </w:tcPr>
          <w:p w14:paraId="58909511" w14:textId="77777777" w:rsidR="006B0C9B" w:rsidRPr="00E2771E" w:rsidRDefault="006B0C9B" w:rsidP="00A704EE">
            <w:pPr>
              <w:pStyle w:val="TableText0"/>
            </w:pPr>
            <w:r w:rsidRPr="001712A5">
              <w:t xml:space="preserve">LYs gained; </w:t>
            </w:r>
            <w:r>
              <w:t xml:space="preserve">QALYs </w:t>
            </w:r>
            <w:r w:rsidRPr="001712A5">
              <w:t>gained</w:t>
            </w:r>
          </w:p>
        </w:tc>
      </w:tr>
      <w:tr w:rsidR="006B0C9B" w:rsidRPr="00E2771E" w14:paraId="52477765" w14:textId="77777777" w:rsidTr="00A704EE">
        <w:tc>
          <w:tcPr>
            <w:tcW w:w="1396" w:type="pct"/>
            <w:shd w:val="clear" w:color="auto" w:fill="auto"/>
            <w:vAlign w:val="center"/>
          </w:tcPr>
          <w:p w14:paraId="2BCB1091" w14:textId="77777777" w:rsidR="006B0C9B" w:rsidRPr="00E2771E" w:rsidRDefault="006B0C9B" w:rsidP="00A704EE">
            <w:pPr>
              <w:pStyle w:val="TableText0"/>
            </w:pPr>
            <w:r w:rsidRPr="00E2771E">
              <w:t>Methods used to generate results</w:t>
            </w:r>
          </w:p>
        </w:tc>
        <w:tc>
          <w:tcPr>
            <w:tcW w:w="3604" w:type="pct"/>
            <w:shd w:val="clear" w:color="auto" w:fill="auto"/>
          </w:tcPr>
          <w:p w14:paraId="28474C51" w14:textId="77777777" w:rsidR="006B0C9B" w:rsidRPr="00E2771E" w:rsidRDefault="006B0C9B" w:rsidP="00A704EE">
            <w:pPr>
              <w:pStyle w:val="TableText0"/>
            </w:pPr>
            <w:r w:rsidRPr="001712A5">
              <w:t>Partitioned survival model</w:t>
            </w:r>
          </w:p>
        </w:tc>
      </w:tr>
      <w:tr w:rsidR="006B0C9B" w:rsidRPr="00E2771E" w14:paraId="119EBE48" w14:textId="77777777" w:rsidTr="00A704EE">
        <w:tc>
          <w:tcPr>
            <w:tcW w:w="1396" w:type="pct"/>
            <w:shd w:val="clear" w:color="auto" w:fill="auto"/>
            <w:vAlign w:val="center"/>
          </w:tcPr>
          <w:p w14:paraId="1ABC51D5" w14:textId="77777777" w:rsidR="006B0C9B" w:rsidRPr="00E2771E" w:rsidRDefault="006B0C9B" w:rsidP="00A704EE">
            <w:pPr>
              <w:pStyle w:val="TableText0"/>
            </w:pPr>
            <w:r w:rsidRPr="00E2771E">
              <w:t>Health states</w:t>
            </w:r>
          </w:p>
        </w:tc>
        <w:tc>
          <w:tcPr>
            <w:tcW w:w="3604" w:type="pct"/>
            <w:shd w:val="clear" w:color="auto" w:fill="auto"/>
            <w:vAlign w:val="center"/>
          </w:tcPr>
          <w:p w14:paraId="459C20AF" w14:textId="77777777" w:rsidR="006B0C9B" w:rsidRPr="00E2771E" w:rsidRDefault="006B0C9B" w:rsidP="00A704EE">
            <w:pPr>
              <w:pStyle w:val="TableText0"/>
            </w:pPr>
            <w:r>
              <w:t>3 mutually exclusive health states: pre-progression; post-progression; and death</w:t>
            </w:r>
          </w:p>
        </w:tc>
      </w:tr>
      <w:tr w:rsidR="006B0C9B" w:rsidRPr="00E2771E" w14:paraId="6108FA12" w14:textId="77777777" w:rsidTr="00A704EE">
        <w:tc>
          <w:tcPr>
            <w:tcW w:w="1396" w:type="pct"/>
            <w:shd w:val="clear" w:color="auto" w:fill="auto"/>
            <w:vAlign w:val="center"/>
          </w:tcPr>
          <w:p w14:paraId="11F6886E" w14:textId="77777777" w:rsidR="006B0C9B" w:rsidRPr="00E2771E" w:rsidRDefault="006B0C9B" w:rsidP="00A704EE">
            <w:pPr>
              <w:pStyle w:val="TableText0"/>
            </w:pPr>
            <w:r w:rsidRPr="00E2771E">
              <w:t>Cycle length</w:t>
            </w:r>
          </w:p>
        </w:tc>
        <w:tc>
          <w:tcPr>
            <w:tcW w:w="3604" w:type="pct"/>
            <w:shd w:val="clear" w:color="auto" w:fill="auto"/>
            <w:vAlign w:val="center"/>
          </w:tcPr>
          <w:p w14:paraId="39DCA73F" w14:textId="77777777" w:rsidR="006B0C9B" w:rsidRPr="00E2771E" w:rsidRDefault="006B0C9B" w:rsidP="00A704EE">
            <w:pPr>
              <w:pStyle w:val="TableText0"/>
            </w:pPr>
            <w:r>
              <w:t>One-week cycle</w:t>
            </w:r>
          </w:p>
        </w:tc>
      </w:tr>
      <w:tr w:rsidR="006B0C9B" w:rsidRPr="00E2771E" w14:paraId="78338CF3" w14:textId="77777777" w:rsidTr="00A704EE">
        <w:tc>
          <w:tcPr>
            <w:tcW w:w="1396" w:type="pct"/>
            <w:shd w:val="clear" w:color="auto" w:fill="auto"/>
            <w:vAlign w:val="center"/>
          </w:tcPr>
          <w:p w14:paraId="306E6ABE" w14:textId="77777777" w:rsidR="006B0C9B" w:rsidRDefault="006B0C9B" w:rsidP="00A704EE">
            <w:pPr>
              <w:pStyle w:val="TableText0"/>
            </w:pPr>
            <w:r w:rsidRPr="00E2771E">
              <w:t>Transition probabilities</w:t>
            </w:r>
            <w:r>
              <w:t xml:space="preserve"> or</w:t>
            </w:r>
          </w:p>
          <w:p w14:paraId="1701CB93" w14:textId="77777777" w:rsidR="006B0C9B" w:rsidRPr="00E2771E" w:rsidRDefault="006B0C9B" w:rsidP="00A704EE">
            <w:pPr>
              <w:pStyle w:val="TableText0"/>
            </w:pPr>
            <w:r>
              <w:t>Allocation to health states (if partitioned survival model)</w:t>
            </w:r>
          </w:p>
        </w:tc>
        <w:tc>
          <w:tcPr>
            <w:tcW w:w="3604" w:type="pct"/>
            <w:shd w:val="clear" w:color="auto" w:fill="auto"/>
            <w:vAlign w:val="center"/>
          </w:tcPr>
          <w:p w14:paraId="3AEB83FE" w14:textId="77777777" w:rsidR="006B0C9B" w:rsidRPr="00E2771E" w:rsidRDefault="006B0C9B" w:rsidP="00A704EE">
            <w:pPr>
              <w:pStyle w:val="TableText0"/>
            </w:pPr>
            <w:r w:rsidRPr="009A5528">
              <w:t>The proportions of patients in each health state at each cycle are based on the OS and PFS curves.</w:t>
            </w:r>
          </w:p>
        </w:tc>
      </w:tr>
      <w:tr w:rsidR="006B0C9B" w:rsidRPr="00E2771E" w14:paraId="2176F085" w14:textId="77777777" w:rsidTr="00A704EE">
        <w:tc>
          <w:tcPr>
            <w:tcW w:w="1396" w:type="pct"/>
            <w:shd w:val="clear" w:color="auto" w:fill="auto"/>
            <w:vAlign w:val="center"/>
          </w:tcPr>
          <w:p w14:paraId="6CB332C5" w14:textId="77777777" w:rsidR="006B0C9B" w:rsidRPr="00E2771E" w:rsidRDefault="006B0C9B" w:rsidP="00A704EE">
            <w:pPr>
              <w:pStyle w:val="TableText0"/>
            </w:pPr>
            <w:r>
              <w:t>Extrapolation method</w:t>
            </w:r>
          </w:p>
        </w:tc>
        <w:tc>
          <w:tcPr>
            <w:tcW w:w="3604" w:type="pct"/>
            <w:shd w:val="clear" w:color="auto" w:fill="auto"/>
            <w:vAlign w:val="center"/>
          </w:tcPr>
          <w:p w14:paraId="31AFB05F" w14:textId="3D67D576" w:rsidR="006B0C9B" w:rsidRDefault="006B0C9B" w:rsidP="00A704EE">
            <w:pPr>
              <w:pStyle w:val="TableText0"/>
            </w:pPr>
            <w:r>
              <w:t xml:space="preserve">For tebentafusp, OS was modelled using a piecewise approach whereby OS KM estimates from the IMCgp100-202 trial were used up to 28 months, </w:t>
            </w:r>
            <w:r w:rsidRPr="00306C71">
              <w:t>after which extrapolation was applied using log-normal distribution.</w:t>
            </w:r>
          </w:p>
          <w:p w14:paraId="5374DA1F" w14:textId="77777777" w:rsidR="00521E5D" w:rsidRDefault="00521E5D" w:rsidP="00A704EE">
            <w:pPr>
              <w:pStyle w:val="TableText0"/>
            </w:pPr>
          </w:p>
          <w:p w14:paraId="3C0DE947" w14:textId="44E0B153" w:rsidR="006B0C9B" w:rsidRDefault="006B0C9B" w:rsidP="00A704EE">
            <w:pPr>
              <w:pStyle w:val="TableText0"/>
            </w:pPr>
            <w:r>
              <w:t>For pembrolizumab, a standard parametric model, using Weibull distribution, was fitted to observed OS KM estimates from IMCgp100-202 trial.</w:t>
            </w:r>
          </w:p>
          <w:p w14:paraId="7AFFA3BA" w14:textId="77777777" w:rsidR="00521E5D" w:rsidRDefault="00521E5D" w:rsidP="00A704EE">
            <w:pPr>
              <w:pStyle w:val="TableText0"/>
            </w:pPr>
          </w:p>
          <w:p w14:paraId="7CBB2E8B" w14:textId="3C3909F6" w:rsidR="006B0C9B" w:rsidRDefault="006B0C9B" w:rsidP="00A704EE">
            <w:pPr>
              <w:pStyle w:val="TableText0"/>
            </w:pPr>
            <w:r>
              <w:t xml:space="preserve">For both treatment arms, PFS was modelled using a piecewise approach whereby PFS KM estimates from the IMCgp100-202 trial were used up to the time point when 10% of the patients remain at risk, </w:t>
            </w:r>
            <w:r w:rsidRPr="00306C71">
              <w:t xml:space="preserve">after which extrapolation was applied using </w:t>
            </w:r>
            <w:r>
              <w:t>generalised gamma</w:t>
            </w:r>
            <w:r w:rsidRPr="00306C71">
              <w:t xml:space="preserve"> distribution.</w:t>
            </w:r>
          </w:p>
          <w:p w14:paraId="733FF1B7" w14:textId="77777777" w:rsidR="00521E5D" w:rsidRDefault="00521E5D" w:rsidP="00A704EE">
            <w:pPr>
              <w:pStyle w:val="TableText0"/>
            </w:pPr>
          </w:p>
          <w:p w14:paraId="33F57DF6" w14:textId="0BF24880" w:rsidR="006B0C9B" w:rsidRDefault="006B0C9B" w:rsidP="00A704EE">
            <w:pPr>
              <w:pStyle w:val="TableText0"/>
            </w:pPr>
            <w:r>
              <w:t>For both treatment arms, TTD was modelled using a piecewise approach whereby TTD KM estimates from the IMCgp100-202 trial were used up to the time point when 10% of the patients remain at risk, after which extrapolation was applied using exponential distribution.</w:t>
            </w:r>
          </w:p>
          <w:p w14:paraId="6BEE1CC2" w14:textId="77777777" w:rsidR="006B0C9B" w:rsidRDefault="006B0C9B" w:rsidP="00A704EE">
            <w:pPr>
              <w:pStyle w:val="TableText0"/>
            </w:pPr>
          </w:p>
          <w:p w14:paraId="28D228E0" w14:textId="29255D8A" w:rsidR="006B0C9B" w:rsidRPr="00B84048" w:rsidRDefault="006B0C9B" w:rsidP="00A704EE">
            <w:pPr>
              <w:pStyle w:val="TableText0"/>
            </w:pPr>
            <w:r w:rsidRPr="00B84048">
              <w:t>8</w:t>
            </w:r>
            <w:r w:rsidR="009A353D" w:rsidRPr="00B84048">
              <w:t>3</w:t>
            </w:r>
            <w:r w:rsidRPr="00B84048">
              <w:t>% of the incremental LYGs (discounted) occurred in the extrapolated period.</w:t>
            </w:r>
          </w:p>
        </w:tc>
      </w:tr>
      <w:tr w:rsidR="006B0C9B" w:rsidRPr="00E2771E" w14:paraId="7F1CAC72" w14:textId="77777777" w:rsidTr="00A704EE">
        <w:tc>
          <w:tcPr>
            <w:tcW w:w="1396" w:type="pct"/>
            <w:shd w:val="clear" w:color="auto" w:fill="auto"/>
            <w:vAlign w:val="center"/>
          </w:tcPr>
          <w:p w14:paraId="6AF5DB4E" w14:textId="77777777" w:rsidR="006B0C9B" w:rsidRPr="001F4081" w:rsidRDefault="006B0C9B" w:rsidP="00A704EE">
            <w:pPr>
              <w:pStyle w:val="TableText0"/>
            </w:pPr>
            <w:r>
              <w:t>Health-related quality of life</w:t>
            </w:r>
          </w:p>
        </w:tc>
        <w:tc>
          <w:tcPr>
            <w:tcW w:w="3604" w:type="pct"/>
            <w:shd w:val="clear" w:color="auto" w:fill="auto"/>
            <w:vAlign w:val="center"/>
          </w:tcPr>
          <w:p w14:paraId="74EB39FE" w14:textId="2A13C78B" w:rsidR="006B0C9B" w:rsidRPr="00E2771E" w:rsidRDefault="006B0C9B" w:rsidP="00A704EE">
            <w:pPr>
              <w:pStyle w:val="TableText0"/>
            </w:pPr>
            <w:r w:rsidRPr="0076691A">
              <w:t>Utility values were based on</w:t>
            </w:r>
            <w:r>
              <w:t xml:space="preserve"> a</w:t>
            </w:r>
            <w:r w:rsidRPr="0076691A">
              <w:t xml:space="preserve"> time-to-death approach</w:t>
            </w:r>
            <w:r>
              <w:t xml:space="preserve">. </w:t>
            </w:r>
          </w:p>
        </w:tc>
      </w:tr>
    </w:tbl>
    <w:p w14:paraId="0A109644" w14:textId="77777777" w:rsidR="006B0C9B" w:rsidRPr="006B0C9B" w:rsidRDefault="006B0C9B" w:rsidP="006B0C9B">
      <w:pPr>
        <w:pStyle w:val="FooterTableFigure"/>
      </w:pPr>
      <w:r w:rsidRPr="006B0C9B">
        <w:t>Source: Table 3.1.1, p120 and Section 3.2, pp120-130 of the submission.</w:t>
      </w:r>
    </w:p>
    <w:p w14:paraId="39616421" w14:textId="77777777" w:rsidR="006B0C9B" w:rsidRPr="006B0C9B" w:rsidRDefault="006B0C9B" w:rsidP="006B0C9B">
      <w:pPr>
        <w:pStyle w:val="FooterTableFigure"/>
      </w:pPr>
      <w:r w:rsidRPr="006B0C9B">
        <w:t>EQ-5D = European Quality of Life Five Dimension, LY = life-years, OS = overall survival, PFS = progression-free survival, QALY = quality-adjusted life years, TA = technology appraisal, TTD = time-to-treatment discontinuation.</w:t>
      </w:r>
    </w:p>
    <w:p w14:paraId="35D043CB" w14:textId="253B5673" w:rsidR="006B0C9B" w:rsidRPr="00653DD9" w:rsidRDefault="006B0C9B" w:rsidP="006B0C9B">
      <w:pPr>
        <w:pStyle w:val="3-BodyText"/>
      </w:pPr>
      <w:r w:rsidRPr="00653DD9">
        <w:t xml:space="preserve">The submission presented a partitioned survival model with three mutually exclusive health states: pre-progression, post-progression, and death, to model the costs and health outcomes for tebentafusp versus pembrolizumab for the treatment of advanced UM. In the partitioned model, extrapolation of the hazard </w:t>
      </w:r>
      <w:r w:rsidR="00521E5D" w:rsidRPr="00653DD9">
        <w:t>wa</w:t>
      </w:r>
      <w:r w:rsidRPr="00653DD9">
        <w:t>s based only on the time trend in the hazard observed for the within-trial period (up until 28 months in this model) which was unrealistically generalised throughout the extrapolation period (up to 20 years).</w:t>
      </w:r>
    </w:p>
    <w:p w14:paraId="0F7B71C9" w14:textId="4952B01C" w:rsidR="006B0C9B" w:rsidRPr="00653DD9" w:rsidRDefault="006B0C9B" w:rsidP="006B0C9B">
      <w:pPr>
        <w:pStyle w:val="3-BodyText"/>
      </w:pPr>
      <w:r w:rsidRPr="00653DD9">
        <w:t xml:space="preserve">In the base case, the intervention arm of the economic model was informed by the subgroup of patients in the tebentafusp arm pre-selected to receive pembrolizumab prior to randomisation (tebentafusp PCP) and the control arm was informed by the subgroup of the investigator’s choice arm who received pembrolizumab in the IMCgp100-202 trial. </w:t>
      </w:r>
    </w:p>
    <w:p w14:paraId="6D866491" w14:textId="2B1C9C26" w:rsidR="006B0C9B" w:rsidRPr="00653DD9" w:rsidRDefault="006B0C9B" w:rsidP="00A704EE">
      <w:pPr>
        <w:pStyle w:val="3-BodyText"/>
      </w:pPr>
      <w:r w:rsidRPr="00653DD9">
        <w:t xml:space="preserve">The trial-based economic evaluation was based on observed KM estimates from </w:t>
      </w:r>
      <w:r w:rsidR="00E00A1F" w:rsidRPr="00653DD9">
        <w:t xml:space="preserve">the </w:t>
      </w:r>
      <w:r w:rsidRPr="00653DD9">
        <w:t>IMCgp100-202 trial, using the latest data cut-off (April 2022)</w:t>
      </w:r>
      <w:r w:rsidR="005C5786" w:rsidRPr="00653DD9">
        <w:t xml:space="preserve">, at which point the </w:t>
      </w:r>
      <w:r w:rsidRPr="00653DD9">
        <w:lastRenderedPageBreak/>
        <w:t>maximum duration of follow-up was approximately 50 months. Parametric distributions with best relative fit according to Akaike's Information Criteria (AIC) and Bayesian Information Criteria (BIC), visual inspection and clinical plausibility were used to extrapolate the KM function curves (OS, PFS, time-to-treatment discontinuation (TTD)) over a time horizon of 20 years.</w:t>
      </w:r>
    </w:p>
    <w:p w14:paraId="57CCF926" w14:textId="64699A95" w:rsidR="006B0C9B" w:rsidRPr="00AF3847" w:rsidRDefault="006B0C9B" w:rsidP="006B0C9B">
      <w:pPr>
        <w:pStyle w:val="3-BodyText"/>
      </w:pPr>
      <w:bookmarkStart w:id="52" w:name="_Ref126932650"/>
      <w:bookmarkStart w:id="53" w:name="_Ref126936461"/>
      <w:r w:rsidRPr="00AF3847">
        <w:t xml:space="preserve">The time horizon of 20 years </w:t>
      </w:r>
      <w:r w:rsidR="005C5786" w:rsidRPr="00AF3847">
        <w:t>was</w:t>
      </w:r>
      <w:r w:rsidRPr="00AF3847">
        <w:t xml:space="preserve"> long for this population, given patients with metastatic disease have poor prognosis, with a median overall survival of 10-12 months. </w:t>
      </w:r>
      <w:r w:rsidR="008769F9" w:rsidRPr="00AF3847">
        <w:t xml:space="preserve">The PSCR stated that although the survival of patients treated with the current standard of care is short, a proportion of patients in the IMCgp100-202 trial experienced long-term survival as demonstrated by the sustained plateau effect beyond Year 3 in the tebentafusp arm. </w:t>
      </w:r>
      <w:r w:rsidR="00BC1EBA" w:rsidRPr="00AF3847">
        <w:t xml:space="preserve">The ESC noted that the number of patients remaining at risk beyond 3 and 4 years was small (i.e. &lt; 10% and &lt; 2% respectively, see </w:t>
      </w:r>
      <w:r w:rsidR="00BC1EBA" w:rsidRPr="00AF3847">
        <w:fldChar w:fldCharType="begin" w:fldLock="1"/>
      </w:r>
      <w:r w:rsidR="00BC1EBA" w:rsidRPr="00AF3847">
        <w:instrText xml:space="preserve"> REF _Ref121074446 \h  \* MERGEFORMAT </w:instrText>
      </w:r>
      <w:r w:rsidR="00BC1EBA" w:rsidRPr="00AF3847">
        <w:fldChar w:fldCharType="separate"/>
      </w:r>
      <w:r w:rsidR="00A53FF4">
        <w:t xml:space="preserve">Figure </w:t>
      </w:r>
      <w:r w:rsidR="00A53FF4">
        <w:rPr>
          <w:noProof/>
        </w:rPr>
        <w:t>2</w:t>
      </w:r>
      <w:r w:rsidR="00BC1EBA" w:rsidRPr="00AF3847">
        <w:fldChar w:fldCharType="end"/>
      </w:r>
      <w:r w:rsidR="00BC1EBA" w:rsidRPr="00AF3847">
        <w:t xml:space="preserve">), meaning the Kaplan Meier estimates were unreliable and the assumption of a plateau effect </w:t>
      </w:r>
      <w:r w:rsidR="0020585E" w:rsidRPr="00AF3847">
        <w:t>was not supported by the available data</w:t>
      </w:r>
      <w:r w:rsidR="00BC1EBA" w:rsidRPr="00AF3847">
        <w:t>.</w:t>
      </w:r>
      <w:bookmarkEnd w:id="52"/>
      <w:r w:rsidR="00207119" w:rsidRPr="00AF3847">
        <w:t xml:space="preserve"> </w:t>
      </w:r>
      <w:bookmarkEnd w:id="53"/>
      <w:r w:rsidR="00AB6E47">
        <w:t>The pre-PBAC response presented a revised base case in which the time horizon was reduced to 15 years.</w:t>
      </w:r>
    </w:p>
    <w:p w14:paraId="76D38528" w14:textId="6A4AB005" w:rsidR="00282268" w:rsidRPr="00AF3847" w:rsidRDefault="005C5786" w:rsidP="006B0C9B">
      <w:pPr>
        <w:pStyle w:val="3-BodyText"/>
      </w:pPr>
      <w:r w:rsidRPr="00AF3847">
        <w:t>T</w:t>
      </w:r>
      <w:r w:rsidR="006B0C9B" w:rsidRPr="00AF3847">
        <w:t xml:space="preserve">he submission used different modelling approaches for the extrapolation of OS in the </w:t>
      </w:r>
      <w:r w:rsidR="00D1456F" w:rsidRPr="00AF3847">
        <w:t>tebentafusp</w:t>
      </w:r>
      <w:r w:rsidRPr="00AF3847">
        <w:t xml:space="preserve"> and pembrolizumab arms</w:t>
      </w:r>
      <w:r w:rsidR="00F773CD" w:rsidRPr="00AF3847">
        <w:t xml:space="preserve"> as the assumption of proportional hazards was not met</w:t>
      </w:r>
      <w:r w:rsidR="006B0C9B" w:rsidRPr="00AF3847">
        <w:t xml:space="preserve">. </w:t>
      </w:r>
      <w:bookmarkStart w:id="54" w:name="_Hlk121429802"/>
      <w:r w:rsidR="006B0C9B" w:rsidRPr="00AF3847">
        <w:t xml:space="preserve">The submission stated that the hazard plots for OS, presented in </w:t>
      </w:r>
      <w:r w:rsidR="006B0C9B" w:rsidRPr="00AF3847">
        <w:fldChar w:fldCharType="begin" w:fldLock="1"/>
      </w:r>
      <w:r w:rsidR="006B0C9B" w:rsidRPr="00AF3847">
        <w:instrText xml:space="preserve"> REF _Ref121420525 \h </w:instrText>
      </w:r>
      <w:r w:rsidR="00653DD9" w:rsidRPr="00AF3847">
        <w:instrText xml:space="preserve"> \* MERGEFORMAT </w:instrText>
      </w:r>
      <w:r w:rsidR="006B0C9B" w:rsidRPr="00AF3847">
        <w:fldChar w:fldCharType="separate"/>
      </w:r>
      <w:r w:rsidR="00A53FF4">
        <w:t xml:space="preserve">Figure </w:t>
      </w:r>
      <w:r w:rsidR="00A53FF4">
        <w:rPr>
          <w:noProof/>
        </w:rPr>
        <w:t>4</w:t>
      </w:r>
      <w:r w:rsidR="006B0C9B" w:rsidRPr="00AF3847">
        <w:fldChar w:fldCharType="end"/>
      </w:r>
      <w:r w:rsidR="006B0C9B" w:rsidRPr="00AF3847">
        <w:t>, were distinct between the tebentafusp arm and the pembrolizumab arm</w:t>
      </w:r>
      <w:r w:rsidR="00284DD8" w:rsidRPr="00AF3847">
        <w:t>.</w:t>
      </w:r>
      <w:r w:rsidR="00F773CD" w:rsidRPr="00AF3847">
        <w:t xml:space="preserve"> This was reasonable for the trial period.</w:t>
      </w:r>
    </w:p>
    <w:p w14:paraId="49731307" w14:textId="30F3194D" w:rsidR="00C125F2" w:rsidRPr="00AF3847" w:rsidRDefault="006B0C9B" w:rsidP="00C125F2">
      <w:pPr>
        <w:pStyle w:val="3-BodyText"/>
      </w:pPr>
      <w:r w:rsidRPr="00AF3847">
        <w:t>The submission used the trial data to create the hazard plot</w:t>
      </w:r>
      <w:r w:rsidR="00BC1EBA" w:rsidRPr="00AF3847">
        <w:t xml:space="preserve"> (</w:t>
      </w:r>
      <w:r w:rsidR="00BC1EBA" w:rsidRPr="00AF3847">
        <w:fldChar w:fldCharType="begin" w:fldLock="1"/>
      </w:r>
      <w:r w:rsidR="00BC1EBA" w:rsidRPr="00AF3847">
        <w:instrText xml:space="preserve"> REF _Ref121420525 \h </w:instrText>
      </w:r>
      <w:r w:rsidR="00AF3847" w:rsidRPr="00AF3847">
        <w:instrText xml:space="preserve"> \* MERGEFORMAT </w:instrText>
      </w:r>
      <w:r w:rsidR="00BC1EBA" w:rsidRPr="00AF3847">
        <w:fldChar w:fldCharType="separate"/>
      </w:r>
      <w:r w:rsidR="00A53FF4">
        <w:t xml:space="preserve">Figure </w:t>
      </w:r>
      <w:r w:rsidR="00A53FF4">
        <w:rPr>
          <w:noProof/>
        </w:rPr>
        <w:t>4</w:t>
      </w:r>
      <w:r w:rsidR="00BC1EBA" w:rsidRPr="00AF3847">
        <w:fldChar w:fldCharType="end"/>
      </w:r>
      <w:r w:rsidR="00BC1EBA" w:rsidRPr="00AF3847">
        <w:t>)</w:t>
      </w:r>
      <w:r w:rsidRPr="00AF3847">
        <w:t xml:space="preserve">; however, it did not provide </w:t>
      </w:r>
      <w:r w:rsidR="005C5786" w:rsidRPr="00AF3847">
        <w:t xml:space="preserve">information as to </w:t>
      </w:r>
      <w:r w:rsidRPr="00AF3847">
        <w:t xml:space="preserve">how the hazard would look beyond the duration of the trial to validate the modelling approach used. </w:t>
      </w:r>
      <w:r w:rsidR="00282268" w:rsidRPr="00AF3847">
        <w:t xml:space="preserve">According to the National Institute for Health and Care Excellence (NICE) Decision Support Unit (DSU) Technical Support Document (TSD) 21, to accurately capture OS functions, there is a need to consider the hazards both within the trial period and beyond the duration of the trial. </w:t>
      </w:r>
      <w:r w:rsidR="005C5786" w:rsidRPr="00AF3847">
        <w:t>R</w:t>
      </w:r>
      <w:r w:rsidRPr="00AF3847">
        <w:t xml:space="preserve">egistry data or data from the single-arm study of tebentafusp (IMCgp100-102) could </w:t>
      </w:r>
      <w:r w:rsidR="005C5786" w:rsidRPr="00AF3847">
        <w:t xml:space="preserve">have been </w:t>
      </w:r>
      <w:r w:rsidRPr="00AF3847">
        <w:t xml:space="preserve">used to provide external validation of the model. </w:t>
      </w:r>
      <w:bookmarkEnd w:id="54"/>
      <w:r w:rsidR="00C125F2" w:rsidRPr="00AF3847">
        <w:t xml:space="preserve">The </w:t>
      </w:r>
      <w:r w:rsidR="003D7FB6" w:rsidRPr="00AF3847">
        <w:t>ESC considered that the submission should follow the advice of NICE</w:t>
      </w:r>
      <w:r w:rsidR="00C125F2" w:rsidRPr="00AF3847">
        <w:t xml:space="preserve"> TDS 21 (page 88) </w:t>
      </w:r>
      <w:r w:rsidR="003D7FB6" w:rsidRPr="00AF3847">
        <w:t>and</w:t>
      </w:r>
      <w:r w:rsidR="00C125F2" w:rsidRPr="00AF3847">
        <w:t>:</w:t>
      </w:r>
    </w:p>
    <w:p w14:paraId="5EADD0D4" w14:textId="77777777" w:rsidR="00C125F2" w:rsidRPr="00AF3847" w:rsidRDefault="00C125F2" w:rsidP="00AE1C6A">
      <w:pPr>
        <w:pStyle w:val="3-BodyText"/>
        <w:numPr>
          <w:ilvl w:val="0"/>
          <w:numId w:val="10"/>
        </w:numPr>
        <w:snapToGrid w:val="0"/>
        <w:ind w:left="1080"/>
      </w:pPr>
      <w:r w:rsidRPr="00AF3847">
        <w:t>Present the fitted and extrapolated hazard and survival functions;</w:t>
      </w:r>
    </w:p>
    <w:p w14:paraId="4D313453" w14:textId="77777777" w:rsidR="00C125F2" w:rsidRPr="00AF3847" w:rsidRDefault="00C125F2" w:rsidP="00AE1C6A">
      <w:pPr>
        <w:pStyle w:val="3-BodyText"/>
        <w:numPr>
          <w:ilvl w:val="0"/>
          <w:numId w:val="10"/>
        </w:numPr>
        <w:snapToGrid w:val="0"/>
        <w:ind w:left="1080"/>
      </w:pPr>
      <w:r w:rsidRPr="00AF3847">
        <w:t>Plot the expected general population survival and hazard functions (to test plausibility);</w:t>
      </w:r>
    </w:p>
    <w:p w14:paraId="73B12FC9" w14:textId="77777777" w:rsidR="00C125F2" w:rsidRPr="00AF3847" w:rsidRDefault="00C125F2" w:rsidP="00AE1C6A">
      <w:pPr>
        <w:pStyle w:val="3-BodyText"/>
        <w:numPr>
          <w:ilvl w:val="0"/>
          <w:numId w:val="10"/>
        </w:numPr>
        <w:snapToGrid w:val="0"/>
        <w:ind w:left="1080"/>
      </w:pPr>
      <w:r w:rsidRPr="00AF3847">
        <w:t xml:space="preserve">Incorporate background mortality into the model (to avoid highly implausible assumptions); </w:t>
      </w:r>
    </w:p>
    <w:p w14:paraId="6F8337D7" w14:textId="77777777" w:rsidR="00C125F2" w:rsidRPr="00AF3847" w:rsidRDefault="00C125F2" w:rsidP="00AE1C6A">
      <w:pPr>
        <w:pStyle w:val="3-BodyText"/>
        <w:numPr>
          <w:ilvl w:val="0"/>
          <w:numId w:val="10"/>
        </w:numPr>
        <w:snapToGrid w:val="0"/>
        <w:ind w:left="1080"/>
      </w:pPr>
      <w:r w:rsidRPr="00AF3847">
        <w:t>Incorporate other external information, such as registry data if available, being careful to account for any differences in the external population; and</w:t>
      </w:r>
    </w:p>
    <w:p w14:paraId="18021CD5" w14:textId="77777777" w:rsidR="00C125F2" w:rsidRPr="00AF3847" w:rsidRDefault="00C125F2" w:rsidP="00AE1C6A">
      <w:pPr>
        <w:pStyle w:val="3-BodyText"/>
        <w:numPr>
          <w:ilvl w:val="0"/>
          <w:numId w:val="10"/>
        </w:numPr>
        <w:snapToGrid w:val="0"/>
        <w:ind w:left="1080"/>
      </w:pPr>
      <w:r w:rsidRPr="00AF3847">
        <w:t>Apply these principles to both arms of the trial.</w:t>
      </w:r>
    </w:p>
    <w:p w14:paraId="5780FEFA" w14:textId="77777777" w:rsidR="00C125F2" w:rsidRPr="00653DD9" w:rsidRDefault="00C125F2" w:rsidP="00BC1EBA">
      <w:pPr>
        <w:pStyle w:val="3-BodyText"/>
        <w:numPr>
          <w:ilvl w:val="0"/>
          <w:numId w:val="0"/>
        </w:numPr>
      </w:pPr>
    </w:p>
    <w:p w14:paraId="4F4140FF" w14:textId="39A95F4F" w:rsidR="006B0C9B" w:rsidRDefault="006B0C9B" w:rsidP="006B0C9B">
      <w:pPr>
        <w:pStyle w:val="TableFigureHeading"/>
      </w:pPr>
      <w:bookmarkStart w:id="55" w:name="_Ref121420525"/>
      <w:r>
        <w:t xml:space="preserve">Figure </w:t>
      </w:r>
      <w:r>
        <w:fldChar w:fldCharType="begin" w:fldLock="1"/>
      </w:r>
      <w:r>
        <w:instrText>seq Figure</w:instrText>
      </w:r>
      <w:r>
        <w:fldChar w:fldCharType="separate"/>
      </w:r>
      <w:r w:rsidR="00A53FF4">
        <w:rPr>
          <w:noProof/>
        </w:rPr>
        <w:t>4</w:t>
      </w:r>
      <w:r>
        <w:fldChar w:fldCharType="end"/>
      </w:r>
      <w:bookmarkEnd w:id="55"/>
      <w:r>
        <w:t>: Hazard plot for tebentafusp (PCP) versus pembrolizumab</w:t>
      </w:r>
    </w:p>
    <w:p w14:paraId="15675CEB" w14:textId="77777777" w:rsidR="006B0C9B" w:rsidRDefault="006B0C9B" w:rsidP="006B0C9B">
      <w:pPr>
        <w:pStyle w:val="FooterTableFigure"/>
      </w:pPr>
      <w:r w:rsidRPr="00D11BD8">
        <w:rPr>
          <w:noProof/>
        </w:rPr>
        <w:drawing>
          <wp:inline distT="0" distB="0" distL="0" distR="0" wp14:anchorId="590B7883" wp14:editId="703753F1">
            <wp:extent cx="4732934" cy="2940685"/>
            <wp:effectExtent l="0" t="0" r="0" b="0"/>
            <wp:docPr id="518" name="Picture 518" descr="Figure 4: Hazard plot for tebentafusp (PCP) versus pembroliz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descr="Figure 4: Hazard plot for tebentafusp (PCP) versus pembrolizumab"/>
                    <pic:cNvPicPr/>
                  </pic:nvPicPr>
                  <pic:blipFill>
                    <a:blip r:embed="rId11"/>
                    <a:stretch>
                      <a:fillRect/>
                    </a:stretch>
                  </pic:blipFill>
                  <pic:spPr>
                    <a:xfrm>
                      <a:off x="0" y="0"/>
                      <a:ext cx="4733435" cy="2940996"/>
                    </a:xfrm>
                    <a:prstGeom prst="rect">
                      <a:avLst/>
                    </a:prstGeom>
                    <a:ln w="19050">
                      <a:noFill/>
                    </a:ln>
                  </pic:spPr>
                </pic:pic>
              </a:graphicData>
            </a:graphic>
          </wp:inline>
        </w:drawing>
      </w:r>
    </w:p>
    <w:p w14:paraId="39645486" w14:textId="2CDB2CC2" w:rsidR="006B0C9B" w:rsidRDefault="006B0C9B" w:rsidP="006B0C9B">
      <w:pPr>
        <w:pStyle w:val="FooterTableFigure"/>
      </w:pPr>
      <w:r>
        <w:t xml:space="preserve">Source: Figure 3.4-4, p137 of the submission. </w:t>
      </w:r>
    </w:p>
    <w:p w14:paraId="42630C2C" w14:textId="77777777" w:rsidR="006B0C9B" w:rsidRDefault="006B0C9B" w:rsidP="006B0C9B">
      <w:pPr>
        <w:pStyle w:val="FooterTableFigure"/>
      </w:pPr>
      <w:r>
        <w:t>PCP = pre-choice pembrolizumab.</w:t>
      </w:r>
    </w:p>
    <w:p w14:paraId="1DBCF450" w14:textId="007B85ED" w:rsidR="00E00A1F" w:rsidRPr="00AF3847" w:rsidRDefault="006B0C9B" w:rsidP="00E00A1F">
      <w:pPr>
        <w:pStyle w:val="3-BodyText"/>
      </w:pPr>
      <w:r w:rsidRPr="00AF3847">
        <w:t xml:space="preserve">For tebentafusp, the submission used piecewise modelling given the biphasic hazard plot (increasing then decreasing hazard) observed in the tebentafusp PCP arm. </w:t>
      </w:r>
      <w:r w:rsidR="008074FE" w:rsidRPr="00AF3847">
        <w:t>T</w:t>
      </w:r>
      <w:r w:rsidRPr="00AF3847">
        <w:t>he OS KM data from the IMCgp100-202 trial were used up to 28 months (where the change in hazard was observed</w:t>
      </w:r>
      <w:r w:rsidR="008074FE" w:rsidRPr="00AF3847">
        <w:t>; piece 1</w:t>
      </w:r>
      <w:r w:rsidRPr="00AF3847">
        <w:t>)</w:t>
      </w:r>
      <w:r w:rsidR="008074FE" w:rsidRPr="00AF3847">
        <w:t xml:space="preserve">. </w:t>
      </w:r>
      <w:r w:rsidR="00C94BC6" w:rsidRPr="00AF3847">
        <w:t xml:space="preserve">For the plateau period beyond 28 months, a log-normal distribution was applied to the remaining Kaplan Meier data (piece 2). </w:t>
      </w:r>
      <w:r w:rsidR="00BE413E" w:rsidRPr="00AF3847">
        <w:t>T</w:t>
      </w:r>
      <w:r w:rsidR="008074FE" w:rsidRPr="00AF3847">
        <w:t xml:space="preserve">he </w:t>
      </w:r>
      <w:r w:rsidR="00C94BC6" w:rsidRPr="00AF3847">
        <w:t xml:space="preserve">modelling was piecewise as the </w:t>
      </w:r>
      <w:r w:rsidR="008074FE" w:rsidRPr="00AF3847">
        <w:t xml:space="preserve">Kaplan Meier data prior to the cut-point </w:t>
      </w:r>
      <w:r w:rsidR="00BE413E" w:rsidRPr="00AF3847">
        <w:t xml:space="preserve">(i.e. 28 months) </w:t>
      </w:r>
      <w:r w:rsidR="008074FE" w:rsidRPr="00AF3847">
        <w:t>were not used to inform the</w:t>
      </w:r>
      <w:r w:rsidRPr="00AF3847">
        <w:t xml:space="preserve"> extrapolation </w:t>
      </w:r>
      <w:r w:rsidR="00BE413E" w:rsidRPr="00AF3847">
        <w:t>after the cut-point</w:t>
      </w:r>
      <w:r w:rsidR="00C94BC6" w:rsidRPr="00AF3847">
        <w:t xml:space="preserve">. </w:t>
      </w:r>
      <w:r w:rsidR="00E00A1F" w:rsidRPr="00AF3847">
        <w:t xml:space="preserve">The use of the piecewise approach and the appropriateness of the chosen cut-point was not clinically justified by the submission given the assumed sudden change in hazard at 28 months. </w:t>
      </w:r>
      <w:bookmarkStart w:id="56" w:name="_Hlk121430073"/>
      <w:r w:rsidR="001C2985" w:rsidRPr="00AF3847">
        <w:t xml:space="preserve">Additionally, the splitting of the dataset at the chosen cut-point results in a reduced sample size in the later segment of the curve. This results in increased uncertainty in the extrapolated component over the remaining time horizon. </w:t>
      </w:r>
      <w:r w:rsidR="00B45795" w:rsidRPr="00AF3847">
        <w:t>S</w:t>
      </w:r>
      <w:r w:rsidR="00F773CD" w:rsidRPr="00AF3847">
        <w:t xml:space="preserve">tandard parametric models such as log-log, log-normal or generalised gamma can represent hazard that initially increases and then decreases (one turning point). </w:t>
      </w:r>
      <w:bookmarkEnd w:id="56"/>
      <w:r w:rsidR="00E00A1F" w:rsidRPr="00AF3847">
        <w:t xml:space="preserve">It may </w:t>
      </w:r>
      <w:r w:rsidR="00F773CD" w:rsidRPr="00AF3847">
        <w:t>have been</w:t>
      </w:r>
      <w:r w:rsidR="00E00A1F" w:rsidRPr="00AF3847">
        <w:t xml:space="preserve"> more appropriate to use a standard survival modelling approach to estimate the economic impact of </w:t>
      </w:r>
      <w:r w:rsidR="007409C2" w:rsidRPr="00AF3847">
        <w:t xml:space="preserve">tebentafusp. </w:t>
      </w:r>
      <w:r w:rsidR="008910BE" w:rsidRPr="00AF3847">
        <w:t xml:space="preserve">The PSCR acknowledged that standard parametric </w:t>
      </w:r>
      <w:r w:rsidR="008910BE" w:rsidRPr="00AF3847">
        <w:rPr>
          <w:rFonts w:cstheme="minorHAnsi"/>
          <w:lang w:val="en-US"/>
        </w:rPr>
        <w:t xml:space="preserve">models, such as log-logistic, log-normal, and generalized gamma can comprise a time-dependent mix of increasing hazard followed by decreasing hazard. However, the PSCR stated that the shape of the hazard plot of tebentafusp was distinct to that of these models which were unable to fit the plateau and capture the long-term survivors. Therefore, the PSCR </w:t>
      </w:r>
      <w:r w:rsidR="009D79BD" w:rsidRPr="00AF3847">
        <w:rPr>
          <w:rFonts w:cstheme="minorHAnsi"/>
          <w:lang w:val="en-US"/>
        </w:rPr>
        <w:t xml:space="preserve">stated </w:t>
      </w:r>
      <w:r w:rsidR="008910BE" w:rsidRPr="00AF3847">
        <w:rPr>
          <w:rFonts w:cstheme="minorHAnsi"/>
          <w:lang w:val="en-US"/>
        </w:rPr>
        <w:t xml:space="preserve">that </w:t>
      </w:r>
      <w:r w:rsidR="008910BE" w:rsidRPr="00AF3847">
        <w:rPr>
          <w:rFonts w:cstheme="minorHAnsi"/>
        </w:rPr>
        <w:t xml:space="preserve">standard parametric models are not appropriate to model OS for tebentafusp and that the piece wise approach was </w:t>
      </w:r>
      <w:r w:rsidR="008910BE" w:rsidRPr="00AF3847">
        <w:rPr>
          <w:rFonts w:cstheme="minorHAnsi"/>
        </w:rPr>
        <w:lastRenderedPageBreak/>
        <w:t>reasonable.</w:t>
      </w:r>
      <w:r w:rsidR="00207119" w:rsidRPr="00AF3847">
        <w:rPr>
          <w:rFonts w:cstheme="minorHAnsi"/>
        </w:rPr>
        <w:t xml:space="preserve"> The ESC reiterated that the low number of patients remaining at risk after approximately 36 months meant that the assumption of a plateau effect for OS in the tebentafusp arm was unreliable. Additionally, the ESC noted that the hazard plots also become unstable when there a small number of patients remaining at risk. Thus, the ESC considered that the piecewise model </w:t>
      </w:r>
      <w:r w:rsidR="00740E3D" w:rsidRPr="00AF3847">
        <w:rPr>
          <w:rFonts w:cstheme="minorHAnsi"/>
        </w:rPr>
        <w:t xml:space="preserve">applied to the </w:t>
      </w:r>
      <w:r w:rsidR="00207119" w:rsidRPr="00AF3847">
        <w:rPr>
          <w:rFonts w:cstheme="minorHAnsi"/>
        </w:rPr>
        <w:t xml:space="preserve">tebentafusp </w:t>
      </w:r>
      <w:r w:rsidR="001C2985" w:rsidRPr="00AF3847">
        <w:rPr>
          <w:rFonts w:cstheme="minorHAnsi"/>
        </w:rPr>
        <w:t xml:space="preserve">arm </w:t>
      </w:r>
      <w:r w:rsidR="00207119" w:rsidRPr="00AF3847">
        <w:rPr>
          <w:rFonts w:cstheme="minorHAnsi"/>
        </w:rPr>
        <w:t xml:space="preserve">was </w:t>
      </w:r>
      <w:r w:rsidR="001C2985" w:rsidRPr="00AF3847">
        <w:rPr>
          <w:rFonts w:cstheme="minorHAnsi"/>
        </w:rPr>
        <w:t xml:space="preserve">highly </w:t>
      </w:r>
      <w:r w:rsidR="00207119" w:rsidRPr="00AF3847">
        <w:rPr>
          <w:rFonts w:cstheme="minorHAnsi"/>
        </w:rPr>
        <w:t xml:space="preserve">optimistic. </w:t>
      </w:r>
    </w:p>
    <w:p w14:paraId="5AD9A13D" w14:textId="3C20F5AF" w:rsidR="00C125F2" w:rsidRPr="00AF3847" w:rsidRDefault="006B0C9B" w:rsidP="00C125F2">
      <w:pPr>
        <w:pStyle w:val="3-BodyText"/>
      </w:pPr>
      <w:r w:rsidRPr="00AF3847">
        <w:t xml:space="preserve">The submission used a standard parametric approach to extrapolate OS for the pembrolizumab arm. Although </w:t>
      </w:r>
      <w:r w:rsidR="00F773CD" w:rsidRPr="00AF3847">
        <w:t xml:space="preserve">the </w:t>
      </w:r>
      <w:r w:rsidRPr="00AF3847">
        <w:t>log-normal</w:t>
      </w:r>
      <w:r w:rsidR="00F773CD" w:rsidRPr="00AF3847">
        <w:t xml:space="preserve"> function</w:t>
      </w:r>
      <w:r w:rsidR="00F841CC" w:rsidRPr="00AF3847">
        <w:t xml:space="preserve"> </w:t>
      </w:r>
      <w:r w:rsidRPr="00AF3847">
        <w:t xml:space="preserve">had the lowest AIC/BIC values, the submission </w:t>
      </w:r>
      <w:r w:rsidR="00F773CD" w:rsidRPr="00AF3847">
        <w:t xml:space="preserve">stated that the </w:t>
      </w:r>
      <w:r w:rsidRPr="00AF3847">
        <w:t xml:space="preserve">Weibull distribution </w:t>
      </w:r>
      <w:r w:rsidR="00F773CD" w:rsidRPr="00AF3847">
        <w:t xml:space="preserve">was applied to the pembrolizumab </w:t>
      </w:r>
      <w:r w:rsidRPr="00AF3847">
        <w:t xml:space="preserve">OS curve </w:t>
      </w:r>
      <w:r w:rsidR="00F773CD" w:rsidRPr="00AF3847">
        <w:t xml:space="preserve">based on clinical plausibility and a comparison with </w:t>
      </w:r>
      <w:r w:rsidR="00C327D8" w:rsidRPr="00AF3847">
        <w:t xml:space="preserve">published historical pooled data </w:t>
      </w:r>
      <w:r w:rsidRPr="00AF3847">
        <w:t>from Rantala et al. (2019)</w:t>
      </w:r>
      <w:r w:rsidRPr="00AF3847">
        <w:rPr>
          <w:rStyle w:val="FootnoteReference"/>
        </w:rPr>
        <w:footnoteReference w:id="8"/>
      </w:r>
      <w:r w:rsidRPr="00AF3847">
        <w:t xml:space="preserve">. </w:t>
      </w:r>
      <w:r w:rsidR="00C327D8" w:rsidRPr="00AF3847">
        <w:t>As t</w:t>
      </w:r>
      <w:r w:rsidRPr="00AF3847">
        <w:t xml:space="preserve">he pooled data </w:t>
      </w:r>
      <w:r w:rsidR="00D57B01" w:rsidRPr="00AF3847">
        <w:t xml:space="preserve">did </w:t>
      </w:r>
      <w:r w:rsidRPr="00AF3847">
        <w:t>not include treatment modalities such as protein kinase inhibitor</w:t>
      </w:r>
      <w:r w:rsidR="00EA3768" w:rsidRPr="00AF3847">
        <w:t>s</w:t>
      </w:r>
      <w:r w:rsidRPr="00AF3847">
        <w:t xml:space="preserve"> or </w:t>
      </w:r>
      <w:r w:rsidR="009A353D" w:rsidRPr="00AF3847">
        <w:t>checkpoint inhibitors, including anti-CTLA4 or anti-PD-L1 antibod</w:t>
      </w:r>
      <w:r w:rsidR="00F773CD" w:rsidRPr="00AF3847">
        <w:t>ies</w:t>
      </w:r>
      <w:r w:rsidR="00C327D8" w:rsidRPr="00AF3847">
        <w:t>, the</w:t>
      </w:r>
      <w:r w:rsidR="009A353D" w:rsidRPr="00AF3847">
        <w:t xml:space="preserve"> comparison of </w:t>
      </w:r>
      <w:r w:rsidR="00C327D8" w:rsidRPr="00AF3847">
        <w:t xml:space="preserve">the </w:t>
      </w:r>
      <w:r w:rsidR="009A353D" w:rsidRPr="00AF3847">
        <w:t>modelled curves was not appropriate.</w:t>
      </w:r>
      <w:r w:rsidR="00F841CC" w:rsidRPr="00AF3847">
        <w:t xml:space="preserve"> </w:t>
      </w:r>
      <w:r w:rsidR="009D79BD" w:rsidRPr="00AF3847">
        <w:t>The PSCR stated that choice of a model is informed by the goodness of fit, visual inspection and clinical plausibility of the predictions in the long-term. The PSCR noted that the log-normal extrapolation predicted that 11.5% of patients would be alive at 5 years which did not align with the historical data that indicated a 0</w:t>
      </w:r>
      <w:r w:rsidR="00207119" w:rsidRPr="00AF3847">
        <w:t xml:space="preserve"> to </w:t>
      </w:r>
      <w:r w:rsidR="009D79BD" w:rsidRPr="00AF3847">
        <w:t xml:space="preserve">5% survival probability at 5 years (Ranata, 2019). </w:t>
      </w:r>
    </w:p>
    <w:p w14:paraId="6C6AEB5B" w14:textId="3EB35C6B" w:rsidR="006B0C9B" w:rsidRPr="00AF3847" w:rsidRDefault="006B0C9B" w:rsidP="006B0C9B">
      <w:pPr>
        <w:pStyle w:val="3-BodyText"/>
        <w:rPr>
          <w:color w:val="0066FF"/>
        </w:rPr>
      </w:pPr>
      <w:r w:rsidRPr="00AF3847">
        <w:t xml:space="preserve">Modelled OS curves for tebentafusp PCP and pembrolizumab are presented in </w:t>
      </w:r>
      <w:r w:rsidRPr="00AF3847">
        <w:fldChar w:fldCharType="begin" w:fldLock="1"/>
      </w:r>
      <w:r w:rsidRPr="00AF3847">
        <w:instrText xml:space="preserve"> REF _Ref121076059 \h </w:instrText>
      </w:r>
      <w:r w:rsidR="00653DD9" w:rsidRPr="00AF3847">
        <w:instrText xml:space="preserve"> \* MERGEFORMAT </w:instrText>
      </w:r>
      <w:r w:rsidRPr="00AF3847">
        <w:fldChar w:fldCharType="separate"/>
      </w:r>
      <w:r w:rsidR="00A53FF4">
        <w:t xml:space="preserve">Figure </w:t>
      </w:r>
      <w:r w:rsidR="00A53FF4">
        <w:rPr>
          <w:noProof/>
        </w:rPr>
        <w:t>5</w:t>
      </w:r>
      <w:r w:rsidRPr="00AF3847">
        <w:fldChar w:fldCharType="end"/>
      </w:r>
      <w:r w:rsidRPr="00AF3847">
        <w:rPr>
          <w:color w:val="0066FF"/>
        </w:rPr>
        <w:t>.</w:t>
      </w:r>
    </w:p>
    <w:p w14:paraId="5BA731FA" w14:textId="7B99E2B2" w:rsidR="006B0C9B" w:rsidRDefault="006B0C9B" w:rsidP="006B0C9B">
      <w:pPr>
        <w:pStyle w:val="TableFigureHeading"/>
        <w:rPr>
          <w:color w:val="0066FF"/>
        </w:rPr>
      </w:pPr>
      <w:bookmarkStart w:id="57" w:name="_Ref121076059"/>
      <w:r>
        <w:t xml:space="preserve">Figure </w:t>
      </w:r>
      <w:r>
        <w:fldChar w:fldCharType="begin" w:fldLock="1"/>
      </w:r>
      <w:r>
        <w:instrText>seq Figure</w:instrText>
      </w:r>
      <w:r>
        <w:fldChar w:fldCharType="separate"/>
      </w:r>
      <w:r w:rsidR="00A53FF4">
        <w:rPr>
          <w:noProof/>
        </w:rPr>
        <w:t>5</w:t>
      </w:r>
      <w:r>
        <w:fldChar w:fldCharType="end"/>
      </w:r>
      <w:bookmarkEnd w:id="57"/>
      <w:r>
        <w:t xml:space="preserve">: </w:t>
      </w:r>
      <w:r w:rsidRPr="008C3920">
        <w:t>Modelled OS curve</w:t>
      </w:r>
      <w:r>
        <w:t>s</w:t>
      </w:r>
      <w:r w:rsidRPr="008C3920">
        <w:t xml:space="preserve"> for tebentafusp PCP and pembrolizumab </w:t>
      </w:r>
    </w:p>
    <w:p w14:paraId="38351A4A" w14:textId="77777777" w:rsidR="006B0C9B" w:rsidRDefault="006B0C9B" w:rsidP="006B0C9B">
      <w:pPr>
        <w:pStyle w:val="FooterTableFigure"/>
        <w:spacing w:after="0"/>
      </w:pPr>
      <w:r>
        <w:rPr>
          <w:noProof/>
        </w:rPr>
        <w:drawing>
          <wp:inline distT="0" distB="0" distL="0" distR="0" wp14:anchorId="3843BEC7" wp14:editId="7532CD68">
            <wp:extent cx="5629523" cy="2464412"/>
            <wp:effectExtent l="0" t="0" r="0" b="0"/>
            <wp:docPr id="4" name="Picture 4" descr="Figure 5: Modelled OS curves for tebentafusp PCP and pembrolizum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5: Modelled OS curves for tebentafusp PCP and pembrolizumab "/>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663408" cy="2479246"/>
                    </a:xfrm>
                    <a:prstGeom prst="rect">
                      <a:avLst/>
                    </a:prstGeom>
                    <a:noFill/>
                  </pic:spPr>
                </pic:pic>
              </a:graphicData>
            </a:graphic>
          </wp:inline>
        </w:drawing>
      </w:r>
    </w:p>
    <w:p w14:paraId="683E53E2" w14:textId="77777777" w:rsidR="006B0C9B" w:rsidRDefault="006B0C9B" w:rsidP="006B0C9B">
      <w:pPr>
        <w:pStyle w:val="FooterTableFigure"/>
      </w:pPr>
      <w:r>
        <w:t>Source:</w:t>
      </w:r>
      <w:r w:rsidRPr="00DC0CAC">
        <w:t xml:space="preserve"> </w:t>
      </w:r>
      <w:r>
        <w:t>‘Model setting’ worksheet in ‘Immunocore_tebentafusp UM_CEM v1’ workbook</w:t>
      </w:r>
    </w:p>
    <w:p w14:paraId="12BEE4BD" w14:textId="25C432B1" w:rsidR="006B0C9B" w:rsidRPr="00AE1C6A" w:rsidRDefault="006B0C9B" w:rsidP="00AE1C6A">
      <w:pPr>
        <w:pStyle w:val="FooterTableFigure"/>
      </w:pPr>
      <w:r>
        <w:t>KM = Kaplan-Meier, OS = overall survival</w:t>
      </w:r>
      <w:r w:rsidR="00E521CC">
        <w:t>, PCP = pre-choice pembrolizumab.</w:t>
      </w:r>
    </w:p>
    <w:p w14:paraId="00844426" w14:textId="6E4B601C" w:rsidR="00C125F2" w:rsidRPr="00AF3847" w:rsidRDefault="006B21D3" w:rsidP="00B45795">
      <w:pPr>
        <w:pStyle w:val="3-BodyText"/>
      </w:pPr>
      <w:r w:rsidRPr="00AF3847">
        <w:lastRenderedPageBreak/>
        <w:t>T</w:t>
      </w:r>
      <w:r w:rsidR="00E00A1F" w:rsidRPr="00AF3847">
        <w:t xml:space="preserve">he submission’s selected extrapolation method for tebentafusp resulted in overestimation of survival over the remaining time horizon, </w:t>
      </w:r>
      <w:r w:rsidRPr="00AF3847">
        <w:t>with approximately 20% of tebentafus</w:t>
      </w:r>
      <w:r w:rsidR="001C5F8E" w:rsidRPr="00AF3847">
        <w:t>p</w:t>
      </w:r>
      <w:r w:rsidRPr="00AF3847">
        <w:t xml:space="preserve"> patients surviving beyond 10 years</w:t>
      </w:r>
      <w:r w:rsidR="00B45795" w:rsidRPr="00AF3847">
        <w:t>. The relative treatment effect of tebentafusp over pembrolizumab was maintained over the time horizon (i.e. the curves did not converge) and the majority of the OS gained occurred in the extrapolated period (83%)</w:t>
      </w:r>
      <w:r w:rsidR="00E00A1F" w:rsidRPr="00AF3847">
        <w:t>. Th</w:t>
      </w:r>
      <w:r w:rsidR="001C2985" w:rsidRPr="00AF3847">
        <w:t>e ESC considered that th</w:t>
      </w:r>
      <w:r w:rsidRPr="00AF3847">
        <w:t xml:space="preserve">is </w:t>
      </w:r>
      <w:r w:rsidR="00E00A1F" w:rsidRPr="00AF3847">
        <w:t xml:space="preserve">was not reflective of the trial evidence, </w:t>
      </w:r>
      <w:r w:rsidRPr="00AF3847">
        <w:t xml:space="preserve">given that the median OS benefit observed with tebentafusp over pembrolizumab in IMCgp100-202 was </w:t>
      </w:r>
      <w:r w:rsidR="00411215" w:rsidRPr="00AF3847">
        <w:t>4.8 months</w:t>
      </w:r>
      <w:r w:rsidR="00E00A1F" w:rsidRPr="00AF3847">
        <w:t>.</w:t>
      </w:r>
      <w:r w:rsidR="00411215" w:rsidRPr="00AF3847">
        <w:t xml:space="preserve"> </w:t>
      </w:r>
      <w:r w:rsidR="00E00A1F" w:rsidRPr="00AF3847">
        <w:t xml:space="preserve">Furthermore, in </w:t>
      </w:r>
      <w:r w:rsidR="00284DD8" w:rsidRPr="00AF3847">
        <w:t>Attachment 19 of the submission</w:t>
      </w:r>
      <w:r w:rsidR="00E00A1F" w:rsidRPr="00AF3847">
        <w:t xml:space="preserve">, </w:t>
      </w:r>
      <w:r w:rsidR="00284DD8" w:rsidRPr="00AF3847">
        <w:t xml:space="preserve">the </w:t>
      </w:r>
      <w:r w:rsidR="00E00A1F" w:rsidRPr="00AF3847">
        <w:t>clinical experts</w:t>
      </w:r>
      <w:r w:rsidR="003D6B65">
        <w:rPr>
          <w:rStyle w:val="FootnoteReference"/>
        </w:rPr>
        <w:footnoteReference w:id="9"/>
      </w:r>
      <w:r w:rsidR="00E00A1F" w:rsidRPr="00AF3847">
        <w:t xml:space="preserve"> stated that </w:t>
      </w:r>
      <w:r w:rsidR="001C2985" w:rsidRPr="00AF3847">
        <w:t xml:space="preserve">a </w:t>
      </w:r>
      <w:r w:rsidR="00E00A1F" w:rsidRPr="00AF3847">
        <w:t>long-term survival benefit beyond five years</w:t>
      </w:r>
      <w:r w:rsidR="001C2985" w:rsidRPr="00AF3847">
        <w:t xml:space="preserve"> </w:t>
      </w:r>
      <w:r w:rsidR="00E00A1F" w:rsidRPr="00AF3847">
        <w:t>was optimistic.</w:t>
      </w:r>
      <w:r w:rsidR="001C2985" w:rsidRPr="00AF3847">
        <w:t xml:space="preserve"> </w:t>
      </w:r>
      <w:r w:rsidR="003216D0">
        <w:t>T</w:t>
      </w:r>
      <w:r w:rsidR="001C2985" w:rsidRPr="00AF3847">
        <w:t>he ESC considered that the n</w:t>
      </w:r>
      <w:r w:rsidR="00C125F2" w:rsidRPr="00AF3847">
        <w:t xml:space="preserve">on-convergence of the survival curves beyond </w:t>
      </w:r>
      <w:r w:rsidR="001C2985" w:rsidRPr="00AF3847">
        <w:t>5</w:t>
      </w:r>
      <w:r w:rsidR="00C125F2" w:rsidRPr="00AF3847">
        <w:t xml:space="preserve"> years </w:t>
      </w:r>
      <w:r w:rsidR="001C2985" w:rsidRPr="00AF3847">
        <w:t>wa</w:t>
      </w:r>
      <w:r w:rsidR="00C125F2" w:rsidRPr="00AF3847">
        <w:t>s</w:t>
      </w:r>
      <w:r w:rsidR="0020585E" w:rsidRPr="00AF3847">
        <w:t xml:space="preserve"> not supported by the currently available data</w:t>
      </w:r>
      <w:r w:rsidR="00C125F2" w:rsidRPr="00AF3847">
        <w:t>.</w:t>
      </w:r>
    </w:p>
    <w:p w14:paraId="25FA6F4A" w14:textId="3A26B4DA" w:rsidR="00740E3D" w:rsidRPr="00AF3847" w:rsidRDefault="00740E3D" w:rsidP="00B45795">
      <w:pPr>
        <w:pStyle w:val="3-BodyText"/>
      </w:pPr>
      <w:r w:rsidRPr="00AF3847">
        <w:t>Overall, t</w:t>
      </w:r>
      <w:r w:rsidRPr="00AF3847">
        <w:rPr>
          <w:rFonts w:cstheme="minorHAnsi"/>
        </w:rPr>
        <w:t xml:space="preserve">he ESC considered that the use of a </w:t>
      </w:r>
      <w:r w:rsidRPr="00AF3847">
        <w:t xml:space="preserve">piecewise model for </w:t>
      </w:r>
      <w:r w:rsidR="004950DA" w:rsidRPr="00AF3847">
        <w:t xml:space="preserve">OS in </w:t>
      </w:r>
      <w:r w:rsidRPr="00AF3847">
        <w:t xml:space="preserve">the tebentafusp arm may be justified if best practice recommendations, such as in the NICE TDS 21 (p88), are followed. Additionally, the ESC advised that the choice of extrapolation function should be better justified given the sensitivity of the model to the time horizon and the assumption that the survival curves do not converge. </w:t>
      </w:r>
      <w:r w:rsidR="00027662" w:rsidRPr="00AF3847">
        <w:t xml:space="preserve">As noted above, the ESC considered that it would be appropriate for the curves to converge over the longer term. </w:t>
      </w:r>
    </w:p>
    <w:p w14:paraId="4B3DA0D8" w14:textId="5163F499" w:rsidR="00C125F2" w:rsidRPr="00AF3847" w:rsidRDefault="00FE055B" w:rsidP="00B45795">
      <w:pPr>
        <w:pStyle w:val="3-BodyText"/>
      </w:pPr>
      <w:r w:rsidRPr="00AF3847">
        <w:t xml:space="preserve">The PFS and TTD data from the trial were mature, with a high proportion of events observed (88% of PFS events, and 90% of TTD events) across both arms at the latest data sweep (April 2022) and extrapolation was applied from when 10% of patients remained at risk. Considering the maturity of the data, the application of the extrapolations from when 10% of patients remained at risk was likely reasonable. </w:t>
      </w:r>
      <w:bookmarkStart w:id="58" w:name="_Hlk121427258"/>
    </w:p>
    <w:p w14:paraId="6242A902" w14:textId="59688D05" w:rsidR="009D79BD" w:rsidRPr="00AF3847" w:rsidRDefault="006B0C9B" w:rsidP="001929E9">
      <w:pPr>
        <w:pStyle w:val="3-BodyText"/>
      </w:pPr>
      <w:bookmarkStart w:id="59" w:name="_Hlk121427146"/>
      <w:bookmarkEnd w:id="58"/>
      <w:r w:rsidRPr="00AF3847">
        <w:t xml:space="preserve">The submission </w:t>
      </w:r>
      <w:r w:rsidR="00FE055B" w:rsidRPr="00AF3847">
        <w:t xml:space="preserve">applied utility values based on a time-to-death approach, </w:t>
      </w:r>
      <w:r w:rsidRPr="00AF3847">
        <w:t>adopt</w:t>
      </w:r>
      <w:r w:rsidR="00FE055B" w:rsidRPr="00AF3847">
        <w:t>ing</w:t>
      </w:r>
      <w:r w:rsidRPr="00AF3847">
        <w:t xml:space="preserve"> a multiplicative approach to derive the utility values for the different time-to-death categorises. Baseline utility value (≥ 360 days) was derived from the IMCgp100-202 trial</w:t>
      </w:r>
      <w:r w:rsidR="00FE055B" w:rsidRPr="00AF3847">
        <w:t>, with the u</w:t>
      </w:r>
      <w:r w:rsidRPr="00AF3847">
        <w:t xml:space="preserve">tility values for </w:t>
      </w:r>
      <w:r w:rsidR="00FE055B" w:rsidRPr="00AF3847">
        <w:t xml:space="preserve">the </w:t>
      </w:r>
      <w:r w:rsidRPr="00AF3847">
        <w:t>different time-to-death categories derived by multiplying the baseline utility with an adjustment factor</w:t>
      </w:r>
      <w:r w:rsidR="00FE055B" w:rsidRPr="00AF3847">
        <w:t xml:space="preserve"> (which was </w:t>
      </w:r>
      <w:r w:rsidRPr="00AF3847">
        <w:t>derived as the ratio of utility at ≥ 360 days from death and the utility at subsequent time-to-death categories from the NICE TA 366</w:t>
      </w:r>
      <w:r w:rsidR="00FE055B" w:rsidRPr="00AF3847">
        <w:t>)</w:t>
      </w:r>
      <w:r w:rsidRPr="00AF3847">
        <w:t>.</w:t>
      </w:r>
      <w:r w:rsidR="009D79BD" w:rsidRPr="00AF3847">
        <w:t xml:space="preserve"> </w:t>
      </w:r>
    </w:p>
    <w:p w14:paraId="317B1931" w14:textId="7CBC1081" w:rsidR="001929E9" w:rsidRPr="00AF3847" w:rsidRDefault="001929E9" w:rsidP="001929E9">
      <w:pPr>
        <w:pStyle w:val="3-BodyText"/>
      </w:pPr>
      <w:r w:rsidRPr="00AF3847">
        <w:fldChar w:fldCharType="begin" w:fldLock="1"/>
      </w:r>
      <w:r w:rsidRPr="00AF3847">
        <w:instrText xml:space="preserve"> REF _Ref122693624 \h </w:instrText>
      </w:r>
      <w:r w:rsidR="00653DD9" w:rsidRPr="00AF3847">
        <w:instrText xml:space="preserve"> \* MERGEFORMAT </w:instrText>
      </w:r>
      <w:r w:rsidRPr="00AF3847">
        <w:fldChar w:fldCharType="separate"/>
      </w:r>
      <w:r w:rsidR="00A53FF4">
        <w:t xml:space="preserve">Table </w:t>
      </w:r>
      <w:r w:rsidR="00A53FF4">
        <w:rPr>
          <w:noProof/>
        </w:rPr>
        <w:t>10</w:t>
      </w:r>
      <w:r w:rsidRPr="00AF3847">
        <w:fldChar w:fldCharType="end"/>
      </w:r>
      <w:r w:rsidRPr="00AF3847">
        <w:t xml:space="preserve"> summarises the utilities used in the economic evaluation.</w:t>
      </w:r>
    </w:p>
    <w:p w14:paraId="1FA738A9" w14:textId="42B431A6" w:rsidR="001929E9" w:rsidRPr="005478BD" w:rsidRDefault="001929E9" w:rsidP="001929E9">
      <w:pPr>
        <w:pStyle w:val="TableFigureHeading"/>
        <w:rPr>
          <w:rStyle w:val="CommentReference"/>
          <w:b/>
          <w:szCs w:val="24"/>
        </w:rPr>
      </w:pPr>
      <w:bookmarkStart w:id="60" w:name="_Ref122693624"/>
      <w:r>
        <w:lastRenderedPageBreak/>
        <w:t xml:space="preserve">Table </w:t>
      </w:r>
      <w:fldSimple w:instr=" SEQ Table \* ARABIC " w:fldLock="1">
        <w:r w:rsidR="00A53FF4">
          <w:rPr>
            <w:noProof/>
          </w:rPr>
          <w:t>10</w:t>
        </w:r>
      </w:fldSimple>
      <w:bookmarkEnd w:id="60"/>
      <w:r>
        <w:t>:</w:t>
      </w:r>
      <w:r w:rsidRPr="000A0CD2">
        <w:t xml:space="preserve"> </w:t>
      </w:r>
      <w:r w:rsidRPr="005478BD">
        <w:rPr>
          <w:rStyle w:val="CommentReference"/>
          <w:b/>
          <w:szCs w:val="24"/>
        </w:rPr>
        <w:t>Utility values used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992"/>
        <w:gridCol w:w="2179"/>
        <w:gridCol w:w="4292"/>
      </w:tblGrid>
      <w:tr w:rsidR="001929E9" w:rsidRPr="00765B1A" w14:paraId="0FC1EF03" w14:textId="77777777" w:rsidTr="00A704EE">
        <w:trPr>
          <w:trHeight w:val="229"/>
          <w:tblHeader/>
        </w:trPr>
        <w:tc>
          <w:tcPr>
            <w:tcW w:w="862" w:type="pct"/>
            <w:vMerge w:val="restart"/>
            <w:vAlign w:val="center"/>
          </w:tcPr>
          <w:p w14:paraId="6D35739F" w14:textId="77777777" w:rsidR="001929E9" w:rsidRPr="00765B1A" w:rsidRDefault="001929E9" w:rsidP="00A704EE">
            <w:pPr>
              <w:pStyle w:val="In-tableHeading"/>
              <w:jc w:val="center"/>
            </w:pPr>
            <w:r>
              <w:t>Health state</w:t>
            </w:r>
          </w:p>
        </w:tc>
        <w:tc>
          <w:tcPr>
            <w:tcW w:w="550" w:type="pct"/>
            <w:vMerge w:val="restart"/>
            <w:vAlign w:val="center"/>
          </w:tcPr>
          <w:p w14:paraId="36A19EDC" w14:textId="77777777" w:rsidR="001929E9" w:rsidRPr="00765B1A" w:rsidRDefault="001929E9" w:rsidP="00A704EE">
            <w:pPr>
              <w:pStyle w:val="In-tableHeading"/>
              <w:jc w:val="center"/>
            </w:pPr>
            <w:r>
              <w:t>Utility</w:t>
            </w:r>
          </w:p>
        </w:tc>
        <w:tc>
          <w:tcPr>
            <w:tcW w:w="1208" w:type="pct"/>
            <w:vMerge w:val="restart"/>
            <w:vAlign w:val="center"/>
          </w:tcPr>
          <w:p w14:paraId="715840C0" w14:textId="77777777" w:rsidR="001929E9" w:rsidRPr="00765B1A" w:rsidRDefault="001929E9" w:rsidP="00A704EE">
            <w:pPr>
              <w:pStyle w:val="In-tableHeading"/>
              <w:jc w:val="center"/>
            </w:pPr>
            <w:r>
              <w:t>Nature of estimate/translations</w:t>
            </w:r>
          </w:p>
        </w:tc>
        <w:tc>
          <w:tcPr>
            <w:tcW w:w="2380" w:type="pct"/>
            <w:vMerge w:val="restart"/>
            <w:vAlign w:val="center"/>
          </w:tcPr>
          <w:p w14:paraId="61B8F5FE" w14:textId="77777777" w:rsidR="001929E9" w:rsidRPr="00765B1A" w:rsidRDefault="001929E9" w:rsidP="00A704EE">
            <w:pPr>
              <w:pStyle w:val="In-tableHeading"/>
              <w:jc w:val="center"/>
            </w:pPr>
            <w:r>
              <w:t>Source of estimate</w:t>
            </w:r>
          </w:p>
        </w:tc>
      </w:tr>
      <w:tr w:rsidR="001929E9" w14:paraId="3C078210" w14:textId="77777777" w:rsidTr="00A704EE">
        <w:trPr>
          <w:trHeight w:val="229"/>
          <w:tblHeader/>
        </w:trPr>
        <w:tc>
          <w:tcPr>
            <w:tcW w:w="862" w:type="pct"/>
            <w:vMerge/>
            <w:vAlign w:val="center"/>
          </w:tcPr>
          <w:p w14:paraId="1DFB027C" w14:textId="77777777" w:rsidR="001929E9" w:rsidRDefault="001929E9" w:rsidP="00A704EE">
            <w:pPr>
              <w:pStyle w:val="In-tableHeading"/>
              <w:jc w:val="center"/>
            </w:pPr>
          </w:p>
        </w:tc>
        <w:tc>
          <w:tcPr>
            <w:tcW w:w="550" w:type="pct"/>
            <w:vMerge/>
            <w:vAlign w:val="center"/>
          </w:tcPr>
          <w:p w14:paraId="419B11F5" w14:textId="77777777" w:rsidR="001929E9" w:rsidRDefault="001929E9" w:rsidP="00A704EE">
            <w:pPr>
              <w:pStyle w:val="In-tableHeading"/>
              <w:jc w:val="center"/>
            </w:pPr>
          </w:p>
        </w:tc>
        <w:tc>
          <w:tcPr>
            <w:tcW w:w="1208" w:type="pct"/>
            <w:vMerge/>
            <w:vAlign w:val="center"/>
          </w:tcPr>
          <w:p w14:paraId="750CC5B5" w14:textId="77777777" w:rsidR="001929E9" w:rsidRDefault="001929E9" w:rsidP="00A704EE">
            <w:pPr>
              <w:pStyle w:val="In-tableHeading"/>
              <w:jc w:val="center"/>
            </w:pPr>
          </w:p>
        </w:tc>
        <w:tc>
          <w:tcPr>
            <w:tcW w:w="2380" w:type="pct"/>
            <w:vMerge/>
            <w:vAlign w:val="center"/>
          </w:tcPr>
          <w:p w14:paraId="0609AB91" w14:textId="77777777" w:rsidR="001929E9" w:rsidRDefault="001929E9" w:rsidP="00A704EE">
            <w:pPr>
              <w:pStyle w:val="In-tableHeading"/>
              <w:jc w:val="center"/>
            </w:pPr>
          </w:p>
        </w:tc>
      </w:tr>
      <w:tr w:rsidR="001929E9" w14:paraId="5D5BF3AD" w14:textId="77777777" w:rsidTr="00A704EE">
        <w:tc>
          <w:tcPr>
            <w:tcW w:w="5000" w:type="pct"/>
            <w:gridSpan w:val="4"/>
          </w:tcPr>
          <w:p w14:paraId="071575FC" w14:textId="77777777" w:rsidR="001929E9" w:rsidRDefault="001929E9" w:rsidP="00A704EE">
            <w:pPr>
              <w:pStyle w:val="TableText0"/>
            </w:pPr>
            <w:r>
              <w:t>Base Case (Time to Death approach)</w:t>
            </w:r>
          </w:p>
        </w:tc>
      </w:tr>
      <w:tr w:rsidR="001929E9" w14:paraId="088DD210" w14:textId="77777777" w:rsidTr="00A704EE">
        <w:tc>
          <w:tcPr>
            <w:tcW w:w="862" w:type="pct"/>
          </w:tcPr>
          <w:p w14:paraId="2BA0175B" w14:textId="77777777" w:rsidR="001929E9" w:rsidRPr="00B55284" w:rsidRDefault="001929E9" w:rsidP="00A704EE">
            <w:pPr>
              <w:pStyle w:val="TableText0"/>
            </w:pPr>
            <w:r w:rsidRPr="00B55284">
              <w:t xml:space="preserve"> ≥ 360 days</w:t>
            </w:r>
          </w:p>
        </w:tc>
        <w:tc>
          <w:tcPr>
            <w:tcW w:w="550" w:type="pct"/>
          </w:tcPr>
          <w:p w14:paraId="37ACB9ED" w14:textId="77777777" w:rsidR="001929E9" w:rsidRPr="00B55284" w:rsidRDefault="001929E9" w:rsidP="00A704EE">
            <w:pPr>
              <w:pStyle w:val="TableText0"/>
              <w:jc w:val="center"/>
            </w:pPr>
            <w:r w:rsidRPr="00B55284">
              <w:t>0.84</w:t>
            </w:r>
          </w:p>
        </w:tc>
        <w:tc>
          <w:tcPr>
            <w:tcW w:w="1208" w:type="pct"/>
          </w:tcPr>
          <w:p w14:paraId="786597F4" w14:textId="77777777" w:rsidR="001929E9" w:rsidRPr="00B55284" w:rsidRDefault="001929E9" w:rsidP="00A704EE">
            <w:pPr>
              <w:pStyle w:val="TableText0"/>
            </w:pPr>
            <w:r w:rsidRPr="00B55284">
              <w:t>EQ</w:t>
            </w:r>
            <w:r>
              <w:t>-</w:t>
            </w:r>
            <w:r w:rsidRPr="00B55284">
              <w:t>5D data, UK value set</w:t>
            </w:r>
          </w:p>
        </w:tc>
        <w:tc>
          <w:tcPr>
            <w:tcW w:w="2380" w:type="pct"/>
          </w:tcPr>
          <w:p w14:paraId="6C836A31" w14:textId="77777777" w:rsidR="001929E9" w:rsidRPr="00B55284" w:rsidRDefault="001929E9" w:rsidP="00A704EE">
            <w:pPr>
              <w:pStyle w:val="TableText0"/>
            </w:pPr>
            <w:r w:rsidRPr="00B55284">
              <w:t>EQ</w:t>
            </w:r>
            <w:r>
              <w:t>-</w:t>
            </w:r>
            <w:r w:rsidRPr="00B55284">
              <w:t>5D data of study IMCgp100</w:t>
            </w:r>
            <w:r>
              <w:t>-</w:t>
            </w:r>
            <w:r w:rsidRPr="00B55284">
              <w:t>202</w:t>
            </w:r>
          </w:p>
        </w:tc>
      </w:tr>
      <w:tr w:rsidR="001929E9" w14:paraId="6EBEA737" w14:textId="77777777" w:rsidTr="00A704EE">
        <w:tc>
          <w:tcPr>
            <w:tcW w:w="862" w:type="pct"/>
          </w:tcPr>
          <w:p w14:paraId="43C077D2" w14:textId="77777777" w:rsidR="001929E9" w:rsidRDefault="001929E9" w:rsidP="00A704EE">
            <w:pPr>
              <w:pStyle w:val="TableText0"/>
            </w:pPr>
            <w:r w:rsidRPr="00B55284">
              <w:t>270</w:t>
            </w:r>
            <w:r>
              <w:t>-3</w:t>
            </w:r>
            <w:r w:rsidRPr="00B55284">
              <w:t>60 days</w:t>
            </w:r>
          </w:p>
        </w:tc>
        <w:tc>
          <w:tcPr>
            <w:tcW w:w="550" w:type="pct"/>
          </w:tcPr>
          <w:p w14:paraId="49C17C1E" w14:textId="77777777" w:rsidR="001929E9" w:rsidRDefault="001929E9" w:rsidP="00A704EE">
            <w:pPr>
              <w:pStyle w:val="TableText0"/>
              <w:jc w:val="center"/>
            </w:pPr>
            <w:r w:rsidRPr="00B55284">
              <w:t>0.73</w:t>
            </w:r>
          </w:p>
        </w:tc>
        <w:tc>
          <w:tcPr>
            <w:tcW w:w="1208" w:type="pct"/>
          </w:tcPr>
          <w:p w14:paraId="1EC37A05" w14:textId="77777777" w:rsidR="001929E9" w:rsidRDefault="001929E9" w:rsidP="00A704EE">
            <w:pPr>
              <w:pStyle w:val="TableText0"/>
            </w:pPr>
            <w:r w:rsidRPr="00B55284">
              <w:t>EQ</w:t>
            </w:r>
            <w:r>
              <w:t>-</w:t>
            </w:r>
            <w:r w:rsidRPr="00B55284">
              <w:t>5D data, UK value set</w:t>
            </w:r>
          </w:p>
        </w:tc>
        <w:tc>
          <w:tcPr>
            <w:tcW w:w="2380" w:type="pct"/>
          </w:tcPr>
          <w:p w14:paraId="4C2CD39A" w14:textId="77777777" w:rsidR="001929E9" w:rsidRDefault="001929E9" w:rsidP="00A704EE">
            <w:pPr>
              <w:pStyle w:val="TableText0"/>
            </w:pPr>
            <w:r w:rsidRPr="00B55284">
              <w:t>EQ</w:t>
            </w:r>
            <w:r>
              <w:t>-</w:t>
            </w:r>
            <w:r w:rsidRPr="00B55284">
              <w:t>5D data of study IMCgp100</w:t>
            </w:r>
            <w:r>
              <w:t>-</w:t>
            </w:r>
            <w:r w:rsidRPr="00B55284">
              <w:t>202 adjusted based on EQ</w:t>
            </w:r>
            <w:r>
              <w:t>-</w:t>
            </w:r>
            <w:r w:rsidRPr="00B55284">
              <w:t>5D data of NICE TA366 of pembrolizumab</w:t>
            </w:r>
          </w:p>
        </w:tc>
      </w:tr>
      <w:tr w:rsidR="001929E9" w14:paraId="14F19A13" w14:textId="77777777" w:rsidTr="00A704EE">
        <w:tc>
          <w:tcPr>
            <w:tcW w:w="862" w:type="pct"/>
          </w:tcPr>
          <w:p w14:paraId="2321D4E1" w14:textId="77777777" w:rsidR="001929E9" w:rsidRDefault="001929E9" w:rsidP="00A704EE">
            <w:pPr>
              <w:pStyle w:val="TableText0"/>
            </w:pPr>
            <w:r w:rsidRPr="00B55284">
              <w:t>180</w:t>
            </w:r>
            <w:r>
              <w:t>-</w:t>
            </w:r>
            <w:r w:rsidRPr="00B55284">
              <w:t>270 days</w:t>
            </w:r>
          </w:p>
        </w:tc>
        <w:tc>
          <w:tcPr>
            <w:tcW w:w="550" w:type="pct"/>
          </w:tcPr>
          <w:p w14:paraId="63F084CB" w14:textId="77777777" w:rsidR="001929E9" w:rsidRDefault="001929E9" w:rsidP="00A704EE">
            <w:pPr>
              <w:pStyle w:val="TableText0"/>
              <w:jc w:val="center"/>
            </w:pPr>
            <w:r w:rsidRPr="00B55284">
              <w:t>0.68</w:t>
            </w:r>
          </w:p>
        </w:tc>
        <w:tc>
          <w:tcPr>
            <w:tcW w:w="1208" w:type="pct"/>
          </w:tcPr>
          <w:p w14:paraId="1D233D69" w14:textId="77777777" w:rsidR="001929E9" w:rsidRDefault="001929E9" w:rsidP="00A704EE">
            <w:pPr>
              <w:pStyle w:val="TableText0"/>
            </w:pPr>
            <w:r w:rsidRPr="00B55284">
              <w:t>EQ</w:t>
            </w:r>
            <w:r>
              <w:t>-</w:t>
            </w:r>
            <w:r w:rsidRPr="00B55284">
              <w:t>5D data, UK value set</w:t>
            </w:r>
          </w:p>
        </w:tc>
        <w:tc>
          <w:tcPr>
            <w:tcW w:w="2380" w:type="pct"/>
          </w:tcPr>
          <w:p w14:paraId="6BF79A91" w14:textId="77777777" w:rsidR="001929E9" w:rsidRDefault="001929E9" w:rsidP="00A704EE">
            <w:pPr>
              <w:pStyle w:val="TableText0"/>
            </w:pPr>
            <w:r w:rsidRPr="00B55284">
              <w:t>EQ</w:t>
            </w:r>
            <w:r>
              <w:t>-</w:t>
            </w:r>
            <w:r w:rsidRPr="00B55284">
              <w:t>5D data of study IMCgp100</w:t>
            </w:r>
            <w:r>
              <w:t>-</w:t>
            </w:r>
            <w:r w:rsidRPr="00B55284">
              <w:t>202 adjusted based on EQ</w:t>
            </w:r>
            <w:r>
              <w:t>-</w:t>
            </w:r>
            <w:r w:rsidRPr="00B55284">
              <w:t>5D data of NICE TA366 of pembrolizumab</w:t>
            </w:r>
          </w:p>
        </w:tc>
      </w:tr>
      <w:tr w:rsidR="001929E9" w14:paraId="61BB83A8" w14:textId="77777777" w:rsidTr="00A704EE">
        <w:tc>
          <w:tcPr>
            <w:tcW w:w="862" w:type="pct"/>
          </w:tcPr>
          <w:p w14:paraId="13B085E0" w14:textId="77777777" w:rsidR="001929E9" w:rsidRDefault="001929E9" w:rsidP="00A704EE">
            <w:pPr>
              <w:pStyle w:val="TableText0"/>
            </w:pPr>
            <w:r w:rsidRPr="00B55284">
              <w:t>90</w:t>
            </w:r>
            <w:r>
              <w:t>-</w:t>
            </w:r>
            <w:r w:rsidRPr="00B55284">
              <w:t>180 days</w:t>
            </w:r>
          </w:p>
        </w:tc>
        <w:tc>
          <w:tcPr>
            <w:tcW w:w="550" w:type="pct"/>
          </w:tcPr>
          <w:p w14:paraId="760C93F9" w14:textId="77777777" w:rsidR="001929E9" w:rsidRDefault="001929E9" w:rsidP="00A704EE">
            <w:pPr>
              <w:pStyle w:val="TableText0"/>
              <w:jc w:val="center"/>
            </w:pPr>
            <w:r w:rsidRPr="00B55284">
              <w:t>0.68</w:t>
            </w:r>
          </w:p>
        </w:tc>
        <w:tc>
          <w:tcPr>
            <w:tcW w:w="1208" w:type="pct"/>
          </w:tcPr>
          <w:p w14:paraId="5B95C119" w14:textId="77777777" w:rsidR="001929E9" w:rsidRDefault="001929E9" w:rsidP="00A704EE">
            <w:pPr>
              <w:pStyle w:val="TableText0"/>
            </w:pPr>
            <w:r w:rsidRPr="00B55284">
              <w:t>EQ</w:t>
            </w:r>
            <w:r>
              <w:t>-</w:t>
            </w:r>
            <w:r w:rsidRPr="00B55284">
              <w:t>5D data, UK value set</w:t>
            </w:r>
          </w:p>
        </w:tc>
        <w:tc>
          <w:tcPr>
            <w:tcW w:w="2380" w:type="pct"/>
          </w:tcPr>
          <w:p w14:paraId="1B1DCFD9" w14:textId="77777777" w:rsidR="001929E9" w:rsidRDefault="001929E9" w:rsidP="00A704EE">
            <w:pPr>
              <w:pStyle w:val="TableText0"/>
            </w:pPr>
            <w:r w:rsidRPr="00B55284">
              <w:t>EQ</w:t>
            </w:r>
            <w:r>
              <w:t>-</w:t>
            </w:r>
            <w:r w:rsidRPr="00B55284">
              <w:t>5D data of study IMCgp100</w:t>
            </w:r>
            <w:r>
              <w:t>-</w:t>
            </w:r>
            <w:r w:rsidRPr="00B55284">
              <w:t>202 adjusted based on EQ</w:t>
            </w:r>
            <w:r>
              <w:t>-</w:t>
            </w:r>
            <w:r w:rsidRPr="00B55284">
              <w:t>5D data of NICE TA366 of pembrolizumab</w:t>
            </w:r>
          </w:p>
        </w:tc>
      </w:tr>
      <w:tr w:rsidR="001929E9" w14:paraId="3FBE1584" w14:textId="77777777" w:rsidTr="00A704EE">
        <w:tc>
          <w:tcPr>
            <w:tcW w:w="862" w:type="pct"/>
          </w:tcPr>
          <w:p w14:paraId="71B6BD56" w14:textId="77777777" w:rsidR="001929E9" w:rsidRDefault="001929E9" w:rsidP="00A704EE">
            <w:pPr>
              <w:pStyle w:val="TableText0"/>
            </w:pPr>
            <w:r w:rsidRPr="00B55284">
              <w:t>30</w:t>
            </w:r>
            <w:r>
              <w:t>-</w:t>
            </w:r>
            <w:r w:rsidRPr="00B55284">
              <w:t>90 days</w:t>
            </w:r>
          </w:p>
        </w:tc>
        <w:tc>
          <w:tcPr>
            <w:tcW w:w="550" w:type="pct"/>
          </w:tcPr>
          <w:p w14:paraId="0A8A8F5F" w14:textId="77777777" w:rsidR="001929E9" w:rsidRDefault="001929E9" w:rsidP="00A704EE">
            <w:pPr>
              <w:pStyle w:val="TableText0"/>
              <w:jc w:val="center"/>
            </w:pPr>
            <w:r w:rsidRPr="00B55284">
              <w:t>0.59</w:t>
            </w:r>
          </w:p>
        </w:tc>
        <w:tc>
          <w:tcPr>
            <w:tcW w:w="1208" w:type="pct"/>
          </w:tcPr>
          <w:p w14:paraId="00AADE32" w14:textId="77777777" w:rsidR="001929E9" w:rsidRDefault="001929E9" w:rsidP="00A704EE">
            <w:pPr>
              <w:pStyle w:val="TableText0"/>
            </w:pPr>
            <w:r w:rsidRPr="00B55284">
              <w:t>EQ</w:t>
            </w:r>
            <w:r>
              <w:t>-</w:t>
            </w:r>
            <w:r w:rsidRPr="00B55284">
              <w:t>5D data, UK value set</w:t>
            </w:r>
          </w:p>
        </w:tc>
        <w:tc>
          <w:tcPr>
            <w:tcW w:w="2380" w:type="pct"/>
          </w:tcPr>
          <w:p w14:paraId="361ADDDC" w14:textId="77777777" w:rsidR="001929E9" w:rsidRDefault="001929E9" w:rsidP="00A704EE">
            <w:pPr>
              <w:pStyle w:val="TableText0"/>
            </w:pPr>
            <w:r w:rsidRPr="00B55284">
              <w:t>EQ</w:t>
            </w:r>
            <w:r>
              <w:t>-</w:t>
            </w:r>
            <w:r w:rsidRPr="00B55284">
              <w:t>5D data of study IMCgp100</w:t>
            </w:r>
            <w:r>
              <w:t>-</w:t>
            </w:r>
            <w:r w:rsidRPr="00B55284">
              <w:t>202 adjusted based on EQ</w:t>
            </w:r>
            <w:r>
              <w:t>-</w:t>
            </w:r>
            <w:r w:rsidRPr="00B55284">
              <w:t>5D data of NICE TA366 of pembrolizumab</w:t>
            </w:r>
          </w:p>
        </w:tc>
      </w:tr>
      <w:tr w:rsidR="001929E9" w14:paraId="59B65B89" w14:textId="77777777" w:rsidTr="00A704EE">
        <w:tc>
          <w:tcPr>
            <w:tcW w:w="862" w:type="pct"/>
          </w:tcPr>
          <w:p w14:paraId="7A4C5106" w14:textId="77777777" w:rsidR="001929E9" w:rsidRDefault="001929E9" w:rsidP="00A704EE">
            <w:pPr>
              <w:pStyle w:val="TableText0"/>
            </w:pPr>
            <w:r w:rsidRPr="00B55284">
              <w:t xml:space="preserve"> &lt; 30 days</w:t>
            </w:r>
          </w:p>
        </w:tc>
        <w:tc>
          <w:tcPr>
            <w:tcW w:w="550" w:type="pct"/>
          </w:tcPr>
          <w:p w14:paraId="5CCD5ED8" w14:textId="77777777" w:rsidR="001929E9" w:rsidRDefault="001929E9" w:rsidP="00A704EE">
            <w:pPr>
              <w:pStyle w:val="TableText0"/>
              <w:jc w:val="center"/>
            </w:pPr>
            <w:r w:rsidRPr="00B55284">
              <w:t>0.34</w:t>
            </w:r>
          </w:p>
        </w:tc>
        <w:tc>
          <w:tcPr>
            <w:tcW w:w="1208" w:type="pct"/>
          </w:tcPr>
          <w:p w14:paraId="4DBC747C" w14:textId="77777777" w:rsidR="001929E9" w:rsidRDefault="001929E9" w:rsidP="00A704EE">
            <w:pPr>
              <w:pStyle w:val="TableText0"/>
            </w:pPr>
            <w:r w:rsidRPr="00B55284">
              <w:t>EQ</w:t>
            </w:r>
            <w:r>
              <w:t>-</w:t>
            </w:r>
            <w:r w:rsidRPr="00B55284">
              <w:t>5D data, UK value set</w:t>
            </w:r>
          </w:p>
        </w:tc>
        <w:tc>
          <w:tcPr>
            <w:tcW w:w="2380" w:type="pct"/>
          </w:tcPr>
          <w:p w14:paraId="51CDA817" w14:textId="77777777" w:rsidR="001929E9" w:rsidRDefault="001929E9" w:rsidP="00A704EE">
            <w:pPr>
              <w:pStyle w:val="TableText0"/>
            </w:pPr>
            <w:r w:rsidRPr="00B55284">
              <w:t>EQ</w:t>
            </w:r>
            <w:r>
              <w:t>-</w:t>
            </w:r>
            <w:r w:rsidRPr="00B55284">
              <w:t>5D data of study IMCgp100</w:t>
            </w:r>
            <w:r>
              <w:t>-</w:t>
            </w:r>
            <w:r w:rsidRPr="00B55284">
              <w:t>202 adjusted based on EQ</w:t>
            </w:r>
            <w:r>
              <w:t>-</w:t>
            </w:r>
            <w:r w:rsidRPr="00B55284">
              <w:t>5D data of NICE TA366 of pembrolizumab</w:t>
            </w:r>
          </w:p>
        </w:tc>
      </w:tr>
      <w:tr w:rsidR="001929E9" w14:paraId="64681B6A" w14:textId="77777777" w:rsidTr="00A704EE">
        <w:tc>
          <w:tcPr>
            <w:tcW w:w="5000" w:type="pct"/>
            <w:gridSpan w:val="4"/>
          </w:tcPr>
          <w:p w14:paraId="43E28729" w14:textId="77777777" w:rsidR="001929E9" w:rsidRPr="00B55284" w:rsidRDefault="001929E9" w:rsidP="00A704EE">
            <w:pPr>
              <w:pStyle w:val="TableText0"/>
            </w:pPr>
            <w:r>
              <w:t>Scenario Analyses</w:t>
            </w:r>
          </w:p>
        </w:tc>
      </w:tr>
      <w:tr w:rsidR="001929E9" w14:paraId="50E0B60C" w14:textId="77777777" w:rsidTr="00A704EE">
        <w:tc>
          <w:tcPr>
            <w:tcW w:w="862" w:type="pct"/>
          </w:tcPr>
          <w:p w14:paraId="08F0A474" w14:textId="77777777" w:rsidR="001929E9" w:rsidRPr="00B55284" w:rsidRDefault="001929E9" w:rsidP="00A704EE">
            <w:pPr>
              <w:pStyle w:val="TableText0"/>
            </w:pPr>
            <w:r w:rsidRPr="00D11BD8">
              <w:t>On</w:t>
            </w:r>
            <w:r>
              <w:noBreakHyphen/>
            </w:r>
            <w:r w:rsidRPr="00D11BD8">
              <w:t xml:space="preserve">treatment </w:t>
            </w:r>
          </w:p>
        </w:tc>
        <w:tc>
          <w:tcPr>
            <w:tcW w:w="550" w:type="pct"/>
          </w:tcPr>
          <w:p w14:paraId="12E19BAF" w14:textId="77777777" w:rsidR="001929E9" w:rsidRPr="00B55284" w:rsidRDefault="001929E9" w:rsidP="00A704EE">
            <w:pPr>
              <w:pStyle w:val="TableText0"/>
              <w:jc w:val="center"/>
            </w:pPr>
            <w:r w:rsidRPr="00D11BD8">
              <w:t>0.845</w:t>
            </w:r>
          </w:p>
        </w:tc>
        <w:tc>
          <w:tcPr>
            <w:tcW w:w="1208" w:type="pct"/>
          </w:tcPr>
          <w:p w14:paraId="741E3C1F" w14:textId="77777777" w:rsidR="001929E9" w:rsidRPr="00B55284" w:rsidRDefault="001929E9" w:rsidP="00A704EE">
            <w:pPr>
              <w:pStyle w:val="TableText0"/>
            </w:pPr>
            <w:r w:rsidRPr="00D11BD8">
              <w:t>EQ</w:t>
            </w:r>
            <w:r>
              <w:noBreakHyphen/>
            </w:r>
            <w:r w:rsidRPr="00D11BD8">
              <w:t>5D data, UK value set</w:t>
            </w:r>
          </w:p>
        </w:tc>
        <w:tc>
          <w:tcPr>
            <w:tcW w:w="2380" w:type="pct"/>
          </w:tcPr>
          <w:p w14:paraId="46F57044" w14:textId="77777777" w:rsidR="001929E9" w:rsidRPr="00B55284" w:rsidRDefault="001929E9" w:rsidP="00A704EE">
            <w:pPr>
              <w:pStyle w:val="TableText0"/>
            </w:pPr>
            <w:r w:rsidRPr="00D11BD8">
              <w:t>EQ</w:t>
            </w:r>
            <w:r>
              <w:noBreakHyphen/>
            </w:r>
            <w:r w:rsidRPr="00D11BD8">
              <w:t>5D data of study IMCgp100</w:t>
            </w:r>
            <w:r>
              <w:noBreakHyphen/>
            </w:r>
            <w:r w:rsidRPr="00D11BD8">
              <w:t>202</w:t>
            </w:r>
          </w:p>
        </w:tc>
      </w:tr>
      <w:tr w:rsidR="001929E9" w14:paraId="63E90D60" w14:textId="77777777" w:rsidTr="00A704EE">
        <w:tc>
          <w:tcPr>
            <w:tcW w:w="862" w:type="pct"/>
          </w:tcPr>
          <w:p w14:paraId="57B4BFED" w14:textId="77777777" w:rsidR="001929E9" w:rsidRPr="00B55284" w:rsidRDefault="001929E9" w:rsidP="00A704EE">
            <w:pPr>
              <w:pStyle w:val="TableText0"/>
            </w:pPr>
            <w:r w:rsidRPr="00D11BD8">
              <w:t>Off</w:t>
            </w:r>
            <w:r>
              <w:noBreakHyphen/>
            </w:r>
            <w:r w:rsidRPr="00D11BD8">
              <w:t>treatment</w:t>
            </w:r>
          </w:p>
        </w:tc>
        <w:tc>
          <w:tcPr>
            <w:tcW w:w="550" w:type="pct"/>
          </w:tcPr>
          <w:p w14:paraId="4C33D192" w14:textId="77777777" w:rsidR="001929E9" w:rsidRPr="00B55284" w:rsidRDefault="001929E9" w:rsidP="00A704EE">
            <w:pPr>
              <w:pStyle w:val="TableText0"/>
              <w:jc w:val="center"/>
            </w:pPr>
            <w:r w:rsidRPr="00D11BD8">
              <w:t>0.761</w:t>
            </w:r>
          </w:p>
        </w:tc>
        <w:tc>
          <w:tcPr>
            <w:tcW w:w="1208" w:type="pct"/>
          </w:tcPr>
          <w:p w14:paraId="7AFBAC25" w14:textId="77777777" w:rsidR="001929E9" w:rsidRPr="00B55284" w:rsidRDefault="001929E9" w:rsidP="00A704EE">
            <w:pPr>
              <w:pStyle w:val="TableText0"/>
            </w:pPr>
            <w:r w:rsidRPr="00D11BD8">
              <w:t>EQ</w:t>
            </w:r>
            <w:r>
              <w:noBreakHyphen/>
            </w:r>
            <w:r w:rsidRPr="00D11BD8">
              <w:t>5D data, UK value set</w:t>
            </w:r>
          </w:p>
        </w:tc>
        <w:tc>
          <w:tcPr>
            <w:tcW w:w="2380" w:type="pct"/>
          </w:tcPr>
          <w:p w14:paraId="24080D0A" w14:textId="77777777" w:rsidR="001929E9" w:rsidRPr="00B55284" w:rsidRDefault="001929E9" w:rsidP="00A704EE">
            <w:pPr>
              <w:pStyle w:val="TableText0"/>
            </w:pPr>
            <w:r w:rsidRPr="00D11BD8">
              <w:t>EQ</w:t>
            </w:r>
            <w:r>
              <w:noBreakHyphen/>
            </w:r>
            <w:r w:rsidRPr="00D11BD8">
              <w:t>5D data of study IMCgp100</w:t>
            </w:r>
            <w:r>
              <w:noBreakHyphen/>
            </w:r>
            <w:r w:rsidRPr="00D11BD8">
              <w:t>202</w:t>
            </w:r>
          </w:p>
        </w:tc>
      </w:tr>
    </w:tbl>
    <w:p w14:paraId="7EB3066B" w14:textId="77777777" w:rsidR="001929E9" w:rsidRDefault="001929E9" w:rsidP="001929E9">
      <w:pPr>
        <w:pStyle w:val="FooterTableFigure"/>
      </w:pPr>
      <w:r>
        <w:t>Source: Table 3.5.7, p173 pf the submission.</w:t>
      </w:r>
    </w:p>
    <w:p w14:paraId="04069E3C" w14:textId="7459D7C0" w:rsidR="001929E9" w:rsidRPr="006B0C9B" w:rsidRDefault="001929E9" w:rsidP="001929E9">
      <w:pPr>
        <w:pStyle w:val="FooterTableFigure"/>
      </w:pPr>
      <w:r>
        <w:t xml:space="preserve">EQ-5D = </w:t>
      </w:r>
      <w:r w:rsidRPr="004C7636">
        <w:t>European Quality of Life Five Dimension</w:t>
      </w:r>
    </w:p>
    <w:p w14:paraId="4DF46FC3" w14:textId="7BDA4376" w:rsidR="006B0C9B" w:rsidRPr="00AF3847" w:rsidRDefault="006B0C9B" w:rsidP="006B0C9B">
      <w:pPr>
        <w:pStyle w:val="3-BodyText"/>
      </w:pPr>
      <w:bookmarkStart w:id="61" w:name="_Ref126936516"/>
      <w:bookmarkEnd w:id="59"/>
      <w:r w:rsidRPr="00AF3847">
        <w:t>The</w:t>
      </w:r>
      <w:r w:rsidR="00FE055B" w:rsidRPr="00AF3847">
        <w:t xml:space="preserve"> </w:t>
      </w:r>
      <w:r w:rsidR="00B45795" w:rsidRPr="00AF3847">
        <w:t xml:space="preserve">ESC considered </w:t>
      </w:r>
      <w:r w:rsidR="004950DA" w:rsidRPr="00AF3847">
        <w:t xml:space="preserve">that </w:t>
      </w:r>
      <w:r w:rsidR="00B45795" w:rsidRPr="00AF3847">
        <w:t xml:space="preserve">the </w:t>
      </w:r>
      <w:r w:rsidR="00FE055B" w:rsidRPr="00AF3847">
        <w:t xml:space="preserve">application of the utility values was </w:t>
      </w:r>
      <w:r w:rsidRPr="00AF3847">
        <w:t>uncertain</w:t>
      </w:r>
      <w:r w:rsidR="00FE055B" w:rsidRPr="00AF3847">
        <w:t xml:space="preserve"> as</w:t>
      </w:r>
      <w:r w:rsidRPr="00AF3847">
        <w:t>:</w:t>
      </w:r>
      <w:bookmarkEnd w:id="61"/>
    </w:p>
    <w:p w14:paraId="357078DD" w14:textId="194AF22A" w:rsidR="006B0C9B" w:rsidRPr="00AF3847" w:rsidRDefault="006B0C9B" w:rsidP="005923B0">
      <w:pPr>
        <w:pStyle w:val="ListParagraph"/>
        <w:ind w:left="1077" w:hanging="357"/>
      </w:pPr>
      <w:r w:rsidRPr="00AF3847">
        <w:t xml:space="preserve">The </w:t>
      </w:r>
      <w:r w:rsidR="00B45795" w:rsidRPr="00AF3847">
        <w:t xml:space="preserve">use of the </w:t>
      </w:r>
      <w:r w:rsidRPr="00AF3847">
        <w:t xml:space="preserve">time-to-death </w:t>
      </w:r>
      <w:r w:rsidR="00FE055B" w:rsidRPr="00AF3847">
        <w:t xml:space="preserve">approach was not </w:t>
      </w:r>
      <w:bookmarkStart w:id="62" w:name="_Hlk121427226"/>
      <w:r w:rsidRPr="00AF3847">
        <w:t>appropriate</w:t>
      </w:r>
      <w:r w:rsidR="00FE055B" w:rsidRPr="00AF3847">
        <w:t xml:space="preserve">. </w:t>
      </w:r>
      <w:r w:rsidR="009D79BD" w:rsidRPr="00AF3847">
        <w:t xml:space="preserve">The PSCR stated that as patients </w:t>
      </w:r>
      <w:r w:rsidR="00B45795" w:rsidRPr="00AF3847">
        <w:t>receiving</w:t>
      </w:r>
      <w:r w:rsidR="009D79BD" w:rsidRPr="00AF3847">
        <w:t xml:space="preserve"> </w:t>
      </w:r>
      <w:r w:rsidR="00D1456F" w:rsidRPr="00AF3847">
        <w:t>tebentafusp</w:t>
      </w:r>
      <w:r w:rsidR="009D79BD" w:rsidRPr="00AF3847">
        <w:t xml:space="preserve"> experience</w:t>
      </w:r>
      <w:r w:rsidR="00B45795" w:rsidRPr="00AF3847">
        <w:t>d</w:t>
      </w:r>
      <w:r w:rsidR="009D79BD" w:rsidRPr="00AF3847">
        <w:t xml:space="preserve"> survival gains beyond progression and discontinuation of therapy, it was reasonable to expect that </w:t>
      </w:r>
      <w:r w:rsidR="00B45795" w:rsidRPr="00AF3847">
        <w:t xml:space="preserve">their </w:t>
      </w:r>
      <w:r w:rsidR="009D79BD" w:rsidRPr="00AF3847">
        <w:t>quality of life would be maintained over this period</w:t>
      </w:r>
      <w:r w:rsidR="00B45795" w:rsidRPr="00AF3847">
        <w:t>. H</w:t>
      </w:r>
      <w:r w:rsidR="009D79BD" w:rsidRPr="00AF3847">
        <w:t xml:space="preserve">ence, an approach based on treatment status would underestimate the QALY benefit in the tebentafusp arm. </w:t>
      </w:r>
      <w:r w:rsidR="00B45795" w:rsidRPr="00AF3847">
        <w:t xml:space="preserve">The ESC disagreed, stating that </w:t>
      </w:r>
      <w:r w:rsidRPr="00AF3847">
        <w:t xml:space="preserve">different utility values should </w:t>
      </w:r>
      <w:r w:rsidR="00FE055B" w:rsidRPr="00AF3847">
        <w:t xml:space="preserve">have been </w:t>
      </w:r>
      <w:r w:rsidRPr="00AF3847">
        <w:t>assigned to progression</w:t>
      </w:r>
      <w:r w:rsidR="00FE055B" w:rsidRPr="00AF3847">
        <w:t xml:space="preserve"> free</w:t>
      </w:r>
      <w:r w:rsidRPr="00AF3847">
        <w:t xml:space="preserve"> and progressed health states</w:t>
      </w:r>
      <w:r w:rsidR="00FE055B" w:rsidRPr="00AF3847">
        <w:t xml:space="preserve"> based on whether patients were receiving or not receiving treatment</w:t>
      </w:r>
      <w:r w:rsidRPr="00AF3847">
        <w:t>.</w:t>
      </w:r>
      <w:bookmarkEnd w:id="62"/>
    </w:p>
    <w:p w14:paraId="4F61BC80" w14:textId="3DD266D3" w:rsidR="006B0C9B" w:rsidRPr="00AF3847" w:rsidRDefault="006B0C9B" w:rsidP="005923B0">
      <w:pPr>
        <w:pStyle w:val="ListParagraph"/>
        <w:ind w:left="1077" w:hanging="357"/>
      </w:pPr>
      <w:r w:rsidRPr="00AF3847">
        <w:t xml:space="preserve">The </w:t>
      </w:r>
      <w:r w:rsidR="00FE055B" w:rsidRPr="00AF3847">
        <w:t xml:space="preserve">time-to-death </w:t>
      </w:r>
      <w:r w:rsidRPr="00AF3847">
        <w:t>adjustment factor was derived from the NICE TA 366 which focused on pembrolizumab for treating advanced m</w:t>
      </w:r>
      <w:r w:rsidR="004D07FE" w:rsidRPr="00AF3847">
        <w:t>e</w:t>
      </w:r>
      <w:r w:rsidRPr="00AF3847">
        <w:t xml:space="preserve">lanoma in adults who </w:t>
      </w:r>
      <w:r w:rsidR="00284DD8" w:rsidRPr="00AF3847">
        <w:t xml:space="preserve">had not received </w:t>
      </w:r>
      <w:r w:rsidRPr="00AF3847">
        <w:t xml:space="preserve">ipilimumab and may not </w:t>
      </w:r>
      <w:r w:rsidR="004D07FE" w:rsidRPr="00AF3847">
        <w:t xml:space="preserve">accurately </w:t>
      </w:r>
      <w:r w:rsidRPr="00AF3847">
        <w:t>reflect utility values for patients with metastatic UM.</w:t>
      </w:r>
    </w:p>
    <w:p w14:paraId="73895BE7" w14:textId="77777777" w:rsidR="006B0C9B" w:rsidRPr="00AF3847" w:rsidRDefault="006B0C9B" w:rsidP="006B0C9B">
      <w:pPr>
        <w:pStyle w:val="3-BodyText"/>
      </w:pPr>
      <w:r w:rsidRPr="00AF3847">
        <w:t>The economic model included costs associated with the drug acquisition and administration, subsequent therapies, health-states, end-of-life care, and management of adverse events.</w:t>
      </w:r>
    </w:p>
    <w:p w14:paraId="7797B236" w14:textId="10A6865C" w:rsidR="006B0C9B" w:rsidRPr="00AF3847" w:rsidRDefault="001929E9" w:rsidP="006B0C9B">
      <w:pPr>
        <w:pStyle w:val="3-BodyText"/>
      </w:pPr>
      <w:r w:rsidRPr="00AF3847">
        <w:t xml:space="preserve">The submission </w:t>
      </w:r>
      <w:r w:rsidR="00473BE0" w:rsidRPr="00AF3847">
        <w:t>included immunotherapies (pembrolizumab, nivolumab</w:t>
      </w:r>
      <w:r w:rsidR="004D07FE" w:rsidRPr="00AF3847">
        <w:t xml:space="preserve"> and</w:t>
      </w:r>
      <w:r w:rsidR="00473BE0" w:rsidRPr="00AF3847">
        <w:t xml:space="preserve"> ipilimumab) </w:t>
      </w:r>
      <w:r w:rsidR="004D07FE" w:rsidRPr="00AF3847">
        <w:t xml:space="preserve">in the calculations of </w:t>
      </w:r>
      <w:r w:rsidR="00473BE0" w:rsidRPr="00AF3847">
        <w:t>subsequent therap</w:t>
      </w:r>
      <w:r w:rsidR="004D07FE" w:rsidRPr="00AF3847">
        <w:t>y costs</w:t>
      </w:r>
      <w:r w:rsidR="00473BE0" w:rsidRPr="00AF3847">
        <w:t>.</w:t>
      </w:r>
      <w:r w:rsidRPr="00AF3847">
        <w:t xml:space="preserve"> </w:t>
      </w:r>
      <w:r w:rsidR="004D07FE" w:rsidRPr="00AF3847">
        <w:t>T</w:t>
      </w:r>
      <w:r w:rsidR="006B0C9B" w:rsidRPr="00AF3847">
        <w:t xml:space="preserve">he proportion of patients receiving subsequent treatment in the pembrolizumab arm may not </w:t>
      </w:r>
      <w:r w:rsidR="004D07FE" w:rsidRPr="00AF3847">
        <w:t xml:space="preserve">be </w:t>
      </w:r>
      <w:r w:rsidR="006B0C9B" w:rsidRPr="00AF3847">
        <w:t>reflect</w:t>
      </w:r>
      <w:r w:rsidR="004D07FE" w:rsidRPr="00AF3847">
        <w:t>ive of</w:t>
      </w:r>
      <w:r w:rsidR="006B0C9B" w:rsidRPr="00AF3847">
        <w:t xml:space="preserve"> actual practice in Australia</w:t>
      </w:r>
      <w:r w:rsidR="004D07FE" w:rsidRPr="00AF3847">
        <w:t xml:space="preserve"> as the </w:t>
      </w:r>
      <w:r w:rsidR="006B0C9B" w:rsidRPr="00AF3847">
        <w:t>current PBS listing</w:t>
      </w:r>
      <w:r w:rsidR="004D07FE" w:rsidRPr="00AF3847">
        <w:t xml:space="preserve">s for </w:t>
      </w:r>
      <w:r w:rsidR="006B0C9B" w:rsidRPr="00AF3847">
        <w:t xml:space="preserve">nivolumab and pembrolizumab for unresectable Stage III or Stage IV malignant melanoma state that “patient must not have received prior treatment with ipilimumab or a PD-1 (programmed cell death-1) inhibitor for the treatment of unresectable Stage III or </w:t>
      </w:r>
      <w:r w:rsidR="006B0C9B" w:rsidRPr="00AF3847">
        <w:lastRenderedPageBreak/>
        <w:t>Stage IV malignant melanoma” (Schedule of Pharmaceutical Benefits – Efficient Funding of Chemotherapy)</w:t>
      </w:r>
      <w:r w:rsidR="00651271" w:rsidRPr="00AF3847">
        <w:t>, thus preventing subsequent PD-1 inhibitor treatment</w:t>
      </w:r>
      <w:r w:rsidR="006B0C9B" w:rsidRPr="00AF3847">
        <w:t>.</w:t>
      </w:r>
    </w:p>
    <w:p w14:paraId="119CC738" w14:textId="4244073D" w:rsidR="006B0C9B" w:rsidRPr="00AF3847" w:rsidRDefault="006B0C9B" w:rsidP="006B0C9B">
      <w:pPr>
        <w:pStyle w:val="3-BodyText"/>
      </w:pPr>
      <w:r w:rsidRPr="00AF3847">
        <w:t xml:space="preserve">The economic model incorporated the costs of managing </w:t>
      </w:r>
      <w:r w:rsidR="004D07FE" w:rsidRPr="00AF3847">
        <w:t xml:space="preserve">Grade </w:t>
      </w:r>
      <w:r w:rsidR="004D07FE" w:rsidRPr="00AF3847">
        <w:rPr>
          <w:rFonts w:cstheme="minorHAnsi"/>
        </w:rPr>
        <w:t>≥</w:t>
      </w:r>
      <w:r w:rsidR="004D07FE" w:rsidRPr="00AF3847">
        <w:t xml:space="preserve"> 3 </w:t>
      </w:r>
      <w:r w:rsidRPr="00AF3847">
        <w:t>AE</w:t>
      </w:r>
      <w:r w:rsidR="00651271" w:rsidRPr="00AF3847">
        <w:t>s</w:t>
      </w:r>
      <w:r w:rsidRPr="00AF3847">
        <w:t xml:space="preserve"> </w:t>
      </w:r>
      <w:r w:rsidR="004D07FE" w:rsidRPr="00AF3847">
        <w:t xml:space="preserve">which occurred in &gt; </w:t>
      </w:r>
      <w:r w:rsidRPr="00AF3847">
        <w:t xml:space="preserve">3% of patients </w:t>
      </w:r>
      <w:r w:rsidR="004D07FE" w:rsidRPr="00AF3847">
        <w:t>in</w:t>
      </w:r>
      <w:r w:rsidRPr="00AF3847">
        <w:t xml:space="preserve"> the IMCgp100-202 trial. </w:t>
      </w:r>
      <w:r w:rsidR="004D07FE" w:rsidRPr="00AF3847">
        <w:t>T</w:t>
      </w:r>
      <w:r w:rsidRPr="00AF3847">
        <w:t>he submission also incorporated the cost</w:t>
      </w:r>
      <w:r w:rsidR="004D07FE" w:rsidRPr="00AF3847">
        <w:t>s</w:t>
      </w:r>
      <w:r w:rsidRPr="00AF3847">
        <w:t xml:space="preserve"> for managing endocrine disorder and colitis of any grade. A high proportion of patients in the pembrolizumab arm experienced endocrine disorder (11.7% vs 0.4%) and colitis (2.7% vs 0.0%) compared to the tebentafusp arm, favouring tebentafusp. Of note, the submission did not incorporate the cost of managing CRS into the model. In IMCgp100-202, CRS occurred in 217 of 245 (89%) tebentafusp-treated patients</w:t>
      </w:r>
      <w:r w:rsidR="004D07FE" w:rsidRPr="00AF3847">
        <w:t>. Although the majority of CRS cases were Grade 1 or 2 (99.6%)</w:t>
      </w:r>
      <w:r w:rsidRPr="00AF3847">
        <w:t xml:space="preserve">, </w:t>
      </w:r>
      <w:r w:rsidR="004D07FE" w:rsidRPr="00AF3847">
        <w:t xml:space="preserve">some patients required </w:t>
      </w:r>
      <w:r w:rsidRPr="00AF3847">
        <w:t xml:space="preserve">escalation of care (e.g., tocilizumab, vasopressor). </w:t>
      </w:r>
    </w:p>
    <w:p w14:paraId="2AAE6B29" w14:textId="2F148F26" w:rsidR="00C125F2" w:rsidRPr="00653DD9" w:rsidRDefault="006B0C9B" w:rsidP="00C125F2">
      <w:pPr>
        <w:pStyle w:val="3-BodyText"/>
      </w:pPr>
      <w:r w:rsidRPr="00AF3847">
        <w:t xml:space="preserve">A summary of the key drivers of the model are presented in </w:t>
      </w:r>
      <w:r w:rsidR="009E342D" w:rsidRPr="00AF3847">
        <w:fldChar w:fldCharType="begin" w:fldLock="1"/>
      </w:r>
      <w:r w:rsidR="009E342D" w:rsidRPr="00AF3847">
        <w:instrText xml:space="preserve"> REF _Ref121657225 \h </w:instrText>
      </w:r>
      <w:r w:rsidR="00653DD9" w:rsidRPr="00AF3847">
        <w:instrText xml:space="preserve"> \* MERGEFORMAT </w:instrText>
      </w:r>
      <w:r w:rsidR="009E342D" w:rsidRPr="00AF3847">
        <w:fldChar w:fldCharType="separate"/>
      </w:r>
      <w:r w:rsidR="00A53FF4" w:rsidRPr="006F40BE">
        <w:t xml:space="preserve">Table </w:t>
      </w:r>
      <w:r w:rsidR="00A53FF4">
        <w:rPr>
          <w:noProof/>
        </w:rPr>
        <w:t>11</w:t>
      </w:r>
      <w:r w:rsidR="009E342D" w:rsidRPr="00AF3847">
        <w:fldChar w:fldCharType="end"/>
      </w:r>
      <w:r w:rsidR="009E342D" w:rsidRPr="00AF3847">
        <w:t>.</w:t>
      </w:r>
    </w:p>
    <w:p w14:paraId="7248CDE4" w14:textId="0F733A2D" w:rsidR="009E342D" w:rsidRPr="006F40BE" w:rsidRDefault="009E342D" w:rsidP="009E342D">
      <w:pPr>
        <w:pStyle w:val="Caption"/>
        <w:jc w:val="left"/>
        <w:rPr>
          <w:rStyle w:val="TableFigureHeadingChar"/>
        </w:rPr>
      </w:pPr>
      <w:bookmarkStart w:id="63" w:name="_Ref121657225"/>
      <w:r w:rsidRPr="006F40BE">
        <w:t xml:space="preserve">Table </w:t>
      </w:r>
      <w:fldSimple w:instr=" SEQ Table \* ARABIC " w:fldLock="1">
        <w:r w:rsidR="00A53FF4">
          <w:rPr>
            <w:noProof/>
          </w:rPr>
          <w:t>11</w:t>
        </w:r>
      </w:fldSimple>
      <w:bookmarkEnd w:id="63"/>
      <w:r w:rsidRPr="006F40BE">
        <w:rPr>
          <w:rStyle w:val="TableFigureHeadingChar"/>
        </w:rPr>
        <w:t xml:space="preserve">: </w:t>
      </w:r>
      <w:r w:rsidRPr="006F40BE">
        <w:rPr>
          <w:rStyle w:val="TableFigureHeadingChar"/>
          <w:b/>
          <w:bCs/>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969"/>
        <w:gridCol w:w="3919"/>
      </w:tblGrid>
      <w:tr w:rsidR="009E342D" w:rsidRPr="003D1DE4" w14:paraId="73FA4FF6" w14:textId="77777777" w:rsidTr="00A704EE">
        <w:trPr>
          <w:tblHeader/>
        </w:trPr>
        <w:tc>
          <w:tcPr>
            <w:tcW w:w="626" w:type="pct"/>
            <w:shd w:val="clear" w:color="auto" w:fill="auto"/>
            <w:vAlign w:val="center"/>
          </w:tcPr>
          <w:p w14:paraId="6E0FA560" w14:textId="77777777" w:rsidR="009E342D" w:rsidRPr="00653DD9" w:rsidRDefault="009E342D" w:rsidP="00A704EE">
            <w:pPr>
              <w:pStyle w:val="In-tableHeading"/>
              <w:jc w:val="center"/>
            </w:pPr>
            <w:r w:rsidRPr="00653DD9">
              <w:t>Description</w:t>
            </w:r>
          </w:p>
        </w:tc>
        <w:tc>
          <w:tcPr>
            <w:tcW w:w="2201" w:type="pct"/>
            <w:shd w:val="clear" w:color="auto" w:fill="auto"/>
            <w:vAlign w:val="center"/>
          </w:tcPr>
          <w:p w14:paraId="69485653" w14:textId="77777777" w:rsidR="009E342D" w:rsidRPr="00653DD9" w:rsidRDefault="009E342D" w:rsidP="00A704EE">
            <w:pPr>
              <w:pStyle w:val="In-tableHeading"/>
              <w:jc w:val="center"/>
            </w:pPr>
            <w:r w:rsidRPr="00653DD9">
              <w:t>Method/Value</w:t>
            </w:r>
          </w:p>
        </w:tc>
        <w:tc>
          <w:tcPr>
            <w:tcW w:w="2173" w:type="pct"/>
            <w:shd w:val="clear" w:color="auto" w:fill="auto"/>
            <w:vAlign w:val="center"/>
          </w:tcPr>
          <w:p w14:paraId="17249123" w14:textId="77777777" w:rsidR="009E342D" w:rsidRPr="00653DD9" w:rsidRDefault="009E342D" w:rsidP="00A704EE">
            <w:pPr>
              <w:pStyle w:val="In-tableHeading"/>
              <w:jc w:val="center"/>
            </w:pPr>
            <w:r w:rsidRPr="00653DD9">
              <w:t>Impact</w:t>
            </w:r>
          </w:p>
          <w:p w14:paraId="70E09D2A" w14:textId="3C44EC28" w:rsidR="009E342D" w:rsidRPr="00653DD9" w:rsidRDefault="009E342D" w:rsidP="00A704EE">
            <w:pPr>
              <w:pStyle w:val="In-tableHeading"/>
              <w:jc w:val="center"/>
            </w:pPr>
            <w:r w:rsidRPr="00653DD9">
              <w:rPr>
                <w:rFonts w:cs="Arial"/>
                <w:szCs w:val="20"/>
              </w:rPr>
              <w:t>Base case: $</w:t>
            </w:r>
            <w:r w:rsidR="00D12425" w:rsidRPr="00D12425">
              <w:rPr>
                <w:rFonts w:cs="Arial"/>
                <w:color w:val="000000"/>
                <w:spacing w:val="47"/>
                <w:szCs w:val="20"/>
                <w:shd w:val="solid" w:color="000000" w:fill="000000"/>
                <w:fitText w:val="233" w:id="-1236619772"/>
                <w14:textFill>
                  <w14:solidFill>
                    <w14:srgbClr w14:val="000000">
                      <w14:alpha w14:val="100000"/>
                    </w14:srgbClr>
                  </w14:solidFill>
                </w14:textFill>
              </w:rPr>
              <w:t>||</w:t>
            </w:r>
            <w:r w:rsidR="00D12425" w:rsidRPr="00D12425">
              <w:rPr>
                <w:rFonts w:cs="Arial"/>
                <w:color w:val="000000"/>
                <w:spacing w:val="2"/>
                <w:szCs w:val="20"/>
                <w:shd w:val="solid" w:color="000000" w:fill="000000"/>
                <w:fitText w:val="233" w:id="-1236619772"/>
                <w14:textFill>
                  <w14:solidFill>
                    <w14:srgbClr w14:val="000000">
                      <w14:alpha w14:val="100000"/>
                    </w14:srgbClr>
                  </w14:solidFill>
                </w14:textFill>
              </w:rPr>
              <w:t>|</w:t>
            </w:r>
            <w:r w:rsidR="005D0EA2" w:rsidRPr="005D0EA2">
              <w:rPr>
                <w:vertAlign w:val="superscript"/>
              </w:rPr>
              <w:t>1</w:t>
            </w:r>
            <w:r w:rsidR="000609B7" w:rsidRPr="005D0EA2">
              <w:rPr>
                <w:rFonts w:cs="Arial"/>
                <w:szCs w:val="20"/>
              </w:rPr>
              <w:t xml:space="preserve"> </w:t>
            </w:r>
            <w:r w:rsidR="000609B7" w:rsidRPr="00653DD9">
              <w:rPr>
                <w:rFonts w:cs="Arial"/>
                <w:szCs w:val="20"/>
              </w:rPr>
              <w:t xml:space="preserve">per </w:t>
            </w:r>
            <w:r w:rsidRPr="00653DD9">
              <w:rPr>
                <w:rFonts w:cs="Arial"/>
                <w:szCs w:val="20"/>
              </w:rPr>
              <w:t>QALY gained</w:t>
            </w:r>
          </w:p>
        </w:tc>
      </w:tr>
      <w:tr w:rsidR="009E342D" w:rsidRPr="00E2771E" w14:paraId="024C4783" w14:textId="77777777" w:rsidTr="00A704EE">
        <w:tc>
          <w:tcPr>
            <w:tcW w:w="626" w:type="pct"/>
            <w:shd w:val="clear" w:color="auto" w:fill="auto"/>
            <w:vAlign w:val="center"/>
          </w:tcPr>
          <w:p w14:paraId="64DA8C5F" w14:textId="77777777" w:rsidR="009E342D" w:rsidRPr="00653DD9" w:rsidRDefault="009E342D" w:rsidP="00A704EE">
            <w:pPr>
              <w:pStyle w:val="TableText0"/>
              <w:rPr>
                <w:lang w:val="en-US"/>
              </w:rPr>
            </w:pPr>
            <w:r w:rsidRPr="00653DD9">
              <w:rPr>
                <w:lang w:val="en-US"/>
              </w:rPr>
              <w:t>Extrapolation</w:t>
            </w:r>
          </w:p>
        </w:tc>
        <w:tc>
          <w:tcPr>
            <w:tcW w:w="2201" w:type="pct"/>
            <w:shd w:val="clear" w:color="auto" w:fill="auto"/>
            <w:vAlign w:val="center"/>
          </w:tcPr>
          <w:p w14:paraId="7C158C28" w14:textId="77ACFB91" w:rsidR="00DF4F7B" w:rsidRPr="00653DD9" w:rsidRDefault="00DF4F7B" w:rsidP="00A704EE">
            <w:pPr>
              <w:pStyle w:val="TableText0"/>
              <w:rPr>
                <w:lang w:val="en-US"/>
              </w:rPr>
            </w:pPr>
            <w:r w:rsidRPr="00653DD9">
              <w:rPr>
                <w:lang w:val="en-US"/>
              </w:rPr>
              <w:t xml:space="preserve">The economic model was driven by large OS gains </w:t>
            </w:r>
            <w:r w:rsidR="004D07FE" w:rsidRPr="00653DD9">
              <w:rPr>
                <w:lang w:val="en-US"/>
              </w:rPr>
              <w:t xml:space="preserve">for tebentafusp patients </w:t>
            </w:r>
            <w:r w:rsidRPr="00653DD9">
              <w:rPr>
                <w:lang w:val="en-US"/>
              </w:rPr>
              <w:t>(</w:t>
            </w:r>
            <w:r w:rsidR="004D07FE" w:rsidRPr="00653DD9">
              <w:rPr>
                <w:lang w:val="en-US"/>
              </w:rPr>
              <w:t xml:space="preserve">resulting in </w:t>
            </w:r>
            <w:r w:rsidRPr="00653DD9">
              <w:rPr>
                <w:lang w:val="en-US"/>
              </w:rPr>
              <w:t>1.69 QALY</w:t>
            </w:r>
            <w:r w:rsidR="00F61E98" w:rsidRPr="00653DD9">
              <w:rPr>
                <w:lang w:val="en-US"/>
              </w:rPr>
              <w:t>s</w:t>
            </w:r>
            <w:r w:rsidRPr="00653DD9">
              <w:rPr>
                <w:lang w:val="en-US"/>
              </w:rPr>
              <w:t xml:space="preserve"> gained) that were not well-supported by the clinical data.</w:t>
            </w:r>
          </w:p>
          <w:p w14:paraId="735258D3" w14:textId="1D1E53BF" w:rsidR="009E342D" w:rsidRPr="00653DD9" w:rsidRDefault="009E342D" w:rsidP="00A704EE">
            <w:pPr>
              <w:pStyle w:val="TableText0"/>
              <w:rPr>
                <w:lang w:val="en-US"/>
              </w:rPr>
            </w:pPr>
            <w:r w:rsidRPr="00653DD9">
              <w:rPr>
                <w:lang w:val="en-US"/>
              </w:rPr>
              <w:t>OS</w:t>
            </w:r>
            <w:r w:rsidR="00AD531A" w:rsidRPr="00653DD9">
              <w:rPr>
                <w:lang w:val="en-US"/>
              </w:rPr>
              <w:t xml:space="preserve"> for the tebentafusp arm</w:t>
            </w:r>
            <w:r w:rsidRPr="00653DD9">
              <w:rPr>
                <w:lang w:val="en-US"/>
              </w:rPr>
              <w:t xml:space="preserve"> was modelled using a piecewise approach, whereby OS KM data from the IMCgp100-202 trial were used up to 28 months, after which extrapolation was applied using log-normal distribution.</w:t>
            </w:r>
            <w:r w:rsidR="000609B7" w:rsidRPr="00653DD9">
              <w:rPr>
                <w:lang w:val="en-US"/>
              </w:rPr>
              <w:t xml:space="preserve"> The use of the piecewise model was not clinically justified by the submission. </w:t>
            </w:r>
          </w:p>
          <w:p w14:paraId="2F480A08" w14:textId="74F354E7" w:rsidR="00AD531A" w:rsidRPr="00653DD9" w:rsidRDefault="00AD531A" w:rsidP="00A704EE">
            <w:pPr>
              <w:pStyle w:val="TableText0"/>
              <w:rPr>
                <w:lang w:val="en-US"/>
              </w:rPr>
            </w:pPr>
            <w:r w:rsidRPr="00653DD9">
              <w:t>A standard parametric approach to extrapolate OS for the pembrolizumab arm</w:t>
            </w:r>
            <w:r w:rsidR="00F61E98" w:rsidRPr="00653DD9">
              <w:t xml:space="preserve"> </w:t>
            </w:r>
            <w:r w:rsidR="000609B7" w:rsidRPr="00653DD9">
              <w:t xml:space="preserve">was used applying the </w:t>
            </w:r>
            <w:r w:rsidR="00F61E98" w:rsidRPr="00653DD9">
              <w:t xml:space="preserve">Weibull </w:t>
            </w:r>
            <w:r w:rsidR="00CF5EF5" w:rsidRPr="00653DD9">
              <w:t>model</w:t>
            </w:r>
            <w:r w:rsidR="000609B7" w:rsidRPr="00653DD9">
              <w:t xml:space="preserve">. The </w:t>
            </w:r>
            <w:r w:rsidR="00CF5EF5" w:rsidRPr="00653DD9">
              <w:t xml:space="preserve">log-normal model </w:t>
            </w:r>
            <w:r w:rsidR="000609B7" w:rsidRPr="00653DD9">
              <w:t xml:space="preserve">was the best fit based on </w:t>
            </w:r>
            <w:r w:rsidR="00CF5EF5" w:rsidRPr="00653DD9">
              <w:t>AIC and BIC</w:t>
            </w:r>
            <w:r w:rsidR="000609B7" w:rsidRPr="00653DD9">
              <w:t xml:space="preserve"> values</w:t>
            </w:r>
            <w:r w:rsidR="00D91DA5" w:rsidRPr="00653DD9">
              <w:t>.</w:t>
            </w:r>
          </w:p>
        </w:tc>
        <w:tc>
          <w:tcPr>
            <w:tcW w:w="2173" w:type="pct"/>
            <w:shd w:val="clear" w:color="auto" w:fill="auto"/>
            <w:vAlign w:val="center"/>
          </w:tcPr>
          <w:p w14:paraId="79B58F7F" w14:textId="77777777" w:rsidR="009E342D" w:rsidRPr="00653DD9" w:rsidRDefault="009E342D" w:rsidP="00A704EE">
            <w:pPr>
              <w:pStyle w:val="TableText0"/>
              <w:rPr>
                <w:lang w:val="en-US"/>
              </w:rPr>
            </w:pPr>
            <w:r w:rsidRPr="00653DD9">
              <w:rPr>
                <w:lang w:val="en-US"/>
              </w:rPr>
              <w:t>High, favours tebentafusp.</w:t>
            </w:r>
          </w:p>
          <w:p w14:paraId="454EFCFD" w14:textId="0071B27D" w:rsidR="009E342D" w:rsidRPr="00653DD9" w:rsidRDefault="00AD531A" w:rsidP="00A704EE">
            <w:pPr>
              <w:pStyle w:val="TableText0"/>
              <w:rPr>
                <w:lang w:val="en-US"/>
              </w:rPr>
            </w:pPr>
            <w:r w:rsidRPr="00653DD9">
              <w:rPr>
                <w:lang w:val="en-US"/>
              </w:rPr>
              <w:t xml:space="preserve">A standard </w:t>
            </w:r>
            <w:r w:rsidR="006438BC" w:rsidRPr="00653DD9">
              <w:rPr>
                <w:lang w:val="en-US"/>
              </w:rPr>
              <w:t xml:space="preserve">survival modelling approach </w:t>
            </w:r>
            <w:r w:rsidR="000609B7" w:rsidRPr="00653DD9">
              <w:rPr>
                <w:lang w:val="en-US"/>
              </w:rPr>
              <w:t xml:space="preserve">applying the </w:t>
            </w:r>
            <w:r w:rsidRPr="00653DD9">
              <w:rPr>
                <w:lang w:val="en-US"/>
              </w:rPr>
              <w:t>log</w:t>
            </w:r>
            <w:r w:rsidR="00CF5EF5" w:rsidRPr="00653DD9">
              <w:rPr>
                <w:lang w:val="en-US"/>
              </w:rPr>
              <w:t>-</w:t>
            </w:r>
            <w:r w:rsidR="00411215" w:rsidRPr="00653DD9">
              <w:rPr>
                <w:lang w:val="en-US"/>
              </w:rPr>
              <w:t>normal</w:t>
            </w:r>
            <w:r w:rsidRPr="00653DD9">
              <w:rPr>
                <w:lang w:val="en-US"/>
              </w:rPr>
              <w:t xml:space="preserve"> </w:t>
            </w:r>
            <w:r w:rsidR="000609B7" w:rsidRPr="00653DD9">
              <w:rPr>
                <w:lang w:val="en-US"/>
              </w:rPr>
              <w:t xml:space="preserve">function to </w:t>
            </w:r>
            <w:r w:rsidRPr="00653DD9">
              <w:rPr>
                <w:lang w:val="en-US"/>
              </w:rPr>
              <w:t xml:space="preserve">both </w:t>
            </w:r>
            <w:r w:rsidR="000609B7" w:rsidRPr="00653DD9">
              <w:rPr>
                <w:lang w:val="en-US"/>
              </w:rPr>
              <w:t>arms</w:t>
            </w:r>
            <w:r w:rsidRPr="00653DD9">
              <w:rPr>
                <w:lang w:val="en-US"/>
              </w:rPr>
              <w:t xml:space="preserve"> increased the ICER to</w:t>
            </w:r>
            <w:r w:rsidR="00411215" w:rsidRPr="00653DD9">
              <w:rPr>
                <w:lang w:val="en-US"/>
              </w:rPr>
              <w:t xml:space="preserve"> $</w:t>
            </w:r>
            <w:r w:rsidR="00D12425" w:rsidRPr="00D12425">
              <w:rPr>
                <w:color w:val="000000"/>
                <w:spacing w:val="29"/>
                <w:shd w:val="solid" w:color="000000" w:fill="000000"/>
                <w:fitText w:val="550" w:id="-1236619771"/>
                <w:lang w:val="en-US"/>
                <w14:textFill>
                  <w14:solidFill>
                    <w14:srgbClr w14:val="000000">
                      <w14:alpha w14:val="100000"/>
                    </w14:srgbClr>
                  </w14:solidFill>
                </w14:textFill>
              </w:rPr>
              <w:t>|||||||</w:t>
            </w:r>
            <w:r w:rsidR="00D12425" w:rsidRPr="00D12425">
              <w:rPr>
                <w:color w:val="000000"/>
                <w:spacing w:val="7"/>
                <w:shd w:val="solid" w:color="000000" w:fill="000000"/>
                <w:fitText w:val="550" w:id="-1236619771"/>
                <w:lang w:val="en-US"/>
                <w14:textFill>
                  <w14:solidFill>
                    <w14:srgbClr w14:val="000000">
                      <w14:alpha w14:val="100000"/>
                    </w14:srgbClr>
                  </w14:solidFill>
                </w14:textFill>
              </w:rPr>
              <w:t>|</w:t>
            </w:r>
            <w:r w:rsidR="005D0EA2" w:rsidRPr="005D0EA2">
              <w:rPr>
                <w:vertAlign w:val="superscript"/>
              </w:rPr>
              <w:t>2</w:t>
            </w:r>
            <w:r w:rsidR="00411215" w:rsidRPr="00653DD9">
              <w:rPr>
                <w:lang w:val="en-US"/>
              </w:rPr>
              <w:t xml:space="preserve"> </w:t>
            </w:r>
            <w:r w:rsidR="000609B7" w:rsidRPr="00653DD9">
              <w:rPr>
                <w:lang w:val="en-US"/>
              </w:rPr>
              <w:t xml:space="preserve">per </w:t>
            </w:r>
            <w:r w:rsidRPr="00653DD9">
              <w:rPr>
                <w:lang w:val="en-US"/>
              </w:rPr>
              <w:t>QALY gained.</w:t>
            </w:r>
          </w:p>
        </w:tc>
      </w:tr>
      <w:tr w:rsidR="009E342D" w:rsidRPr="00E2771E" w14:paraId="1F93067B" w14:textId="77777777" w:rsidTr="00A704EE">
        <w:tc>
          <w:tcPr>
            <w:tcW w:w="626" w:type="pct"/>
            <w:shd w:val="clear" w:color="auto" w:fill="auto"/>
            <w:vAlign w:val="center"/>
          </w:tcPr>
          <w:p w14:paraId="436018A6" w14:textId="77777777" w:rsidR="009E342D" w:rsidRPr="00653DD9" w:rsidRDefault="009E342D" w:rsidP="00A704EE">
            <w:pPr>
              <w:pStyle w:val="TableText0"/>
              <w:rPr>
                <w:lang w:val="en-US"/>
              </w:rPr>
            </w:pPr>
            <w:r w:rsidRPr="00653DD9">
              <w:rPr>
                <w:lang w:val="en-US"/>
              </w:rPr>
              <w:t>Population</w:t>
            </w:r>
          </w:p>
        </w:tc>
        <w:tc>
          <w:tcPr>
            <w:tcW w:w="2201" w:type="pct"/>
            <w:shd w:val="clear" w:color="auto" w:fill="auto"/>
            <w:vAlign w:val="center"/>
          </w:tcPr>
          <w:p w14:paraId="589E6AA7" w14:textId="54C398B6" w:rsidR="009E342D" w:rsidRPr="00653DD9" w:rsidRDefault="009E342D" w:rsidP="00A704EE">
            <w:pPr>
              <w:pStyle w:val="TableText0"/>
              <w:rPr>
                <w:lang w:val="en-US"/>
              </w:rPr>
            </w:pPr>
            <w:r w:rsidRPr="00653DD9">
              <w:rPr>
                <w:lang w:val="en-US"/>
              </w:rPr>
              <w:t xml:space="preserve">Subgroup population (tebentafusp PCP) </w:t>
            </w:r>
            <w:r w:rsidR="00995EFA" w:rsidRPr="00653DD9">
              <w:rPr>
                <w:lang w:val="en-US"/>
              </w:rPr>
              <w:t xml:space="preserve">data </w:t>
            </w:r>
            <w:r w:rsidRPr="00653DD9">
              <w:rPr>
                <w:lang w:val="en-US"/>
              </w:rPr>
              <w:t>was used.</w:t>
            </w:r>
          </w:p>
        </w:tc>
        <w:tc>
          <w:tcPr>
            <w:tcW w:w="2173" w:type="pct"/>
            <w:shd w:val="clear" w:color="auto" w:fill="auto"/>
            <w:vAlign w:val="center"/>
          </w:tcPr>
          <w:p w14:paraId="506E6B0C" w14:textId="77777777" w:rsidR="009E342D" w:rsidRPr="00653DD9" w:rsidRDefault="009E342D" w:rsidP="00A704EE">
            <w:pPr>
              <w:pStyle w:val="TableText0"/>
              <w:rPr>
                <w:lang w:val="en-US"/>
              </w:rPr>
            </w:pPr>
            <w:r w:rsidRPr="00653DD9">
              <w:rPr>
                <w:lang w:val="en-US"/>
              </w:rPr>
              <w:t>High, favours tebentafusp.</w:t>
            </w:r>
          </w:p>
          <w:p w14:paraId="370D9828" w14:textId="3748737C" w:rsidR="009E342D" w:rsidRPr="00653DD9" w:rsidRDefault="009E342D" w:rsidP="00A704EE">
            <w:pPr>
              <w:pStyle w:val="TableText0"/>
              <w:rPr>
                <w:lang w:val="en-US"/>
              </w:rPr>
            </w:pPr>
            <w:r w:rsidRPr="00653DD9">
              <w:rPr>
                <w:lang w:val="en-US"/>
              </w:rPr>
              <w:t>Us</w:t>
            </w:r>
            <w:r w:rsidR="00995EFA" w:rsidRPr="00653DD9">
              <w:rPr>
                <w:lang w:val="en-US"/>
              </w:rPr>
              <w:t>e of the I</w:t>
            </w:r>
            <w:r w:rsidRPr="00653DD9">
              <w:rPr>
                <w:lang w:val="en-US"/>
              </w:rPr>
              <w:t xml:space="preserve">TT population </w:t>
            </w:r>
            <w:r w:rsidR="00995EFA" w:rsidRPr="00653DD9">
              <w:rPr>
                <w:lang w:val="en-US"/>
              </w:rPr>
              <w:t xml:space="preserve">data </w:t>
            </w:r>
            <w:r w:rsidRPr="00653DD9">
              <w:rPr>
                <w:lang w:val="en-US"/>
              </w:rPr>
              <w:t>increased the ICER to $</w:t>
            </w:r>
            <w:r w:rsidR="00D12425" w:rsidRPr="00D12425">
              <w:rPr>
                <w:color w:val="000000"/>
                <w:spacing w:val="29"/>
                <w:shd w:val="solid" w:color="000000" w:fill="000000"/>
                <w:fitText w:val="550" w:id="-1236619770"/>
                <w:lang w:val="en-US"/>
                <w14:textFill>
                  <w14:solidFill>
                    <w14:srgbClr w14:val="000000">
                      <w14:alpha w14:val="100000"/>
                    </w14:srgbClr>
                  </w14:solidFill>
                </w14:textFill>
              </w:rPr>
              <w:t>|||||||</w:t>
            </w:r>
            <w:r w:rsidR="00D12425" w:rsidRPr="00D12425">
              <w:rPr>
                <w:color w:val="000000"/>
                <w:spacing w:val="7"/>
                <w:shd w:val="solid" w:color="000000" w:fill="000000"/>
                <w:fitText w:val="550" w:id="-1236619770"/>
                <w:lang w:val="en-US"/>
                <w14:textFill>
                  <w14:solidFill>
                    <w14:srgbClr w14:val="000000">
                      <w14:alpha w14:val="100000"/>
                    </w14:srgbClr>
                  </w14:solidFill>
                </w14:textFill>
              </w:rPr>
              <w:t>|</w:t>
            </w:r>
            <w:r w:rsidR="005D0EA2">
              <w:rPr>
                <w:vertAlign w:val="superscript"/>
                <w:lang w:val="en-US"/>
              </w:rPr>
              <w:t>3</w:t>
            </w:r>
            <w:r w:rsidR="00995EFA" w:rsidRPr="00653DD9">
              <w:rPr>
                <w:lang w:val="en-US"/>
              </w:rPr>
              <w:t xml:space="preserve"> per </w:t>
            </w:r>
            <w:r w:rsidRPr="00653DD9">
              <w:rPr>
                <w:lang w:val="en-US"/>
              </w:rPr>
              <w:t>QALY gained.</w:t>
            </w:r>
          </w:p>
        </w:tc>
      </w:tr>
      <w:tr w:rsidR="009E342D" w:rsidRPr="00E2771E" w14:paraId="035F614F" w14:textId="77777777" w:rsidTr="00A704EE">
        <w:tc>
          <w:tcPr>
            <w:tcW w:w="626" w:type="pct"/>
            <w:shd w:val="clear" w:color="auto" w:fill="auto"/>
            <w:vAlign w:val="center"/>
          </w:tcPr>
          <w:p w14:paraId="666C6F41" w14:textId="77777777" w:rsidR="009E342D" w:rsidRPr="00653DD9" w:rsidRDefault="009E342D" w:rsidP="00A704EE">
            <w:pPr>
              <w:pStyle w:val="TableText0"/>
              <w:rPr>
                <w:lang w:val="en-US"/>
              </w:rPr>
            </w:pPr>
            <w:r w:rsidRPr="00653DD9">
              <w:rPr>
                <w:lang w:val="en-US"/>
              </w:rPr>
              <w:t>Time Horizon</w:t>
            </w:r>
          </w:p>
        </w:tc>
        <w:tc>
          <w:tcPr>
            <w:tcW w:w="2201" w:type="pct"/>
            <w:shd w:val="clear" w:color="auto" w:fill="auto"/>
            <w:vAlign w:val="center"/>
          </w:tcPr>
          <w:p w14:paraId="68F4F0E5" w14:textId="66C04BAE" w:rsidR="009E342D" w:rsidRPr="00653DD9" w:rsidRDefault="00995EFA" w:rsidP="00A704EE">
            <w:pPr>
              <w:pStyle w:val="TableText0"/>
              <w:rPr>
                <w:lang w:val="en-US"/>
              </w:rPr>
            </w:pPr>
            <w:r w:rsidRPr="00653DD9">
              <w:rPr>
                <w:lang w:val="en-US"/>
              </w:rPr>
              <w:t xml:space="preserve">The </w:t>
            </w:r>
            <w:r w:rsidR="009E342D" w:rsidRPr="00653DD9">
              <w:rPr>
                <w:lang w:val="en-US"/>
              </w:rPr>
              <w:t>20 year</w:t>
            </w:r>
            <w:r w:rsidRPr="00653DD9">
              <w:rPr>
                <w:lang w:val="en-US"/>
              </w:rPr>
              <w:t xml:space="preserve"> modelled time horizon was long given that the median OS survival for patients with metastatic UM is 10 to 12 months.</w:t>
            </w:r>
          </w:p>
        </w:tc>
        <w:tc>
          <w:tcPr>
            <w:tcW w:w="2173" w:type="pct"/>
            <w:shd w:val="clear" w:color="auto" w:fill="auto"/>
            <w:vAlign w:val="center"/>
          </w:tcPr>
          <w:p w14:paraId="17CA6AB1" w14:textId="77777777" w:rsidR="009E342D" w:rsidRPr="00653DD9" w:rsidRDefault="009E342D" w:rsidP="00A704EE">
            <w:pPr>
              <w:pStyle w:val="TableText0"/>
              <w:rPr>
                <w:lang w:val="en-US"/>
              </w:rPr>
            </w:pPr>
            <w:r w:rsidRPr="00653DD9">
              <w:rPr>
                <w:lang w:val="en-US"/>
              </w:rPr>
              <w:t>High, favours tebentafusp.</w:t>
            </w:r>
          </w:p>
          <w:p w14:paraId="4B6BD88C" w14:textId="6D1457CC" w:rsidR="009E342D" w:rsidRPr="00653DD9" w:rsidRDefault="00995EFA" w:rsidP="00A704EE">
            <w:pPr>
              <w:pStyle w:val="TableText0"/>
              <w:rPr>
                <w:lang w:val="en-US"/>
              </w:rPr>
            </w:pPr>
            <w:r w:rsidRPr="00653DD9">
              <w:rPr>
                <w:lang w:val="en-US"/>
              </w:rPr>
              <w:t xml:space="preserve">Reducing the </w:t>
            </w:r>
            <w:r w:rsidR="009E342D" w:rsidRPr="00653DD9">
              <w:rPr>
                <w:lang w:val="en-US"/>
              </w:rPr>
              <w:t>time horizon of 10 years increased the ICER to $</w:t>
            </w:r>
            <w:r w:rsidR="00D12425" w:rsidRPr="00D12425">
              <w:rPr>
                <w:color w:val="000000"/>
                <w:spacing w:val="28"/>
                <w:shd w:val="solid" w:color="000000" w:fill="000000"/>
                <w:fitText w:val="541" w:id="-1236619769"/>
                <w:lang w:val="en-US"/>
                <w14:textFill>
                  <w14:solidFill>
                    <w14:srgbClr w14:val="000000">
                      <w14:alpha w14:val="100000"/>
                    </w14:srgbClr>
                  </w14:solidFill>
                </w14:textFill>
              </w:rPr>
              <w:t>|||||||</w:t>
            </w:r>
            <w:r w:rsidR="00D12425" w:rsidRPr="00D12425">
              <w:rPr>
                <w:color w:val="000000"/>
                <w:spacing w:val="5"/>
                <w:shd w:val="solid" w:color="000000" w:fill="000000"/>
                <w:fitText w:val="541" w:id="-1236619769"/>
                <w:lang w:val="en-US"/>
                <w14:textFill>
                  <w14:solidFill>
                    <w14:srgbClr w14:val="000000">
                      <w14:alpha w14:val="100000"/>
                    </w14:srgbClr>
                  </w14:solidFill>
                </w14:textFill>
              </w:rPr>
              <w:t>|</w:t>
            </w:r>
            <w:r w:rsidR="005D0EA2">
              <w:rPr>
                <w:vertAlign w:val="superscript"/>
                <w:lang w:val="en-US"/>
              </w:rPr>
              <w:t>3</w:t>
            </w:r>
            <w:r w:rsidRPr="00653DD9">
              <w:rPr>
                <w:lang w:val="en-US"/>
              </w:rPr>
              <w:t xml:space="preserve"> per </w:t>
            </w:r>
            <w:r w:rsidR="009E342D" w:rsidRPr="00653DD9">
              <w:rPr>
                <w:lang w:val="en-US"/>
              </w:rPr>
              <w:t>QALY gained.</w:t>
            </w:r>
          </w:p>
        </w:tc>
      </w:tr>
      <w:tr w:rsidR="009E342D" w:rsidRPr="00E2771E" w14:paraId="536D49FE" w14:textId="77777777" w:rsidTr="00A704EE">
        <w:tc>
          <w:tcPr>
            <w:tcW w:w="626" w:type="pct"/>
            <w:shd w:val="clear" w:color="auto" w:fill="auto"/>
            <w:vAlign w:val="center"/>
          </w:tcPr>
          <w:p w14:paraId="7D24BD22" w14:textId="77777777" w:rsidR="009E342D" w:rsidRPr="00653DD9" w:rsidRDefault="009E342D" w:rsidP="00A704EE">
            <w:pPr>
              <w:pStyle w:val="TableText0"/>
              <w:rPr>
                <w:lang w:val="en-US"/>
              </w:rPr>
            </w:pPr>
            <w:r w:rsidRPr="00653DD9">
              <w:rPr>
                <w:lang w:val="en-US"/>
              </w:rPr>
              <w:t>Utilities</w:t>
            </w:r>
          </w:p>
        </w:tc>
        <w:tc>
          <w:tcPr>
            <w:tcW w:w="2201" w:type="pct"/>
            <w:shd w:val="clear" w:color="auto" w:fill="auto"/>
            <w:vAlign w:val="center"/>
          </w:tcPr>
          <w:p w14:paraId="0578AC5A" w14:textId="77777777" w:rsidR="009E342D" w:rsidRPr="00653DD9" w:rsidRDefault="009E342D" w:rsidP="00A704EE">
            <w:pPr>
              <w:pStyle w:val="TableText0"/>
              <w:rPr>
                <w:lang w:val="en-US"/>
              </w:rPr>
            </w:pPr>
            <w:r w:rsidRPr="00653DD9">
              <w:rPr>
                <w:lang w:val="en-US"/>
              </w:rPr>
              <w:t>Utility values were based on time-to-death approach</w:t>
            </w:r>
          </w:p>
        </w:tc>
        <w:tc>
          <w:tcPr>
            <w:tcW w:w="2173" w:type="pct"/>
            <w:shd w:val="clear" w:color="auto" w:fill="auto"/>
            <w:vAlign w:val="center"/>
          </w:tcPr>
          <w:p w14:paraId="0178BADC" w14:textId="77777777" w:rsidR="009E342D" w:rsidRPr="00653DD9" w:rsidRDefault="009E342D" w:rsidP="00A704EE">
            <w:pPr>
              <w:pStyle w:val="TableText0"/>
              <w:rPr>
                <w:lang w:val="en-US"/>
              </w:rPr>
            </w:pPr>
            <w:r w:rsidRPr="00653DD9">
              <w:rPr>
                <w:lang w:val="en-US"/>
              </w:rPr>
              <w:t>Low, favours tebentafusp.</w:t>
            </w:r>
          </w:p>
          <w:p w14:paraId="0FA54C50" w14:textId="47F140EF" w:rsidR="009E342D" w:rsidRPr="00653DD9" w:rsidRDefault="00995EFA" w:rsidP="00A704EE">
            <w:pPr>
              <w:pStyle w:val="TableText0"/>
              <w:rPr>
                <w:lang w:val="en-US"/>
              </w:rPr>
            </w:pPr>
            <w:r w:rsidRPr="00653DD9">
              <w:rPr>
                <w:lang w:val="en-US"/>
              </w:rPr>
              <w:t>Application of utilities based on health states (</w:t>
            </w:r>
            <w:r w:rsidR="00922A48" w:rsidRPr="00653DD9">
              <w:rPr>
                <w:lang w:val="en-US"/>
              </w:rPr>
              <w:t>i.e.,</w:t>
            </w:r>
            <w:r w:rsidRPr="00653DD9">
              <w:rPr>
                <w:lang w:val="en-US"/>
              </w:rPr>
              <w:t xml:space="preserve"> progression free and progressed) and including an age adjustment </w:t>
            </w:r>
            <w:r w:rsidR="009E342D" w:rsidRPr="00653DD9">
              <w:rPr>
                <w:lang w:val="en-US"/>
              </w:rPr>
              <w:t>increased the ICER to $</w:t>
            </w:r>
            <w:r w:rsidR="00D12425" w:rsidRPr="00D12425">
              <w:rPr>
                <w:color w:val="000000"/>
                <w:spacing w:val="28"/>
                <w:shd w:val="solid" w:color="000000" w:fill="000000"/>
                <w:fitText w:val="541" w:id="-1236619768"/>
                <w:lang w:val="en-US"/>
                <w14:textFill>
                  <w14:solidFill>
                    <w14:srgbClr w14:val="000000">
                      <w14:alpha w14:val="100000"/>
                    </w14:srgbClr>
                  </w14:solidFill>
                </w14:textFill>
              </w:rPr>
              <w:t>|||||||</w:t>
            </w:r>
            <w:r w:rsidR="00D12425" w:rsidRPr="00D12425">
              <w:rPr>
                <w:color w:val="000000"/>
                <w:spacing w:val="5"/>
                <w:shd w:val="solid" w:color="000000" w:fill="000000"/>
                <w:fitText w:val="541" w:id="-1236619768"/>
                <w:lang w:val="en-US"/>
                <w14:textFill>
                  <w14:solidFill>
                    <w14:srgbClr w14:val="000000">
                      <w14:alpha w14:val="100000"/>
                    </w14:srgbClr>
                  </w14:solidFill>
                </w14:textFill>
              </w:rPr>
              <w:t>|</w:t>
            </w:r>
            <w:r w:rsidR="005D0EA2" w:rsidRPr="005D0EA2">
              <w:rPr>
                <w:vertAlign w:val="superscript"/>
              </w:rPr>
              <w:t>1</w:t>
            </w:r>
            <w:r w:rsidRPr="005D0EA2">
              <w:rPr>
                <w:lang w:val="en-US"/>
              </w:rPr>
              <w:t xml:space="preserve"> </w:t>
            </w:r>
            <w:r w:rsidRPr="00653DD9">
              <w:rPr>
                <w:lang w:val="en-US"/>
              </w:rPr>
              <w:t>per QAL</w:t>
            </w:r>
            <w:r w:rsidR="009E342D" w:rsidRPr="00653DD9">
              <w:rPr>
                <w:lang w:val="en-US"/>
              </w:rPr>
              <w:t>Y gained.</w:t>
            </w:r>
          </w:p>
        </w:tc>
      </w:tr>
    </w:tbl>
    <w:p w14:paraId="22BC6BB5" w14:textId="77777777" w:rsidR="009E342D" w:rsidRDefault="009E342D" w:rsidP="009E342D">
      <w:pPr>
        <w:pStyle w:val="FooterTableFigure"/>
      </w:pPr>
      <w:r>
        <w:t xml:space="preserve">Source: Table 3.9.1, p203-206 of the submission and ‘Immunocore_tebentafusp UM_CEMv1’ workbook. </w:t>
      </w:r>
    </w:p>
    <w:p w14:paraId="317CB30E" w14:textId="3491ABBB" w:rsidR="009E342D" w:rsidRDefault="00CF5EF5" w:rsidP="009E342D">
      <w:pPr>
        <w:pStyle w:val="FooterTableFigure"/>
      </w:pPr>
      <w:r w:rsidRPr="00CF5EF5">
        <w:t>AIC</w:t>
      </w:r>
      <w:r>
        <w:t xml:space="preserve"> = </w:t>
      </w:r>
      <w:r w:rsidRPr="00CF5EF5">
        <w:t>Akaike’s information criterion</w:t>
      </w:r>
      <w:r>
        <w:t>,</w:t>
      </w:r>
      <w:r w:rsidRPr="00CF5EF5">
        <w:t xml:space="preserve"> BIC</w:t>
      </w:r>
      <w:r>
        <w:t xml:space="preserve"> =</w:t>
      </w:r>
      <w:r w:rsidRPr="00CF5EF5">
        <w:t xml:space="preserve"> Bayesian information criterion</w:t>
      </w:r>
      <w:r>
        <w:t>,</w:t>
      </w:r>
      <w:r w:rsidRPr="00CF5EF5">
        <w:t xml:space="preserve"> </w:t>
      </w:r>
      <w:r w:rsidR="009E342D">
        <w:t>ITT = intention-to-treat, ICER = incremental cost-effectiveness ratio, KM = Kaplan-Meier, OS = overall survival, PCP = pre-choice pembrolizumab, QALY = quality-adjusted life years</w:t>
      </w:r>
      <w:r w:rsidR="00995EFA">
        <w:t>; UM = uveal melanoma</w:t>
      </w:r>
      <w:r w:rsidR="009E342D">
        <w:t>.</w:t>
      </w:r>
    </w:p>
    <w:p w14:paraId="62703002" w14:textId="54E2BF8D" w:rsidR="009E342D" w:rsidRDefault="009E342D" w:rsidP="009E342D">
      <w:pPr>
        <w:pStyle w:val="FooterTableFigure"/>
      </w:pPr>
      <w:r>
        <w:rPr>
          <w:i/>
          <w:iCs/>
        </w:rPr>
        <w:t xml:space="preserve">Italics </w:t>
      </w:r>
      <w:r>
        <w:t>corrected during evaluation using the correct MBS fee of $114.20 by changing cell D95 in the ‘Cost data’ worksheet in the ’Immunocore_</w:t>
      </w:r>
      <w:r w:rsidRPr="00B515FF">
        <w:t>tebentafusp UM_CEM v1’ workbook.</w:t>
      </w:r>
    </w:p>
    <w:p w14:paraId="19DB76A4" w14:textId="0264B92D" w:rsidR="005D0EA2" w:rsidRPr="005D0EA2" w:rsidRDefault="005D0EA2" w:rsidP="009E342D">
      <w:pPr>
        <w:pStyle w:val="FooterTableFigure"/>
        <w:rPr>
          <w:i/>
          <w:iCs/>
        </w:rPr>
      </w:pPr>
      <w:r w:rsidRPr="005D0EA2">
        <w:rPr>
          <w:i/>
          <w:iCs/>
        </w:rPr>
        <w:t>The redacted values correspond to the following ranges:</w:t>
      </w:r>
    </w:p>
    <w:p w14:paraId="6D20B7FB" w14:textId="1B37EC72" w:rsidR="005D0EA2" w:rsidRDefault="005D0EA2" w:rsidP="009E342D">
      <w:pPr>
        <w:pStyle w:val="FooterTableFigure"/>
        <w:rPr>
          <w:i/>
          <w:iCs/>
        </w:rPr>
      </w:pPr>
      <w:r w:rsidRPr="005D0EA2">
        <w:rPr>
          <w:i/>
          <w:iCs/>
          <w:vertAlign w:val="superscript"/>
        </w:rPr>
        <w:t>1</w:t>
      </w:r>
      <w:r w:rsidRPr="005D0EA2">
        <w:rPr>
          <w:i/>
          <w:iCs/>
        </w:rPr>
        <w:t xml:space="preserve"> $115,000 to &lt; $135,000</w:t>
      </w:r>
    </w:p>
    <w:p w14:paraId="4B76972C" w14:textId="0376777B" w:rsidR="005D0EA2" w:rsidRDefault="005D0EA2" w:rsidP="005D0EA2">
      <w:pPr>
        <w:pStyle w:val="FooterTableFigure"/>
        <w:rPr>
          <w:i/>
          <w:iCs/>
        </w:rPr>
      </w:pPr>
      <w:r>
        <w:rPr>
          <w:i/>
          <w:iCs/>
          <w:vertAlign w:val="superscript"/>
        </w:rPr>
        <w:t>2</w:t>
      </w:r>
      <w:r w:rsidR="00ED4217">
        <w:rPr>
          <w:i/>
          <w:iCs/>
          <w:vertAlign w:val="superscript"/>
        </w:rPr>
        <w:t xml:space="preserve"> </w:t>
      </w:r>
      <w:r>
        <w:rPr>
          <w:i/>
          <w:iCs/>
        </w:rPr>
        <w:t>$455,000 to &lt; $555,000</w:t>
      </w:r>
    </w:p>
    <w:p w14:paraId="7DEC01BE" w14:textId="72D268B2" w:rsidR="005D0EA2" w:rsidRPr="005D0EA2" w:rsidRDefault="005D0EA2" w:rsidP="005D0EA2">
      <w:pPr>
        <w:pStyle w:val="FooterTableFigure"/>
        <w:rPr>
          <w:i/>
          <w:iCs/>
        </w:rPr>
      </w:pPr>
      <w:r>
        <w:rPr>
          <w:i/>
          <w:iCs/>
          <w:vertAlign w:val="superscript"/>
        </w:rPr>
        <w:t>3</w:t>
      </w:r>
      <w:r w:rsidR="00ED4217">
        <w:rPr>
          <w:i/>
          <w:iCs/>
          <w:vertAlign w:val="superscript"/>
        </w:rPr>
        <w:t xml:space="preserve"> </w:t>
      </w:r>
      <w:r>
        <w:rPr>
          <w:i/>
          <w:iCs/>
        </w:rPr>
        <w:t>$155,000 to &lt; $255,000</w:t>
      </w:r>
    </w:p>
    <w:p w14:paraId="6B335089" w14:textId="63EC7BE3" w:rsidR="00995EFA" w:rsidRPr="00B515FF" w:rsidRDefault="009E342D" w:rsidP="00995EFA">
      <w:pPr>
        <w:pStyle w:val="3-BodyText"/>
      </w:pPr>
      <w:r w:rsidRPr="00B515FF">
        <w:lastRenderedPageBreak/>
        <w:t xml:space="preserve">The results of the modelled economic evaluation are summarised in </w:t>
      </w:r>
      <w:r w:rsidRPr="00B515FF">
        <w:fldChar w:fldCharType="begin" w:fldLock="1"/>
      </w:r>
      <w:r w:rsidRPr="00B515FF">
        <w:instrText xml:space="preserve"> REF _Ref104805160 \h </w:instrText>
      </w:r>
      <w:r w:rsidR="00653DD9" w:rsidRPr="00B515FF">
        <w:instrText xml:space="preserve"> \* MERGEFORMAT </w:instrText>
      </w:r>
      <w:r w:rsidRPr="00B515FF">
        <w:fldChar w:fldCharType="separate"/>
      </w:r>
      <w:r w:rsidR="00A53FF4" w:rsidRPr="00B515FF">
        <w:t xml:space="preserve">Table </w:t>
      </w:r>
      <w:r w:rsidR="00A53FF4">
        <w:rPr>
          <w:noProof/>
        </w:rPr>
        <w:t>12</w:t>
      </w:r>
      <w:r w:rsidRPr="00B515FF">
        <w:fldChar w:fldCharType="end"/>
      </w:r>
      <w:r w:rsidRPr="00B515FF">
        <w:t>.</w:t>
      </w:r>
      <w:r w:rsidR="00995EFA" w:rsidRPr="00B515FF">
        <w:t xml:space="preserve"> </w:t>
      </w:r>
      <w:r w:rsidR="00AB6E47" w:rsidRPr="00B515FF">
        <w:t>The pre-PBAC response provided a revised base case in which the time horizon was reduced 15 year (from 20 years) and the ex-manufacturer price per 100 mcg vial was reduced to $</w:t>
      </w:r>
      <w:r w:rsidR="00D12425" w:rsidRPr="00A67F44">
        <w:rPr>
          <w:color w:val="000000"/>
          <w:w w:val="24"/>
          <w:shd w:val="solid" w:color="000000" w:fill="000000"/>
          <w:fitText w:val="80" w:id="-1236619767"/>
          <w14:textFill>
            <w14:solidFill>
              <w14:srgbClr w14:val="000000">
                <w14:alpha w14:val="100000"/>
              </w14:srgbClr>
            </w14:solidFill>
          </w14:textFill>
        </w:rPr>
        <w:t xml:space="preserve">|  </w:t>
      </w:r>
      <w:r w:rsidR="00D12425" w:rsidRPr="00A67F44">
        <w:rPr>
          <w:color w:val="000000"/>
          <w:spacing w:val="1"/>
          <w:w w:val="24"/>
          <w:shd w:val="solid" w:color="000000" w:fill="000000"/>
          <w:fitText w:val="80" w:id="-1236619767"/>
          <w14:textFill>
            <w14:solidFill>
              <w14:srgbClr w14:val="000000">
                <w14:alpha w14:val="100000"/>
              </w14:srgbClr>
            </w14:solidFill>
          </w14:textFill>
        </w:rPr>
        <w:t>|</w:t>
      </w:r>
      <w:r w:rsidR="00AB6E47" w:rsidRPr="00B515FF">
        <w:t xml:space="preserve"> (from $</w:t>
      </w:r>
      <w:r w:rsidR="00D12425" w:rsidRPr="00A67F44">
        <w:rPr>
          <w:color w:val="000000"/>
          <w:w w:val="23"/>
          <w:shd w:val="solid" w:color="000000" w:fill="000000"/>
          <w:fitText w:val="79" w:id="-1236619766"/>
          <w14:textFill>
            <w14:solidFill>
              <w14:srgbClr w14:val="000000">
                <w14:alpha w14:val="100000"/>
              </w14:srgbClr>
            </w14:solidFill>
          </w14:textFill>
        </w:rPr>
        <w:t xml:space="preserve">|  </w:t>
      </w:r>
      <w:r w:rsidR="00D12425" w:rsidRPr="00A67F44">
        <w:rPr>
          <w:color w:val="000000"/>
          <w:spacing w:val="3"/>
          <w:w w:val="23"/>
          <w:shd w:val="solid" w:color="000000" w:fill="000000"/>
          <w:fitText w:val="79" w:id="-1236619766"/>
          <w14:textFill>
            <w14:solidFill>
              <w14:srgbClr w14:val="000000">
                <w14:alpha w14:val="100000"/>
              </w14:srgbClr>
            </w14:solidFill>
          </w14:textFill>
        </w:rPr>
        <w:t>|</w:t>
      </w:r>
      <w:r w:rsidR="00AB6E47" w:rsidRPr="00B515FF">
        <w:t xml:space="preserve">). </w:t>
      </w:r>
    </w:p>
    <w:p w14:paraId="6BB6BC53" w14:textId="24B5897D" w:rsidR="009E342D" w:rsidRPr="00B515FF" w:rsidRDefault="009E342D" w:rsidP="009E342D">
      <w:pPr>
        <w:pStyle w:val="Caption"/>
      </w:pPr>
      <w:bookmarkStart w:id="64" w:name="_Ref104805160"/>
      <w:bookmarkStart w:id="65" w:name="_Hlk121298431"/>
      <w:r w:rsidRPr="00B515FF">
        <w:t xml:space="preserve">Table </w:t>
      </w:r>
      <w:fldSimple w:instr=" SEQ Table \* ARABIC " w:fldLock="1">
        <w:r w:rsidR="00A53FF4">
          <w:rPr>
            <w:noProof/>
          </w:rPr>
          <w:t>12</w:t>
        </w:r>
      </w:fldSimple>
      <w:bookmarkEnd w:id="64"/>
      <w:r w:rsidRPr="00B515FF">
        <w:t>:</w:t>
      </w:r>
      <w:r w:rsidRPr="00B515FF">
        <w:rPr>
          <w:rStyle w:val="TableFigureHeadingChar"/>
        </w:rPr>
        <w:t xml:space="preserve"> </w:t>
      </w:r>
      <w:r w:rsidRPr="00B515FF">
        <w:rPr>
          <w:rStyle w:val="TableFigureHeadingChar"/>
          <w:b/>
          <w:bCs/>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9E342D" w:rsidRPr="00B515FF" w14:paraId="5593A00C" w14:textId="77777777" w:rsidTr="00A704EE">
        <w:trPr>
          <w:cantSplit/>
          <w:tblHeader/>
        </w:trPr>
        <w:tc>
          <w:tcPr>
            <w:tcW w:w="1529" w:type="pct"/>
            <w:vAlign w:val="center"/>
          </w:tcPr>
          <w:p w14:paraId="5C63A1FA" w14:textId="77777777" w:rsidR="009E342D" w:rsidRPr="00B515FF" w:rsidRDefault="009E342D" w:rsidP="00A704EE">
            <w:pPr>
              <w:pStyle w:val="In-tableHeading"/>
            </w:pPr>
            <w:r w:rsidRPr="00B515FF">
              <w:t>Step and component</w:t>
            </w:r>
          </w:p>
        </w:tc>
        <w:tc>
          <w:tcPr>
            <w:tcW w:w="1359" w:type="pct"/>
            <w:vAlign w:val="center"/>
          </w:tcPr>
          <w:p w14:paraId="7549EE53" w14:textId="77777777" w:rsidR="009E342D" w:rsidRPr="00B515FF" w:rsidRDefault="009E342D" w:rsidP="00A704EE">
            <w:pPr>
              <w:pStyle w:val="In-tableHeading"/>
              <w:jc w:val="center"/>
            </w:pPr>
            <w:r w:rsidRPr="00B515FF">
              <w:t>Tebentafusp</w:t>
            </w:r>
          </w:p>
        </w:tc>
        <w:tc>
          <w:tcPr>
            <w:tcW w:w="1274" w:type="pct"/>
            <w:vAlign w:val="center"/>
          </w:tcPr>
          <w:p w14:paraId="3048E5AE" w14:textId="77777777" w:rsidR="009E342D" w:rsidRPr="00B515FF" w:rsidRDefault="009E342D" w:rsidP="00A704EE">
            <w:pPr>
              <w:pStyle w:val="In-tableHeading"/>
              <w:jc w:val="center"/>
            </w:pPr>
            <w:r w:rsidRPr="00B515FF">
              <w:t>Pembrolizumab</w:t>
            </w:r>
          </w:p>
        </w:tc>
        <w:tc>
          <w:tcPr>
            <w:tcW w:w="838" w:type="pct"/>
            <w:vAlign w:val="center"/>
          </w:tcPr>
          <w:p w14:paraId="77A0240B" w14:textId="77777777" w:rsidR="009E342D" w:rsidRPr="00B515FF" w:rsidRDefault="009E342D" w:rsidP="00A704EE">
            <w:pPr>
              <w:pStyle w:val="In-tableHeading"/>
              <w:jc w:val="center"/>
            </w:pPr>
            <w:r w:rsidRPr="00B515FF">
              <w:t>Increment</w:t>
            </w:r>
          </w:p>
        </w:tc>
      </w:tr>
      <w:tr w:rsidR="009E342D" w:rsidRPr="00AF3847" w14:paraId="2C5DC9D1" w14:textId="77777777" w:rsidTr="00A704EE">
        <w:trPr>
          <w:cantSplit/>
        </w:trPr>
        <w:tc>
          <w:tcPr>
            <w:tcW w:w="5000" w:type="pct"/>
            <w:gridSpan w:val="4"/>
          </w:tcPr>
          <w:p w14:paraId="1B6FD57C" w14:textId="77777777" w:rsidR="009E342D" w:rsidRPr="00AF3847" w:rsidRDefault="009E342D" w:rsidP="00A704EE">
            <w:pPr>
              <w:pStyle w:val="In-tableHeading"/>
            </w:pPr>
            <w:r w:rsidRPr="00B515FF">
              <w:t>Step 1: trial-based costs and outcomes</w:t>
            </w:r>
          </w:p>
        </w:tc>
      </w:tr>
      <w:tr w:rsidR="009E342D" w:rsidRPr="00AF3847" w14:paraId="5BCEF2E2" w14:textId="77777777" w:rsidTr="00D12425">
        <w:trPr>
          <w:cantSplit/>
        </w:trPr>
        <w:tc>
          <w:tcPr>
            <w:tcW w:w="1529" w:type="pct"/>
          </w:tcPr>
          <w:p w14:paraId="2514339D" w14:textId="37EAF22C" w:rsidR="009E342D" w:rsidRPr="00AF3847" w:rsidRDefault="009E342D" w:rsidP="00A704EE">
            <w:pPr>
              <w:pStyle w:val="TableText0"/>
              <w:rPr>
                <w:rFonts w:ascii="Times" w:hAnsi="Times"/>
              </w:rPr>
            </w:pPr>
            <w:r w:rsidRPr="00AF3847">
              <w:t>Costs</w:t>
            </w:r>
            <w:r w:rsidR="005D0EA2">
              <w:t xml:space="preserve"> ($)</w:t>
            </w:r>
          </w:p>
        </w:tc>
        <w:tc>
          <w:tcPr>
            <w:tcW w:w="1359" w:type="pct"/>
            <w:shd w:val="solid" w:color="000000" w:fill="000000"/>
          </w:tcPr>
          <w:p w14:paraId="130CDBF7" w14:textId="3D0876A5" w:rsidR="009E342D" w:rsidRPr="00D12425" w:rsidRDefault="00D12425" w:rsidP="00A704EE">
            <w:pPr>
              <w:pStyle w:val="TableText0"/>
              <w:jc w:val="center"/>
              <w:rPr>
                <w:rFonts w:ascii="Times" w:hAnsi="Times"/>
              </w:rPr>
            </w:pPr>
            <w:r w:rsidRPr="00D12425">
              <w:rPr>
                <w:color w:val="000000"/>
                <w14:textFill>
                  <w14:solidFill>
                    <w14:srgbClr w14:val="000000">
                      <w14:alpha w14:val="100000"/>
                    </w14:srgbClr>
                  </w14:solidFill>
                </w14:textFill>
              </w:rPr>
              <w:t>|</w:t>
            </w:r>
          </w:p>
        </w:tc>
        <w:tc>
          <w:tcPr>
            <w:tcW w:w="1274" w:type="pct"/>
          </w:tcPr>
          <w:p w14:paraId="6F5F429B" w14:textId="77777777" w:rsidR="009E342D" w:rsidRPr="00AF3847" w:rsidRDefault="009E342D" w:rsidP="00A704EE">
            <w:pPr>
              <w:pStyle w:val="TableText0"/>
              <w:jc w:val="center"/>
              <w:rPr>
                <w:rFonts w:ascii="Times" w:hAnsi="Times"/>
              </w:rPr>
            </w:pPr>
            <w:r w:rsidRPr="00AF3847">
              <w:t>$63,121</w:t>
            </w:r>
          </w:p>
        </w:tc>
        <w:tc>
          <w:tcPr>
            <w:tcW w:w="838" w:type="pct"/>
            <w:shd w:val="solid" w:color="000000" w:fill="000000"/>
          </w:tcPr>
          <w:p w14:paraId="348B3722" w14:textId="65531ACF" w:rsidR="009E342D" w:rsidRPr="00D12425" w:rsidRDefault="00D12425" w:rsidP="00A704EE">
            <w:pPr>
              <w:pStyle w:val="TableText0"/>
              <w:jc w:val="center"/>
              <w:rPr>
                <w:rFonts w:ascii="Times" w:hAnsi="Times"/>
              </w:rPr>
            </w:pPr>
            <w:r w:rsidRPr="00D12425">
              <w:rPr>
                <w:rFonts w:hint="eastAsia"/>
                <w:color w:val="000000"/>
                <w:w w:val="33"/>
                <w:fitText w:val="150" w:id="-1236619765"/>
                <w14:textFill>
                  <w14:solidFill>
                    <w14:srgbClr w14:val="000000">
                      <w14:alpha w14:val="100000"/>
                    </w14:srgbClr>
                  </w14:solidFill>
                </w14:textFill>
              </w:rPr>
              <w:t xml:space="preserve">　</w:t>
            </w:r>
            <w:r w:rsidRPr="00D12425">
              <w:rPr>
                <w:color w:val="000000"/>
                <w:w w:val="33"/>
                <w:fitText w:val="150" w:id="-1236619765"/>
                <w14:textFill>
                  <w14:solidFill>
                    <w14:srgbClr w14:val="000000">
                      <w14:alpha w14:val="100000"/>
                    </w14:srgbClr>
                  </w14:solidFill>
                </w14:textFill>
              </w:rPr>
              <w:t>|</w:t>
            </w:r>
            <w:r w:rsidRPr="00D12425">
              <w:rPr>
                <w:rFonts w:hint="eastAsia"/>
                <w:color w:val="000000"/>
                <w:w w:val="33"/>
                <w:fitText w:val="150" w:id="-1236619765"/>
                <w14:textFill>
                  <w14:solidFill>
                    <w14:srgbClr w14:val="000000">
                      <w14:alpha w14:val="100000"/>
                    </w14:srgbClr>
                  </w14:solidFill>
                </w14:textFill>
              </w:rPr>
              <w:t xml:space="preserve">　</w:t>
            </w:r>
          </w:p>
        </w:tc>
      </w:tr>
      <w:tr w:rsidR="009E342D" w:rsidRPr="00AF3847" w14:paraId="78C76441" w14:textId="77777777" w:rsidTr="00A704EE">
        <w:trPr>
          <w:cantSplit/>
        </w:trPr>
        <w:tc>
          <w:tcPr>
            <w:tcW w:w="1529" w:type="pct"/>
          </w:tcPr>
          <w:p w14:paraId="2D48B8A5" w14:textId="77777777" w:rsidR="009E342D" w:rsidRPr="00AF3847" w:rsidRDefault="009E342D" w:rsidP="00A704EE">
            <w:pPr>
              <w:pStyle w:val="TableText0"/>
              <w:rPr>
                <w:rFonts w:ascii="Times" w:hAnsi="Times"/>
              </w:rPr>
            </w:pPr>
            <w:r w:rsidRPr="00AF3847">
              <w:t>LYG</w:t>
            </w:r>
          </w:p>
        </w:tc>
        <w:tc>
          <w:tcPr>
            <w:tcW w:w="1359" w:type="pct"/>
          </w:tcPr>
          <w:p w14:paraId="59E06509" w14:textId="77777777" w:rsidR="009E342D" w:rsidRPr="00AF3847" w:rsidRDefault="009E342D" w:rsidP="00A704EE">
            <w:pPr>
              <w:pStyle w:val="TableText0"/>
              <w:jc w:val="center"/>
              <w:rPr>
                <w:rFonts w:ascii="Times" w:hAnsi="Times"/>
              </w:rPr>
            </w:pPr>
            <w:r w:rsidRPr="00AF3847">
              <w:t>2.11</w:t>
            </w:r>
          </w:p>
        </w:tc>
        <w:tc>
          <w:tcPr>
            <w:tcW w:w="1274" w:type="pct"/>
          </w:tcPr>
          <w:p w14:paraId="1090F4F8" w14:textId="77777777" w:rsidR="009E342D" w:rsidRPr="00AF3847" w:rsidRDefault="009E342D" w:rsidP="00A704EE">
            <w:pPr>
              <w:pStyle w:val="TableText0"/>
              <w:jc w:val="center"/>
              <w:rPr>
                <w:rFonts w:ascii="Times" w:hAnsi="Times"/>
              </w:rPr>
            </w:pPr>
            <w:r w:rsidRPr="00AF3847">
              <w:t>1.73</w:t>
            </w:r>
          </w:p>
        </w:tc>
        <w:tc>
          <w:tcPr>
            <w:tcW w:w="838" w:type="pct"/>
          </w:tcPr>
          <w:p w14:paraId="24129ABF" w14:textId="77777777" w:rsidR="009E342D" w:rsidRPr="00AF3847" w:rsidRDefault="009E342D" w:rsidP="00A704EE">
            <w:pPr>
              <w:pStyle w:val="TableText0"/>
              <w:jc w:val="center"/>
            </w:pPr>
            <w:r w:rsidRPr="00AF3847">
              <w:t>0.38</w:t>
            </w:r>
          </w:p>
        </w:tc>
      </w:tr>
      <w:tr w:rsidR="009E342D" w:rsidRPr="00AF3847" w14:paraId="63EF60BF" w14:textId="77777777" w:rsidTr="00A704EE">
        <w:trPr>
          <w:cantSplit/>
        </w:trPr>
        <w:tc>
          <w:tcPr>
            <w:tcW w:w="4162" w:type="pct"/>
            <w:gridSpan w:val="3"/>
          </w:tcPr>
          <w:p w14:paraId="145E0DC6" w14:textId="77777777" w:rsidR="009E342D" w:rsidRPr="00AF3847" w:rsidRDefault="009E342D" w:rsidP="00A704EE">
            <w:pPr>
              <w:pStyle w:val="TableText0"/>
              <w:rPr>
                <w:rFonts w:ascii="Times" w:hAnsi="Times"/>
              </w:rPr>
            </w:pPr>
            <w:r w:rsidRPr="00AF3847">
              <w:t>Incremental cost/extra LYG gained</w:t>
            </w:r>
          </w:p>
        </w:tc>
        <w:tc>
          <w:tcPr>
            <w:tcW w:w="838" w:type="pct"/>
          </w:tcPr>
          <w:p w14:paraId="774317A7" w14:textId="5A0E7570" w:rsidR="009E342D" w:rsidRPr="00AF3847" w:rsidRDefault="00D12425" w:rsidP="00A704EE">
            <w:pPr>
              <w:pStyle w:val="TableText0"/>
              <w:jc w:val="center"/>
              <w:rPr>
                <w:rFonts w:ascii="Times" w:hAnsi="Times"/>
              </w:rPr>
            </w:pPr>
            <w:r w:rsidRPr="00D12425">
              <w:rPr>
                <w:color w:val="000000"/>
                <w:spacing w:val="89"/>
                <w:shd w:val="solid" w:color="000000" w:fill="000000"/>
                <w:fitText w:val="175" w:id="-1236619764"/>
                <w14:textFill>
                  <w14:solidFill>
                    <w14:srgbClr w14:val="000000">
                      <w14:alpha w14:val="100000"/>
                    </w14:srgbClr>
                  </w14:solidFill>
                </w14:textFill>
              </w:rPr>
              <w:t>|</w:t>
            </w:r>
            <w:r w:rsidRPr="00D12425">
              <w:rPr>
                <w:color w:val="000000"/>
                <w:spacing w:val="1"/>
                <w:shd w:val="solid" w:color="000000" w:fill="000000"/>
                <w:fitText w:val="175" w:id="-1236619764"/>
                <w14:textFill>
                  <w14:solidFill>
                    <w14:srgbClr w14:val="000000">
                      <w14:alpha w14:val="100000"/>
                    </w14:srgbClr>
                  </w14:solidFill>
                </w14:textFill>
              </w:rPr>
              <w:t>|</w:t>
            </w:r>
            <w:r w:rsidR="005D0EA2" w:rsidRPr="005D0EA2">
              <w:rPr>
                <w:rFonts w:eastAsia="Times New Roman" w:cs="Arial"/>
                <w:snapToGrid w:val="0"/>
                <w:sz w:val="18"/>
                <w:szCs w:val="22"/>
                <w:vertAlign w:val="superscript"/>
              </w:rPr>
              <w:t>1</w:t>
            </w:r>
          </w:p>
        </w:tc>
      </w:tr>
      <w:tr w:rsidR="009E342D" w:rsidRPr="00AF3847" w14:paraId="724AD39A" w14:textId="77777777" w:rsidTr="00A704EE">
        <w:trPr>
          <w:cantSplit/>
        </w:trPr>
        <w:tc>
          <w:tcPr>
            <w:tcW w:w="5000" w:type="pct"/>
            <w:gridSpan w:val="4"/>
          </w:tcPr>
          <w:p w14:paraId="715F5B9F" w14:textId="77777777" w:rsidR="009E342D" w:rsidRPr="00AF3847" w:rsidRDefault="009E342D" w:rsidP="00A704EE">
            <w:pPr>
              <w:pStyle w:val="In-tableHeading"/>
            </w:pPr>
            <w:r w:rsidRPr="00AF3847">
              <w:t>Step 2: time horizon extended to 20 years</w:t>
            </w:r>
          </w:p>
        </w:tc>
      </w:tr>
      <w:tr w:rsidR="009E342D" w:rsidRPr="00AF3847" w14:paraId="3CE9E2DE" w14:textId="77777777" w:rsidTr="00D12425">
        <w:trPr>
          <w:cantSplit/>
        </w:trPr>
        <w:tc>
          <w:tcPr>
            <w:tcW w:w="1529" w:type="pct"/>
          </w:tcPr>
          <w:p w14:paraId="3BA4AA11" w14:textId="6335CA6D" w:rsidR="009E342D" w:rsidRPr="00AF3847" w:rsidRDefault="009E342D" w:rsidP="00A704EE">
            <w:pPr>
              <w:pStyle w:val="TableText0"/>
              <w:rPr>
                <w:rFonts w:ascii="Times" w:hAnsi="Times"/>
              </w:rPr>
            </w:pPr>
            <w:r w:rsidRPr="00AF3847">
              <w:t>Costs</w:t>
            </w:r>
            <w:r w:rsidR="005D0EA2">
              <w:t xml:space="preserve"> ($)</w:t>
            </w:r>
          </w:p>
        </w:tc>
        <w:tc>
          <w:tcPr>
            <w:tcW w:w="1359" w:type="pct"/>
            <w:shd w:val="solid" w:color="000000" w:fill="000000"/>
          </w:tcPr>
          <w:p w14:paraId="371D100A" w14:textId="7BCB7994" w:rsidR="009E342D" w:rsidRPr="00D12425" w:rsidRDefault="00D12425" w:rsidP="00A704EE">
            <w:pPr>
              <w:pStyle w:val="TableText0"/>
              <w:jc w:val="center"/>
              <w:rPr>
                <w:rFonts w:ascii="Times" w:hAnsi="Times"/>
              </w:rPr>
            </w:pPr>
            <w:r w:rsidRPr="00D12425">
              <w:rPr>
                <w:color w:val="000000"/>
                <w14:textFill>
                  <w14:solidFill>
                    <w14:srgbClr w14:val="000000">
                      <w14:alpha w14:val="100000"/>
                    </w14:srgbClr>
                  </w14:solidFill>
                </w14:textFill>
              </w:rPr>
              <w:t>|</w:t>
            </w:r>
          </w:p>
        </w:tc>
        <w:tc>
          <w:tcPr>
            <w:tcW w:w="1274" w:type="pct"/>
          </w:tcPr>
          <w:p w14:paraId="70FD1C82" w14:textId="77777777" w:rsidR="009E342D" w:rsidRPr="00AF3847" w:rsidRDefault="009E342D" w:rsidP="00A704EE">
            <w:pPr>
              <w:pStyle w:val="TableText0"/>
              <w:jc w:val="center"/>
              <w:rPr>
                <w:rFonts w:ascii="Times" w:hAnsi="Times"/>
              </w:rPr>
            </w:pPr>
            <w:r w:rsidRPr="00AF3847">
              <w:t>$62,118</w:t>
            </w:r>
          </w:p>
        </w:tc>
        <w:tc>
          <w:tcPr>
            <w:tcW w:w="838" w:type="pct"/>
            <w:shd w:val="solid" w:color="000000" w:fill="000000"/>
          </w:tcPr>
          <w:p w14:paraId="393B8F01" w14:textId="6AF4D7CB" w:rsidR="009E342D" w:rsidRPr="00D12425" w:rsidRDefault="00D12425" w:rsidP="00A704EE">
            <w:pPr>
              <w:pStyle w:val="TableText0"/>
              <w:jc w:val="center"/>
            </w:pPr>
            <w:r w:rsidRPr="00D12425">
              <w:rPr>
                <w:rFonts w:hint="eastAsia"/>
                <w:color w:val="000000"/>
                <w:w w:val="33"/>
                <w:fitText w:val="150" w:id="-1236619763"/>
                <w14:textFill>
                  <w14:solidFill>
                    <w14:srgbClr w14:val="000000">
                      <w14:alpha w14:val="100000"/>
                    </w14:srgbClr>
                  </w14:solidFill>
                </w14:textFill>
              </w:rPr>
              <w:t xml:space="preserve">　</w:t>
            </w:r>
            <w:r w:rsidRPr="00D12425">
              <w:rPr>
                <w:color w:val="000000"/>
                <w:w w:val="33"/>
                <w:fitText w:val="150" w:id="-1236619763"/>
                <w14:textFill>
                  <w14:solidFill>
                    <w14:srgbClr w14:val="000000">
                      <w14:alpha w14:val="100000"/>
                    </w14:srgbClr>
                  </w14:solidFill>
                </w14:textFill>
              </w:rPr>
              <w:t>|</w:t>
            </w:r>
            <w:r w:rsidRPr="00D12425">
              <w:rPr>
                <w:rFonts w:hint="eastAsia"/>
                <w:color w:val="000000"/>
                <w:w w:val="33"/>
                <w:fitText w:val="150" w:id="-1236619763"/>
                <w14:textFill>
                  <w14:solidFill>
                    <w14:srgbClr w14:val="000000">
                      <w14:alpha w14:val="100000"/>
                    </w14:srgbClr>
                  </w14:solidFill>
                </w14:textFill>
              </w:rPr>
              <w:t xml:space="preserve">　</w:t>
            </w:r>
          </w:p>
        </w:tc>
      </w:tr>
      <w:tr w:rsidR="009E342D" w:rsidRPr="00AF3847" w14:paraId="59189C4D" w14:textId="77777777" w:rsidTr="00A704EE">
        <w:trPr>
          <w:cantSplit/>
        </w:trPr>
        <w:tc>
          <w:tcPr>
            <w:tcW w:w="1529" w:type="pct"/>
          </w:tcPr>
          <w:p w14:paraId="73B13FC1" w14:textId="77777777" w:rsidR="009E342D" w:rsidRPr="00AF3847" w:rsidRDefault="009E342D" w:rsidP="00A704EE">
            <w:pPr>
              <w:pStyle w:val="TableText0"/>
              <w:rPr>
                <w:rFonts w:ascii="Times" w:hAnsi="Times"/>
              </w:rPr>
            </w:pPr>
            <w:r w:rsidRPr="00AF3847">
              <w:t>LYG</w:t>
            </w:r>
          </w:p>
        </w:tc>
        <w:tc>
          <w:tcPr>
            <w:tcW w:w="1359" w:type="pct"/>
          </w:tcPr>
          <w:p w14:paraId="71E7B889" w14:textId="77777777" w:rsidR="009E342D" w:rsidRPr="00AF3847" w:rsidRDefault="009E342D" w:rsidP="00A704EE">
            <w:pPr>
              <w:pStyle w:val="TableText0"/>
              <w:jc w:val="center"/>
              <w:rPr>
                <w:rFonts w:ascii="Times" w:hAnsi="Times"/>
              </w:rPr>
            </w:pPr>
            <w:r w:rsidRPr="00AF3847">
              <w:t>4.94</w:t>
            </w:r>
          </w:p>
        </w:tc>
        <w:tc>
          <w:tcPr>
            <w:tcW w:w="1274" w:type="pct"/>
          </w:tcPr>
          <w:p w14:paraId="619F4F7C" w14:textId="77777777" w:rsidR="009E342D" w:rsidRPr="00AF3847" w:rsidRDefault="009E342D" w:rsidP="00A704EE">
            <w:pPr>
              <w:pStyle w:val="TableText0"/>
              <w:jc w:val="center"/>
              <w:rPr>
                <w:rFonts w:ascii="Times" w:hAnsi="Times"/>
              </w:rPr>
            </w:pPr>
            <w:r w:rsidRPr="00AF3847">
              <w:t>1.77</w:t>
            </w:r>
          </w:p>
        </w:tc>
        <w:tc>
          <w:tcPr>
            <w:tcW w:w="838" w:type="pct"/>
          </w:tcPr>
          <w:p w14:paraId="37B941A8" w14:textId="77777777" w:rsidR="009E342D" w:rsidRPr="00AF3847" w:rsidRDefault="009E342D" w:rsidP="00A704EE">
            <w:pPr>
              <w:pStyle w:val="TableText0"/>
              <w:jc w:val="center"/>
            </w:pPr>
            <w:r w:rsidRPr="00AF3847">
              <w:t>3.16</w:t>
            </w:r>
          </w:p>
        </w:tc>
      </w:tr>
      <w:tr w:rsidR="009E342D" w:rsidRPr="00AF3847" w14:paraId="0B60027B" w14:textId="77777777" w:rsidTr="00A704EE">
        <w:trPr>
          <w:cantSplit/>
        </w:trPr>
        <w:tc>
          <w:tcPr>
            <w:tcW w:w="4162" w:type="pct"/>
            <w:gridSpan w:val="3"/>
          </w:tcPr>
          <w:p w14:paraId="203120BF" w14:textId="77777777" w:rsidR="009E342D" w:rsidRPr="00AF3847" w:rsidRDefault="009E342D" w:rsidP="00A704EE">
            <w:pPr>
              <w:pStyle w:val="TableText0"/>
              <w:rPr>
                <w:rFonts w:ascii="Times" w:hAnsi="Times"/>
              </w:rPr>
            </w:pPr>
            <w:r w:rsidRPr="00AF3847">
              <w:t>Incremental cost/extra LYG gained</w:t>
            </w:r>
          </w:p>
        </w:tc>
        <w:tc>
          <w:tcPr>
            <w:tcW w:w="838" w:type="pct"/>
          </w:tcPr>
          <w:p w14:paraId="17C21302" w14:textId="0FA581E3" w:rsidR="009E342D" w:rsidRPr="005D0EA2" w:rsidRDefault="00D12425" w:rsidP="00A704EE">
            <w:pPr>
              <w:pStyle w:val="TableText0"/>
              <w:jc w:val="center"/>
              <w:rPr>
                <w:rFonts w:ascii="Times" w:hAnsi="Times"/>
                <w:vertAlign w:val="superscript"/>
              </w:rPr>
            </w:pPr>
            <w:r w:rsidRPr="00D12425">
              <w:rPr>
                <w:color w:val="000000"/>
                <w:spacing w:val="89"/>
                <w:shd w:val="solid" w:color="000000" w:fill="000000"/>
                <w:fitText w:val="175" w:id="-1236619762"/>
                <w14:textFill>
                  <w14:solidFill>
                    <w14:srgbClr w14:val="000000">
                      <w14:alpha w14:val="100000"/>
                    </w14:srgbClr>
                  </w14:solidFill>
                </w14:textFill>
              </w:rPr>
              <w:t>|</w:t>
            </w:r>
            <w:r w:rsidRPr="00D12425">
              <w:rPr>
                <w:color w:val="000000"/>
                <w:spacing w:val="1"/>
                <w:shd w:val="solid" w:color="000000" w:fill="000000"/>
                <w:fitText w:val="175" w:id="-1236619762"/>
                <w14:textFill>
                  <w14:solidFill>
                    <w14:srgbClr w14:val="000000">
                      <w14:alpha w14:val="100000"/>
                    </w14:srgbClr>
                  </w14:solidFill>
                </w14:textFill>
              </w:rPr>
              <w:t>|</w:t>
            </w:r>
            <w:r w:rsidR="005D0EA2">
              <w:rPr>
                <w:vertAlign w:val="superscript"/>
              </w:rPr>
              <w:t>2</w:t>
            </w:r>
          </w:p>
        </w:tc>
      </w:tr>
      <w:tr w:rsidR="009E342D" w:rsidRPr="00AF3847" w14:paraId="61BD08E7" w14:textId="77777777" w:rsidTr="00A704EE">
        <w:trPr>
          <w:cantSplit/>
        </w:trPr>
        <w:tc>
          <w:tcPr>
            <w:tcW w:w="5000" w:type="pct"/>
            <w:gridSpan w:val="4"/>
          </w:tcPr>
          <w:p w14:paraId="7D4BD87C" w14:textId="77777777" w:rsidR="009E342D" w:rsidRPr="00AF3847" w:rsidRDefault="009E342D" w:rsidP="00A704EE">
            <w:pPr>
              <w:pStyle w:val="In-tableHeading"/>
            </w:pPr>
            <w:r w:rsidRPr="00AF3847">
              <w:t>Step 3: discounting (5%) included</w:t>
            </w:r>
          </w:p>
        </w:tc>
      </w:tr>
      <w:tr w:rsidR="009E342D" w:rsidRPr="00AF3847" w14:paraId="1011E80E" w14:textId="77777777" w:rsidTr="00D12425">
        <w:trPr>
          <w:cantSplit/>
        </w:trPr>
        <w:tc>
          <w:tcPr>
            <w:tcW w:w="1529" w:type="pct"/>
          </w:tcPr>
          <w:p w14:paraId="2C0B6980" w14:textId="577139AE" w:rsidR="009E342D" w:rsidRPr="00AF3847" w:rsidRDefault="009E342D" w:rsidP="00A704EE">
            <w:pPr>
              <w:pStyle w:val="TableText0"/>
              <w:rPr>
                <w:rFonts w:ascii="Times" w:hAnsi="Times"/>
              </w:rPr>
            </w:pPr>
            <w:r w:rsidRPr="00AF3847">
              <w:t>Costs</w:t>
            </w:r>
            <w:r w:rsidR="005D0EA2">
              <w:t xml:space="preserve"> ($)</w:t>
            </w:r>
          </w:p>
        </w:tc>
        <w:tc>
          <w:tcPr>
            <w:tcW w:w="1359" w:type="pct"/>
            <w:shd w:val="solid" w:color="000000" w:fill="000000"/>
          </w:tcPr>
          <w:p w14:paraId="4CDB1656" w14:textId="36B9A7C4" w:rsidR="009E342D" w:rsidRPr="00D12425" w:rsidRDefault="00D12425" w:rsidP="00A704EE">
            <w:pPr>
              <w:pStyle w:val="TableText0"/>
              <w:jc w:val="center"/>
            </w:pPr>
            <w:r w:rsidRPr="00D12425">
              <w:rPr>
                <w:color w:val="000000"/>
                <w14:textFill>
                  <w14:solidFill>
                    <w14:srgbClr w14:val="000000">
                      <w14:alpha w14:val="100000"/>
                    </w14:srgbClr>
                  </w14:solidFill>
                </w14:textFill>
              </w:rPr>
              <w:t>|</w:t>
            </w:r>
          </w:p>
        </w:tc>
        <w:tc>
          <w:tcPr>
            <w:tcW w:w="1274" w:type="pct"/>
          </w:tcPr>
          <w:p w14:paraId="0BF4BBFC" w14:textId="77777777" w:rsidR="009E342D" w:rsidRPr="00AF3847" w:rsidRDefault="009E342D" w:rsidP="00A704EE">
            <w:pPr>
              <w:pStyle w:val="TableText0"/>
              <w:jc w:val="center"/>
            </w:pPr>
            <w:r w:rsidRPr="00AF3847">
              <w:t>$60,634</w:t>
            </w:r>
          </w:p>
        </w:tc>
        <w:tc>
          <w:tcPr>
            <w:tcW w:w="838" w:type="pct"/>
            <w:shd w:val="solid" w:color="000000" w:fill="000000"/>
          </w:tcPr>
          <w:p w14:paraId="46DC64C0" w14:textId="57DC4F73" w:rsidR="009E342D" w:rsidRPr="00D12425" w:rsidRDefault="00D12425" w:rsidP="00A704EE">
            <w:pPr>
              <w:pStyle w:val="TableText0"/>
              <w:jc w:val="center"/>
            </w:pPr>
            <w:r w:rsidRPr="00D12425">
              <w:rPr>
                <w:rFonts w:hint="eastAsia"/>
                <w:color w:val="000000"/>
                <w:w w:val="33"/>
                <w:fitText w:val="150" w:id="-1236619761"/>
                <w14:textFill>
                  <w14:solidFill>
                    <w14:srgbClr w14:val="000000">
                      <w14:alpha w14:val="100000"/>
                    </w14:srgbClr>
                  </w14:solidFill>
                </w14:textFill>
              </w:rPr>
              <w:t xml:space="preserve">　</w:t>
            </w:r>
            <w:r w:rsidRPr="00D12425">
              <w:rPr>
                <w:color w:val="000000"/>
                <w:w w:val="33"/>
                <w:fitText w:val="150" w:id="-1236619761"/>
                <w14:textFill>
                  <w14:solidFill>
                    <w14:srgbClr w14:val="000000">
                      <w14:alpha w14:val="100000"/>
                    </w14:srgbClr>
                  </w14:solidFill>
                </w14:textFill>
              </w:rPr>
              <w:t>|</w:t>
            </w:r>
            <w:r w:rsidRPr="00D12425">
              <w:rPr>
                <w:rFonts w:hint="eastAsia"/>
                <w:color w:val="000000"/>
                <w:w w:val="33"/>
                <w:fitText w:val="150" w:id="-1236619761"/>
                <w14:textFill>
                  <w14:solidFill>
                    <w14:srgbClr w14:val="000000">
                      <w14:alpha w14:val="100000"/>
                    </w14:srgbClr>
                  </w14:solidFill>
                </w14:textFill>
              </w:rPr>
              <w:t xml:space="preserve">　</w:t>
            </w:r>
          </w:p>
        </w:tc>
      </w:tr>
      <w:tr w:rsidR="009E342D" w:rsidRPr="00AF3847" w14:paraId="46FB1C35" w14:textId="77777777" w:rsidTr="00A704EE">
        <w:trPr>
          <w:cantSplit/>
        </w:trPr>
        <w:tc>
          <w:tcPr>
            <w:tcW w:w="1529" w:type="pct"/>
          </w:tcPr>
          <w:p w14:paraId="1A000D72" w14:textId="77777777" w:rsidR="009E342D" w:rsidRPr="00AF3847" w:rsidRDefault="009E342D" w:rsidP="00A704EE">
            <w:pPr>
              <w:pStyle w:val="TableText0"/>
              <w:rPr>
                <w:rFonts w:ascii="Times" w:hAnsi="Times"/>
              </w:rPr>
            </w:pPr>
            <w:r w:rsidRPr="00AF3847">
              <w:t>LYG</w:t>
            </w:r>
          </w:p>
        </w:tc>
        <w:tc>
          <w:tcPr>
            <w:tcW w:w="1359" w:type="pct"/>
          </w:tcPr>
          <w:p w14:paraId="0F109646" w14:textId="77777777" w:rsidR="009E342D" w:rsidRPr="00AF3847" w:rsidRDefault="009E342D" w:rsidP="00A704EE">
            <w:pPr>
              <w:pStyle w:val="TableText0"/>
              <w:jc w:val="center"/>
              <w:rPr>
                <w:rFonts w:ascii="Times" w:hAnsi="Times"/>
              </w:rPr>
            </w:pPr>
            <w:r w:rsidRPr="00AF3847">
              <w:t>3.63</w:t>
            </w:r>
          </w:p>
        </w:tc>
        <w:tc>
          <w:tcPr>
            <w:tcW w:w="1274" w:type="pct"/>
          </w:tcPr>
          <w:p w14:paraId="0A61B654" w14:textId="77777777" w:rsidR="009E342D" w:rsidRPr="00AF3847" w:rsidRDefault="009E342D" w:rsidP="00A704EE">
            <w:pPr>
              <w:pStyle w:val="TableText0"/>
              <w:jc w:val="center"/>
              <w:rPr>
                <w:rFonts w:ascii="Times" w:hAnsi="Times"/>
              </w:rPr>
            </w:pPr>
            <w:r w:rsidRPr="00AF3847">
              <w:t>1.64</w:t>
            </w:r>
          </w:p>
        </w:tc>
        <w:tc>
          <w:tcPr>
            <w:tcW w:w="838" w:type="pct"/>
          </w:tcPr>
          <w:p w14:paraId="619C5F26" w14:textId="77777777" w:rsidR="009E342D" w:rsidRPr="00AF3847" w:rsidRDefault="009E342D" w:rsidP="00A704EE">
            <w:pPr>
              <w:pStyle w:val="TableText0"/>
              <w:jc w:val="center"/>
            </w:pPr>
            <w:r w:rsidRPr="00AF3847">
              <w:t>1.98</w:t>
            </w:r>
          </w:p>
        </w:tc>
      </w:tr>
      <w:tr w:rsidR="009E342D" w:rsidRPr="00AF3847" w14:paraId="7F792185" w14:textId="77777777" w:rsidTr="00A704EE">
        <w:trPr>
          <w:cantSplit/>
        </w:trPr>
        <w:tc>
          <w:tcPr>
            <w:tcW w:w="4162" w:type="pct"/>
            <w:gridSpan w:val="3"/>
          </w:tcPr>
          <w:p w14:paraId="2A75EA35" w14:textId="77777777" w:rsidR="009E342D" w:rsidRPr="00AF3847" w:rsidRDefault="009E342D" w:rsidP="00A704EE">
            <w:pPr>
              <w:pStyle w:val="TableText0"/>
              <w:rPr>
                <w:rFonts w:ascii="Times" w:hAnsi="Times"/>
              </w:rPr>
            </w:pPr>
            <w:r w:rsidRPr="00AF3847">
              <w:t>Incremental cost/extra LYG gained</w:t>
            </w:r>
          </w:p>
        </w:tc>
        <w:tc>
          <w:tcPr>
            <w:tcW w:w="838" w:type="pct"/>
          </w:tcPr>
          <w:p w14:paraId="08A6BBA3" w14:textId="286E9D5C" w:rsidR="009E342D" w:rsidRPr="005D0EA2" w:rsidRDefault="00D12425" w:rsidP="00A704EE">
            <w:pPr>
              <w:pStyle w:val="TableText0"/>
              <w:jc w:val="center"/>
              <w:rPr>
                <w:rFonts w:ascii="Times" w:hAnsi="Times"/>
                <w:vertAlign w:val="superscript"/>
              </w:rPr>
            </w:pPr>
            <w:r w:rsidRPr="00D12425">
              <w:rPr>
                <w:color w:val="000000"/>
                <w:spacing w:val="89"/>
                <w:shd w:val="solid" w:color="000000" w:fill="000000"/>
                <w:fitText w:val="175" w:id="-1236619760"/>
                <w14:textFill>
                  <w14:solidFill>
                    <w14:srgbClr w14:val="000000">
                      <w14:alpha w14:val="100000"/>
                    </w14:srgbClr>
                  </w14:solidFill>
                </w14:textFill>
              </w:rPr>
              <w:t>|</w:t>
            </w:r>
            <w:r w:rsidRPr="00D12425">
              <w:rPr>
                <w:color w:val="000000"/>
                <w:spacing w:val="1"/>
                <w:shd w:val="solid" w:color="000000" w:fill="000000"/>
                <w:fitText w:val="175" w:id="-1236619760"/>
                <w14:textFill>
                  <w14:solidFill>
                    <w14:srgbClr w14:val="000000">
                      <w14:alpha w14:val="100000"/>
                    </w14:srgbClr>
                  </w14:solidFill>
                </w14:textFill>
              </w:rPr>
              <w:t>|</w:t>
            </w:r>
            <w:r w:rsidR="005D0EA2">
              <w:rPr>
                <w:vertAlign w:val="superscript"/>
              </w:rPr>
              <w:t>3</w:t>
            </w:r>
          </w:p>
        </w:tc>
      </w:tr>
      <w:tr w:rsidR="009E342D" w:rsidRPr="00AF3847" w14:paraId="7BFCFDD2" w14:textId="77777777" w:rsidTr="00A704EE">
        <w:trPr>
          <w:cantSplit/>
        </w:trPr>
        <w:tc>
          <w:tcPr>
            <w:tcW w:w="5000" w:type="pct"/>
            <w:gridSpan w:val="4"/>
          </w:tcPr>
          <w:p w14:paraId="6507EC31" w14:textId="77777777" w:rsidR="009E342D" w:rsidRPr="00AF3847" w:rsidRDefault="009E342D" w:rsidP="00A704EE">
            <w:pPr>
              <w:pStyle w:val="In-tableHeading"/>
            </w:pPr>
            <w:r w:rsidRPr="00AF3847">
              <w:t>Step 4: incorporation of medical resource costs</w:t>
            </w:r>
          </w:p>
        </w:tc>
      </w:tr>
      <w:tr w:rsidR="009E342D" w:rsidRPr="00AF3847" w14:paraId="2B6739C6" w14:textId="77777777" w:rsidTr="00D12425">
        <w:trPr>
          <w:cantSplit/>
        </w:trPr>
        <w:tc>
          <w:tcPr>
            <w:tcW w:w="1529" w:type="pct"/>
          </w:tcPr>
          <w:p w14:paraId="33A26251" w14:textId="3651A2FB" w:rsidR="009E342D" w:rsidRPr="00AF3847" w:rsidRDefault="009E342D" w:rsidP="00A704EE">
            <w:pPr>
              <w:pStyle w:val="TableText0"/>
              <w:rPr>
                <w:rFonts w:ascii="Times" w:hAnsi="Times"/>
              </w:rPr>
            </w:pPr>
            <w:r w:rsidRPr="00AF3847">
              <w:t>Costs</w:t>
            </w:r>
            <w:r w:rsidR="005D0EA2">
              <w:t xml:space="preserve"> ($)</w:t>
            </w:r>
          </w:p>
        </w:tc>
        <w:tc>
          <w:tcPr>
            <w:tcW w:w="1359" w:type="pct"/>
            <w:shd w:val="solid" w:color="000000" w:fill="000000"/>
          </w:tcPr>
          <w:p w14:paraId="77A28F2B" w14:textId="66D0FC11" w:rsidR="009E342D" w:rsidRPr="00D12425" w:rsidRDefault="00D12425" w:rsidP="00A704EE">
            <w:pPr>
              <w:pStyle w:val="TableText0"/>
              <w:jc w:val="center"/>
              <w:rPr>
                <w:rFonts w:ascii="Times" w:hAnsi="Times"/>
              </w:rPr>
            </w:pPr>
            <w:r w:rsidRPr="00D12425">
              <w:rPr>
                <w:color w:val="000000"/>
                <w14:textFill>
                  <w14:solidFill>
                    <w14:srgbClr w14:val="000000">
                      <w14:alpha w14:val="100000"/>
                    </w14:srgbClr>
                  </w14:solidFill>
                </w14:textFill>
              </w:rPr>
              <w:t>|</w:t>
            </w:r>
          </w:p>
        </w:tc>
        <w:tc>
          <w:tcPr>
            <w:tcW w:w="1274" w:type="pct"/>
          </w:tcPr>
          <w:p w14:paraId="325B6B58" w14:textId="77777777" w:rsidR="009E342D" w:rsidRPr="00AF3847" w:rsidRDefault="009E342D" w:rsidP="00A704EE">
            <w:pPr>
              <w:pStyle w:val="TableText0"/>
              <w:jc w:val="center"/>
              <w:rPr>
                <w:rFonts w:ascii="Times" w:hAnsi="Times"/>
              </w:rPr>
            </w:pPr>
            <w:r w:rsidRPr="00AF3847">
              <w:t>$140,503</w:t>
            </w:r>
          </w:p>
        </w:tc>
        <w:tc>
          <w:tcPr>
            <w:tcW w:w="838" w:type="pct"/>
            <w:shd w:val="solid" w:color="000000" w:fill="000000"/>
          </w:tcPr>
          <w:p w14:paraId="7831D938" w14:textId="1B193D6A" w:rsidR="009E342D" w:rsidRPr="00D12425" w:rsidRDefault="00D12425" w:rsidP="00A704EE">
            <w:pPr>
              <w:pStyle w:val="TableText0"/>
              <w:jc w:val="center"/>
              <w:rPr>
                <w:rFonts w:ascii="Times" w:hAnsi="Times"/>
              </w:rPr>
            </w:pPr>
            <w:r w:rsidRPr="00D12425">
              <w:rPr>
                <w:rFonts w:hint="eastAsia"/>
                <w:color w:val="000000"/>
                <w:w w:val="33"/>
                <w:fitText w:val="150" w:id="-1236619776"/>
                <w14:textFill>
                  <w14:solidFill>
                    <w14:srgbClr w14:val="000000">
                      <w14:alpha w14:val="100000"/>
                    </w14:srgbClr>
                  </w14:solidFill>
                </w14:textFill>
              </w:rPr>
              <w:t xml:space="preserve">　</w:t>
            </w:r>
            <w:r w:rsidRPr="00D12425">
              <w:rPr>
                <w:color w:val="000000"/>
                <w:w w:val="33"/>
                <w:fitText w:val="150" w:id="-1236619776"/>
                <w14:textFill>
                  <w14:solidFill>
                    <w14:srgbClr w14:val="000000">
                      <w14:alpha w14:val="100000"/>
                    </w14:srgbClr>
                  </w14:solidFill>
                </w14:textFill>
              </w:rPr>
              <w:t>|</w:t>
            </w:r>
            <w:r w:rsidRPr="00D12425">
              <w:rPr>
                <w:rFonts w:hint="eastAsia"/>
                <w:color w:val="000000"/>
                <w:w w:val="33"/>
                <w:fitText w:val="150" w:id="-1236619776"/>
                <w14:textFill>
                  <w14:solidFill>
                    <w14:srgbClr w14:val="000000">
                      <w14:alpha w14:val="100000"/>
                    </w14:srgbClr>
                  </w14:solidFill>
                </w14:textFill>
              </w:rPr>
              <w:t xml:space="preserve">　</w:t>
            </w:r>
          </w:p>
        </w:tc>
      </w:tr>
      <w:tr w:rsidR="009E342D" w:rsidRPr="00AF3847" w14:paraId="69CB8312" w14:textId="77777777" w:rsidTr="00A704EE">
        <w:trPr>
          <w:cantSplit/>
        </w:trPr>
        <w:tc>
          <w:tcPr>
            <w:tcW w:w="1529" w:type="pct"/>
          </w:tcPr>
          <w:p w14:paraId="3220214B" w14:textId="77777777" w:rsidR="009E342D" w:rsidRPr="00AF3847" w:rsidRDefault="009E342D" w:rsidP="00A704EE">
            <w:pPr>
              <w:pStyle w:val="TableText0"/>
              <w:rPr>
                <w:rFonts w:ascii="Times" w:hAnsi="Times"/>
              </w:rPr>
            </w:pPr>
            <w:r w:rsidRPr="00AF3847">
              <w:t>LYG</w:t>
            </w:r>
          </w:p>
        </w:tc>
        <w:tc>
          <w:tcPr>
            <w:tcW w:w="1359" w:type="pct"/>
          </w:tcPr>
          <w:p w14:paraId="15AA1536" w14:textId="77777777" w:rsidR="009E342D" w:rsidRPr="00AF3847" w:rsidRDefault="009E342D" w:rsidP="00A704EE">
            <w:pPr>
              <w:pStyle w:val="TableText0"/>
              <w:jc w:val="center"/>
              <w:rPr>
                <w:rFonts w:ascii="Times" w:hAnsi="Times"/>
              </w:rPr>
            </w:pPr>
            <w:r w:rsidRPr="00AF3847">
              <w:t>3.63</w:t>
            </w:r>
          </w:p>
        </w:tc>
        <w:tc>
          <w:tcPr>
            <w:tcW w:w="1274" w:type="pct"/>
          </w:tcPr>
          <w:p w14:paraId="38FC7FBA" w14:textId="77777777" w:rsidR="009E342D" w:rsidRPr="00AF3847" w:rsidRDefault="009E342D" w:rsidP="00A704EE">
            <w:pPr>
              <w:pStyle w:val="TableText0"/>
              <w:jc w:val="center"/>
              <w:rPr>
                <w:rFonts w:ascii="Times" w:hAnsi="Times"/>
              </w:rPr>
            </w:pPr>
            <w:r w:rsidRPr="00AF3847">
              <w:t>1.64</w:t>
            </w:r>
          </w:p>
        </w:tc>
        <w:tc>
          <w:tcPr>
            <w:tcW w:w="838" w:type="pct"/>
          </w:tcPr>
          <w:p w14:paraId="49BCC482" w14:textId="77777777" w:rsidR="009E342D" w:rsidRPr="00AF3847" w:rsidRDefault="009E342D" w:rsidP="00A704EE">
            <w:pPr>
              <w:pStyle w:val="TableText0"/>
              <w:jc w:val="center"/>
            </w:pPr>
            <w:r w:rsidRPr="00AF3847">
              <w:t>1.98</w:t>
            </w:r>
          </w:p>
        </w:tc>
      </w:tr>
      <w:tr w:rsidR="009E342D" w:rsidRPr="00AF3847" w14:paraId="276620B6" w14:textId="77777777" w:rsidTr="00A704EE">
        <w:trPr>
          <w:cantSplit/>
        </w:trPr>
        <w:tc>
          <w:tcPr>
            <w:tcW w:w="4162" w:type="pct"/>
            <w:gridSpan w:val="3"/>
          </w:tcPr>
          <w:p w14:paraId="3F702D32" w14:textId="77777777" w:rsidR="009E342D" w:rsidRPr="00AF3847" w:rsidRDefault="009E342D" w:rsidP="00A704EE">
            <w:pPr>
              <w:pStyle w:val="TableText0"/>
              <w:rPr>
                <w:rFonts w:ascii="Times" w:hAnsi="Times"/>
              </w:rPr>
            </w:pPr>
            <w:r w:rsidRPr="00AF3847">
              <w:t>Incremental cost/extra LYG gained</w:t>
            </w:r>
          </w:p>
        </w:tc>
        <w:tc>
          <w:tcPr>
            <w:tcW w:w="838" w:type="pct"/>
          </w:tcPr>
          <w:p w14:paraId="4D82A0F8" w14:textId="1E29B6A8" w:rsidR="009E342D" w:rsidRPr="005D0EA2" w:rsidRDefault="00D12425" w:rsidP="00A704EE">
            <w:pPr>
              <w:pStyle w:val="TableText0"/>
              <w:jc w:val="center"/>
              <w:rPr>
                <w:rFonts w:ascii="Times" w:hAnsi="Times"/>
                <w:vertAlign w:val="superscript"/>
              </w:rPr>
            </w:pPr>
            <w:r w:rsidRPr="00D12425">
              <w:rPr>
                <w:color w:val="000000"/>
                <w:spacing w:val="89"/>
                <w:shd w:val="solid" w:color="000000" w:fill="000000"/>
                <w:fitText w:val="175" w:id="-1236619775"/>
                <w14:textFill>
                  <w14:solidFill>
                    <w14:srgbClr w14:val="000000">
                      <w14:alpha w14:val="100000"/>
                    </w14:srgbClr>
                  </w14:solidFill>
                </w14:textFill>
              </w:rPr>
              <w:t>|</w:t>
            </w:r>
            <w:r w:rsidRPr="00D12425">
              <w:rPr>
                <w:color w:val="000000"/>
                <w:spacing w:val="1"/>
                <w:shd w:val="solid" w:color="000000" w:fill="000000"/>
                <w:fitText w:val="175" w:id="-1236619775"/>
                <w14:textFill>
                  <w14:solidFill>
                    <w14:srgbClr w14:val="000000">
                      <w14:alpha w14:val="100000"/>
                    </w14:srgbClr>
                  </w14:solidFill>
                </w14:textFill>
              </w:rPr>
              <w:t>|</w:t>
            </w:r>
            <w:r w:rsidR="005D0EA2">
              <w:rPr>
                <w:vertAlign w:val="superscript"/>
              </w:rPr>
              <w:t>3</w:t>
            </w:r>
          </w:p>
        </w:tc>
      </w:tr>
      <w:tr w:rsidR="009E342D" w:rsidRPr="00AF3847" w14:paraId="220B6D3B" w14:textId="77777777" w:rsidTr="00A704EE">
        <w:trPr>
          <w:cantSplit/>
        </w:trPr>
        <w:tc>
          <w:tcPr>
            <w:tcW w:w="5000" w:type="pct"/>
            <w:gridSpan w:val="4"/>
          </w:tcPr>
          <w:p w14:paraId="1401BF0F" w14:textId="77777777" w:rsidR="009E342D" w:rsidRPr="00AF3847" w:rsidRDefault="009E342D" w:rsidP="00A704EE">
            <w:pPr>
              <w:pStyle w:val="In-tableHeading"/>
            </w:pPr>
            <w:r w:rsidRPr="00AF3847">
              <w:t>Step 5: utility weights applied</w:t>
            </w:r>
          </w:p>
        </w:tc>
      </w:tr>
      <w:tr w:rsidR="009E342D" w:rsidRPr="00AF3847" w14:paraId="3D45D551" w14:textId="77777777" w:rsidTr="00D12425">
        <w:trPr>
          <w:cantSplit/>
        </w:trPr>
        <w:tc>
          <w:tcPr>
            <w:tcW w:w="1529" w:type="pct"/>
          </w:tcPr>
          <w:p w14:paraId="2B6A2E8D" w14:textId="1A9451A2" w:rsidR="009E342D" w:rsidRPr="00AF3847" w:rsidRDefault="009E342D" w:rsidP="00A704EE">
            <w:pPr>
              <w:pStyle w:val="TableText0"/>
              <w:rPr>
                <w:rFonts w:ascii="Times" w:hAnsi="Times"/>
              </w:rPr>
            </w:pPr>
            <w:r w:rsidRPr="00AF3847">
              <w:t>Costs</w:t>
            </w:r>
            <w:r w:rsidR="005D0EA2">
              <w:t xml:space="preserve"> ($)</w:t>
            </w:r>
          </w:p>
        </w:tc>
        <w:tc>
          <w:tcPr>
            <w:tcW w:w="1359" w:type="pct"/>
            <w:shd w:val="solid" w:color="000000" w:fill="000000"/>
          </w:tcPr>
          <w:p w14:paraId="2388A0F4" w14:textId="28159667" w:rsidR="009E342D" w:rsidRPr="00D12425" w:rsidRDefault="00D12425" w:rsidP="00A704EE">
            <w:pPr>
              <w:pStyle w:val="TableText0"/>
              <w:jc w:val="center"/>
              <w:rPr>
                <w:rFonts w:ascii="Times" w:hAnsi="Times"/>
              </w:rPr>
            </w:pPr>
            <w:r w:rsidRPr="00D12425">
              <w:rPr>
                <w:color w:val="000000"/>
                <w14:textFill>
                  <w14:solidFill>
                    <w14:srgbClr w14:val="000000">
                      <w14:alpha w14:val="100000"/>
                    </w14:srgbClr>
                  </w14:solidFill>
                </w14:textFill>
              </w:rPr>
              <w:t>|</w:t>
            </w:r>
          </w:p>
        </w:tc>
        <w:tc>
          <w:tcPr>
            <w:tcW w:w="1274" w:type="pct"/>
          </w:tcPr>
          <w:p w14:paraId="4B93804A" w14:textId="77777777" w:rsidR="009E342D" w:rsidRPr="00AF3847" w:rsidRDefault="009E342D" w:rsidP="00A704EE">
            <w:pPr>
              <w:pStyle w:val="TableText0"/>
              <w:jc w:val="center"/>
              <w:rPr>
                <w:rFonts w:ascii="Times" w:hAnsi="Times"/>
              </w:rPr>
            </w:pPr>
            <w:r w:rsidRPr="00AF3847">
              <w:t>$140,503</w:t>
            </w:r>
          </w:p>
        </w:tc>
        <w:tc>
          <w:tcPr>
            <w:tcW w:w="838" w:type="pct"/>
            <w:shd w:val="solid" w:color="000000" w:fill="000000"/>
          </w:tcPr>
          <w:p w14:paraId="74AD73F1" w14:textId="2813C3CB" w:rsidR="009E342D" w:rsidRPr="00D12425" w:rsidRDefault="00D12425" w:rsidP="00A704EE">
            <w:pPr>
              <w:pStyle w:val="TableText0"/>
              <w:jc w:val="center"/>
              <w:rPr>
                <w:rFonts w:ascii="Times" w:hAnsi="Times"/>
              </w:rPr>
            </w:pPr>
            <w:r w:rsidRPr="00D12425">
              <w:rPr>
                <w:rFonts w:hint="eastAsia"/>
                <w:color w:val="000000"/>
                <w:w w:val="33"/>
                <w:fitText w:val="150" w:id="-1236619774"/>
                <w14:textFill>
                  <w14:solidFill>
                    <w14:srgbClr w14:val="000000">
                      <w14:alpha w14:val="100000"/>
                    </w14:srgbClr>
                  </w14:solidFill>
                </w14:textFill>
              </w:rPr>
              <w:t xml:space="preserve">　</w:t>
            </w:r>
            <w:r w:rsidRPr="00D12425">
              <w:rPr>
                <w:color w:val="000000"/>
                <w:w w:val="33"/>
                <w:fitText w:val="150" w:id="-1236619774"/>
                <w14:textFill>
                  <w14:solidFill>
                    <w14:srgbClr w14:val="000000">
                      <w14:alpha w14:val="100000"/>
                    </w14:srgbClr>
                  </w14:solidFill>
                </w14:textFill>
              </w:rPr>
              <w:t>|</w:t>
            </w:r>
            <w:r w:rsidRPr="00D12425">
              <w:rPr>
                <w:rFonts w:hint="eastAsia"/>
                <w:color w:val="000000"/>
                <w:w w:val="33"/>
                <w:fitText w:val="150" w:id="-1236619774"/>
                <w14:textFill>
                  <w14:solidFill>
                    <w14:srgbClr w14:val="000000">
                      <w14:alpha w14:val="100000"/>
                    </w14:srgbClr>
                  </w14:solidFill>
                </w14:textFill>
              </w:rPr>
              <w:t xml:space="preserve">　</w:t>
            </w:r>
          </w:p>
        </w:tc>
      </w:tr>
      <w:tr w:rsidR="009E342D" w:rsidRPr="00AF3847" w14:paraId="2B937853" w14:textId="77777777" w:rsidTr="00A704EE">
        <w:trPr>
          <w:cantSplit/>
        </w:trPr>
        <w:tc>
          <w:tcPr>
            <w:tcW w:w="1529" w:type="pct"/>
          </w:tcPr>
          <w:p w14:paraId="3B156C80" w14:textId="77777777" w:rsidR="009E342D" w:rsidRPr="00AF3847" w:rsidRDefault="009E342D" w:rsidP="00A704EE">
            <w:pPr>
              <w:pStyle w:val="TableText0"/>
              <w:rPr>
                <w:rFonts w:ascii="Times" w:hAnsi="Times"/>
              </w:rPr>
            </w:pPr>
            <w:r w:rsidRPr="00AF3847">
              <w:t>QALYs</w:t>
            </w:r>
          </w:p>
        </w:tc>
        <w:tc>
          <w:tcPr>
            <w:tcW w:w="1359" w:type="pct"/>
          </w:tcPr>
          <w:p w14:paraId="3FF04FCE" w14:textId="77777777" w:rsidR="009E342D" w:rsidRPr="00AF3847" w:rsidRDefault="009E342D" w:rsidP="00A704EE">
            <w:pPr>
              <w:pStyle w:val="TableText0"/>
              <w:jc w:val="center"/>
              <w:rPr>
                <w:rFonts w:ascii="Times" w:hAnsi="Times"/>
              </w:rPr>
            </w:pPr>
            <w:r w:rsidRPr="00AF3847">
              <w:t>2.93</w:t>
            </w:r>
          </w:p>
        </w:tc>
        <w:tc>
          <w:tcPr>
            <w:tcW w:w="1274" w:type="pct"/>
          </w:tcPr>
          <w:p w14:paraId="01325B7F" w14:textId="77777777" w:rsidR="009E342D" w:rsidRPr="00AF3847" w:rsidRDefault="009E342D" w:rsidP="00A704EE">
            <w:pPr>
              <w:pStyle w:val="TableText0"/>
              <w:jc w:val="center"/>
              <w:rPr>
                <w:rFonts w:ascii="Times" w:hAnsi="Times"/>
              </w:rPr>
            </w:pPr>
            <w:r w:rsidRPr="00AF3847">
              <w:t>1.24</w:t>
            </w:r>
          </w:p>
        </w:tc>
        <w:tc>
          <w:tcPr>
            <w:tcW w:w="838" w:type="pct"/>
          </w:tcPr>
          <w:p w14:paraId="03ECB975" w14:textId="77777777" w:rsidR="009E342D" w:rsidRPr="00AF3847" w:rsidRDefault="009E342D" w:rsidP="00A704EE">
            <w:pPr>
              <w:pStyle w:val="TableText0"/>
              <w:jc w:val="center"/>
            </w:pPr>
            <w:r w:rsidRPr="00AF3847">
              <w:t>1.69</w:t>
            </w:r>
          </w:p>
        </w:tc>
      </w:tr>
      <w:tr w:rsidR="009E342D" w:rsidRPr="00AF3847" w14:paraId="1EBDCA09" w14:textId="77777777" w:rsidTr="00A704EE">
        <w:trPr>
          <w:cantSplit/>
        </w:trPr>
        <w:tc>
          <w:tcPr>
            <w:tcW w:w="4162" w:type="pct"/>
            <w:gridSpan w:val="3"/>
          </w:tcPr>
          <w:p w14:paraId="537BDDAD" w14:textId="77777777" w:rsidR="009E342D" w:rsidRPr="00AF3847" w:rsidRDefault="009E342D" w:rsidP="00A704EE">
            <w:pPr>
              <w:pStyle w:val="TableText0"/>
              <w:rPr>
                <w:rFonts w:ascii="Times" w:hAnsi="Times"/>
                <w:b/>
                <w:bCs w:val="0"/>
              </w:rPr>
            </w:pPr>
            <w:r w:rsidRPr="00AF3847">
              <w:rPr>
                <w:b/>
                <w:bCs w:val="0"/>
              </w:rPr>
              <w:t>Incremental cost/extra QALY gained (base case)</w:t>
            </w:r>
          </w:p>
        </w:tc>
        <w:tc>
          <w:tcPr>
            <w:tcW w:w="838" w:type="pct"/>
          </w:tcPr>
          <w:p w14:paraId="51F42860" w14:textId="2E157414" w:rsidR="009E342D" w:rsidRPr="005D0EA2" w:rsidRDefault="00D12425" w:rsidP="00A704EE">
            <w:pPr>
              <w:pStyle w:val="TableText0"/>
              <w:jc w:val="center"/>
              <w:rPr>
                <w:rFonts w:ascii="Times" w:hAnsi="Times"/>
                <w:b/>
                <w:bCs w:val="0"/>
              </w:rPr>
            </w:pPr>
            <w:r w:rsidRPr="00D12425">
              <w:rPr>
                <w:b/>
                <w:bCs w:val="0"/>
                <w:color w:val="000000"/>
                <w:spacing w:val="158"/>
                <w:shd w:val="solid" w:color="000000" w:fill="000000"/>
                <w:fitText w:val="250" w:id="-1236619773"/>
                <w14:textFill>
                  <w14:solidFill>
                    <w14:srgbClr w14:val="000000">
                      <w14:alpha w14:val="100000"/>
                    </w14:srgbClr>
                  </w14:solidFill>
                </w14:textFill>
              </w:rPr>
              <w:t>|</w:t>
            </w:r>
            <w:r w:rsidRPr="00D12425">
              <w:rPr>
                <w:b/>
                <w:bCs w:val="0"/>
                <w:color w:val="000000"/>
                <w:spacing w:val="1"/>
                <w:shd w:val="solid" w:color="000000" w:fill="000000"/>
                <w:fitText w:val="250" w:id="-1236619773"/>
                <w14:textFill>
                  <w14:solidFill>
                    <w14:srgbClr w14:val="000000">
                      <w14:alpha w14:val="100000"/>
                    </w14:srgbClr>
                  </w14:solidFill>
                </w14:textFill>
              </w:rPr>
              <w:t>|</w:t>
            </w:r>
            <w:r w:rsidR="005D0EA2" w:rsidRPr="005D0EA2">
              <w:rPr>
                <w:vertAlign w:val="superscript"/>
              </w:rPr>
              <w:t>4</w:t>
            </w:r>
          </w:p>
        </w:tc>
      </w:tr>
      <w:tr w:rsidR="00AB6E47" w:rsidRPr="00AF3847" w14:paraId="79179BE4" w14:textId="77777777" w:rsidTr="005B73EC">
        <w:trPr>
          <w:cantSplit/>
        </w:trPr>
        <w:tc>
          <w:tcPr>
            <w:tcW w:w="5000" w:type="pct"/>
            <w:gridSpan w:val="4"/>
          </w:tcPr>
          <w:p w14:paraId="7D1065A0" w14:textId="22F186FA" w:rsidR="00AB6E47" w:rsidRPr="00AF3847" w:rsidRDefault="00AB6E47" w:rsidP="005B73EC">
            <w:pPr>
              <w:pStyle w:val="In-tableHeading"/>
            </w:pPr>
            <w:r>
              <w:t>Pre-PBAC revised base case</w:t>
            </w:r>
          </w:p>
        </w:tc>
      </w:tr>
      <w:tr w:rsidR="00AB6E47" w:rsidRPr="00AF3847" w14:paraId="68D2929D" w14:textId="77777777" w:rsidTr="00D12425">
        <w:trPr>
          <w:cantSplit/>
        </w:trPr>
        <w:tc>
          <w:tcPr>
            <w:tcW w:w="1529" w:type="pct"/>
          </w:tcPr>
          <w:p w14:paraId="19C461E8" w14:textId="2003D1AE" w:rsidR="00AB6E47" w:rsidRPr="00AF3847" w:rsidRDefault="00AB6E47" w:rsidP="005B73EC">
            <w:pPr>
              <w:pStyle w:val="TableText0"/>
              <w:rPr>
                <w:rFonts w:ascii="Times" w:hAnsi="Times"/>
              </w:rPr>
            </w:pPr>
            <w:r w:rsidRPr="00AF3847">
              <w:t>Costs</w:t>
            </w:r>
            <w:r w:rsidR="005D0EA2">
              <w:t xml:space="preserve"> ($)</w:t>
            </w:r>
          </w:p>
        </w:tc>
        <w:tc>
          <w:tcPr>
            <w:tcW w:w="1359" w:type="pct"/>
            <w:shd w:val="solid" w:color="000000" w:fill="000000"/>
          </w:tcPr>
          <w:p w14:paraId="1DECC04C" w14:textId="06BF0454" w:rsidR="00AB6E47" w:rsidRPr="00D12425" w:rsidRDefault="00D12425" w:rsidP="005B73EC">
            <w:pPr>
              <w:pStyle w:val="TableText0"/>
              <w:jc w:val="center"/>
              <w:rPr>
                <w:rFonts w:ascii="Times" w:hAnsi="Times"/>
              </w:rPr>
            </w:pPr>
            <w:r w:rsidRPr="00D12425">
              <w:rPr>
                <w:color w:val="000000"/>
                <w14:textFill>
                  <w14:solidFill>
                    <w14:srgbClr w14:val="000000">
                      <w14:alpha w14:val="100000"/>
                    </w14:srgbClr>
                  </w14:solidFill>
                </w14:textFill>
              </w:rPr>
              <w:t>|</w:t>
            </w:r>
          </w:p>
        </w:tc>
        <w:tc>
          <w:tcPr>
            <w:tcW w:w="1274" w:type="pct"/>
          </w:tcPr>
          <w:p w14:paraId="1E99F43C" w14:textId="5011A714" w:rsidR="00AB6E47" w:rsidRPr="00AF3847" w:rsidRDefault="00AB6E47" w:rsidP="005B73EC">
            <w:pPr>
              <w:pStyle w:val="TableText0"/>
              <w:jc w:val="center"/>
              <w:rPr>
                <w:rFonts w:ascii="Times" w:hAnsi="Times"/>
              </w:rPr>
            </w:pPr>
            <w:r w:rsidRPr="00AF3847">
              <w:t>$140,50</w:t>
            </w:r>
            <w:r>
              <w:t>2</w:t>
            </w:r>
          </w:p>
        </w:tc>
        <w:tc>
          <w:tcPr>
            <w:tcW w:w="838" w:type="pct"/>
            <w:shd w:val="solid" w:color="000000" w:fill="000000"/>
          </w:tcPr>
          <w:p w14:paraId="133B665C" w14:textId="5597D443" w:rsidR="00AB6E47" w:rsidRPr="00D12425" w:rsidRDefault="00D12425" w:rsidP="005B73EC">
            <w:pPr>
              <w:pStyle w:val="TableText0"/>
              <w:jc w:val="center"/>
              <w:rPr>
                <w:rFonts w:ascii="Times" w:hAnsi="Times"/>
              </w:rPr>
            </w:pPr>
            <w:r w:rsidRPr="00D12425">
              <w:rPr>
                <w:rFonts w:hint="eastAsia"/>
                <w:color w:val="000000"/>
                <w:w w:val="33"/>
                <w:fitText w:val="150" w:id="-1236619772"/>
                <w14:textFill>
                  <w14:solidFill>
                    <w14:srgbClr w14:val="000000">
                      <w14:alpha w14:val="100000"/>
                    </w14:srgbClr>
                  </w14:solidFill>
                </w14:textFill>
              </w:rPr>
              <w:t xml:space="preserve">　</w:t>
            </w:r>
            <w:r w:rsidRPr="00D12425">
              <w:rPr>
                <w:color w:val="000000"/>
                <w:w w:val="33"/>
                <w:fitText w:val="150" w:id="-1236619772"/>
                <w14:textFill>
                  <w14:solidFill>
                    <w14:srgbClr w14:val="000000">
                      <w14:alpha w14:val="100000"/>
                    </w14:srgbClr>
                  </w14:solidFill>
                </w14:textFill>
              </w:rPr>
              <w:t>|</w:t>
            </w:r>
            <w:r w:rsidRPr="00D12425">
              <w:rPr>
                <w:rFonts w:hint="eastAsia"/>
                <w:color w:val="000000"/>
                <w:w w:val="33"/>
                <w:fitText w:val="150" w:id="-1236619772"/>
                <w14:textFill>
                  <w14:solidFill>
                    <w14:srgbClr w14:val="000000">
                      <w14:alpha w14:val="100000"/>
                    </w14:srgbClr>
                  </w14:solidFill>
                </w14:textFill>
              </w:rPr>
              <w:t xml:space="preserve">　</w:t>
            </w:r>
          </w:p>
        </w:tc>
      </w:tr>
      <w:tr w:rsidR="00AB6E47" w:rsidRPr="00AF3847" w14:paraId="75C05F72" w14:textId="77777777" w:rsidTr="005B73EC">
        <w:trPr>
          <w:cantSplit/>
        </w:trPr>
        <w:tc>
          <w:tcPr>
            <w:tcW w:w="1529" w:type="pct"/>
          </w:tcPr>
          <w:p w14:paraId="714F7DE7" w14:textId="77777777" w:rsidR="00AB6E47" w:rsidRPr="00AF3847" w:rsidRDefault="00AB6E47" w:rsidP="005B73EC">
            <w:pPr>
              <w:pStyle w:val="TableText0"/>
              <w:rPr>
                <w:rFonts w:ascii="Times" w:hAnsi="Times"/>
              </w:rPr>
            </w:pPr>
            <w:r w:rsidRPr="00AF3847">
              <w:t>QALYs</w:t>
            </w:r>
          </w:p>
        </w:tc>
        <w:tc>
          <w:tcPr>
            <w:tcW w:w="1359" w:type="pct"/>
          </w:tcPr>
          <w:p w14:paraId="119E0434" w14:textId="1088E911" w:rsidR="00AB6E47" w:rsidRPr="00AF3847" w:rsidRDefault="00AB6E47" w:rsidP="005B73EC">
            <w:pPr>
              <w:pStyle w:val="TableText0"/>
              <w:jc w:val="center"/>
              <w:rPr>
                <w:rFonts w:ascii="Times" w:hAnsi="Times"/>
              </w:rPr>
            </w:pPr>
            <w:r w:rsidRPr="00AF3847">
              <w:t>2.</w:t>
            </w:r>
            <w:r>
              <w:t>66</w:t>
            </w:r>
          </w:p>
        </w:tc>
        <w:tc>
          <w:tcPr>
            <w:tcW w:w="1274" w:type="pct"/>
          </w:tcPr>
          <w:p w14:paraId="7613E6F9" w14:textId="77777777" w:rsidR="00AB6E47" w:rsidRPr="00AF3847" w:rsidRDefault="00AB6E47" w:rsidP="005B73EC">
            <w:pPr>
              <w:pStyle w:val="TableText0"/>
              <w:jc w:val="center"/>
              <w:rPr>
                <w:rFonts w:ascii="Times" w:hAnsi="Times"/>
              </w:rPr>
            </w:pPr>
            <w:r w:rsidRPr="00AF3847">
              <w:t>1.24</w:t>
            </w:r>
          </w:p>
        </w:tc>
        <w:tc>
          <w:tcPr>
            <w:tcW w:w="838" w:type="pct"/>
          </w:tcPr>
          <w:p w14:paraId="7490E57A" w14:textId="095A2EAA" w:rsidR="00AB6E47" w:rsidRPr="00AF3847" w:rsidRDefault="00AB6E47" w:rsidP="005B73EC">
            <w:pPr>
              <w:pStyle w:val="TableText0"/>
              <w:jc w:val="center"/>
            </w:pPr>
            <w:r w:rsidRPr="00AF3847">
              <w:t>1.</w:t>
            </w:r>
            <w:r>
              <w:t>43</w:t>
            </w:r>
          </w:p>
        </w:tc>
      </w:tr>
      <w:tr w:rsidR="00AB6E47" w:rsidRPr="00AF3847" w14:paraId="65DE8E7D" w14:textId="77777777" w:rsidTr="005B73EC">
        <w:trPr>
          <w:cantSplit/>
        </w:trPr>
        <w:tc>
          <w:tcPr>
            <w:tcW w:w="4162" w:type="pct"/>
            <w:gridSpan w:val="3"/>
          </w:tcPr>
          <w:p w14:paraId="701A886E" w14:textId="77777777" w:rsidR="00AB6E47" w:rsidRPr="00AF3847" w:rsidRDefault="00AB6E47" w:rsidP="005B73EC">
            <w:pPr>
              <w:pStyle w:val="TableText0"/>
              <w:rPr>
                <w:rFonts w:ascii="Times" w:hAnsi="Times"/>
                <w:b/>
                <w:bCs w:val="0"/>
              </w:rPr>
            </w:pPr>
            <w:r w:rsidRPr="00AF3847">
              <w:rPr>
                <w:b/>
                <w:bCs w:val="0"/>
              </w:rPr>
              <w:t>Incremental cost/extra QALY gained (base case)</w:t>
            </w:r>
          </w:p>
        </w:tc>
        <w:tc>
          <w:tcPr>
            <w:tcW w:w="838" w:type="pct"/>
          </w:tcPr>
          <w:p w14:paraId="44F0D314" w14:textId="079FC3C4" w:rsidR="00AB6E47" w:rsidRPr="005D0EA2" w:rsidRDefault="00D12425" w:rsidP="005B73EC">
            <w:pPr>
              <w:pStyle w:val="TableText0"/>
              <w:jc w:val="center"/>
              <w:rPr>
                <w:rFonts w:ascii="Times" w:hAnsi="Times"/>
                <w:b/>
                <w:bCs w:val="0"/>
                <w:vertAlign w:val="superscript"/>
              </w:rPr>
            </w:pPr>
            <w:r w:rsidRPr="00D12425">
              <w:rPr>
                <w:b/>
                <w:bCs w:val="0"/>
                <w:color w:val="000000"/>
                <w:spacing w:val="158"/>
                <w:shd w:val="solid" w:color="000000" w:fill="000000"/>
                <w:fitText w:val="250" w:id="-1236619771"/>
                <w14:textFill>
                  <w14:solidFill>
                    <w14:srgbClr w14:val="000000">
                      <w14:alpha w14:val="100000"/>
                    </w14:srgbClr>
                  </w14:solidFill>
                </w14:textFill>
              </w:rPr>
              <w:t>|</w:t>
            </w:r>
            <w:r w:rsidRPr="00D12425">
              <w:rPr>
                <w:b/>
                <w:bCs w:val="0"/>
                <w:color w:val="000000"/>
                <w:spacing w:val="1"/>
                <w:shd w:val="solid" w:color="000000" w:fill="000000"/>
                <w:fitText w:val="250" w:id="-1236619771"/>
                <w14:textFill>
                  <w14:solidFill>
                    <w14:srgbClr w14:val="000000">
                      <w14:alpha w14:val="100000"/>
                    </w14:srgbClr>
                  </w14:solidFill>
                </w14:textFill>
              </w:rPr>
              <w:t>|</w:t>
            </w:r>
            <w:r w:rsidR="005D0EA2" w:rsidRPr="005D0EA2">
              <w:rPr>
                <w:vertAlign w:val="superscript"/>
              </w:rPr>
              <w:t>5</w:t>
            </w:r>
          </w:p>
        </w:tc>
      </w:tr>
    </w:tbl>
    <w:p w14:paraId="0456D0B0" w14:textId="77777777" w:rsidR="00E521CC" w:rsidRPr="00AF3847" w:rsidRDefault="009E342D" w:rsidP="00E521CC">
      <w:pPr>
        <w:pStyle w:val="FooterTableFigure"/>
      </w:pPr>
      <w:r w:rsidRPr="00AF3847">
        <w:t>Source: Table 3.8.3, p198 of the submission</w:t>
      </w:r>
      <w:r w:rsidR="00E521CC" w:rsidRPr="00AF3847">
        <w:t xml:space="preserve"> and ‘Immunocore_tebentafusp UM_CEMv1’ workbook. </w:t>
      </w:r>
    </w:p>
    <w:p w14:paraId="001F79CC" w14:textId="77777777" w:rsidR="009E342D" w:rsidRPr="00AF3847" w:rsidRDefault="009E342D" w:rsidP="009E342D">
      <w:pPr>
        <w:pStyle w:val="FooterTableFigure"/>
      </w:pPr>
      <w:r w:rsidRPr="00AF3847">
        <w:t>ICER = incremental cost-effectiveness ratio, LYG = life-year gains, QALY = quality-adjusted life-years</w:t>
      </w:r>
    </w:p>
    <w:p w14:paraId="0659ABB8" w14:textId="77777777" w:rsidR="005D0EA2" w:rsidRDefault="009E342D" w:rsidP="005D0EA2">
      <w:pPr>
        <w:pStyle w:val="FooterTableFigure"/>
      </w:pPr>
      <w:bookmarkStart w:id="66" w:name="_Hlk121426562"/>
      <w:r w:rsidRPr="00AF3847">
        <w:t>Italics corrected during evaluation using the correct MBS fee of $114.20 by changing cell D95 in the ‘Cost data’ worksheet in the</w:t>
      </w:r>
      <w:r>
        <w:t xml:space="preserve"> ’Immunocore_tebentafusp UM_CEM v1’ workbook.</w:t>
      </w:r>
    </w:p>
    <w:p w14:paraId="658476DD" w14:textId="513F5982" w:rsidR="005D0EA2" w:rsidRPr="005D0EA2" w:rsidRDefault="005D0EA2" w:rsidP="005D0EA2">
      <w:pPr>
        <w:pStyle w:val="FooterTableFigure"/>
        <w:rPr>
          <w:i/>
          <w:iCs/>
        </w:rPr>
      </w:pPr>
      <w:r w:rsidRPr="005D0EA2">
        <w:rPr>
          <w:i/>
          <w:iCs/>
        </w:rPr>
        <w:t xml:space="preserve">The redacted values correspond to the following ranges: </w:t>
      </w:r>
    </w:p>
    <w:p w14:paraId="25D0FBAA" w14:textId="3CEB95FF" w:rsidR="005D0EA2" w:rsidRPr="005D0EA2" w:rsidRDefault="005D0EA2" w:rsidP="005D0EA2">
      <w:pPr>
        <w:pStyle w:val="FooterTableFigure"/>
        <w:rPr>
          <w:i/>
          <w:iCs/>
        </w:rPr>
      </w:pPr>
      <w:r w:rsidRPr="005D0EA2">
        <w:rPr>
          <w:i/>
          <w:iCs/>
          <w:vertAlign w:val="superscript"/>
        </w:rPr>
        <w:t>1</w:t>
      </w:r>
      <w:r w:rsidRPr="005D0EA2">
        <w:rPr>
          <w:i/>
          <w:iCs/>
        </w:rPr>
        <w:t xml:space="preserve"> $555,000 to &lt; $655,000</w:t>
      </w:r>
    </w:p>
    <w:p w14:paraId="5D537A81" w14:textId="2A1BA713" w:rsidR="005D0EA2" w:rsidRPr="005D0EA2" w:rsidRDefault="005D0EA2" w:rsidP="005D0EA2">
      <w:pPr>
        <w:pStyle w:val="FooterTableFigure"/>
        <w:rPr>
          <w:i/>
          <w:iCs/>
        </w:rPr>
      </w:pPr>
      <w:r w:rsidRPr="005D0EA2">
        <w:rPr>
          <w:i/>
          <w:iCs/>
          <w:vertAlign w:val="superscript"/>
        </w:rPr>
        <w:t>2</w:t>
      </w:r>
      <w:r w:rsidRPr="005D0EA2">
        <w:rPr>
          <w:i/>
          <w:iCs/>
        </w:rPr>
        <w:t xml:space="preserve"> $55,000 to &lt; $75,000</w:t>
      </w:r>
    </w:p>
    <w:p w14:paraId="668F8738" w14:textId="068A9920" w:rsidR="005D0EA2" w:rsidRPr="005D0EA2" w:rsidRDefault="005D0EA2" w:rsidP="005D0EA2">
      <w:pPr>
        <w:pStyle w:val="FooterTableFigure"/>
        <w:rPr>
          <w:i/>
          <w:iCs/>
        </w:rPr>
      </w:pPr>
      <w:r w:rsidRPr="005D0EA2">
        <w:rPr>
          <w:i/>
          <w:iCs/>
          <w:vertAlign w:val="superscript"/>
        </w:rPr>
        <w:t>3</w:t>
      </w:r>
      <w:r w:rsidRPr="005D0EA2">
        <w:rPr>
          <w:i/>
          <w:iCs/>
        </w:rPr>
        <w:t xml:space="preserve"> $95,000 to &lt; $115,000</w:t>
      </w:r>
    </w:p>
    <w:p w14:paraId="2B435FD0" w14:textId="7B8435B3" w:rsidR="005D0EA2" w:rsidRPr="005D0EA2" w:rsidRDefault="005D0EA2" w:rsidP="005D0EA2">
      <w:pPr>
        <w:pStyle w:val="FooterTableFigure"/>
        <w:rPr>
          <w:i/>
          <w:iCs/>
        </w:rPr>
      </w:pPr>
      <w:r w:rsidRPr="005D0EA2">
        <w:rPr>
          <w:i/>
          <w:iCs/>
          <w:vertAlign w:val="superscript"/>
        </w:rPr>
        <w:t>4</w:t>
      </w:r>
      <w:r w:rsidRPr="005D0EA2">
        <w:rPr>
          <w:i/>
          <w:iCs/>
        </w:rPr>
        <w:t xml:space="preserve"> $115,000 to &lt; $135,000</w:t>
      </w:r>
    </w:p>
    <w:p w14:paraId="52BF7AB0" w14:textId="7580FDD3" w:rsidR="005D0EA2" w:rsidRPr="005D0EA2" w:rsidRDefault="005D0EA2" w:rsidP="005D0EA2">
      <w:pPr>
        <w:pStyle w:val="FooterTableFigure"/>
        <w:rPr>
          <w:i/>
          <w:iCs/>
        </w:rPr>
      </w:pPr>
      <w:r w:rsidRPr="005D0EA2">
        <w:rPr>
          <w:i/>
          <w:iCs/>
          <w:vertAlign w:val="superscript"/>
        </w:rPr>
        <w:t>5</w:t>
      </w:r>
      <w:r w:rsidRPr="005D0EA2">
        <w:rPr>
          <w:i/>
          <w:iCs/>
        </w:rPr>
        <w:t xml:space="preserve"> $75,000 to &lt; $95,000</w:t>
      </w:r>
    </w:p>
    <w:bookmarkEnd w:id="65"/>
    <w:bookmarkEnd w:id="66"/>
    <w:p w14:paraId="6DCEAE25" w14:textId="279BFD29" w:rsidR="00F263BD" w:rsidRPr="00A67F44" w:rsidRDefault="00995EFA" w:rsidP="00F263BD">
      <w:pPr>
        <w:pStyle w:val="3-BodyText"/>
        <w:rPr>
          <w:rFonts w:cstheme="minorHAnsi"/>
        </w:rPr>
      </w:pPr>
      <w:r w:rsidRPr="00A67F44">
        <w:rPr>
          <w:rFonts w:cstheme="minorHAnsi"/>
        </w:rPr>
        <w:t>The resultant base case ICER presented in the submission was $</w:t>
      </w:r>
      <w:r w:rsidR="005D0EA2" w:rsidRPr="00A67F44">
        <w:rPr>
          <w:rFonts w:cstheme="minorHAnsi"/>
        </w:rPr>
        <w:t> 115,000 to &lt; $ 135,000</w:t>
      </w:r>
      <w:r w:rsidRPr="00A67F44">
        <w:rPr>
          <w:rFonts w:cstheme="minorHAnsi"/>
        </w:rPr>
        <w:t xml:space="preserve"> per QALY gained. The ICER </w:t>
      </w:r>
      <w:r w:rsidR="00E841A9" w:rsidRPr="00A67F44">
        <w:rPr>
          <w:rFonts w:cstheme="minorHAnsi"/>
        </w:rPr>
        <w:t xml:space="preserve">was considered to be </w:t>
      </w:r>
      <w:r w:rsidR="004F402A" w:rsidRPr="00A67F44">
        <w:rPr>
          <w:rFonts w:cstheme="minorHAnsi"/>
        </w:rPr>
        <w:t>underestimated</w:t>
      </w:r>
      <w:r w:rsidR="00E841A9" w:rsidRPr="00A67F44">
        <w:rPr>
          <w:rFonts w:cstheme="minorHAnsi"/>
        </w:rPr>
        <w:t xml:space="preserve">, particularly when the OS gain demonstrated in the trial (4.8 months, 0.38 life years gained) was compared to the large quality of life gains produced by the model </w:t>
      </w:r>
      <w:r w:rsidR="007E7E4A" w:rsidRPr="00A67F44">
        <w:rPr>
          <w:rFonts w:cstheme="minorHAnsi"/>
        </w:rPr>
        <w:t>(1.98 discounted life-years gained</w:t>
      </w:r>
      <w:r w:rsidR="00BA443E" w:rsidRPr="00A67F44">
        <w:rPr>
          <w:rFonts w:cstheme="minorHAnsi"/>
        </w:rPr>
        <w:t xml:space="preserve"> </w:t>
      </w:r>
      <w:r w:rsidR="00F263BD" w:rsidRPr="00A67F44">
        <w:rPr>
          <w:rFonts w:cstheme="minorHAnsi"/>
        </w:rPr>
        <w:t xml:space="preserve">and </w:t>
      </w:r>
      <w:r w:rsidR="00BA443E" w:rsidRPr="00A67F44">
        <w:rPr>
          <w:rFonts w:cstheme="minorHAnsi"/>
        </w:rPr>
        <w:t xml:space="preserve">1.69 </w:t>
      </w:r>
      <w:r w:rsidR="00E841A9" w:rsidRPr="00A67F44">
        <w:rPr>
          <w:rFonts w:cstheme="minorHAnsi"/>
        </w:rPr>
        <w:t xml:space="preserve">discounted </w:t>
      </w:r>
      <w:r w:rsidR="00F263BD" w:rsidRPr="00A67F44">
        <w:rPr>
          <w:rFonts w:cstheme="minorHAnsi"/>
        </w:rPr>
        <w:t>quality-adjusted life-years</w:t>
      </w:r>
      <w:r w:rsidR="00E841A9" w:rsidRPr="00A67F44">
        <w:rPr>
          <w:rFonts w:cstheme="minorHAnsi"/>
        </w:rPr>
        <w:t xml:space="preserve"> gained)</w:t>
      </w:r>
      <w:r w:rsidR="00BA443E" w:rsidRPr="00A67F44">
        <w:rPr>
          <w:rFonts w:cstheme="minorHAnsi"/>
        </w:rPr>
        <w:t>.</w:t>
      </w:r>
      <w:r w:rsidR="00B810AB" w:rsidRPr="00A67F44">
        <w:rPr>
          <w:rFonts w:cstheme="minorHAnsi"/>
        </w:rPr>
        <w:t xml:space="preserve"> The </w:t>
      </w:r>
      <w:r w:rsidR="00B515FF" w:rsidRPr="00A67F44">
        <w:rPr>
          <w:rFonts w:cstheme="minorHAnsi"/>
        </w:rPr>
        <w:t xml:space="preserve">revised base case ICER presented in the </w:t>
      </w:r>
      <w:r w:rsidR="00B810AB" w:rsidRPr="00A67F44">
        <w:rPr>
          <w:rFonts w:cstheme="minorHAnsi"/>
        </w:rPr>
        <w:t>pre-PBAC was $</w:t>
      </w:r>
      <w:r w:rsidR="005D0EA2" w:rsidRPr="00A67F44">
        <w:rPr>
          <w:rFonts w:cstheme="minorHAnsi"/>
        </w:rPr>
        <w:t xml:space="preserve"> 75,000 to &lt; $ 95,000 </w:t>
      </w:r>
      <w:r w:rsidR="00B810AB" w:rsidRPr="00A67F44">
        <w:rPr>
          <w:rFonts w:cstheme="minorHAnsi"/>
        </w:rPr>
        <w:t>per QALY.</w:t>
      </w:r>
    </w:p>
    <w:p w14:paraId="6F40132A" w14:textId="52EE1AF4" w:rsidR="009E342D" w:rsidRPr="00D23D11" w:rsidRDefault="009E342D" w:rsidP="009E342D">
      <w:pPr>
        <w:pStyle w:val="3-BodyText"/>
      </w:pPr>
      <w:r w:rsidRPr="00D23D11">
        <w:t xml:space="preserve">The results of key sensitivity analyses are summarised </w:t>
      </w:r>
      <w:r>
        <w:t xml:space="preserve">in </w:t>
      </w:r>
      <w:r>
        <w:fldChar w:fldCharType="begin" w:fldLock="1"/>
      </w:r>
      <w:r>
        <w:instrText xml:space="preserve"> REF _Ref104804865 \h </w:instrText>
      </w:r>
      <w:r>
        <w:fldChar w:fldCharType="separate"/>
      </w:r>
      <w:r w:rsidR="00A53FF4">
        <w:t xml:space="preserve">Table </w:t>
      </w:r>
      <w:r w:rsidR="00A53FF4">
        <w:rPr>
          <w:noProof/>
        </w:rPr>
        <w:t>13</w:t>
      </w:r>
      <w:r>
        <w:fldChar w:fldCharType="end"/>
      </w:r>
      <w:r w:rsidRPr="00D23D11">
        <w:t>.</w:t>
      </w:r>
      <w:r>
        <w:t xml:space="preserve"> </w:t>
      </w:r>
    </w:p>
    <w:p w14:paraId="082C2042" w14:textId="6B44C269" w:rsidR="009E342D" w:rsidRPr="000A0CD2" w:rsidRDefault="009E342D" w:rsidP="009E342D">
      <w:pPr>
        <w:pStyle w:val="Caption"/>
        <w:rPr>
          <w:rStyle w:val="TableFigureHeadingChar"/>
        </w:rPr>
      </w:pPr>
      <w:bookmarkStart w:id="67" w:name="_Ref104804865"/>
      <w:r>
        <w:lastRenderedPageBreak/>
        <w:t xml:space="preserve">Table </w:t>
      </w:r>
      <w:fldSimple w:instr=" SEQ Table \* ARABIC " w:fldLock="1">
        <w:r w:rsidR="00A53FF4">
          <w:rPr>
            <w:noProof/>
          </w:rPr>
          <w:t>13</w:t>
        </w:r>
      </w:fldSimple>
      <w:bookmarkEnd w:id="67"/>
      <w:r>
        <w:t>:</w:t>
      </w:r>
      <w:r w:rsidRPr="000A0CD2">
        <w:rPr>
          <w:rStyle w:val="TableFigureHeadingChar"/>
        </w:rPr>
        <w:t xml:space="preserve"> </w:t>
      </w:r>
      <w:r>
        <w:rPr>
          <w:rStyle w:val="TableFigureHeadingChar"/>
          <w:b/>
          <w:bCs/>
        </w:rPr>
        <w:t>Key s</w:t>
      </w:r>
      <w:r w:rsidRPr="000D6936">
        <w:rPr>
          <w:rStyle w:val="TableFigureHeadingChar"/>
          <w:b/>
          <w:bCs/>
        </w:rPr>
        <w:t>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1080"/>
        <w:gridCol w:w="1080"/>
        <w:gridCol w:w="1199"/>
        <w:gridCol w:w="1223"/>
      </w:tblGrid>
      <w:tr w:rsidR="000D025A" w:rsidRPr="00D23D11" w14:paraId="4BBF703C" w14:textId="77777777" w:rsidTr="00D12425">
        <w:trPr>
          <w:cantSplit/>
          <w:tblHeader/>
        </w:trPr>
        <w:tc>
          <w:tcPr>
            <w:tcW w:w="2459" w:type="pct"/>
            <w:tcMar>
              <w:left w:w="28" w:type="dxa"/>
              <w:right w:w="28" w:type="dxa"/>
            </w:tcMar>
          </w:tcPr>
          <w:p w14:paraId="1FDE29F8" w14:textId="77777777" w:rsidR="009E342D" w:rsidRPr="00653DD9" w:rsidRDefault="009E342D" w:rsidP="00A704EE">
            <w:pPr>
              <w:pStyle w:val="In-tableHeading"/>
            </w:pPr>
            <w:r w:rsidRPr="00653DD9">
              <w:t>Analyses</w:t>
            </w:r>
          </w:p>
        </w:tc>
        <w:tc>
          <w:tcPr>
            <w:tcW w:w="599" w:type="pct"/>
            <w:tcBorders>
              <w:bottom w:val="single" w:sz="4" w:space="0" w:color="auto"/>
            </w:tcBorders>
            <w:tcMar>
              <w:left w:w="28" w:type="dxa"/>
              <w:right w:w="28" w:type="dxa"/>
            </w:tcMar>
          </w:tcPr>
          <w:p w14:paraId="28FCC618" w14:textId="6858639D" w:rsidR="009E342D" w:rsidRPr="00653DD9" w:rsidRDefault="009E342D" w:rsidP="00A704EE">
            <w:pPr>
              <w:pStyle w:val="In-tableHeading"/>
              <w:jc w:val="center"/>
            </w:pPr>
            <w:r w:rsidRPr="00653DD9">
              <w:t>Incremental cost</w:t>
            </w:r>
            <w:r w:rsidR="005D0EA2">
              <w:t xml:space="preserve"> ($)</w:t>
            </w:r>
          </w:p>
        </w:tc>
        <w:tc>
          <w:tcPr>
            <w:tcW w:w="599" w:type="pct"/>
            <w:tcMar>
              <w:left w:w="28" w:type="dxa"/>
              <w:right w:w="28" w:type="dxa"/>
            </w:tcMar>
          </w:tcPr>
          <w:p w14:paraId="044846A3" w14:textId="77777777" w:rsidR="009E342D" w:rsidRPr="00653DD9" w:rsidRDefault="009E342D" w:rsidP="00A704EE">
            <w:pPr>
              <w:pStyle w:val="In-tableHeading"/>
              <w:jc w:val="center"/>
            </w:pPr>
            <w:r w:rsidRPr="00653DD9">
              <w:t>Incremental QALY</w:t>
            </w:r>
          </w:p>
        </w:tc>
        <w:tc>
          <w:tcPr>
            <w:tcW w:w="665" w:type="pct"/>
            <w:tcMar>
              <w:left w:w="28" w:type="dxa"/>
              <w:right w:w="28" w:type="dxa"/>
            </w:tcMar>
          </w:tcPr>
          <w:p w14:paraId="63CA8C5E" w14:textId="77777777" w:rsidR="009E342D" w:rsidRPr="00653DD9" w:rsidRDefault="009E342D" w:rsidP="00A704EE">
            <w:pPr>
              <w:pStyle w:val="In-tableHeading"/>
              <w:jc w:val="center"/>
            </w:pPr>
            <w:r w:rsidRPr="00653DD9">
              <w:t>ICER</w:t>
            </w:r>
          </w:p>
        </w:tc>
        <w:tc>
          <w:tcPr>
            <w:tcW w:w="678" w:type="pct"/>
            <w:tcMar>
              <w:left w:w="28" w:type="dxa"/>
              <w:right w:w="28" w:type="dxa"/>
            </w:tcMar>
          </w:tcPr>
          <w:p w14:paraId="6C77D1FB" w14:textId="77777777" w:rsidR="009E342D" w:rsidRPr="00653DD9" w:rsidRDefault="009E342D" w:rsidP="00A704EE">
            <w:pPr>
              <w:pStyle w:val="In-tableHeading"/>
              <w:jc w:val="center"/>
            </w:pPr>
            <w:r w:rsidRPr="00653DD9">
              <w:t>% change to ICER</w:t>
            </w:r>
          </w:p>
        </w:tc>
      </w:tr>
      <w:tr w:rsidR="000D025A" w:rsidRPr="00D23D11" w14:paraId="27296718" w14:textId="77777777" w:rsidTr="00D12425">
        <w:trPr>
          <w:cantSplit/>
        </w:trPr>
        <w:tc>
          <w:tcPr>
            <w:tcW w:w="2459" w:type="pct"/>
            <w:tcMar>
              <w:left w:w="28" w:type="dxa"/>
              <w:right w:w="28" w:type="dxa"/>
            </w:tcMar>
          </w:tcPr>
          <w:p w14:paraId="0624C48E" w14:textId="77777777" w:rsidR="009E342D" w:rsidRPr="00653DD9" w:rsidRDefault="009E342D" w:rsidP="00A704EE">
            <w:pPr>
              <w:pStyle w:val="In-tableHeading"/>
            </w:pPr>
            <w:r w:rsidRPr="00653DD9">
              <w:t>Base case</w:t>
            </w:r>
          </w:p>
        </w:tc>
        <w:tc>
          <w:tcPr>
            <w:tcW w:w="599" w:type="pct"/>
            <w:shd w:val="solid" w:color="000000" w:fill="000000"/>
            <w:tcMar>
              <w:left w:w="28" w:type="dxa"/>
              <w:right w:w="28" w:type="dxa"/>
            </w:tcMar>
          </w:tcPr>
          <w:p w14:paraId="4B952326" w14:textId="29CD5C2A" w:rsidR="009E342D" w:rsidRPr="00D12425" w:rsidRDefault="00D12425" w:rsidP="00A704EE">
            <w:pPr>
              <w:pStyle w:val="TableText0"/>
              <w:jc w:val="center"/>
              <w:rPr>
                <w:b/>
              </w:rPr>
            </w:pPr>
            <w:r w:rsidRPr="00D12425">
              <w:rPr>
                <w:rFonts w:cs="Times New Roman"/>
                <w:color w:val="000000"/>
                <w:spacing w:val="65"/>
                <w:fitText w:val="366" w:id="-1236619770"/>
                <w14:textFill>
                  <w14:solidFill>
                    <w14:srgbClr w14:val="000000">
                      <w14:alpha w14:val="100000"/>
                    </w14:srgbClr>
                  </w14:solidFill>
                </w14:textFill>
              </w:rPr>
              <w:t>|||</w:t>
            </w:r>
            <w:r w:rsidRPr="00D12425">
              <w:rPr>
                <w:rFonts w:cs="Times New Roman"/>
                <w:color w:val="000000"/>
                <w:spacing w:val="1"/>
                <w:fitText w:val="366" w:id="-1236619770"/>
                <w14:textFill>
                  <w14:solidFill>
                    <w14:srgbClr w14:val="000000">
                      <w14:alpha w14:val="100000"/>
                    </w14:srgbClr>
                  </w14:solidFill>
                </w14:textFill>
              </w:rPr>
              <w:t>|</w:t>
            </w:r>
          </w:p>
        </w:tc>
        <w:tc>
          <w:tcPr>
            <w:tcW w:w="599" w:type="pct"/>
            <w:tcMar>
              <w:left w:w="28" w:type="dxa"/>
              <w:right w:w="28" w:type="dxa"/>
            </w:tcMar>
          </w:tcPr>
          <w:p w14:paraId="33723F0C" w14:textId="77777777" w:rsidR="009E342D" w:rsidRPr="00653DD9" w:rsidRDefault="009E342D" w:rsidP="00A704EE">
            <w:pPr>
              <w:pStyle w:val="TableText0"/>
              <w:jc w:val="center"/>
              <w:rPr>
                <w:b/>
              </w:rPr>
            </w:pPr>
            <w:r w:rsidRPr="00653DD9">
              <w:rPr>
                <w:rFonts w:cs="Times New Roman"/>
              </w:rPr>
              <w:t>1.69</w:t>
            </w:r>
          </w:p>
        </w:tc>
        <w:tc>
          <w:tcPr>
            <w:tcW w:w="665" w:type="pct"/>
            <w:tcMar>
              <w:left w:w="28" w:type="dxa"/>
              <w:right w:w="28" w:type="dxa"/>
            </w:tcMar>
          </w:tcPr>
          <w:p w14:paraId="40E98BD2" w14:textId="122C2614" w:rsidR="009E342D" w:rsidRPr="00F151DF" w:rsidRDefault="00D12425" w:rsidP="00A704EE">
            <w:pPr>
              <w:pStyle w:val="TableText0"/>
              <w:jc w:val="center"/>
              <w:rPr>
                <w:b/>
                <w:highlight w:val="black"/>
                <w:vertAlign w:val="superscript"/>
              </w:rPr>
            </w:pPr>
            <w:r w:rsidRPr="00D12425">
              <w:rPr>
                <w:rFonts w:cs="Times New Roman"/>
                <w:color w:val="000000"/>
                <w:spacing w:val="54"/>
                <w:shd w:val="solid" w:color="000000" w:fill="000000"/>
                <w:fitText w:val="333" w:id="-1236619769"/>
                <w14:textFill>
                  <w14:solidFill>
                    <w14:srgbClr w14:val="000000">
                      <w14:alpha w14:val="100000"/>
                    </w14:srgbClr>
                  </w14:solidFill>
                </w14:textFill>
              </w:rPr>
              <w:t>|||</w:t>
            </w:r>
            <w:r w:rsidRPr="00D12425">
              <w:rPr>
                <w:rFonts w:cs="Times New Roman"/>
                <w:color w:val="000000"/>
                <w:spacing w:val="1"/>
                <w:shd w:val="solid" w:color="000000" w:fill="000000"/>
                <w:fitText w:val="333" w:id="-1236619769"/>
                <w14:textFill>
                  <w14:solidFill>
                    <w14:srgbClr w14:val="000000">
                      <w14:alpha w14:val="100000"/>
                    </w14:srgbClr>
                  </w14:solidFill>
                </w14:textFill>
              </w:rPr>
              <w:t>|</w:t>
            </w:r>
            <w:r w:rsidR="00F151DF" w:rsidRPr="00F151DF">
              <w:rPr>
                <w:rFonts w:cs="Times New Roman"/>
                <w:vertAlign w:val="superscript"/>
              </w:rPr>
              <w:t>1</w:t>
            </w:r>
          </w:p>
        </w:tc>
        <w:tc>
          <w:tcPr>
            <w:tcW w:w="678" w:type="pct"/>
            <w:tcMar>
              <w:left w:w="28" w:type="dxa"/>
              <w:right w:w="28" w:type="dxa"/>
            </w:tcMar>
          </w:tcPr>
          <w:p w14:paraId="5AA5D6AC" w14:textId="77777777" w:rsidR="009E342D" w:rsidRPr="00653DD9" w:rsidRDefault="009E342D" w:rsidP="00A704EE">
            <w:pPr>
              <w:pStyle w:val="TableText0"/>
              <w:jc w:val="center"/>
              <w:rPr>
                <w:rFonts w:eastAsia="Calibri"/>
                <w:b/>
                <w:szCs w:val="20"/>
              </w:rPr>
            </w:pPr>
            <w:r w:rsidRPr="00653DD9">
              <w:rPr>
                <w:rFonts w:cs="Times New Roman"/>
              </w:rPr>
              <w:t>0.00%</w:t>
            </w:r>
          </w:p>
        </w:tc>
      </w:tr>
      <w:tr w:rsidR="001965CA" w:rsidRPr="00E841A9" w14:paraId="0FF69319" w14:textId="77777777" w:rsidTr="00CB7921">
        <w:trPr>
          <w:cantSplit/>
        </w:trPr>
        <w:tc>
          <w:tcPr>
            <w:tcW w:w="4322" w:type="pct"/>
            <w:gridSpan w:val="4"/>
            <w:tcMar>
              <w:left w:w="28" w:type="dxa"/>
              <w:right w:w="28" w:type="dxa"/>
            </w:tcMar>
          </w:tcPr>
          <w:p w14:paraId="7A64B8B1" w14:textId="78A5A4FD" w:rsidR="009E342D" w:rsidRPr="00653DD9" w:rsidRDefault="009E342D" w:rsidP="00A704EE">
            <w:pPr>
              <w:pStyle w:val="TableText0"/>
              <w:rPr>
                <w:b/>
                <w:bCs w:val="0"/>
              </w:rPr>
            </w:pPr>
            <w:r w:rsidRPr="00653DD9">
              <w:rPr>
                <w:rFonts w:cs="Times New Roman"/>
                <w:b/>
                <w:bCs w:val="0"/>
              </w:rPr>
              <w:t xml:space="preserve">Discount rate (base case </w:t>
            </w:r>
            <w:r w:rsidR="00E841A9" w:rsidRPr="00653DD9">
              <w:rPr>
                <w:rFonts w:cs="Times New Roman"/>
                <w:b/>
                <w:bCs w:val="0"/>
              </w:rPr>
              <w:t xml:space="preserve">= </w:t>
            </w:r>
            <w:r w:rsidRPr="00653DD9">
              <w:rPr>
                <w:rFonts w:cs="Times New Roman"/>
                <w:b/>
                <w:bCs w:val="0"/>
              </w:rPr>
              <w:t>5% for costs and outcomes)</w:t>
            </w:r>
          </w:p>
        </w:tc>
        <w:tc>
          <w:tcPr>
            <w:tcW w:w="678" w:type="pct"/>
            <w:tcMar>
              <w:left w:w="28" w:type="dxa"/>
              <w:right w:w="28" w:type="dxa"/>
            </w:tcMar>
          </w:tcPr>
          <w:p w14:paraId="050E4841" w14:textId="77777777" w:rsidR="009E342D" w:rsidRPr="00653DD9" w:rsidRDefault="009E342D" w:rsidP="00A704EE">
            <w:pPr>
              <w:pStyle w:val="TableText0"/>
              <w:rPr>
                <w:b/>
                <w:bCs w:val="0"/>
              </w:rPr>
            </w:pPr>
          </w:p>
        </w:tc>
      </w:tr>
      <w:tr w:rsidR="000D025A" w:rsidRPr="00D23D11" w14:paraId="1CFA1D5B" w14:textId="77777777" w:rsidTr="00D12425">
        <w:trPr>
          <w:cantSplit/>
        </w:trPr>
        <w:tc>
          <w:tcPr>
            <w:tcW w:w="2459" w:type="pct"/>
            <w:tcMar>
              <w:left w:w="28" w:type="dxa"/>
              <w:right w:w="28" w:type="dxa"/>
            </w:tcMar>
          </w:tcPr>
          <w:p w14:paraId="0175E361" w14:textId="77777777" w:rsidR="009E342D" w:rsidRPr="00653DD9" w:rsidRDefault="009E342D" w:rsidP="00A704EE">
            <w:pPr>
              <w:pStyle w:val="TableText0"/>
            </w:pPr>
            <w:r w:rsidRPr="00653DD9">
              <w:rPr>
                <w:rFonts w:cs="Times New Roman"/>
              </w:rPr>
              <w:t>0% costs and outcomes</w:t>
            </w:r>
          </w:p>
        </w:tc>
        <w:tc>
          <w:tcPr>
            <w:tcW w:w="599" w:type="pct"/>
            <w:tcBorders>
              <w:bottom w:val="single" w:sz="4" w:space="0" w:color="auto"/>
            </w:tcBorders>
            <w:shd w:val="solid" w:color="000000" w:fill="000000"/>
            <w:tcMar>
              <w:left w:w="28" w:type="dxa"/>
              <w:right w:w="28" w:type="dxa"/>
            </w:tcMar>
          </w:tcPr>
          <w:p w14:paraId="22A0A3AE" w14:textId="735AEA7E" w:rsidR="009E342D" w:rsidRPr="00D12425" w:rsidRDefault="00D12425" w:rsidP="00A704EE">
            <w:pPr>
              <w:pStyle w:val="TableText0"/>
              <w:jc w:val="center"/>
            </w:pPr>
            <w:r w:rsidRPr="00D12425">
              <w:rPr>
                <w:color w:val="000000"/>
                <w:spacing w:val="65"/>
                <w:fitText w:val="366" w:id="-1236619768"/>
                <w14:textFill>
                  <w14:solidFill>
                    <w14:srgbClr w14:val="000000">
                      <w14:alpha w14:val="100000"/>
                    </w14:srgbClr>
                  </w14:solidFill>
                </w14:textFill>
              </w:rPr>
              <w:t>|||</w:t>
            </w:r>
            <w:r w:rsidRPr="00D12425">
              <w:rPr>
                <w:color w:val="000000"/>
                <w:spacing w:val="1"/>
                <w:fitText w:val="366" w:id="-1236619768"/>
                <w14:textFill>
                  <w14:solidFill>
                    <w14:srgbClr w14:val="000000">
                      <w14:alpha w14:val="100000"/>
                    </w14:srgbClr>
                  </w14:solidFill>
                </w14:textFill>
              </w:rPr>
              <w:t>|</w:t>
            </w:r>
          </w:p>
        </w:tc>
        <w:tc>
          <w:tcPr>
            <w:tcW w:w="599" w:type="pct"/>
            <w:tcMar>
              <w:left w:w="28" w:type="dxa"/>
              <w:right w:w="28" w:type="dxa"/>
            </w:tcMar>
          </w:tcPr>
          <w:p w14:paraId="07B420D5" w14:textId="77777777" w:rsidR="009E342D" w:rsidRPr="00653DD9" w:rsidRDefault="009E342D" w:rsidP="00A704EE">
            <w:pPr>
              <w:pStyle w:val="TableText0"/>
              <w:jc w:val="center"/>
            </w:pPr>
            <w:r w:rsidRPr="00653DD9">
              <w:t>2.69</w:t>
            </w:r>
          </w:p>
        </w:tc>
        <w:tc>
          <w:tcPr>
            <w:tcW w:w="665" w:type="pct"/>
            <w:tcMar>
              <w:left w:w="28" w:type="dxa"/>
              <w:right w:w="28" w:type="dxa"/>
            </w:tcMar>
          </w:tcPr>
          <w:p w14:paraId="245C4976" w14:textId="06859EEF" w:rsidR="009E342D" w:rsidRPr="00653DD9" w:rsidRDefault="00D12425" w:rsidP="00A704EE">
            <w:pPr>
              <w:pStyle w:val="TableText0"/>
              <w:jc w:val="center"/>
              <w:rPr>
                <w:highlight w:val="black"/>
              </w:rPr>
            </w:pPr>
            <w:r w:rsidRPr="00D12425">
              <w:rPr>
                <w:color w:val="000000"/>
                <w:spacing w:val="54"/>
                <w:shd w:val="solid" w:color="000000" w:fill="000000"/>
                <w:fitText w:val="333" w:id="-1236619767"/>
                <w14:textFill>
                  <w14:solidFill>
                    <w14:srgbClr w14:val="000000">
                      <w14:alpha w14:val="100000"/>
                    </w14:srgbClr>
                  </w14:solidFill>
                </w14:textFill>
              </w:rPr>
              <w:t>|||</w:t>
            </w:r>
            <w:r w:rsidRPr="00D12425">
              <w:rPr>
                <w:color w:val="000000"/>
                <w:spacing w:val="1"/>
                <w:shd w:val="solid" w:color="000000" w:fill="000000"/>
                <w:fitText w:val="333" w:id="-1236619767"/>
                <w14:textFill>
                  <w14:solidFill>
                    <w14:srgbClr w14:val="000000">
                      <w14:alpha w14:val="100000"/>
                    </w14:srgbClr>
                  </w14:solidFill>
                </w14:textFill>
              </w:rPr>
              <w:t>|</w:t>
            </w:r>
            <w:r w:rsidR="00F151DF" w:rsidRPr="00F151DF">
              <w:rPr>
                <w:vertAlign w:val="superscript"/>
              </w:rPr>
              <w:t>2</w:t>
            </w:r>
            <w:r w:rsidR="009E342D" w:rsidRPr="00F151DF">
              <w:t xml:space="preserve"> </w:t>
            </w:r>
          </w:p>
        </w:tc>
        <w:tc>
          <w:tcPr>
            <w:tcW w:w="678" w:type="pct"/>
            <w:tcMar>
              <w:left w:w="28" w:type="dxa"/>
              <w:right w:w="28" w:type="dxa"/>
            </w:tcMar>
          </w:tcPr>
          <w:p w14:paraId="037AE6EF" w14:textId="77777777" w:rsidR="009E342D" w:rsidRPr="00653DD9" w:rsidRDefault="009E342D" w:rsidP="00A704EE">
            <w:pPr>
              <w:pStyle w:val="TableText0"/>
              <w:jc w:val="center"/>
              <w:rPr>
                <w:rFonts w:eastAsia="Calibri"/>
                <w:szCs w:val="20"/>
              </w:rPr>
            </w:pPr>
            <w:r w:rsidRPr="00653DD9">
              <w:rPr>
                <w:rFonts w:cs="Times New Roman"/>
              </w:rPr>
              <w:t>-33%</w:t>
            </w:r>
          </w:p>
        </w:tc>
      </w:tr>
      <w:tr w:rsidR="000D025A" w:rsidRPr="00D23D11" w14:paraId="393940A6" w14:textId="77777777" w:rsidTr="00D12425">
        <w:trPr>
          <w:cantSplit/>
          <w:trHeight w:val="64"/>
        </w:trPr>
        <w:tc>
          <w:tcPr>
            <w:tcW w:w="2459" w:type="pct"/>
            <w:tcMar>
              <w:left w:w="28" w:type="dxa"/>
              <w:right w:w="28" w:type="dxa"/>
            </w:tcMar>
          </w:tcPr>
          <w:p w14:paraId="4244E292" w14:textId="77777777" w:rsidR="009E342D" w:rsidRPr="00653DD9" w:rsidRDefault="009E342D" w:rsidP="00A704EE">
            <w:pPr>
              <w:pStyle w:val="TableText0"/>
            </w:pPr>
            <w:r w:rsidRPr="00653DD9">
              <w:rPr>
                <w:rFonts w:cs="Times New Roman"/>
              </w:rPr>
              <w:t>3.5% costs and outcomes</w:t>
            </w:r>
          </w:p>
        </w:tc>
        <w:tc>
          <w:tcPr>
            <w:tcW w:w="599" w:type="pct"/>
            <w:shd w:val="solid" w:color="000000" w:fill="000000"/>
            <w:tcMar>
              <w:left w:w="28" w:type="dxa"/>
              <w:right w:w="28" w:type="dxa"/>
            </w:tcMar>
          </w:tcPr>
          <w:p w14:paraId="67B4C734" w14:textId="3D73A0DF" w:rsidR="009E342D" w:rsidRPr="00D12425" w:rsidRDefault="00D12425" w:rsidP="00A704EE">
            <w:pPr>
              <w:pStyle w:val="TableText0"/>
              <w:jc w:val="center"/>
            </w:pPr>
            <w:r w:rsidRPr="00D12425">
              <w:rPr>
                <w:color w:val="000000"/>
                <w:spacing w:val="65"/>
                <w:fitText w:val="366" w:id="-1236619766"/>
                <w14:textFill>
                  <w14:solidFill>
                    <w14:srgbClr w14:val="000000">
                      <w14:alpha w14:val="100000"/>
                    </w14:srgbClr>
                  </w14:solidFill>
                </w14:textFill>
              </w:rPr>
              <w:t>|||</w:t>
            </w:r>
            <w:r w:rsidRPr="00D12425">
              <w:rPr>
                <w:color w:val="000000"/>
                <w:spacing w:val="1"/>
                <w:fitText w:val="366" w:id="-1236619766"/>
                <w14:textFill>
                  <w14:solidFill>
                    <w14:srgbClr w14:val="000000">
                      <w14:alpha w14:val="100000"/>
                    </w14:srgbClr>
                  </w14:solidFill>
                </w14:textFill>
              </w:rPr>
              <w:t>|</w:t>
            </w:r>
          </w:p>
        </w:tc>
        <w:tc>
          <w:tcPr>
            <w:tcW w:w="599" w:type="pct"/>
            <w:tcMar>
              <w:left w:w="28" w:type="dxa"/>
              <w:right w:w="28" w:type="dxa"/>
            </w:tcMar>
          </w:tcPr>
          <w:p w14:paraId="1D4AF50D" w14:textId="77777777" w:rsidR="009E342D" w:rsidRPr="00653DD9" w:rsidRDefault="009E342D" w:rsidP="00A704EE">
            <w:pPr>
              <w:pStyle w:val="TableText0"/>
              <w:jc w:val="center"/>
            </w:pPr>
            <w:r w:rsidRPr="00653DD9">
              <w:t>1.93</w:t>
            </w:r>
          </w:p>
        </w:tc>
        <w:tc>
          <w:tcPr>
            <w:tcW w:w="665" w:type="pct"/>
            <w:tcMar>
              <w:left w:w="28" w:type="dxa"/>
              <w:right w:w="28" w:type="dxa"/>
            </w:tcMar>
          </w:tcPr>
          <w:p w14:paraId="5FA7C16C" w14:textId="43739F28" w:rsidR="009E342D" w:rsidRPr="00653DD9" w:rsidRDefault="009E342D" w:rsidP="00A704EE">
            <w:pPr>
              <w:pStyle w:val="TableText0"/>
              <w:jc w:val="center"/>
              <w:rPr>
                <w:highlight w:val="black"/>
              </w:rPr>
            </w:pPr>
            <w:r w:rsidRPr="00653DD9">
              <w:t xml:space="preserve"> </w:t>
            </w:r>
            <w:r w:rsidR="00D12425" w:rsidRPr="00D12425">
              <w:rPr>
                <w:color w:val="000000"/>
                <w:spacing w:val="59"/>
                <w:shd w:val="solid" w:color="000000" w:fill="000000"/>
                <w:fitText w:val="350" w:id="-1236619765"/>
                <w14:textFill>
                  <w14:solidFill>
                    <w14:srgbClr w14:val="000000">
                      <w14:alpha w14:val="100000"/>
                    </w14:srgbClr>
                  </w14:solidFill>
                </w14:textFill>
              </w:rPr>
              <w:t>|||</w:t>
            </w:r>
            <w:r w:rsidR="00D12425" w:rsidRPr="00D12425">
              <w:rPr>
                <w:color w:val="000000"/>
                <w:spacing w:val="3"/>
                <w:shd w:val="solid" w:color="000000" w:fill="000000"/>
                <w:fitText w:val="350" w:id="-1236619765"/>
                <w14:textFill>
                  <w14:solidFill>
                    <w14:srgbClr w14:val="000000">
                      <w14:alpha w14:val="100000"/>
                    </w14:srgbClr>
                  </w14:solidFill>
                </w14:textFill>
              </w:rPr>
              <w:t>|</w:t>
            </w:r>
            <w:r w:rsidR="00F151DF" w:rsidRPr="00F151DF">
              <w:rPr>
                <w:vertAlign w:val="superscript"/>
              </w:rPr>
              <w:t>3</w:t>
            </w:r>
            <w:r w:rsidRPr="00F151DF">
              <w:t xml:space="preserve"> </w:t>
            </w:r>
          </w:p>
        </w:tc>
        <w:tc>
          <w:tcPr>
            <w:tcW w:w="678" w:type="pct"/>
            <w:tcMar>
              <w:left w:w="28" w:type="dxa"/>
              <w:right w:w="28" w:type="dxa"/>
            </w:tcMar>
          </w:tcPr>
          <w:p w14:paraId="41B433EF" w14:textId="77777777" w:rsidR="009E342D" w:rsidRPr="00653DD9" w:rsidRDefault="009E342D" w:rsidP="00A704EE">
            <w:pPr>
              <w:pStyle w:val="TableText0"/>
              <w:jc w:val="center"/>
              <w:rPr>
                <w:rFonts w:eastAsia="Calibri"/>
                <w:szCs w:val="20"/>
              </w:rPr>
            </w:pPr>
            <w:r w:rsidRPr="00653DD9">
              <w:rPr>
                <w:rFonts w:cs="Times New Roman"/>
              </w:rPr>
              <w:t>-10%</w:t>
            </w:r>
          </w:p>
        </w:tc>
      </w:tr>
      <w:tr w:rsidR="00266050" w:rsidRPr="00E841A9" w14:paraId="043FC77D" w14:textId="77777777" w:rsidTr="003D0874">
        <w:trPr>
          <w:cantSplit/>
          <w:trHeight w:val="73"/>
        </w:trPr>
        <w:tc>
          <w:tcPr>
            <w:tcW w:w="5000" w:type="pct"/>
            <w:gridSpan w:val="5"/>
            <w:tcMar>
              <w:left w:w="28" w:type="dxa"/>
              <w:right w:w="28" w:type="dxa"/>
            </w:tcMar>
          </w:tcPr>
          <w:p w14:paraId="6471FE90" w14:textId="6B5CB10E" w:rsidR="009E342D" w:rsidRPr="00653DD9" w:rsidRDefault="009E342D" w:rsidP="00A704EE">
            <w:pPr>
              <w:pStyle w:val="TableText0"/>
              <w:rPr>
                <w:rFonts w:cs="Times New Roman"/>
                <w:b/>
                <w:bCs w:val="0"/>
              </w:rPr>
            </w:pPr>
            <w:r w:rsidRPr="00653DD9">
              <w:rPr>
                <w:rFonts w:cs="Times New Roman"/>
                <w:b/>
                <w:bCs w:val="0"/>
              </w:rPr>
              <w:t xml:space="preserve">Time horizon (base case </w:t>
            </w:r>
            <w:r w:rsidR="00E841A9" w:rsidRPr="00653DD9">
              <w:rPr>
                <w:rFonts w:cs="Times New Roman"/>
                <w:b/>
                <w:bCs w:val="0"/>
              </w:rPr>
              <w:t xml:space="preserve">= </w:t>
            </w:r>
            <w:r w:rsidRPr="00653DD9">
              <w:rPr>
                <w:rFonts w:cs="Times New Roman"/>
                <w:b/>
                <w:bCs w:val="0"/>
              </w:rPr>
              <w:t>20 years)</w:t>
            </w:r>
          </w:p>
        </w:tc>
      </w:tr>
      <w:tr w:rsidR="00501122" w:rsidRPr="00D23D11" w14:paraId="122AADB3" w14:textId="77777777" w:rsidTr="00D12425">
        <w:trPr>
          <w:cantSplit/>
          <w:trHeight w:val="60"/>
        </w:trPr>
        <w:tc>
          <w:tcPr>
            <w:tcW w:w="2459" w:type="pct"/>
            <w:tcMar>
              <w:left w:w="28" w:type="dxa"/>
              <w:right w:w="28" w:type="dxa"/>
            </w:tcMar>
          </w:tcPr>
          <w:p w14:paraId="32333B85" w14:textId="3C96C0C5" w:rsidR="00266050" w:rsidRPr="00653DD9" w:rsidRDefault="00266050" w:rsidP="00266050">
            <w:pPr>
              <w:pStyle w:val="TableText0"/>
              <w:rPr>
                <w:rFonts w:cs="Times New Roman"/>
              </w:rPr>
            </w:pPr>
            <w:r w:rsidRPr="00653DD9">
              <w:rPr>
                <w:rFonts w:cs="Times New Roman"/>
              </w:rPr>
              <w:t>5 years</w:t>
            </w:r>
          </w:p>
        </w:tc>
        <w:tc>
          <w:tcPr>
            <w:tcW w:w="599" w:type="pct"/>
            <w:tcBorders>
              <w:bottom w:val="single" w:sz="4" w:space="0" w:color="auto"/>
            </w:tcBorders>
            <w:shd w:val="solid" w:color="000000" w:fill="000000"/>
            <w:tcMar>
              <w:left w:w="28" w:type="dxa"/>
              <w:right w:w="28" w:type="dxa"/>
            </w:tcMar>
          </w:tcPr>
          <w:p w14:paraId="727F22C6" w14:textId="2EAD26DB" w:rsidR="00266050" w:rsidRPr="00D12425" w:rsidRDefault="00D12425" w:rsidP="00266050">
            <w:pPr>
              <w:pStyle w:val="TableText0"/>
              <w:jc w:val="center"/>
            </w:pPr>
            <w:r w:rsidRPr="00D12425">
              <w:rPr>
                <w:color w:val="000000"/>
                <w:spacing w:val="65"/>
                <w:fitText w:val="366" w:id="-1236619764"/>
                <w14:textFill>
                  <w14:solidFill>
                    <w14:srgbClr w14:val="000000">
                      <w14:alpha w14:val="100000"/>
                    </w14:srgbClr>
                  </w14:solidFill>
                </w14:textFill>
              </w:rPr>
              <w:t>|||</w:t>
            </w:r>
            <w:r w:rsidRPr="00D12425">
              <w:rPr>
                <w:color w:val="000000"/>
                <w:spacing w:val="1"/>
                <w:fitText w:val="366" w:id="-1236619764"/>
                <w14:textFill>
                  <w14:solidFill>
                    <w14:srgbClr w14:val="000000">
                      <w14:alpha w14:val="100000"/>
                    </w14:srgbClr>
                  </w14:solidFill>
                </w14:textFill>
              </w:rPr>
              <w:t>|</w:t>
            </w:r>
          </w:p>
        </w:tc>
        <w:tc>
          <w:tcPr>
            <w:tcW w:w="599" w:type="pct"/>
            <w:tcMar>
              <w:left w:w="28" w:type="dxa"/>
              <w:right w:w="28" w:type="dxa"/>
            </w:tcMar>
          </w:tcPr>
          <w:p w14:paraId="1265EE62" w14:textId="55E20002" w:rsidR="00266050" w:rsidRPr="00653DD9" w:rsidRDefault="00266050" w:rsidP="00266050">
            <w:pPr>
              <w:pStyle w:val="TableText0"/>
              <w:jc w:val="center"/>
            </w:pPr>
            <w:r w:rsidRPr="00653DD9">
              <w:t>0.47</w:t>
            </w:r>
          </w:p>
        </w:tc>
        <w:tc>
          <w:tcPr>
            <w:tcW w:w="665" w:type="pct"/>
            <w:tcMar>
              <w:left w:w="28" w:type="dxa"/>
              <w:right w:w="28" w:type="dxa"/>
            </w:tcMar>
          </w:tcPr>
          <w:p w14:paraId="6B76E12B" w14:textId="566A6350" w:rsidR="00266050" w:rsidRPr="00F151DF" w:rsidRDefault="00D12425" w:rsidP="00266050">
            <w:pPr>
              <w:pStyle w:val="TableText0"/>
              <w:jc w:val="center"/>
              <w:rPr>
                <w:vertAlign w:val="superscript"/>
              </w:rPr>
            </w:pPr>
            <w:r w:rsidRPr="00D12425">
              <w:rPr>
                <w:color w:val="000000"/>
                <w:spacing w:val="54"/>
                <w:shd w:val="solid" w:color="000000" w:fill="000000"/>
                <w:fitText w:val="333" w:id="-1236619763"/>
                <w14:textFill>
                  <w14:solidFill>
                    <w14:srgbClr w14:val="000000">
                      <w14:alpha w14:val="100000"/>
                    </w14:srgbClr>
                  </w14:solidFill>
                </w14:textFill>
              </w:rPr>
              <w:t>|||</w:t>
            </w:r>
            <w:r w:rsidRPr="00D12425">
              <w:rPr>
                <w:color w:val="000000"/>
                <w:spacing w:val="1"/>
                <w:shd w:val="solid" w:color="000000" w:fill="000000"/>
                <w:fitText w:val="333" w:id="-1236619763"/>
                <w14:textFill>
                  <w14:solidFill>
                    <w14:srgbClr w14:val="000000">
                      <w14:alpha w14:val="100000"/>
                    </w14:srgbClr>
                  </w14:solidFill>
                </w14:textFill>
              </w:rPr>
              <w:t>|</w:t>
            </w:r>
            <w:r w:rsidR="00F151DF">
              <w:rPr>
                <w:vertAlign w:val="superscript"/>
              </w:rPr>
              <w:t>4</w:t>
            </w:r>
          </w:p>
        </w:tc>
        <w:tc>
          <w:tcPr>
            <w:tcW w:w="678" w:type="pct"/>
            <w:tcMar>
              <w:left w:w="28" w:type="dxa"/>
              <w:right w:w="28" w:type="dxa"/>
            </w:tcMar>
          </w:tcPr>
          <w:p w14:paraId="4AA917F8" w14:textId="2E10170B" w:rsidR="00266050" w:rsidRPr="00653DD9" w:rsidRDefault="00266050" w:rsidP="00266050">
            <w:pPr>
              <w:pStyle w:val="TableText0"/>
              <w:jc w:val="center"/>
              <w:rPr>
                <w:rFonts w:cs="Times New Roman"/>
              </w:rPr>
            </w:pPr>
            <w:r w:rsidRPr="00653DD9">
              <w:t>253%</w:t>
            </w:r>
          </w:p>
        </w:tc>
      </w:tr>
      <w:tr w:rsidR="00501122" w:rsidRPr="00D23D11" w14:paraId="6DF1E337" w14:textId="77777777" w:rsidTr="00D12425">
        <w:trPr>
          <w:cantSplit/>
          <w:trHeight w:val="60"/>
        </w:trPr>
        <w:tc>
          <w:tcPr>
            <w:tcW w:w="2459" w:type="pct"/>
            <w:tcMar>
              <w:left w:w="28" w:type="dxa"/>
              <w:right w:w="28" w:type="dxa"/>
            </w:tcMar>
          </w:tcPr>
          <w:p w14:paraId="4A2ADA3F" w14:textId="481A8C00" w:rsidR="00266050" w:rsidRPr="00653DD9" w:rsidRDefault="00266050" w:rsidP="00266050">
            <w:pPr>
              <w:pStyle w:val="TableText0"/>
              <w:rPr>
                <w:rFonts w:cs="Times New Roman"/>
              </w:rPr>
            </w:pPr>
            <w:r w:rsidRPr="00653DD9">
              <w:rPr>
                <w:rFonts w:cs="Times New Roman"/>
              </w:rPr>
              <w:t>7.5 years</w:t>
            </w:r>
          </w:p>
        </w:tc>
        <w:tc>
          <w:tcPr>
            <w:tcW w:w="599" w:type="pct"/>
            <w:shd w:val="solid" w:color="000000" w:fill="000000"/>
            <w:tcMar>
              <w:left w:w="28" w:type="dxa"/>
              <w:right w:w="28" w:type="dxa"/>
            </w:tcMar>
          </w:tcPr>
          <w:p w14:paraId="6903899C" w14:textId="59DF60F9" w:rsidR="00266050" w:rsidRPr="00D12425" w:rsidRDefault="00D12425" w:rsidP="00266050">
            <w:pPr>
              <w:pStyle w:val="TableText0"/>
              <w:jc w:val="center"/>
            </w:pPr>
            <w:r w:rsidRPr="00D12425">
              <w:rPr>
                <w:color w:val="000000"/>
                <w:spacing w:val="65"/>
                <w:fitText w:val="366" w:id="-1236619762"/>
                <w14:textFill>
                  <w14:solidFill>
                    <w14:srgbClr w14:val="000000">
                      <w14:alpha w14:val="100000"/>
                    </w14:srgbClr>
                  </w14:solidFill>
                </w14:textFill>
              </w:rPr>
              <w:t>|||</w:t>
            </w:r>
            <w:r w:rsidRPr="00D12425">
              <w:rPr>
                <w:color w:val="000000"/>
                <w:spacing w:val="1"/>
                <w:fitText w:val="366" w:id="-1236619762"/>
                <w14:textFill>
                  <w14:solidFill>
                    <w14:srgbClr w14:val="000000">
                      <w14:alpha w14:val="100000"/>
                    </w14:srgbClr>
                  </w14:solidFill>
                </w14:textFill>
              </w:rPr>
              <w:t>|</w:t>
            </w:r>
          </w:p>
        </w:tc>
        <w:tc>
          <w:tcPr>
            <w:tcW w:w="599" w:type="pct"/>
            <w:tcMar>
              <w:left w:w="28" w:type="dxa"/>
              <w:right w:w="28" w:type="dxa"/>
            </w:tcMar>
          </w:tcPr>
          <w:p w14:paraId="47C326FF" w14:textId="4FD64D79" w:rsidR="00266050" w:rsidRPr="00653DD9" w:rsidRDefault="00266050" w:rsidP="00266050">
            <w:pPr>
              <w:pStyle w:val="TableText0"/>
              <w:jc w:val="center"/>
            </w:pPr>
            <w:r w:rsidRPr="00653DD9">
              <w:t>0.77</w:t>
            </w:r>
          </w:p>
        </w:tc>
        <w:tc>
          <w:tcPr>
            <w:tcW w:w="665" w:type="pct"/>
            <w:tcMar>
              <w:left w:w="28" w:type="dxa"/>
              <w:right w:w="28" w:type="dxa"/>
            </w:tcMar>
          </w:tcPr>
          <w:p w14:paraId="24BBF21C" w14:textId="75C40F74" w:rsidR="00266050" w:rsidRPr="00F151DF" w:rsidRDefault="00D12425" w:rsidP="00266050">
            <w:pPr>
              <w:pStyle w:val="TableText0"/>
              <w:jc w:val="center"/>
              <w:rPr>
                <w:vertAlign w:val="superscript"/>
              </w:rPr>
            </w:pPr>
            <w:r w:rsidRPr="00D12425">
              <w:rPr>
                <w:color w:val="000000"/>
                <w:spacing w:val="54"/>
                <w:shd w:val="solid" w:color="000000" w:fill="000000"/>
                <w:fitText w:val="333" w:id="-1236619761"/>
                <w14:textFill>
                  <w14:solidFill>
                    <w14:srgbClr w14:val="000000">
                      <w14:alpha w14:val="100000"/>
                    </w14:srgbClr>
                  </w14:solidFill>
                </w14:textFill>
              </w:rPr>
              <w:t>|||</w:t>
            </w:r>
            <w:r w:rsidRPr="00D12425">
              <w:rPr>
                <w:color w:val="000000"/>
                <w:spacing w:val="1"/>
                <w:shd w:val="solid" w:color="000000" w:fill="000000"/>
                <w:fitText w:val="333" w:id="-1236619761"/>
                <w14:textFill>
                  <w14:solidFill>
                    <w14:srgbClr w14:val="000000">
                      <w14:alpha w14:val="100000"/>
                    </w14:srgbClr>
                  </w14:solidFill>
                </w14:textFill>
              </w:rPr>
              <w:t>|</w:t>
            </w:r>
            <w:r w:rsidR="00F151DF">
              <w:rPr>
                <w:vertAlign w:val="superscript"/>
              </w:rPr>
              <w:t>5</w:t>
            </w:r>
          </w:p>
        </w:tc>
        <w:tc>
          <w:tcPr>
            <w:tcW w:w="678" w:type="pct"/>
            <w:tcMar>
              <w:left w:w="28" w:type="dxa"/>
              <w:right w:w="28" w:type="dxa"/>
            </w:tcMar>
          </w:tcPr>
          <w:p w14:paraId="5943DE1C" w14:textId="6A4DEACF" w:rsidR="00266050" w:rsidRPr="00653DD9" w:rsidRDefault="00266050" w:rsidP="00266050">
            <w:pPr>
              <w:pStyle w:val="TableText0"/>
              <w:jc w:val="center"/>
              <w:rPr>
                <w:rFonts w:cs="Times New Roman"/>
              </w:rPr>
            </w:pPr>
            <w:r w:rsidRPr="00653DD9">
              <w:t>116%</w:t>
            </w:r>
          </w:p>
        </w:tc>
      </w:tr>
      <w:tr w:rsidR="000D025A" w:rsidRPr="00D23D11" w14:paraId="130A7034" w14:textId="77777777" w:rsidTr="00D12425">
        <w:trPr>
          <w:cantSplit/>
          <w:trHeight w:val="60"/>
        </w:trPr>
        <w:tc>
          <w:tcPr>
            <w:tcW w:w="2459" w:type="pct"/>
            <w:tcMar>
              <w:left w:w="28" w:type="dxa"/>
              <w:right w:w="28" w:type="dxa"/>
            </w:tcMar>
          </w:tcPr>
          <w:p w14:paraId="1DD4AC7A" w14:textId="77777777" w:rsidR="009E342D" w:rsidRPr="00653DD9" w:rsidRDefault="009E342D" w:rsidP="00A704EE">
            <w:pPr>
              <w:pStyle w:val="TableText0"/>
              <w:rPr>
                <w:rFonts w:cs="Times New Roman"/>
              </w:rPr>
            </w:pPr>
            <w:r w:rsidRPr="00653DD9">
              <w:rPr>
                <w:rFonts w:cs="Times New Roman"/>
              </w:rPr>
              <w:t>10 years</w:t>
            </w:r>
          </w:p>
        </w:tc>
        <w:tc>
          <w:tcPr>
            <w:tcW w:w="599" w:type="pct"/>
            <w:tcBorders>
              <w:bottom w:val="single" w:sz="4" w:space="0" w:color="auto"/>
            </w:tcBorders>
            <w:tcMar>
              <w:left w:w="28" w:type="dxa"/>
              <w:right w:w="28" w:type="dxa"/>
            </w:tcMar>
          </w:tcPr>
          <w:p w14:paraId="02E9824A" w14:textId="23699A50" w:rsidR="009E342D" w:rsidRPr="00D12425" w:rsidRDefault="009E342D" w:rsidP="00A704EE">
            <w:pPr>
              <w:pStyle w:val="TableText0"/>
              <w:jc w:val="center"/>
              <w:rPr>
                <w:rFonts w:cs="Times New Roman"/>
              </w:rPr>
            </w:pPr>
            <w:r w:rsidRPr="00653DD9">
              <w:t xml:space="preserve"> </w:t>
            </w:r>
            <w:r w:rsidR="00D12425" w:rsidRPr="00D12425">
              <w:rPr>
                <w:color w:val="000000"/>
                <w:spacing w:val="73"/>
                <w:shd w:val="solid" w:color="000000" w:fill="000000"/>
                <w:fitText w:val="391" w:id="-1236619760"/>
                <w14:textFill>
                  <w14:solidFill>
                    <w14:srgbClr w14:val="000000">
                      <w14:alpha w14:val="100000"/>
                    </w14:srgbClr>
                  </w14:solidFill>
                </w14:textFill>
              </w:rPr>
              <w:t>|||</w:t>
            </w:r>
            <w:r w:rsidR="00D12425" w:rsidRPr="00D12425">
              <w:rPr>
                <w:color w:val="000000"/>
                <w:spacing w:val="2"/>
                <w:shd w:val="solid" w:color="000000" w:fill="000000"/>
                <w:fitText w:val="391" w:id="-1236619760"/>
                <w14:textFill>
                  <w14:solidFill>
                    <w14:srgbClr w14:val="000000">
                      <w14:alpha w14:val="100000"/>
                    </w14:srgbClr>
                  </w14:solidFill>
                </w14:textFill>
              </w:rPr>
              <w:t>|</w:t>
            </w:r>
          </w:p>
        </w:tc>
        <w:tc>
          <w:tcPr>
            <w:tcW w:w="599" w:type="pct"/>
            <w:tcMar>
              <w:left w:w="28" w:type="dxa"/>
              <w:right w:w="28" w:type="dxa"/>
            </w:tcMar>
          </w:tcPr>
          <w:p w14:paraId="53380CAD" w14:textId="77777777" w:rsidR="009E342D" w:rsidRPr="00653DD9" w:rsidRDefault="009E342D" w:rsidP="00A704EE">
            <w:pPr>
              <w:pStyle w:val="TableText0"/>
              <w:jc w:val="center"/>
              <w:rPr>
                <w:rFonts w:cs="Times New Roman"/>
              </w:rPr>
            </w:pPr>
            <w:r w:rsidRPr="00653DD9">
              <w:t>1.03</w:t>
            </w:r>
          </w:p>
        </w:tc>
        <w:tc>
          <w:tcPr>
            <w:tcW w:w="665" w:type="pct"/>
            <w:tcMar>
              <w:left w:w="28" w:type="dxa"/>
              <w:right w:w="28" w:type="dxa"/>
            </w:tcMar>
          </w:tcPr>
          <w:p w14:paraId="284B20BE" w14:textId="65AC7437" w:rsidR="009E342D" w:rsidRPr="00653DD9" w:rsidRDefault="009E342D" w:rsidP="00A704EE">
            <w:pPr>
              <w:pStyle w:val="TableText0"/>
              <w:jc w:val="center"/>
              <w:rPr>
                <w:rFonts w:cs="Times New Roman"/>
              </w:rPr>
            </w:pPr>
            <w:r w:rsidRPr="00653DD9">
              <w:t xml:space="preserve"> </w:t>
            </w:r>
            <w:r w:rsidR="00D12425" w:rsidRPr="00D12425">
              <w:rPr>
                <w:color w:val="000000"/>
                <w:spacing w:val="59"/>
                <w:shd w:val="solid" w:color="000000" w:fill="000000"/>
                <w:fitText w:val="350" w:id="-1236619776"/>
                <w14:textFill>
                  <w14:solidFill>
                    <w14:srgbClr w14:val="000000">
                      <w14:alpha w14:val="100000"/>
                    </w14:srgbClr>
                  </w14:solidFill>
                </w14:textFill>
              </w:rPr>
              <w:t>|||</w:t>
            </w:r>
            <w:r w:rsidR="00D12425" w:rsidRPr="00D12425">
              <w:rPr>
                <w:color w:val="000000"/>
                <w:spacing w:val="3"/>
                <w:shd w:val="solid" w:color="000000" w:fill="000000"/>
                <w:fitText w:val="350" w:id="-1236619776"/>
                <w14:textFill>
                  <w14:solidFill>
                    <w14:srgbClr w14:val="000000">
                      <w14:alpha w14:val="100000"/>
                    </w14:srgbClr>
                  </w14:solidFill>
                </w14:textFill>
              </w:rPr>
              <w:t>|</w:t>
            </w:r>
            <w:r w:rsidR="00F151DF" w:rsidRPr="00F151DF">
              <w:rPr>
                <w:vertAlign w:val="superscript"/>
              </w:rPr>
              <w:t>6</w:t>
            </w:r>
            <w:r w:rsidRPr="00F151DF">
              <w:t xml:space="preserve"> </w:t>
            </w:r>
          </w:p>
        </w:tc>
        <w:tc>
          <w:tcPr>
            <w:tcW w:w="678" w:type="pct"/>
            <w:tcMar>
              <w:left w:w="28" w:type="dxa"/>
              <w:right w:w="28" w:type="dxa"/>
            </w:tcMar>
          </w:tcPr>
          <w:p w14:paraId="6533E5F9" w14:textId="77777777" w:rsidR="009E342D" w:rsidRPr="00653DD9" w:rsidRDefault="009E342D" w:rsidP="00A704EE">
            <w:pPr>
              <w:pStyle w:val="TableText0"/>
              <w:jc w:val="center"/>
              <w:rPr>
                <w:rFonts w:cs="Times New Roman"/>
              </w:rPr>
            </w:pPr>
            <w:r w:rsidRPr="00653DD9">
              <w:rPr>
                <w:rFonts w:cs="Times New Roman"/>
              </w:rPr>
              <w:t>63%</w:t>
            </w:r>
          </w:p>
        </w:tc>
      </w:tr>
      <w:tr w:rsidR="000D025A" w:rsidRPr="00D23D11" w14:paraId="141D1DC4" w14:textId="77777777" w:rsidTr="00D12425">
        <w:trPr>
          <w:cantSplit/>
          <w:trHeight w:val="60"/>
        </w:trPr>
        <w:tc>
          <w:tcPr>
            <w:tcW w:w="2459" w:type="pct"/>
            <w:tcMar>
              <w:left w:w="28" w:type="dxa"/>
              <w:right w:w="28" w:type="dxa"/>
            </w:tcMar>
          </w:tcPr>
          <w:p w14:paraId="127F4034" w14:textId="77777777" w:rsidR="009E342D" w:rsidRPr="00653DD9" w:rsidRDefault="009E342D" w:rsidP="00A704EE">
            <w:pPr>
              <w:pStyle w:val="TableText0"/>
              <w:rPr>
                <w:rFonts w:cs="Times New Roman"/>
              </w:rPr>
            </w:pPr>
            <w:r w:rsidRPr="00653DD9">
              <w:rPr>
                <w:rFonts w:cs="Times New Roman"/>
              </w:rPr>
              <w:t>15 years</w:t>
            </w:r>
          </w:p>
        </w:tc>
        <w:tc>
          <w:tcPr>
            <w:tcW w:w="599" w:type="pct"/>
            <w:shd w:val="solid" w:color="000000" w:fill="000000"/>
            <w:tcMar>
              <w:left w:w="28" w:type="dxa"/>
              <w:right w:w="28" w:type="dxa"/>
            </w:tcMar>
          </w:tcPr>
          <w:p w14:paraId="36CEBF0B" w14:textId="4DB8CE03" w:rsidR="009E342D" w:rsidRPr="00D12425" w:rsidRDefault="00D12425" w:rsidP="00A704EE">
            <w:pPr>
              <w:pStyle w:val="TableText0"/>
              <w:jc w:val="center"/>
              <w:rPr>
                <w:rFonts w:cs="Times New Roman"/>
              </w:rPr>
            </w:pPr>
            <w:r w:rsidRPr="00D12425">
              <w:rPr>
                <w:color w:val="000000"/>
                <w:spacing w:val="65"/>
                <w:fitText w:val="366" w:id="-1236619775"/>
                <w14:textFill>
                  <w14:solidFill>
                    <w14:srgbClr w14:val="000000">
                      <w14:alpha w14:val="100000"/>
                    </w14:srgbClr>
                  </w14:solidFill>
                </w14:textFill>
              </w:rPr>
              <w:t>|||</w:t>
            </w:r>
            <w:r w:rsidRPr="00D12425">
              <w:rPr>
                <w:color w:val="000000"/>
                <w:spacing w:val="1"/>
                <w:fitText w:val="366" w:id="-1236619775"/>
                <w14:textFill>
                  <w14:solidFill>
                    <w14:srgbClr w14:val="000000">
                      <w14:alpha w14:val="100000"/>
                    </w14:srgbClr>
                  </w14:solidFill>
                </w14:textFill>
              </w:rPr>
              <w:t>|</w:t>
            </w:r>
          </w:p>
        </w:tc>
        <w:tc>
          <w:tcPr>
            <w:tcW w:w="599" w:type="pct"/>
            <w:tcMar>
              <w:left w:w="28" w:type="dxa"/>
              <w:right w:w="28" w:type="dxa"/>
            </w:tcMar>
          </w:tcPr>
          <w:p w14:paraId="3483CCA8" w14:textId="77777777" w:rsidR="009E342D" w:rsidRPr="00653DD9" w:rsidRDefault="009E342D" w:rsidP="00A704EE">
            <w:pPr>
              <w:pStyle w:val="TableText0"/>
              <w:jc w:val="center"/>
              <w:rPr>
                <w:rFonts w:cs="Times New Roman"/>
              </w:rPr>
            </w:pPr>
            <w:r w:rsidRPr="00653DD9">
              <w:t>1.43</w:t>
            </w:r>
          </w:p>
        </w:tc>
        <w:tc>
          <w:tcPr>
            <w:tcW w:w="665" w:type="pct"/>
            <w:tcMar>
              <w:left w:w="28" w:type="dxa"/>
              <w:right w:w="28" w:type="dxa"/>
            </w:tcMar>
          </w:tcPr>
          <w:p w14:paraId="3F4F23B2" w14:textId="2CA359A3" w:rsidR="009E342D" w:rsidRPr="00653DD9" w:rsidRDefault="009E342D" w:rsidP="00A704EE">
            <w:pPr>
              <w:pStyle w:val="TableText0"/>
              <w:jc w:val="center"/>
              <w:rPr>
                <w:rFonts w:cs="Times New Roman"/>
              </w:rPr>
            </w:pPr>
            <w:r w:rsidRPr="00653DD9">
              <w:t xml:space="preserve"> </w:t>
            </w:r>
            <w:r w:rsidR="00D12425" w:rsidRPr="00D12425">
              <w:rPr>
                <w:color w:val="000000"/>
                <w:spacing w:val="62"/>
                <w:shd w:val="solid" w:color="000000" w:fill="000000"/>
                <w:fitText w:val="358" w:id="-1236619774"/>
                <w14:textFill>
                  <w14:solidFill>
                    <w14:srgbClr w14:val="000000">
                      <w14:alpha w14:val="100000"/>
                    </w14:srgbClr>
                  </w14:solidFill>
                </w14:textFill>
              </w:rPr>
              <w:t>|||</w:t>
            </w:r>
            <w:r w:rsidR="00D12425" w:rsidRPr="00D12425">
              <w:rPr>
                <w:color w:val="000000"/>
                <w:spacing w:val="2"/>
                <w:shd w:val="solid" w:color="000000" w:fill="000000"/>
                <w:fitText w:val="358" w:id="-1236619774"/>
                <w14:textFill>
                  <w14:solidFill>
                    <w14:srgbClr w14:val="000000">
                      <w14:alpha w14:val="100000"/>
                    </w14:srgbClr>
                  </w14:solidFill>
                </w14:textFill>
              </w:rPr>
              <w:t>|</w:t>
            </w:r>
            <w:r w:rsidR="00F151DF" w:rsidRPr="00F151DF">
              <w:rPr>
                <w:rFonts w:eastAsia="Times New Roman" w:cs="Arial"/>
                <w:sz w:val="18"/>
                <w:szCs w:val="22"/>
                <w:vertAlign w:val="superscript"/>
              </w:rPr>
              <w:t>7</w:t>
            </w:r>
          </w:p>
        </w:tc>
        <w:tc>
          <w:tcPr>
            <w:tcW w:w="678" w:type="pct"/>
            <w:tcMar>
              <w:left w:w="28" w:type="dxa"/>
              <w:right w:w="28" w:type="dxa"/>
            </w:tcMar>
          </w:tcPr>
          <w:p w14:paraId="5A193542" w14:textId="77777777" w:rsidR="009E342D" w:rsidRPr="00653DD9" w:rsidRDefault="009E342D" w:rsidP="00A704EE">
            <w:pPr>
              <w:pStyle w:val="TableText0"/>
              <w:jc w:val="center"/>
              <w:rPr>
                <w:rFonts w:cs="Times New Roman"/>
              </w:rPr>
            </w:pPr>
            <w:r w:rsidRPr="00653DD9">
              <w:rPr>
                <w:rFonts w:cs="Times New Roman"/>
              </w:rPr>
              <w:t>18%</w:t>
            </w:r>
          </w:p>
        </w:tc>
      </w:tr>
      <w:tr w:rsidR="00266050" w:rsidRPr="00E841A9" w14:paraId="2340C0D1" w14:textId="77777777" w:rsidTr="003D0874">
        <w:trPr>
          <w:cantSplit/>
          <w:trHeight w:val="60"/>
        </w:trPr>
        <w:tc>
          <w:tcPr>
            <w:tcW w:w="5000" w:type="pct"/>
            <w:gridSpan w:val="5"/>
            <w:tcMar>
              <w:left w:w="28" w:type="dxa"/>
              <w:right w:w="28" w:type="dxa"/>
            </w:tcMar>
          </w:tcPr>
          <w:p w14:paraId="3C0B9430" w14:textId="3413E788" w:rsidR="009E342D" w:rsidRPr="00653DD9" w:rsidRDefault="009E342D" w:rsidP="00A704EE">
            <w:pPr>
              <w:pStyle w:val="TableText0"/>
              <w:rPr>
                <w:rFonts w:eastAsia="Calibri"/>
                <w:b/>
                <w:bCs w:val="0"/>
                <w:szCs w:val="20"/>
              </w:rPr>
            </w:pPr>
            <w:r w:rsidRPr="00653DD9">
              <w:rPr>
                <w:rFonts w:cs="Times New Roman"/>
                <w:b/>
                <w:bCs w:val="0"/>
              </w:rPr>
              <w:t>Utility (</w:t>
            </w:r>
            <w:r w:rsidR="00E841A9" w:rsidRPr="00653DD9">
              <w:rPr>
                <w:rFonts w:cs="Times New Roman"/>
                <w:b/>
                <w:bCs w:val="0"/>
              </w:rPr>
              <w:t>base case = t</w:t>
            </w:r>
            <w:r w:rsidRPr="00653DD9">
              <w:rPr>
                <w:rFonts w:cs="Times New Roman"/>
                <w:b/>
                <w:bCs w:val="0"/>
              </w:rPr>
              <w:t>ime</w:t>
            </w:r>
            <w:r w:rsidR="00E841A9" w:rsidRPr="00653DD9">
              <w:rPr>
                <w:rFonts w:cs="Times New Roman"/>
                <w:b/>
                <w:bCs w:val="0"/>
              </w:rPr>
              <w:t>-</w:t>
            </w:r>
            <w:r w:rsidRPr="00653DD9">
              <w:rPr>
                <w:rFonts w:cs="Times New Roman"/>
                <w:b/>
                <w:bCs w:val="0"/>
              </w:rPr>
              <w:t>to</w:t>
            </w:r>
            <w:r w:rsidR="00E841A9" w:rsidRPr="00653DD9">
              <w:rPr>
                <w:rFonts w:cs="Times New Roman"/>
                <w:b/>
                <w:bCs w:val="0"/>
              </w:rPr>
              <w:t>-d</w:t>
            </w:r>
            <w:r w:rsidRPr="00653DD9">
              <w:rPr>
                <w:rFonts w:cs="Times New Roman"/>
                <w:b/>
                <w:bCs w:val="0"/>
              </w:rPr>
              <w:t>eath approach (no age adjustment)</w:t>
            </w:r>
            <w:r w:rsidR="00E841A9" w:rsidRPr="00653DD9">
              <w:rPr>
                <w:rFonts w:cs="Times New Roman"/>
                <w:b/>
                <w:bCs w:val="0"/>
              </w:rPr>
              <w:t>)</w:t>
            </w:r>
          </w:p>
        </w:tc>
      </w:tr>
      <w:tr w:rsidR="000D025A" w:rsidRPr="00D23D11" w14:paraId="3ECF185F" w14:textId="77777777" w:rsidTr="00D12425">
        <w:trPr>
          <w:cantSplit/>
          <w:trHeight w:val="194"/>
        </w:trPr>
        <w:tc>
          <w:tcPr>
            <w:tcW w:w="2459" w:type="pct"/>
            <w:tcMar>
              <w:left w:w="28" w:type="dxa"/>
              <w:right w:w="28" w:type="dxa"/>
            </w:tcMar>
          </w:tcPr>
          <w:p w14:paraId="0631E16E" w14:textId="77777777" w:rsidR="009E342D" w:rsidRPr="00653DD9" w:rsidRDefault="009E342D" w:rsidP="00A704EE">
            <w:pPr>
              <w:pStyle w:val="TableText0"/>
            </w:pPr>
            <w:r w:rsidRPr="00653DD9">
              <w:rPr>
                <w:rFonts w:cs="Times New Roman"/>
              </w:rPr>
              <w:t>On/Off treatment utilities including age-adjustment</w:t>
            </w:r>
          </w:p>
        </w:tc>
        <w:tc>
          <w:tcPr>
            <w:tcW w:w="599" w:type="pct"/>
            <w:tcBorders>
              <w:bottom w:val="single" w:sz="4" w:space="0" w:color="auto"/>
            </w:tcBorders>
            <w:shd w:val="solid" w:color="000000" w:fill="000000"/>
            <w:tcMar>
              <w:left w:w="28" w:type="dxa"/>
              <w:right w:w="28" w:type="dxa"/>
            </w:tcMar>
          </w:tcPr>
          <w:p w14:paraId="42A1E1B9" w14:textId="563F21AE" w:rsidR="009E342D" w:rsidRPr="00D12425" w:rsidRDefault="00D12425" w:rsidP="00A704EE">
            <w:pPr>
              <w:pStyle w:val="TableText0"/>
              <w:jc w:val="center"/>
              <w:rPr>
                <w:rFonts w:eastAsia="Calibri"/>
                <w:szCs w:val="20"/>
              </w:rPr>
            </w:pPr>
            <w:r w:rsidRPr="00D12425">
              <w:rPr>
                <w:color w:val="000000"/>
                <w:spacing w:val="65"/>
                <w:fitText w:val="366" w:id="-1236619773"/>
                <w14:textFill>
                  <w14:solidFill>
                    <w14:srgbClr w14:val="000000">
                      <w14:alpha w14:val="100000"/>
                    </w14:srgbClr>
                  </w14:solidFill>
                </w14:textFill>
              </w:rPr>
              <w:t>|||</w:t>
            </w:r>
            <w:r w:rsidRPr="00D12425">
              <w:rPr>
                <w:color w:val="000000"/>
                <w:spacing w:val="1"/>
                <w:fitText w:val="366" w:id="-1236619773"/>
                <w14:textFill>
                  <w14:solidFill>
                    <w14:srgbClr w14:val="000000">
                      <w14:alpha w14:val="100000"/>
                    </w14:srgbClr>
                  </w14:solidFill>
                </w14:textFill>
              </w:rPr>
              <w:t>|</w:t>
            </w:r>
          </w:p>
        </w:tc>
        <w:tc>
          <w:tcPr>
            <w:tcW w:w="599" w:type="pct"/>
            <w:tcMar>
              <w:left w:w="28" w:type="dxa"/>
              <w:right w:w="28" w:type="dxa"/>
            </w:tcMar>
          </w:tcPr>
          <w:p w14:paraId="575D48DA" w14:textId="77777777" w:rsidR="009E342D" w:rsidRPr="00653DD9" w:rsidRDefault="009E342D" w:rsidP="00A704EE">
            <w:pPr>
              <w:pStyle w:val="TableText0"/>
              <w:jc w:val="center"/>
              <w:rPr>
                <w:rFonts w:eastAsia="Calibri"/>
                <w:szCs w:val="20"/>
              </w:rPr>
            </w:pPr>
            <w:r w:rsidRPr="00653DD9">
              <w:t>1.50</w:t>
            </w:r>
          </w:p>
        </w:tc>
        <w:tc>
          <w:tcPr>
            <w:tcW w:w="665" w:type="pct"/>
            <w:tcMar>
              <w:left w:w="28" w:type="dxa"/>
              <w:right w:w="28" w:type="dxa"/>
            </w:tcMar>
          </w:tcPr>
          <w:p w14:paraId="30C0BA73" w14:textId="24EDE4DC" w:rsidR="009E342D" w:rsidRPr="00653DD9" w:rsidRDefault="009E342D" w:rsidP="00A704EE">
            <w:pPr>
              <w:pStyle w:val="TableText0"/>
              <w:jc w:val="center"/>
              <w:rPr>
                <w:rFonts w:eastAsia="Calibri"/>
                <w:szCs w:val="20"/>
              </w:rPr>
            </w:pPr>
            <w:r w:rsidRPr="00653DD9">
              <w:t xml:space="preserve"> </w:t>
            </w:r>
            <w:r w:rsidR="00D12425" w:rsidRPr="003D4DE8">
              <w:rPr>
                <w:color w:val="000000"/>
                <w:spacing w:val="59"/>
                <w:shd w:val="solid" w:color="000000" w:fill="000000"/>
                <w:fitText w:val="350" w:id="-1236619772"/>
                <w14:textFill>
                  <w14:solidFill>
                    <w14:srgbClr w14:val="000000">
                      <w14:alpha w14:val="100000"/>
                    </w14:srgbClr>
                  </w14:solidFill>
                </w14:textFill>
              </w:rPr>
              <w:t>|||</w:t>
            </w:r>
            <w:r w:rsidR="00D12425" w:rsidRPr="003D4DE8">
              <w:rPr>
                <w:color w:val="000000"/>
                <w:spacing w:val="3"/>
                <w:shd w:val="solid" w:color="000000" w:fill="000000"/>
                <w:fitText w:val="350" w:id="-1236619772"/>
                <w14:textFill>
                  <w14:solidFill>
                    <w14:srgbClr w14:val="000000">
                      <w14:alpha w14:val="100000"/>
                    </w14:srgbClr>
                  </w14:solidFill>
                </w14:textFill>
              </w:rPr>
              <w:t>|</w:t>
            </w:r>
            <w:r w:rsidR="00F151DF" w:rsidRPr="00F151DF">
              <w:rPr>
                <w:rFonts w:cs="Times New Roman"/>
                <w:vertAlign w:val="superscript"/>
              </w:rPr>
              <w:t>1</w:t>
            </w:r>
            <w:r w:rsidR="003D4DE8" w:rsidRPr="003D4DE8">
              <w:t xml:space="preserve"> </w:t>
            </w:r>
          </w:p>
        </w:tc>
        <w:tc>
          <w:tcPr>
            <w:tcW w:w="678" w:type="pct"/>
            <w:tcMar>
              <w:left w:w="28" w:type="dxa"/>
              <w:right w:w="28" w:type="dxa"/>
            </w:tcMar>
          </w:tcPr>
          <w:p w14:paraId="6CBD8CCA" w14:textId="77777777" w:rsidR="009E342D" w:rsidRPr="00653DD9" w:rsidRDefault="009E342D" w:rsidP="00A704EE">
            <w:pPr>
              <w:pStyle w:val="TableText0"/>
              <w:jc w:val="center"/>
              <w:rPr>
                <w:rFonts w:eastAsia="Calibri"/>
                <w:szCs w:val="20"/>
              </w:rPr>
            </w:pPr>
            <w:r w:rsidRPr="00653DD9">
              <w:rPr>
                <w:rFonts w:cs="Times New Roman"/>
              </w:rPr>
              <w:t>13%</w:t>
            </w:r>
          </w:p>
        </w:tc>
      </w:tr>
      <w:tr w:rsidR="000D025A" w:rsidRPr="00D23D11" w14:paraId="714CDCE5" w14:textId="77777777" w:rsidTr="00D12425">
        <w:trPr>
          <w:cantSplit/>
          <w:trHeight w:val="97"/>
        </w:trPr>
        <w:tc>
          <w:tcPr>
            <w:tcW w:w="2459" w:type="pct"/>
            <w:tcMar>
              <w:left w:w="28" w:type="dxa"/>
              <w:right w:w="28" w:type="dxa"/>
            </w:tcMar>
          </w:tcPr>
          <w:p w14:paraId="29E6B913" w14:textId="77777777" w:rsidR="009E342D" w:rsidRPr="00653DD9" w:rsidRDefault="009E342D" w:rsidP="00A704EE">
            <w:pPr>
              <w:pStyle w:val="TableText0"/>
            </w:pPr>
            <w:r w:rsidRPr="00653DD9">
              <w:rPr>
                <w:rFonts w:cs="Times New Roman"/>
              </w:rPr>
              <w:t>Time to death approach including age-adjustment</w:t>
            </w:r>
          </w:p>
        </w:tc>
        <w:tc>
          <w:tcPr>
            <w:tcW w:w="599" w:type="pct"/>
            <w:shd w:val="solid" w:color="000000" w:fill="000000"/>
            <w:tcMar>
              <w:left w:w="28" w:type="dxa"/>
              <w:right w:w="28" w:type="dxa"/>
            </w:tcMar>
          </w:tcPr>
          <w:p w14:paraId="1356C919" w14:textId="68BCEE78" w:rsidR="009E342D" w:rsidRPr="00D12425" w:rsidRDefault="00D12425" w:rsidP="00A704EE">
            <w:pPr>
              <w:pStyle w:val="TableText0"/>
              <w:jc w:val="center"/>
              <w:rPr>
                <w:rFonts w:eastAsia="Calibri"/>
                <w:szCs w:val="20"/>
              </w:rPr>
            </w:pPr>
            <w:r w:rsidRPr="00D12425">
              <w:rPr>
                <w:color w:val="000000"/>
                <w:spacing w:val="65"/>
                <w:fitText w:val="366" w:id="-1236619771"/>
                <w14:textFill>
                  <w14:solidFill>
                    <w14:srgbClr w14:val="000000">
                      <w14:alpha w14:val="100000"/>
                    </w14:srgbClr>
                  </w14:solidFill>
                </w14:textFill>
              </w:rPr>
              <w:t>|||</w:t>
            </w:r>
            <w:r w:rsidRPr="00D12425">
              <w:rPr>
                <w:color w:val="000000"/>
                <w:spacing w:val="1"/>
                <w:fitText w:val="366" w:id="-1236619771"/>
                <w14:textFill>
                  <w14:solidFill>
                    <w14:srgbClr w14:val="000000">
                      <w14:alpha w14:val="100000"/>
                    </w14:srgbClr>
                  </w14:solidFill>
                </w14:textFill>
              </w:rPr>
              <w:t>|</w:t>
            </w:r>
          </w:p>
        </w:tc>
        <w:tc>
          <w:tcPr>
            <w:tcW w:w="599" w:type="pct"/>
            <w:tcMar>
              <w:left w:w="28" w:type="dxa"/>
              <w:right w:w="28" w:type="dxa"/>
            </w:tcMar>
          </w:tcPr>
          <w:p w14:paraId="036D8A98" w14:textId="77777777" w:rsidR="009E342D" w:rsidRPr="00653DD9" w:rsidRDefault="009E342D" w:rsidP="00A704EE">
            <w:pPr>
              <w:pStyle w:val="TableText0"/>
              <w:jc w:val="center"/>
              <w:rPr>
                <w:rFonts w:eastAsia="Calibri"/>
                <w:szCs w:val="20"/>
              </w:rPr>
            </w:pPr>
            <w:r w:rsidRPr="00653DD9">
              <w:t>1.63</w:t>
            </w:r>
          </w:p>
        </w:tc>
        <w:tc>
          <w:tcPr>
            <w:tcW w:w="665" w:type="pct"/>
            <w:tcMar>
              <w:left w:w="28" w:type="dxa"/>
              <w:right w:w="28" w:type="dxa"/>
            </w:tcMar>
          </w:tcPr>
          <w:p w14:paraId="1C6A99C6" w14:textId="65A5C787" w:rsidR="009E342D" w:rsidRPr="00653DD9" w:rsidRDefault="00D12425" w:rsidP="00A704EE">
            <w:pPr>
              <w:pStyle w:val="TableText0"/>
              <w:jc w:val="center"/>
              <w:rPr>
                <w:rFonts w:eastAsia="Calibri"/>
                <w:szCs w:val="20"/>
              </w:rPr>
            </w:pPr>
            <w:r w:rsidRPr="00D12425">
              <w:rPr>
                <w:color w:val="000000"/>
                <w:spacing w:val="54"/>
                <w:shd w:val="solid" w:color="000000" w:fill="000000"/>
                <w:fitText w:val="333" w:id="-1236619770"/>
                <w14:textFill>
                  <w14:solidFill>
                    <w14:srgbClr w14:val="000000">
                      <w14:alpha w14:val="100000"/>
                    </w14:srgbClr>
                  </w14:solidFill>
                </w14:textFill>
              </w:rPr>
              <w:t>|||</w:t>
            </w:r>
            <w:r w:rsidRPr="00D12425">
              <w:rPr>
                <w:color w:val="000000"/>
                <w:spacing w:val="1"/>
                <w:shd w:val="solid" w:color="000000" w:fill="000000"/>
                <w:fitText w:val="333" w:id="-1236619770"/>
                <w14:textFill>
                  <w14:solidFill>
                    <w14:srgbClr w14:val="000000">
                      <w14:alpha w14:val="100000"/>
                    </w14:srgbClr>
                  </w14:solidFill>
                </w14:textFill>
              </w:rPr>
              <w:t>|</w:t>
            </w:r>
            <w:r w:rsidR="00F151DF" w:rsidRPr="00F151DF">
              <w:rPr>
                <w:rFonts w:cs="Times New Roman"/>
                <w:vertAlign w:val="superscript"/>
              </w:rPr>
              <w:t>1</w:t>
            </w:r>
          </w:p>
        </w:tc>
        <w:tc>
          <w:tcPr>
            <w:tcW w:w="678" w:type="pct"/>
            <w:tcMar>
              <w:left w:w="28" w:type="dxa"/>
              <w:right w:w="28" w:type="dxa"/>
            </w:tcMar>
          </w:tcPr>
          <w:p w14:paraId="409A0F61" w14:textId="77777777" w:rsidR="009E342D" w:rsidRPr="00653DD9" w:rsidRDefault="009E342D" w:rsidP="00A704EE">
            <w:pPr>
              <w:pStyle w:val="TableText0"/>
              <w:jc w:val="center"/>
              <w:rPr>
                <w:rFonts w:eastAsia="Calibri"/>
                <w:szCs w:val="20"/>
              </w:rPr>
            </w:pPr>
            <w:r w:rsidRPr="00653DD9">
              <w:rPr>
                <w:rFonts w:cs="Times New Roman"/>
              </w:rPr>
              <w:t>4%</w:t>
            </w:r>
          </w:p>
        </w:tc>
      </w:tr>
      <w:tr w:rsidR="00266050" w:rsidRPr="00E841A9" w14:paraId="55290AB4" w14:textId="77777777" w:rsidTr="003D0874">
        <w:trPr>
          <w:cantSplit/>
          <w:trHeight w:val="60"/>
        </w:trPr>
        <w:tc>
          <w:tcPr>
            <w:tcW w:w="5000" w:type="pct"/>
            <w:gridSpan w:val="5"/>
            <w:tcMar>
              <w:left w:w="28" w:type="dxa"/>
              <w:right w:w="28" w:type="dxa"/>
            </w:tcMar>
          </w:tcPr>
          <w:p w14:paraId="2CC3232C" w14:textId="6CEF71FB" w:rsidR="009E342D" w:rsidRPr="00653DD9" w:rsidRDefault="009E342D" w:rsidP="00A704EE">
            <w:pPr>
              <w:pStyle w:val="TableText0"/>
              <w:rPr>
                <w:rFonts w:eastAsia="Calibri"/>
                <w:b/>
                <w:bCs w:val="0"/>
                <w:szCs w:val="20"/>
              </w:rPr>
            </w:pPr>
            <w:r w:rsidRPr="00653DD9">
              <w:rPr>
                <w:rFonts w:cs="Times New Roman"/>
                <w:b/>
                <w:bCs w:val="0"/>
              </w:rPr>
              <w:t>Extrapolation of OS</w:t>
            </w:r>
            <w:r w:rsidR="00266050" w:rsidRPr="00653DD9">
              <w:rPr>
                <w:rFonts w:cs="Times New Roman"/>
                <w:b/>
                <w:bCs w:val="0"/>
              </w:rPr>
              <w:t xml:space="preserve"> for tebentafusp</w:t>
            </w:r>
            <w:r w:rsidRPr="00653DD9">
              <w:rPr>
                <w:rFonts w:cs="Times New Roman"/>
                <w:b/>
                <w:bCs w:val="0"/>
              </w:rPr>
              <w:t xml:space="preserve"> (base case </w:t>
            </w:r>
            <w:r w:rsidR="00E841A9" w:rsidRPr="00653DD9">
              <w:rPr>
                <w:rFonts w:cs="Times New Roman"/>
                <w:b/>
                <w:bCs w:val="0"/>
              </w:rPr>
              <w:t>= p</w:t>
            </w:r>
            <w:r w:rsidRPr="00653DD9">
              <w:rPr>
                <w:rFonts w:cs="Times New Roman"/>
                <w:b/>
                <w:bCs w:val="0"/>
              </w:rPr>
              <w:t>iecewise-28; log-normal (Tebentafusp PCP)</w:t>
            </w:r>
          </w:p>
        </w:tc>
      </w:tr>
      <w:tr w:rsidR="000D025A" w:rsidRPr="00D23D11" w14:paraId="033413F4" w14:textId="77777777" w:rsidTr="00CB7921">
        <w:trPr>
          <w:cantSplit/>
          <w:trHeight w:val="60"/>
        </w:trPr>
        <w:tc>
          <w:tcPr>
            <w:tcW w:w="2459" w:type="pct"/>
            <w:tcMar>
              <w:left w:w="28" w:type="dxa"/>
              <w:right w:w="28" w:type="dxa"/>
            </w:tcMar>
          </w:tcPr>
          <w:p w14:paraId="228C6C51" w14:textId="77777777" w:rsidR="009E342D" w:rsidRPr="00653DD9" w:rsidRDefault="009E342D" w:rsidP="00A704EE">
            <w:pPr>
              <w:pStyle w:val="TableText0"/>
            </w:pPr>
            <w:r w:rsidRPr="00653DD9">
              <w:rPr>
                <w:rFonts w:cs="Times New Roman"/>
              </w:rPr>
              <w:t xml:space="preserve">Standard Parametric; Log-normal </w:t>
            </w:r>
          </w:p>
        </w:tc>
        <w:tc>
          <w:tcPr>
            <w:tcW w:w="599" w:type="pct"/>
            <w:tcMar>
              <w:left w:w="28" w:type="dxa"/>
              <w:right w:w="28" w:type="dxa"/>
            </w:tcMar>
          </w:tcPr>
          <w:p w14:paraId="00241980" w14:textId="667ECADD" w:rsidR="009E342D" w:rsidRPr="00D12425" w:rsidRDefault="009E342D" w:rsidP="00A704EE">
            <w:pPr>
              <w:pStyle w:val="TableText0"/>
              <w:jc w:val="center"/>
              <w:rPr>
                <w:rFonts w:eastAsia="Calibri"/>
                <w:szCs w:val="20"/>
              </w:rPr>
            </w:pPr>
            <w:r w:rsidRPr="00653DD9">
              <w:t xml:space="preserve"> </w:t>
            </w:r>
            <w:r w:rsidR="00D12425" w:rsidRPr="00D12425">
              <w:rPr>
                <w:color w:val="000000"/>
                <w:spacing w:val="73"/>
                <w:shd w:val="solid" w:color="000000" w:fill="000000"/>
                <w:fitText w:val="391" w:id="-1236619769"/>
                <w14:textFill>
                  <w14:solidFill>
                    <w14:srgbClr w14:val="000000">
                      <w14:alpha w14:val="100000"/>
                    </w14:srgbClr>
                  </w14:solidFill>
                </w14:textFill>
              </w:rPr>
              <w:t>|||</w:t>
            </w:r>
            <w:r w:rsidR="00D12425" w:rsidRPr="00D12425">
              <w:rPr>
                <w:color w:val="000000"/>
                <w:spacing w:val="2"/>
                <w:shd w:val="solid" w:color="000000" w:fill="000000"/>
                <w:fitText w:val="391" w:id="-1236619769"/>
                <w14:textFill>
                  <w14:solidFill>
                    <w14:srgbClr w14:val="000000">
                      <w14:alpha w14:val="100000"/>
                    </w14:srgbClr>
                  </w14:solidFill>
                </w14:textFill>
              </w:rPr>
              <w:t>|</w:t>
            </w:r>
          </w:p>
        </w:tc>
        <w:tc>
          <w:tcPr>
            <w:tcW w:w="599" w:type="pct"/>
            <w:tcMar>
              <w:left w:w="28" w:type="dxa"/>
              <w:right w:w="28" w:type="dxa"/>
            </w:tcMar>
          </w:tcPr>
          <w:p w14:paraId="03F2EE37" w14:textId="77777777" w:rsidR="009E342D" w:rsidRPr="00653DD9" w:rsidRDefault="009E342D" w:rsidP="00A704EE">
            <w:pPr>
              <w:pStyle w:val="TableText0"/>
              <w:jc w:val="center"/>
              <w:rPr>
                <w:rFonts w:eastAsia="Calibri"/>
                <w:szCs w:val="20"/>
              </w:rPr>
            </w:pPr>
            <w:r w:rsidRPr="00653DD9">
              <w:t>0.76</w:t>
            </w:r>
          </w:p>
        </w:tc>
        <w:tc>
          <w:tcPr>
            <w:tcW w:w="665" w:type="pct"/>
            <w:tcMar>
              <w:left w:w="28" w:type="dxa"/>
              <w:right w:w="28" w:type="dxa"/>
            </w:tcMar>
          </w:tcPr>
          <w:p w14:paraId="19A955A1" w14:textId="2AE8D5B1" w:rsidR="009E342D" w:rsidRPr="00653DD9" w:rsidRDefault="009E342D" w:rsidP="00A704EE">
            <w:pPr>
              <w:pStyle w:val="TableText0"/>
              <w:jc w:val="center"/>
              <w:rPr>
                <w:rFonts w:eastAsia="Calibri"/>
                <w:szCs w:val="20"/>
              </w:rPr>
            </w:pPr>
            <w:r w:rsidRPr="00653DD9">
              <w:t xml:space="preserve"> </w:t>
            </w:r>
            <w:r w:rsidR="00D12425" w:rsidRPr="00D12425">
              <w:rPr>
                <w:color w:val="000000"/>
                <w:spacing w:val="59"/>
                <w:shd w:val="solid" w:color="000000" w:fill="000000"/>
                <w:fitText w:val="350" w:id="-1236619768"/>
                <w14:textFill>
                  <w14:solidFill>
                    <w14:srgbClr w14:val="000000">
                      <w14:alpha w14:val="100000"/>
                    </w14:srgbClr>
                  </w14:solidFill>
                </w14:textFill>
              </w:rPr>
              <w:t>|||</w:t>
            </w:r>
            <w:r w:rsidR="00D12425" w:rsidRPr="00D12425">
              <w:rPr>
                <w:color w:val="000000"/>
                <w:spacing w:val="3"/>
                <w:shd w:val="solid" w:color="000000" w:fill="000000"/>
                <w:fitText w:val="350" w:id="-1236619768"/>
                <w14:textFill>
                  <w14:solidFill>
                    <w14:srgbClr w14:val="000000">
                      <w14:alpha w14:val="100000"/>
                    </w14:srgbClr>
                  </w14:solidFill>
                </w14:textFill>
              </w:rPr>
              <w:t>|</w:t>
            </w:r>
            <w:r w:rsidR="00F151DF">
              <w:rPr>
                <w:vertAlign w:val="superscript"/>
              </w:rPr>
              <w:t>5</w:t>
            </w:r>
          </w:p>
        </w:tc>
        <w:tc>
          <w:tcPr>
            <w:tcW w:w="678" w:type="pct"/>
            <w:tcMar>
              <w:left w:w="28" w:type="dxa"/>
              <w:right w:w="28" w:type="dxa"/>
            </w:tcMar>
          </w:tcPr>
          <w:p w14:paraId="1046B255" w14:textId="77777777" w:rsidR="009E342D" w:rsidRPr="00653DD9" w:rsidRDefault="009E342D" w:rsidP="00A704EE">
            <w:pPr>
              <w:pStyle w:val="TableText0"/>
              <w:jc w:val="center"/>
              <w:rPr>
                <w:rFonts w:eastAsia="Calibri"/>
                <w:szCs w:val="20"/>
              </w:rPr>
            </w:pPr>
            <w:r w:rsidRPr="00653DD9">
              <w:t>129%</w:t>
            </w:r>
          </w:p>
        </w:tc>
      </w:tr>
      <w:tr w:rsidR="000D025A" w:rsidRPr="00D23D11" w14:paraId="12E96E60" w14:textId="77777777" w:rsidTr="00CB7921">
        <w:trPr>
          <w:cantSplit/>
          <w:trHeight w:val="60"/>
        </w:trPr>
        <w:tc>
          <w:tcPr>
            <w:tcW w:w="2459" w:type="pct"/>
            <w:tcMar>
              <w:left w:w="28" w:type="dxa"/>
              <w:right w:w="28" w:type="dxa"/>
            </w:tcMar>
          </w:tcPr>
          <w:p w14:paraId="7FEE21C9" w14:textId="77777777" w:rsidR="009E342D" w:rsidRPr="00653DD9" w:rsidRDefault="009E342D" w:rsidP="00A704EE">
            <w:pPr>
              <w:pStyle w:val="TableText0"/>
            </w:pPr>
            <w:r w:rsidRPr="00653DD9">
              <w:rPr>
                <w:rFonts w:cs="Times New Roman"/>
              </w:rPr>
              <w:t xml:space="preserve">Standard Parametric; Log-logistic </w:t>
            </w:r>
          </w:p>
        </w:tc>
        <w:tc>
          <w:tcPr>
            <w:tcW w:w="599" w:type="pct"/>
            <w:tcMar>
              <w:left w:w="28" w:type="dxa"/>
              <w:right w:w="28" w:type="dxa"/>
            </w:tcMar>
          </w:tcPr>
          <w:p w14:paraId="6D930FAC" w14:textId="1808CE40" w:rsidR="009E342D" w:rsidRPr="00D12425" w:rsidRDefault="009E342D" w:rsidP="00A704EE">
            <w:pPr>
              <w:pStyle w:val="TableText0"/>
              <w:jc w:val="center"/>
              <w:rPr>
                <w:rFonts w:eastAsia="Calibri"/>
                <w:szCs w:val="20"/>
              </w:rPr>
            </w:pPr>
            <w:r w:rsidRPr="00653DD9">
              <w:t xml:space="preserve"> </w:t>
            </w:r>
            <w:r w:rsidR="00D12425" w:rsidRPr="00D12425">
              <w:rPr>
                <w:color w:val="000000"/>
                <w:spacing w:val="73"/>
                <w:shd w:val="solid" w:color="000000" w:fill="000000"/>
                <w:fitText w:val="391" w:id="-1236619767"/>
                <w14:textFill>
                  <w14:solidFill>
                    <w14:srgbClr w14:val="000000">
                      <w14:alpha w14:val="100000"/>
                    </w14:srgbClr>
                  </w14:solidFill>
                </w14:textFill>
              </w:rPr>
              <w:t>|||</w:t>
            </w:r>
            <w:r w:rsidR="00D12425" w:rsidRPr="00D12425">
              <w:rPr>
                <w:color w:val="000000"/>
                <w:spacing w:val="2"/>
                <w:shd w:val="solid" w:color="000000" w:fill="000000"/>
                <w:fitText w:val="391" w:id="-1236619767"/>
                <w14:textFill>
                  <w14:solidFill>
                    <w14:srgbClr w14:val="000000">
                      <w14:alpha w14:val="100000"/>
                    </w14:srgbClr>
                  </w14:solidFill>
                </w14:textFill>
              </w:rPr>
              <w:t>|</w:t>
            </w:r>
          </w:p>
        </w:tc>
        <w:tc>
          <w:tcPr>
            <w:tcW w:w="599" w:type="pct"/>
            <w:tcMar>
              <w:left w:w="28" w:type="dxa"/>
              <w:right w:w="28" w:type="dxa"/>
            </w:tcMar>
          </w:tcPr>
          <w:p w14:paraId="3DCD2528" w14:textId="77777777" w:rsidR="009E342D" w:rsidRPr="00653DD9" w:rsidRDefault="009E342D" w:rsidP="00A704EE">
            <w:pPr>
              <w:pStyle w:val="TableText0"/>
              <w:jc w:val="center"/>
              <w:rPr>
                <w:rFonts w:eastAsia="Calibri"/>
                <w:szCs w:val="20"/>
              </w:rPr>
            </w:pPr>
            <w:r w:rsidRPr="00653DD9">
              <w:t>0.76</w:t>
            </w:r>
          </w:p>
        </w:tc>
        <w:tc>
          <w:tcPr>
            <w:tcW w:w="665" w:type="pct"/>
            <w:tcMar>
              <w:left w:w="28" w:type="dxa"/>
              <w:right w:w="28" w:type="dxa"/>
            </w:tcMar>
          </w:tcPr>
          <w:p w14:paraId="02174A20" w14:textId="012AFB76" w:rsidR="009E342D" w:rsidRPr="00653DD9" w:rsidRDefault="009E342D" w:rsidP="00A704EE">
            <w:pPr>
              <w:pStyle w:val="TableText0"/>
              <w:jc w:val="center"/>
              <w:rPr>
                <w:rFonts w:eastAsia="Calibri"/>
                <w:szCs w:val="20"/>
              </w:rPr>
            </w:pPr>
            <w:r w:rsidRPr="00653DD9">
              <w:t xml:space="preserve"> </w:t>
            </w:r>
            <w:r w:rsidR="00D12425" w:rsidRPr="003D4DE8">
              <w:rPr>
                <w:color w:val="000000"/>
                <w:spacing w:val="59"/>
                <w:shd w:val="solid" w:color="000000" w:fill="000000"/>
                <w:fitText w:val="350" w:id="-1236619766"/>
                <w14:textFill>
                  <w14:solidFill>
                    <w14:srgbClr w14:val="000000">
                      <w14:alpha w14:val="100000"/>
                    </w14:srgbClr>
                  </w14:solidFill>
                </w14:textFill>
              </w:rPr>
              <w:t>|||</w:t>
            </w:r>
            <w:r w:rsidR="00D12425" w:rsidRPr="003D4DE8">
              <w:rPr>
                <w:color w:val="000000"/>
                <w:spacing w:val="3"/>
                <w:shd w:val="solid" w:color="000000" w:fill="000000"/>
                <w:fitText w:val="350" w:id="-1236619766"/>
                <w14:textFill>
                  <w14:solidFill>
                    <w14:srgbClr w14:val="000000">
                      <w14:alpha w14:val="100000"/>
                    </w14:srgbClr>
                  </w14:solidFill>
                </w14:textFill>
              </w:rPr>
              <w:t>|</w:t>
            </w:r>
            <w:r w:rsidR="00F151DF">
              <w:rPr>
                <w:vertAlign w:val="superscript"/>
              </w:rPr>
              <w:t>5</w:t>
            </w:r>
            <w:r w:rsidR="003D4DE8" w:rsidRPr="003D4DE8">
              <w:t xml:space="preserve"> </w:t>
            </w:r>
          </w:p>
        </w:tc>
        <w:tc>
          <w:tcPr>
            <w:tcW w:w="678" w:type="pct"/>
            <w:tcMar>
              <w:left w:w="28" w:type="dxa"/>
              <w:right w:w="28" w:type="dxa"/>
            </w:tcMar>
          </w:tcPr>
          <w:p w14:paraId="528351E4" w14:textId="77777777" w:rsidR="009E342D" w:rsidRPr="00653DD9" w:rsidRDefault="009E342D" w:rsidP="00A704EE">
            <w:pPr>
              <w:pStyle w:val="TableText0"/>
              <w:jc w:val="center"/>
              <w:rPr>
                <w:rFonts w:eastAsia="Calibri"/>
                <w:szCs w:val="20"/>
              </w:rPr>
            </w:pPr>
            <w:r w:rsidRPr="00653DD9">
              <w:t>130%</w:t>
            </w:r>
          </w:p>
        </w:tc>
      </w:tr>
      <w:tr w:rsidR="000D025A" w:rsidRPr="00E841A9" w14:paraId="5A18CBFF" w14:textId="77777777" w:rsidTr="003D0874">
        <w:trPr>
          <w:cantSplit/>
          <w:trHeight w:val="60"/>
        </w:trPr>
        <w:tc>
          <w:tcPr>
            <w:tcW w:w="5000" w:type="pct"/>
            <w:gridSpan w:val="5"/>
            <w:tcMar>
              <w:left w:w="28" w:type="dxa"/>
              <w:right w:w="28" w:type="dxa"/>
            </w:tcMar>
          </w:tcPr>
          <w:p w14:paraId="0DD9081C" w14:textId="1A5F4A90" w:rsidR="00266050" w:rsidRPr="00653DD9" w:rsidRDefault="00266050" w:rsidP="00266050">
            <w:pPr>
              <w:pStyle w:val="TableText0"/>
              <w:rPr>
                <w:b/>
                <w:bCs w:val="0"/>
              </w:rPr>
            </w:pPr>
            <w:r w:rsidRPr="00653DD9">
              <w:rPr>
                <w:rFonts w:cs="Times New Roman"/>
                <w:b/>
                <w:bCs w:val="0"/>
              </w:rPr>
              <w:t xml:space="preserve">Extrapolation of OS for pembrolizumab (base case </w:t>
            </w:r>
            <w:r w:rsidR="00E841A9" w:rsidRPr="00653DD9">
              <w:rPr>
                <w:rFonts w:cs="Times New Roman"/>
                <w:b/>
                <w:bCs w:val="0"/>
              </w:rPr>
              <w:t xml:space="preserve">= </w:t>
            </w:r>
            <w:r w:rsidRPr="00653DD9">
              <w:rPr>
                <w:rFonts w:cs="Times New Roman"/>
                <w:b/>
                <w:bCs w:val="0"/>
              </w:rPr>
              <w:t>standard parametric Weibull)</w:t>
            </w:r>
          </w:p>
        </w:tc>
      </w:tr>
      <w:tr w:rsidR="000D025A" w:rsidRPr="00D23D11" w14:paraId="2ACE59EE" w14:textId="77777777" w:rsidTr="00D12425">
        <w:trPr>
          <w:cantSplit/>
          <w:trHeight w:val="60"/>
        </w:trPr>
        <w:tc>
          <w:tcPr>
            <w:tcW w:w="2459" w:type="pct"/>
            <w:tcMar>
              <w:left w:w="28" w:type="dxa"/>
              <w:right w:w="28" w:type="dxa"/>
            </w:tcMar>
          </w:tcPr>
          <w:p w14:paraId="0456EDD3" w14:textId="09C43886" w:rsidR="00266050" w:rsidRPr="00653DD9" w:rsidRDefault="00266050" w:rsidP="00266050">
            <w:pPr>
              <w:pStyle w:val="TableText0"/>
              <w:rPr>
                <w:rFonts w:cs="Times New Roman"/>
              </w:rPr>
            </w:pPr>
            <w:r w:rsidRPr="00653DD9">
              <w:rPr>
                <w:rFonts w:cs="Times New Roman"/>
              </w:rPr>
              <w:t>Standard Parametric; Log-normal</w:t>
            </w:r>
          </w:p>
        </w:tc>
        <w:tc>
          <w:tcPr>
            <w:tcW w:w="599" w:type="pct"/>
            <w:tcBorders>
              <w:bottom w:val="single" w:sz="4" w:space="0" w:color="auto"/>
            </w:tcBorders>
            <w:shd w:val="solid" w:color="000000" w:fill="000000"/>
            <w:tcMar>
              <w:left w:w="28" w:type="dxa"/>
              <w:right w:w="28" w:type="dxa"/>
            </w:tcMar>
          </w:tcPr>
          <w:p w14:paraId="15EE789E" w14:textId="07D30828" w:rsidR="00266050" w:rsidRPr="00D12425" w:rsidRDefault="00D12425" w:rsidP="00266050">
            <w:pPr>
              <w:pStyle w:val="TableText0"/>
              <w:jc w:val="center"/>
            </w:pPr>
            <w:r w:rsidRPr="00D12425">
              <w:rPr>
                <w:color w:val="000000"/>
                <w:spacing w:val="65"/>
                <w:fitText w:val="366" w:id="-1236619765"/>
                <w14:textFill>
                  <w14:solidFill>
                    <w14:srgbClr w14:val="000000">
                      <w14:alpha w14:val="100000"/>
                    </w14:srgbClr>
                  </w14:solidFill>
                </w14:textFill>
              </w:rPr>
              <w:t>|||</w:t>
            </w:r>
            <w:r w:rsidRPr="00D12425">
              <w:rPr>
                <w:color w:val="000000"/>
                <w:spacing w:val="1"/>
                <w:fitText w:val="366" w:id="-1236619765"/>
                <w14:textFill>
                  <w14:solidFill>
                    <w14:srgbClr w14:val="000000">
                      <w14:alpha w14:val="100000"/>
                    </w14:srgbClr>
                  </w14:solidFill>
                </w14:textFill>
              </w:rPr>
              <w:t>|</w:t>
            </w:r>
          </w:p>
        </w:tc>
        <w:tc>
          <w:tcPr>
            <w:tcW w:w="599" w:type="pct"/>
            <w:tcMar>
              <w:left w:w="28" w:type="dxa"/>
              <w:right w:w="28" w:type="dxa"/>
            </w:tcMar>
          </w:tcPr>
          <w:p w14:paraId="78960B61" w14:textId="2DE966A0" w:rsidR="00266050" w:rsidRPr="00653DD9" w:rsidRDefault="00266050" w:rsidP="00266050">
            <w:pPr>
              <w:pStyle w:val="TableText0"/>
              <w:jc w:val="center"/>
            </w:pPr>
            <w:r w:rsidRPr="00653DD9">
              <w:t>1.38</w:t>
            </w:r>
          </w:p>
        </w:tc>
        <w:tc>
          <w:tcPr>
            <w:tcW w:w="665" w:type="pct"/>
            <w:tcMar>
              <w:left w:w="28" w:type="dxa"/>
              <w:right w:w="28" w:type="dxa"/>
            </w:tcMar>
          </w:tcPr>
          <w:p w14:paraId="2F3F7B1B" w14:textId="509E20A7" w:rsidR="00266050" w:rsidRPr="00653DD9" w:rsidRDefault="00D12425" w:rsidP="00266050">
            <w:pPr>
              <w:pStyle w:val="TableText0"/>
              <w:jc w:val="center"/>
            </w:pPr>
            <w:r w:rsidRPr="00D12425">
              <w:rPr>
                <w:color w:val="000000"/>
                <w:spacing w:val="54"/>
                <w:shd w:val="solid" w:color="000000" w:fill="000000"/>
                <w:fitText w:val="333" w:id="-1236619764"/>
                <w14:textFill>
                  <w14:solidFill>
                    <w14:srgbClr w14:val="000000">
                      <w14:alpha w14:val="100000"/>
                    </w14:srgbClr>
                  </w14:solidFill>
                </w14:textFill>
              </w:rPr>
              <w:t>|||</w:t>
            </w:r>
            <w:r w:rsidRPr="00D12425">
              <w:rPr>
                <w:color w:val="000000"/>
                <w:spacing w:val="1"/>
                <w:shd w:val="solid" w:color="000000" w:fill="000000"/>
                <w:fitText w:val="333" w:id="-1236619764"/>
                <w14:textFill>
                  <w14:solidFill>
                    <w14:srgbClr w14:val="000000">
                      <w14:alpha w14:val="100000"/>
                    </w14:srgbClr>
                  </w14:solidFill>
                </w14:textFill>
              </w:rPr>
              <w:t>|</w:t>
            </w:r>
            <w:r w:rsidR="00F151DF" w:rsidRPr="00F151DF">
              <w:rPr>
                <w:rFonts w:eastAsia="Times New Roman" w:cs="Arial"/>
                <w:sz w:val="18"/>
                <w:szCs w:val="22"/>
                <w:vertAlign w:val="superscript"/>
              </w:rPr>
              <w:t>7</w:t>
            </w:r>
          </w:p>
        </w:tc>
        <w:tc>
          <w:tcPr>
            <w:tcW w:w="678" w:type="pct"/>
            <w:tcMar>
              <w:left w:w="28" w:type="dxa"/>
              <w:right w:w="28" w:type="dxa"/>
            </w:tcMar>
          </w:tcPr>
          <w:p w14:paraId="31627FD2" w14:textId="62D5D089" w:rsidR="00266050" w:rsidRPr="00653DD9" w:rsidRDefault="00266050" w:rsidP="00266050">
            <w:pPr>
              <w:pStyle w:val="TableText0"/>
              <w:jc w:val="center"/>
            </w:pPr>
            <w:r w:rsidRPr="00653DD9">
              <w:t>23%</w:t>
            </w:r>
          </w:p>
        </w:tc>
      </w:tr>
      <w:tr w:rsidR="00501122" w:rsidRPr="00D23D11" w14:paraId="434831B0" w14:textId="77777777" w:rsidTr="00D12425">
        <w:trPr>
          <w:cantSplit/>
          <w:trHeight w:val="60"/>
        </w:trPr>
        <w:tc>
          <w:tcPr>
            <w:tcW w:w="2459" w:type="pct"/>
            <w:tcMar>
              <w:left w:w="28" w:type="dxa"/>
              <w:right w:w="28" w:type="dxa"/>
            </w:tcMar>
          </w:tcPr>
          <w:p w14:paraId="4FC89F4D" w14:textId="5B100DD1" w:rsidR="00266050" w:rsidRPr="00653DD9" w:rsidRDefault="00266050" w:rsidP="00266050">
            <w:pPr>
              <w:pStyle w:val="TableText0"/>
              <w:rPr>
                <w:rFonts w:cs="Times New Roman"/>
              </w:rPr>
            </w:pPr>
            <w:r w:rsidRPr="00653DD9">
              <w:rPr>
                <w:rFonts w:cs="Times New Roman"/>
              </w:rPr>
              <w:t>Standard Parametric; Log-logistic</w:t>
            </w:r>
          </w:p>
        </w:tc>
        <w:tc>
          <w:tcPr>
            <w:tcW w:w="599" w:type="pct"/>
            <w:shd w:val="solid" w:color="000000" w:fill="000000"/>
            <w:tcMar>
              <w:left w:w="28" w:type="dxa"/>
              <w:right w:w="28" w:type="dxa"/>
            </w:tcMar>
          </w:tcPr>
          <w:p w14:paraId="5E942D54" w14:textId="323D0D38" w:rsidR="00266050" w:rsidRPr="00D12425" w:rsidRDefault="00D12425" w:rsidP="00266050">
            <w:pPr>
              <w:pStyle w:val="TableText0"/>
              <w:jc w:val="center"/>
            </w:pPr>
            <w:r w:rsidRPr="00D12425">
              <w:rPr>
                <w:color w:val="000000"/>
                <w:spacing w:val="65"/>
                <w:fitText w:val="366" w:id="-1236619763"/>
                <w14:textFill>
                  <w14:solidFill>
                    <w14:srgbClr w14:val="000000">
                      <w14:alpha w14:val="100000"/>
                    </w14:srgbClr>
                  </w14:solidFill>
                </w14:textFill>
              </w:rPr>
              <w:t>|||</w:t>
            </w:r>
            <w:r w:rsidRPr="00D12425">
              <w:rPr>
                <w:color w:val="000000"/>
                <w:spacing w:val="1"/>
                <w:fitText w:val="366" w:id="-1236619763"/>
                <w14:textFill>
                  <w14:solidFill>
                    <w14:srgbClr w14:val="000000">
                      <w14:alpha w14:val="100000"/>
                    </w14:srgbClr>
                  </w14:solidFill>
                </w14:textFill>
              </w:rPr>
              <w:t>|</w:t>
            </w:r>
          </w:p>
        </w:tc>
        <w:tc>
          <w:tcPr>
            <w:tcW w:w="599" w:type="pct"/>
            <w:tcMar>
              <w:left w:w="28" w:type="dxa"/>
              <w:right w:w="28" w:type="dxa"/>
            </w:tcMar>
          </w:tcPr>
          <w:p w14:paraId="759BDFFB" w14:textId="4A0BD68F" w:rsidR="00266050" w:rsidRPr="00653DD9" w:rsidRDefault="00266050" w:rsidP="00266050">
            <w:pPr>
              <w:pStyle w:val="TableText0"/>
              <w:jc w:val="center"/>
            </w:pPr>
            <w:r w:rsidRPr="00653DD9">
              <w:t>1.33</w:t>
            </w:r>
          </w:p>
        </w:tc>
        <w:tc>
          <w:tcPr>
            <w:tcW w:w="665" w:type="pct"/>
            <w:tcMar>
              <w:left w:w="28" w:type="dxa"/>
              <w:right w:w="28" w:type="dxa"/>
            </w:tcMar>
          </w:tcPr>
          <w:p w14:paraId="77EC92AC" w14:textId="0E52174B" w:rsidR="00266050" w:rsidRPr="00653DD9" w:rsidRDefault="00D12425" w:rsidP="00266050">
            <w:pPr>
              <w:pStyle w:val="TableText0"/>
              <w:jc w:val="center"/>
            </w:pPr>
            <w:r w:rsidRPr="00D12425">
              <w:rPr>
                <w:color w:val="000000"/>
                <w:spacing w:val="54"/>
                <w:shd w:val="solid" w:color="000000" w:fill="000000"/>
                <w:fitText w:val="333" w:id="-1236619762"/>
                <w14:textFill>
                  <w14:solidFill>
                    <w14:srgbClr w14:val="000000">
                      <w14:alpha w14:val="100000"/>
                    </w14:srgbClr>
                  </w14:solidFill>
                </w14:textFill>
              </w:rPr>
              <w:t>|||</w:t>
            </w:r>
            <w:r w:rsidRPr="00D12425">
              <w:rPr>
                <w:color w:val="000000"/>
                <w:spacing w:val="1"/>
                <w:shd w:val="solid" w:color="000000" w:fill="000000"/>
                <w:fitText w:val="333" w:id="-1236619762"/>
                <w14:textFill>
                  <w14:solidFill>
                    <w14:srgbClr w14:val="000000">
                      <w14:alpha w14:val="100000"/>
                    </w14:srgbClr>
                  </w14:solidFill>
                </w14:textFill>
              </w:rPr>
              <w:t>|</w:t>
            </w:r>
            <w:r w:rsidR="00F151DF" w:rsidRPr="00F151DF">
              <w:rPr>
                <w:rFonts w:eastAsia="Times New Roman" w:cs="Arial"/>
                <w:sz w:val="18"/>
                <w:szCs w:val="22"/>
                <w:vertAlign w:val="superscript"/>
              </w:rPr>
              <w:t>7</w:t>
            </w:r>
          </w:p>
        </w:tc>
        <w:tc>
          <w:tcPr>
            <w:tcW w:w="678" w:type="pct"/>
            <w:tcMar>
              <w:left w:w="28" w:type="dxa"/>
              <w:right w:w="28" w:type="dxa"/>
            </w:tcMar>
          </w:tcPr>
          <w:p w14:paraId="49C3BF4E" w14:textId="196EB12B" w:rsidR="00266050" w:rsidRPr="00653DD9" w:rsidRDefault="00266050" w:rsidP="00266050">
            <w:pPr>
              <w:pStyle w:val="TableText0"/>
              <w:jc w:val="center"/>
            </w:pPr>
            <w:r w:rsidRPr="00653DD9">
              <w:t>28%</w:t>
            </w:r>
          </w:p>
        </w:tc>
      </w:tr>
      <w:tr w:rsidR="00266050" w:rsidRPr="00E841A9" w14:paraId="08307435" w14:textId="77777777" w:rsidTr="003D0874">
        <w:trPr>
          <w:cantSplit/>
          <w:trHeight w:val="71"/>
        </w:trPr>
        <w:tc>
          <w:tcPr>
            <w:tcW w:w="5000" w:type="pct"/>
            <w:gridSpan w:val="5"/>
            <w:tcMar>
              <w:left w:w="28" w:type="dxa"/>
              <w:right w:w="28" w:type="dxa"/>
            </w:tcMar>
          </w:tcPr>
          <w:p w14:paraId="27DA991B" w14:textId="5439BDEC" w:rsidR="009E342D" w:rsidRPr="00653DD9" w:rsidRDefault="009E342D" w:rsidP="00A704EE">
            <w:pPr>
              <w:pStyle w:val="TableText0"/>
              <w:rPr>
                <w:rFonts w:eastAsia="Calibri"/>
                <w:b/>
                <w:bCs w:val="0"/>
                <w:szCs w:val="20"/>
              </w:rPr>
            </w:pPr>
            <w:r w:rsidRPr="00653DD9">
              <w:rPr>
                <w:b/>
                <w:bCs w:val="0"/>
              </w:rPr>
              <w:t xml:space="preserve">Population (base case </w:t>
            </w:r>
            <w:r w:rsidR="00E841A9" w:rsidRPr="00653DD9">
              <w:rPr>
                <w:b/>
                <w:bCs w:val="0"/>
              </w:rPr>
              <w:t xml:space="preserve">= </w:t>
            </w:r>
            <w:r w:rsidRPr="00653DD9">
              <w:rPr>
                <w:b/>
                <w:bCs w:val="0"/>
              </w:rPr>
              <w:t>Tebentafusp PCP and Pembrolizumab)</w:t>
            </w:r>
          </w:p>
        </w:tc>
      </w:tr>
      <w:tr w:rsidR="000D025A" w:rsidRPr="00D23D11" w14:paraId="037B552D" w14:textId="77777777" w:rsidTr="00D12425">
        <w:trPr>
          <w:cantSplit/>
          <w:trHeight w:val="60"/>
        </w:trPr>
        <w:tc>
          <w:tcPr>
            <w:tcW w:w="2459" w:type="pct"/>
            <w:tcMar>
              <w:left w:w="28" w:type="dxa"/>
              <w:right w:w="28" w:type="dxa"/>
            </w:tcMar>
          </w:tcPr>
          <w:p w14:paraId="45E6CF19" w14:textId="77777777" w:rsidR="009E342D" w:rsidRPr="00653DD9" w:rsidRDefault="009E342D" w:rsidP="00A704EE">
            <w:pPr>
              <w:pStyle w:val="TableText0"/>
            </w:pPr>
            <w:r w:rsidRPr="00653DD9">
              <w:rPr>
                <w:rFonts w:cs="Times New Roman"/>
              </w:rPr>
              <w:t>Tebentafusp (ITT) and Investigator’s choice (ITT)</w:t>
            </w:r>
          </w:p>
        </w:tc>
        <w:tc>
          <w:tcPr>
            <w:tcW w:w="599" w:type="pct"/>
            <w:shd w:val="solid" w:color="000000" w:fill="000000"/>
            <w:tcMar>
              <w:left w:w="28" w:type="dxa"/>
              <w:right w:w="28" w:type="dxa"/>
            </w:tcMar>
          </w:tcPr>
          <w:p w14:paraId="42A3D49D" w14:textId="4F30D8C3" w:rsidR="009E342D" w:rsidRPr="00D12425" w:rsidRDefault="00D12425" w:rsidP="00A704EE">
            <w:pPr>
              <w:pStyle w:val="TableText0"/>
              <w:jc w:val="center"/>
              <w:rPr>
                <w:rFonts w:eastAsia="Calibri"/>
                <w:szCs w:val="20"/>
              </w:rPr>
            </w:pPr>
            <w:r w:rsidRPr="00D12425">
              <w:rPr>
                <w:color w:val="000000"/>
                <w:spacing w:val="65"/>
                <w:fitText w:val="366" w:id="-1236619761"/>
                <w14:textFill>
                  <w14:solidFill>
                    <w14:srgbClr w14:val="000000">
                      <w14:alpha w14:val="100000"/>
                    </w14:srgbClr>
                  </w14:solidFill>
                </w14:textFill>
              </w:rPr>
              <w:t>|||</w:t>
            </w:r>
            <w:r w:rsidRPr="00D12425">
              <w:rPr>
                <w:color w:val="000000"/>
                <w:spacing w:val="1"/>
                <w:fitText w:val="366" w:id="-1236619761"/>
                <w14:textFill>
                  <w14:solidFill>
                    <w14:srgbClr w14:val="000000">
                      <w14:alpha w14:val="100000"/>
                    </w14:srgbClr>
                  </w14:solidFill>
                </w14:textFill>
              </w:rPr>
              <w:t>|</w:t>
            </w:r>
          </w:p>
        </w:tc>
        <w:tc>
          <w:tcPr>
            <w:tcW w:w="599" w:type="pct"/>
            <w:tcMar>
              <w:left w:w="28" w:type="dxa"/>
              <w:right w:w="28" w:type="dxa"/>
            </w:tcMar>
          </w:tcPr>
          <w:p w14:paraId="22205F68" w14:textId="77777777" w:rsidR="009E342D" w:rsidRPr="00653DD9" w:rsidRDefault="009E342D" w:rsidP="00A704EE">
            <w:pPr>
              <w:pStyle w:val="TableText0"/>
              <w:jc w:val="center"/>
              <w:rPr>
                <w:rFonts w:eastAsia="Calibri"/>
                <w:szCs w:val="20"/>
              </w:rPr>
            </w:pPr>
            <w:r w:rsidRPr="00653DD9">
              <w:t>1.23</w:t>
            </w:r>
          </w:p>
        </w:tc>
        <w:tc>
          <w:tcPr>
            <w:tcW w:w="665" w:type="pct"/>
            <w:tcMar>
              <w:left w:w="28" w:type="dxa"/>
              <w:right w:w="28" w:type="dxa"/>
            </w:tcMar>
          </w:tcPr>
          <w:p w14:paraId="4EF8E07D" w14:textId="5FFD6E53" w:rsidR="009E342D" w:rsidRPr="00653DD9" w:rsidRDefault="009E342D" w:rsidP="00A704EE">
            <w:pPr>
              <w:pStyle w:val="TableText0"/>
              <w:jc w:val="center"/>
              <w:rPr>
                <w:rFonts w:eastAsia="Calibri"/>
                <w:szCs w:val="20"/>
              </w:rPr>
            </w:pPr>
            <w:r w:rsidRPr="00653DD9">
              <w:t xml:space="preserve"> </w:t>
            </w:r>
            <w:r w:rsidR="00D12425" w:rsidRPr="003D4DE8">
              <w:rPr>
                <w:color w:val="000000"/>
                <w:spacing w:val="59"/>
                <w:shd w:val="solid" w:color="000000" w:fill="000000"/>
                <w:fitText w:val="350" w:id="-1236619760"/>
                <w14:textFill>
                  <w14:solidFill>
                    <w14:srgbClr w14:val="000000">
                      <w14:alpha w14:val="100000"/>
                    </w14:srgbClr>
                  </w14:solidFill>
                </w14:textFill>
              </w:rPr>
              <w:t>|||</w:t>
            </w:r>
            <w:r w:rsidR="00D12425" w:rsidRPr="003D4DE8">
              <w:rPr>
                <w:color w:val="000000"/>
                <w:spacing w:val="3"/>
                <w:shd w:val="solid" w:color="000000" w:fill="000000"/>
                <w:fitText w:val="350" w:id="-1236619760"/>
                <w14:textFill>
                  <w14:solidFill>
                    <w14:srgbClr w14:val="000000">
                      <w14:alpha w14:val="100000"/>
                    </w14:srgbClr>
                  </w14:solidFill>
                </w14:textFill>
              </w:rPr>
              <w:t>|</w:t>
            </w:r>
            <w:r w:rsidR="00F151DF" w:rsidRPr="00F151DF">
              <w:rPr>
                <w:vertAlign w:val="superscript"/>
              </w:rPr>
              <w:t>6</w:t>
            </w:r>
            <w:r w:rsidR="003D4DE8" w:rsidRPr="003D4DE8">
              <w:t xml:space="preserve"> </w:t>
            </w:r>
          </w:p>
        </w:tc>
        <w:tc>
          <w:tcPr>
            <w:tcW w:w="678" w:type="pct"/>
            <w:tcMar>
              <w:left w:w="28" w:type="dxa"/>
              <w:right w:w="28" w:type="dxa"/>
            </w:tcMar>
          </w:tcPr>
          <w:p w14:paraId="3CC8EEBB" w14:textId="77777777" w:rsidR="009E342D" w:rsidRPr="00653DD9" w:rsidRDefault="009E342D" w:rsidP="00A704EE">
            <w:pPr>
              <w:pStyle w:val="TableText0"/>
              <w:jc w:val="center"/>
              <w:rPr>
                <w:rFonts w:eastAsia="Calibri"/>
                <w:szCs w:val="20"/>
              </w:rPr>
            </w:pPr>
            <w:r w:rsidRPr="00653DD9">
              <w:rPr>
                <w:rFonts w:cs="Times New Roman"/>
              </w:rPr>
              <w:t>39%</w:t>
            </w:r>
          </w:p>
        </w:tc>
      </w:tr>
      <w:tr w:rsidR="000D025A" w:rsidRPr="00D23D11" w14:paraId="37C74759" w14:textId="77777777" w:rsidTr="00D12425">
        <w:trPr>
          <w:cantSplit/>
          <w:trHeight w:val="164"/>
        </w:trPr>
        <w:tc>
          <w:tcPr>
            <w:tcW w:w="2459" w:type="pct"/>
            <w:tcMar>
              <w:left w:w="28" w:type="dxa"/>
              <w:right w:w="28" w:type="dxa"/>
            </w:tcMar>
          </w:tcPr>
          <w:p w14:paraId="2D7F5FA3" w14:textId="77777777" w:rsidR="009E342D" w:rsidRPr="00653DD9" w:rsidRDefault="009E342D" w:rsidP="00A704EE">
            <w:pPr>
              <w:pStyle w:val="In-tableHeading"/>
            </w:pPr>
            <w:r w:rsidRPr="00653DD9">
              <w:t>Multivariate sensitivity analyses</w:t>
            </w:r>
          </w:p>
        </w:tc>
        <w:tc>
          <w:tcPr>
            <w:tcW w:w="599" w:type="pct"/>
            <w:tcBorders>
              <w:bottom w:val="single" w:sz="4" w:space="0" w:color="auto"/>
            </w:tcBorders>
            <w:tcMar>
              <w:left w:w="28" w:type="dxa"/>
              <w:right w:w="28" w:type="dxa"/>
            </w:tcMar>
          </w:tcPr>
          <w:p w14:paraId="0A84C437" w14:textId="77777777" w:rsidR="009E342D" w:rsidRPr="00653DD9" w:rsidRDefault="009E342D" w:rsidP="00A704EE">
            <w:pPr>
              <w:pStyle w:val="TableText0"/>
              <w:jc w:val="center"/>
              <w:rPr>
                <w:rFonts w:eastAsia="Calibri"/>
                <w:szCs w:val="20"/>
              </w:rPr>
            </w:pPr>
          </w:p>
        </w:tc>
        <w:tc>
          <w:tcPr>
            <w:tcW w:w="599" w:type="pct"/>
            <w:tcMar>
              <w:left w:w="28" w:type="dxa"/>
              <w:right w:w="28" w:type="dxa"/>
            </w:tcMar>
          </w:tcPr>
          <w:p w14:paraId="226816D9" w14:textId="77777777" w:rsidR="009E342D" w:rsidRPr="00653DD9" w:rsidRDefault="009E342D" w:rsidP="00A704EE">
            <w:pPr>
              <w:pStyle w:val="TableText0"/>
              <w:jc w:val="center"/>
              <w:rPr>
                <w:rFonts w:eastAsia="Calibri"/>
                <w:szCs w:val="20"/>
              </w:rPr>
            </w:pPr>
          </w:p>
        </w:tc>
        <w:tc>
          <w:tcPr>
            <w:tcW w:w="665" w:type="pct"/>
            <w:tcMar>
              <w:left w:w="28" w:type="dxa"/>
              <w:right w:w="28" w:type="dxa"/>
            </w:tcMar>
          </w:tcPr>
          <w:p w14:paraId="0E414466" w14:textId="77777777" w:rsidR="009E342D" w:rsidRPr="00653DD9" w:rsidRDefault="009E342D" w:rsidP="00A704EE">
            <w:pPr>
              <w:pStyle w:val="TableText0"/>
              <w:jc w:val="center"/>
              <w:rPr>
                <w:rFonts w:eastAsia="Calibri"/>
                <w:szCs w:val="20"/>
              </w:rPr>
            </w:pPr>
          </w:p>
        </w:tc>
        <w:tc>
          <w:tcPr>
            <w:tcW w:w="678" w:type="pct"/>
            <w:tcMar>
              <w:left w:w="28" w:type="dxa"/>
              <w:right w:w="28" w:type="dxa"/>
            </w:tcMar>
          </w:tcPr>
          <w:p w14:paraId="78E9AE0E" w14:textId="77777777" w:rsidR="009E342D" w:rsidRPr="00653DD9" w:rsidRDefault="009E342D" w:rsidP="00A704EE">
            <w:pPr>
              <w:pStyle w:val="TableText0"/>
              <w:jc w:val="center"/>
              <w:rPr>
                <w:rFonts w:eastAsia="Calibri"/>
                <w:szCs w:val="20"/>
              </w:rPr>
            </w:pPr>
          </w:p>
        </w:tc>
      </w:tr>
      <w:tr w:rsidR="00411215" w:rsidRPr="00D23D11" w14:paraId="43205508" w14:textId="77777777" w:rsidTr="00D12425">
        <w:trPr>
          <w:cantSplit/>
          <w:trHeight w:val="283"/>
        </w:trPr>
        <w:tc>
          <w:tcPr>
            <w:tcW w:w="2459" w:type="pct"/>
            <w:tcMar>
              <w:left w:w="28" w:type="dxa"/>
              <w:right w:w="28" w:type="dxa"/>
            </w:tcMar>
          </w:tcPr>
          <w:p w14:paraId="032D0223" w14:textId="7DAEB0E9" w:rsidR="00411215" w:rsidRPr="00653DD9" w:rsidRDefault="00411215" w:rsidP="00411215">
            <w:pPr>
              <w:keepLines/>
              <w:jc w:val="left"/>
              <w:rPr>
                <w:rFonts w:ascii="Arial Narrow" w:hAnsi="Arial Narrow" w:cs="Times New Roman"/>
                <w:bCs/>
                <w:sz w:val="20"/>
              </w:rPr>
            </w:pPr>
            <w:bookmarkStart w:id="68" w:name="_Hlk124256903"/>
            <w:r w:rsidRPr="00653DD9">
              <w:rPr>
                <w:rFonts w:ascii="Arial Narrow" w:hAnsi="Arial Narrow" w:cs="Times New Roman"/>
                <w:bCs/>
                <w:sz w:val="20"/>
              </w:rPr>
              <w:t>Standard parametric model of OS for both arms using log-normal distribution</w:t>
            </w:r>
          </w:p>
        </w:tc>
        <w:tc>
          <w:tcPr>
            <w:tcW w:w="599" w:type="pct"/>
            <w:tcBorders>
              <w:bottom w:val="single" w:sz="4" w:space="0" w:color="auto"/>
            </w:tcBorders>
            <w:shd w:val="solid" w:color="000000" w:fill="000000"/>
            <w:tcMar>
              <w:left w:w="28" w:type="dxa"/>
              <w:right w:w="28" w:type="dxa"/>
            </w:tcMar>
            <w:vAlign w:val="center"/>
          </w:tcPr>
          <w:p w14:paraId="70B7A5E5" w14:textId="22F2AC55" w:rsidR="00411215" w:rsidRPr="00D12425" w:rsidRDefault="00D12425" w:rsidP="00E841A9">
            <w:pPr>
              <w:pStyle w:val="TableText0"/>
              <w:jc w:val="center"/>
            </w:pPr>
            <w:r w:rsidRPr="00D12425">
              <w:rPr>
                <w:color w:val="000000"/>
                <w:spacing w:val="65"/>
                <w:fitText w:val="366" w:id="-1236619520"/>
                <w14:textFill>
                  <w14:solidFill>
                    <w14:srgbClr w14:val="000000">
                      <w14:alpha w14:val="100000"/>
                    </w14:srgbClr>
                  </w14:solidFill>
                </w14:textFill>
              </w:rPr>
              <w:t>|||</w:t>
            </w:r>
            <w:r w:rsidRPr="00D12425">
              <w:rPr>
                <w:color w:val="000000"/>
                <w:spacing w:val="1"/>
                <w:fitText w:val="366" w:id="-1236619520"/>
                <w14:textFill>
                  <w14:solidFill>
                    <w14:srgbClr w14:val="000000">
                      <w14:alpha w14:val="100000"/>
                    </w14:srgbClr>
                  </w14:solidFill>
                </w14:textFill>
              </w:rPr>
              <w:t>|</w:t>
            </w:r>
          </w:p>
        </w:tc>
        <w:tc>
          <w:tcPr>
            <w:tcW w:w="599" w:type="pct"/>
            <w:tcMar>
              <w:left w:w="28" w:type="dxa"/>
              <w:right w:w="28" w:type="dxa"/>
            </w:tcMar>
            <w:vAlign w:val="center"/>
          </w:tcPr>
          <w:p w14:paraId="50643056" w14:textId="0FC27910" w:rsidR="00411215" w:rsidRPr="00653DD9" w:rsidRDefault="00411215" w:rsidP="00E841A9">
            <w:pPr>
              <w:pStyle w:val="TableText0"/>
              <w:jc w:val="center"/>
            </w:pPr>
            <w:r w:rsidRPr="00653DD9">
              <w:t>0.45</w:t>
            </w:r>
          </w:p>
        </w:tc>
        <w:tc>
          <w:tcPr>
            <w:tcW w:w="665" w:type="pct"/>
            <w:tcMar>
              <w:left w:w="28" w:type="dxa"/>
              <w:right w:w="28" w:type="dxa"/>
            </w:tcMar>
            <w:vAlign w:val="center"/>
          </w:tcPr>
          <w:p w14:paraId="2E9F449C" w14:textId="7A1B9263" w:rsidR="00411215" w:rsidRPr="00F151DF" w:rsidRDefault="00D12425" w:rsidP="00E841A9">
            <w:pPr>
              <w:pStyle w:val="TableText0"/>
              <w:jc w:val="center"/>
              <w:rPr>
                <w:vertAlign w:val="superscript"/>
              </w:rPr>
            </w:pPr>
            <w:r w:rsidRPr="00D12425">
              <w:rPr>
                <w:color w:val="000000"/>
                <w:spacing w:val="54"/>
                <w:shd w:val="solid" w:color="000000" w:fill="000000"/>
                <w:fitText w:val="333" w:id="-1236619519"/>
                <w14:textFill>
                  <w14:solidFill>
                    <w14:srgbClr w14:val="000000">
                      <w14:alpha w14:val="100000"/>
                    </w14:srgbClr>
                  </w14:solidFill>
                </w14:textFill>
              </w:rPr>
              <w:t>|||</w:t>
            </w:r>
            <w:r w:rsidRPr="00D12425">
              <w:rPr>
                <w:color w:val="000000"/>
                <w:spacing w:val="1"/>
                <w:shd w:val="solid" w:color="000000" w:fill="000000"/>
                <w:fitText w:val="333" w:id="-1236619519"/>
                <w14:textFill>
                  <w14:solidFill>
                    <w14:srgbClr w14:val="000000">
                      <w14:alpha w14:val="100000"/>
                    </w14:srgbClr>
                  </w14:solidFill>
                </w14:textFill>
              </w:rPr>
              <w:t>|</w:t>
            </w:r>
            <w:r w:rsidR="00F151DF">
              <w:rPr>
                <w:vertAlign w:val="superscript"/>
              </w:rPr>
              <w:t>8</w:t>
            </w:r>
          </w:p>
        </w:tc>
        <w:tc>
          <w:tcPr>
            <w:tcW w:w="678" w:type="pct"/>
            <w:tcMar>
              <w:left w:w="28" w:type="dxa"/>
              <w:right w:w="28" w:type="dxa"/>
            </w:tcMar>
            <w:vAlign w:val="center"/>
          </w:tcPr>
          <w:p w14:paraId="2F17E7B2" w14:textId="68EB0C0F" w:rsidR="00411215" w:rsidRPr="00653DD9" w:rsidRDefault="00411215" w:rsidP="00E841A9">
            <w:pPr>
              <w:pStyle w:val="TableText0"/>
              <w:jc w:val="center"/>
            </w:pPr>
            <w:r w:rsidRPr="00653DD9">
              <w:t>289%</w:t>
            </w:r>
          </w:p>
        </w:tc>
      </w:tr>
      <w:tr w:rsidR="00411215" w:rsidRPr="00D23D11" w14:paraId="7AE20086" w14:textId="77777777" w:rsidTr="00D12425">
        <w:trPr>
          <w:cantSplit/>
          <w:trHeight w:val="283"/>
        </w:trPr>
        <w:tc>
          <w:tcPr>
            <w:tcW w:w="2459" w:type="pct"/>
            <w:tcMar>
              <w:left w:w="28" w:type="dxa"/>
              <w:right w:w="28" w:type="dxa"/>
            </w:tcMar>
          </w:tcPr>
          <w:p w14:paraId="5A8C3736" w14:textId="62D30CE0" w:rsidR="00411215" w:rsidRPr="00653DD9" w:rsidRDefault="00411215" w:rsidP="00411215">
            <w:pPr>
              <w:pStyle w:val="TableText0"/>
            </w:pPr>
            <w:r w:rsidRPr="00653DD9">
              <w:rPr>
                <w:rFonts w:cs="Times New Roman"/>
                <w:bCs w:val="0"/>
              </w:rPr>
              <w:t>Standard p</w:t>
            </w:r>
            <w:r w:rsidRPr="00653DD9">
              <w:rPr>
                <w:rFonts w:cs="Times New Roman"/>
              </w:rPr>
              <w:t xml:space="preserve">arametric </w:t>
            </w:r>
            <w:r w:rsidRPr="00653DD9">
              <w:rPr>
                <w:rFonts w:cs="Times New Roman"/>
                <w:bCs w:val="0"/>
              </w:rPr>
              <w:t xml:space="preserve">model </w:t>
            </w:r>
            <w:r w:rsidRPr="00653DD9">
              <w:rPr>
                <w:rFonts w:cs="Times New Roman"/>
              </w:rPr>
              <w:t xml:space="preserve">of OS for </w:t>
            </w:r>
            <w:r w:rsidRPr="00653DD9">
              <w:rPr>
                <w:rFonts w:cs="Times New Roman"/>
                <w:bCs w:val="0"/>
              </w:rPr>
              <w:t>both arms</w:t>
            </w:r>
            <w:r w:rsidRPr="00653DD9">
              <w:rPr>
                <w:rFonts w:cs="Times New Roman"/>
              </w:rPr>
              <w:t xml:space="preserve"> using log</w:t>
            </w:r>
            <w:r w:rsidR="00EE3AEB" w:rsidRPr="00653DD9">
              <w:rPr>
                <w:rFonts w:cs="Times New Roman"/>
              </w:rPr>
              <w:t>-</w:t>
            </w:r>
            <w:r w:rsidRPr="00653DD9">
              <w:rPr>
                <w:rFonts w:cs="Times New Roman"/>
              </w:rPr>
              <w:t>normal</w:t>
            </w:r>
            <w:r w:rsidRPr="00653DD9">
              <w:rPr>
                <w:rFonts w:cs="Times New Roman"/>
                <w:bCs w:val="0"/>
              </w:rPr>
              <w:t xml:space="preserve"> distribution</w:t>
            </w:r>
            <w:r w:rsidRPr="00653DD9">
              <w:rPr>
                <w:rFonts w:cs="Times New Roman"/>
              </w:rPr>
              <w:t xml:space="preserve"> +Time horizon of 10 years</w:t>
            </w:r>
          </w:p>
        </w:tc>
        <w:tc>
          <w:tcPr>
            <w:tcW w:w="599" w:type="pct"/>
            <w:tcBorders>
              <w:bottom w:val="single" w:sz="4" w:space="0" w:color="auto"/>
            </w:tcBorders>
            <w:shd w:val="solid" w:color="000000" w:fill="000000"/>
            <w:tcMar>
              <w:left w:w="28" w:type="dxa"/>
              <w:right w:w="28" w:type="dxa"/>
            </w:tcMar>
            <w:vAlign w:val="center"/>
          </w:tcPr>
          <w:p w14:paraId="502F0003" w14:textId="61578BE0" w:rsidR="00411215" w:rsidRPr="00D12425" w:rsidRDefault="00D12425" w:rsidP="00E841A9">
            <w:pPr>
              <w:pStyle w:val="TableText0"/>
              <w:jc w:val="center"/>
              <w:rPr>
                <w:rFonts w:eastAsia="Calibri"/>
                <w:szCs w:val="20"/>
              </w:rPr>
            </w:pPr>
            <w:r w:rsidRPr="00D12425">
              <w:rPr>
                <w:color w:val="000000"/>
                <w:spacing w:val="65"/>
                <w:fitText w:val="366" w:id="-1236619518"/>
                <w14:textFill>
                  <w14:solidFill>
                    <w14:srgbClr w14:val="000000">
                      <w14:alpha w14:val="100000"/>
                    </w14:srgbClr>
                  </w14:solidFill>
                </w14:textFill>
              </w:rPr>
              <w:t>|||</w:t>
            </w:r>
            <w:r w:rsidRPr="00D12425">
              <w:rPr>
                <w:color w:val="000000"/>
                <w:spacing w:val="1"/>
                <w:fitText w:val="366" w:id="-1236619518"/>
                <w14:textFill>
                  <w14:solidFill>
                    <w14:srgbClr w14:val="000000">
                      <w14:alpha w14:val="100000"/>
                    </w14:srgbClr>
                  </w14:solidFill>
                </w14:textFill>
              </w:rPr>
              <w:t>|</w:t>
            </w:r>
          </w:p>
        </w:tc>
        <w:tc>
          <w:tcPr>
            <w:tcW w:w="599" w:type="pct"/>
            <w:tcMar>
              <w:left w:w="28" w:type="dxa"/>
              <w:right w:w="28" w:type="dxa"/>
            </w:tcMar>
            <w:vAlign w:val="center"/>
          </w:tcPr>
          <w:p w14:paraId="3620546C" w14:textId="3F2CE38F" w:rsidR="00411215" w:rsidRPr="00653DD9" w:rsidRDefault="00411215" w:rsidP="00E841A9">
            <w:pPr>
              <w:pStyle w:val="TableText0"/>
              <w:jc w:val="center"/>
              <w:rPr>
                <w:rFonts w:eastAsia="Calibri"/>
                <w:szCs w:val="20"/>
              </w:rPr>
            </w:pPr>
            <w:r w:rsidRPr="00653DD9">
              <w:t>0.42</w:t>
            </w:r>
          </w:p>
        </w:tc>
        <w:tc>
          <w:tcPr>
            <w:tcW w:w="665" w:type="pct"/>
            <w:tcMar>
              <w:left w:w="28" w:type="dxa"/>
              <w:right w:w="28" w:type="dxa"/>
            </w:tcMar>
            <w:vAlign w:val="center"/>
          </w:tcPr>
          <w:p w14:paraId="11538B34" w14:textId="50C85DF0" w:rsidR="00411215" w:rsidRPr="00653DD9" w:rsidRDefault="00D12425" w:rsidP="00E841A9">
            <w:pPr>
              <w:pStyle w:val="TableText0"/>
              <w:jc w:val="center"/>
              <w:rPr>
                <w:rFonts w:eastAsia="Calibri"/>
                <w:szCs w:val="20"/>
              </w:rPr>
            </w:pPr>
            <w:r w:rsidRPr="00D12425">
              <w:rPr>
                <w:color w:val="000000"/>
                <w:spacing w:val="54"/>
                <w:shd w:val="solid" w:color="000000" w:fill="000000"/>
                <w:fitText w:val="333" w:id="-1236619517"/>
                <w14:textFill>
                  <w14:solidFill>
                    <w14:srgbClr w14:val="000000">
                      <w14:alpha w14:val="100000"/>
                    </w14:srgbClr>
                  </w14:solidFill>
                </w14:textFill>
              </w:rPr>
              <w:t>|||</w:t>
            </w:r>
            <w:r w:rsidRPr="00D12425">
              <w:rPr>
                <w:color w:val="000000"/>
                <w:spacing w:val="1"/>
                <w:shd w:val="solid" w:color="000000" w:fill="000000"/>
                <w:fitText w:val="333" w:id="-1236619517"/>
                <w14:textFill>
                  <w14:solidFill>
                    <w14:srgbClr w14:val="000000">
                      <w14:alpha w14:val="100000"/>
                    </w14:srgbClr>
                  </w14:solidFill>
                </w14:textFill>
              </w:rPr>
              <w:t>|</w:t>
            </w:r>
            <w:r w:rsidR="00F151DF">
              <w:rPr>
                <w:vertAlign w:val="superscript"/>
              </w:rPr>
              <w:t>8</w:t>
            </w:r>
          </w:p>
        </w:tc>
        <w:tc>
          <w:tcPr>
            <w:tcW w:w="678" w:type="pct"/>
            <w:tcMar>
              <w:left w:w="28" w:type="dxa"/>
              <w:right w:w="28" w:type="dxa"/>
            </w:tcMar>
            <w:vAlign w:val="center"/>
          </w:tcPr>
          <w:p w14:paraId="4D1006CF" w14:textId="294B8E0E" w:rsidR="00411215" w:rsidRPr="00653DD9" w:rsidRDefault="00411215" w:rsidP="00E841A9">
            <w:pPr>
              <w:pStyle w:val="TableText0"/>
              <w:jc w:val="center"/>
              <w:rPr>
                <w:rFonts w:eastAsia="Calibri"/>
                <w:szCs w:val="20"/>
              </w:rPr>
            </w:pPr>
            <w:r w:rsidRPr="00653DD9">
              <w:t>315%</w:t>
            </w:r>
          </w:p>
        </w:tc>
      </w:tr>
      <w:tr w:rsidR="00411215" w:rsidRPr="00D23D11" w14:paraId="20ADC9FA" w14:textId="77777777" w:rsidTr="00D12425">
        <w:trPr>
          <w:cantSplit/>
          <w:trHeight w:val="283"/>
        </w:trPr>
        <w:tc>
          <w:tcPr>
            <w:tcW w:w="2459" w:type="pct"/>
            <w:tcMar>
              <w:left w:w="28" w:type="dxa"/>
              <w:right w:w="28" w:type="dxa"/>
            </w:tcMar>
          </w:tcPr>
          <w:p w14:paraId="31781810" w14:textId="3E94DBE4" w:rsidR="00411215" w:rsidRPr="00653DD9" w:rsidRDefault="00411215" w:rsidP="00411215">
            <w:pPr>
              <w:pStyle w:val="TableText0"/>
            </w:pPr>
            <w:r w:rsidRPr="00653DD9">
              <w:rPr>
                <w:rFonts w:cs="Times New Roman"/>
                <w:bCs w:val="0"/>
              </w:rPr>
              <w:t>Standard p</w:t>
            </w:r>
            <w:r w:rsidRPr="00653DD9">
              <w:rPr>
                <w:rFonts w:cs="Times New Roman"/>
              </w:rPr>
              <w:t xml:space="preserve">arametric </w:t>
            </w:r>
            <w:r w:rsidRPr="00653DD9">
              <w:rPr>
                <w:rFonts w:cs="Times New Roman"/>
                <w:bCs w:val="0"/>
              </w:rPr>
              <w:t xml:space="preserve">model </w:t>
            </w:r>
            <w:r w:rsidRPr="00653DD9">
              <w:rPr>
                <w:rFonts w:cs="Times New Roman"/>
              </w:rPr>
              <w:t xml:space="preserve">of OS for </w:t>
            </w:r>
            <w:r w:rsidRPr="00653DD9">
              <w:rPr>
                <w:rFonts w:cs="Times New Roman"/>
                <w:bCs w:val="0"/>
              </w:rPr>
              <w:t>both arms</w:t>
            </w:r>
            <w:r w:rsidRPr="00653DD9">
              <w:rPr>
                <w:rFonts w:cs="Times New Roman"/>
              </w:rPr>
              <w:t xml:space="preserve"> using log</w:t>
            </w:r>
            <w:r w:rsidR="00201498" w:rsidRPr="00653DD9">
              <w:rPr>
                <w:rFonts w:cs="Times New Roman"/>
              </w:rPr>
              <w:t>-</w:t>
            </w:r>
            <w:r w:rsidRPr="00653DD9">
              <w:rPr>
                <w:rFonts w:cs="Times New Roman"/>
              </w:rPr>
              <w:t>normal</w:t>
            </w:r>
            <w:r w:rsidRPr="00653DD9">
              <w:rPr>
                <w:rFonts w:cs="Times New Roman"/>
                <w:bCs w:val="0"/>
              </w:rPr>
              <w:t xml:space="preserve"> distribution</w:t>
            </w:r>
            <w:r w:rsidRPr="00653DD9">
              <w:rPr>
                <w:rFonts w:cs="Times New Roman"/>
              </w:rPr>
              <w:t xml:space="preserve"> +Time horizon of 10 years + On/off treatment utilities</w:t>
            </w:r>
          </w:p>
        </w:tc>
        <w:tc>
          <w:tcPr>
            <w:tcW w:w="599" w:type="pct"/>
            <w:shd w:val="solid" w:color="000000" w:fill="000000"/>
            <w:tcMar>
              <w:left w:w="28" w:type="dxa"/>
              <w:right w:w="28" w:type="dxa"/>
            </w:tcMar>
            <w:vAlign w:val="center"/>
          </w:tcPr>
          <w:p w14:paraId="673FDACD" w14:textId="4AEA1157" w:rsidR="00411215" w:rsidRPr="00D12425" w:rsidRDefault="00D12425" w:rsidP="00E841A9">
            <w:pPr>
              <w:pStyle w:val="TableText0"/>
              <w:jc w:val="center"/>
              <w:rPr>
                <w:rFonts w:eastAsia="Calibri"/>
                <w:szCs w:val="20"/>
              </w:rPr>
            </w:pPr>
            <w:r w:rsidRPr="00D12425">
              <w:rPr>
                <w:color w:val="000000"/>
                <w:spacing w:val="65"/>
                <w:fitText w:val="366" w:id="-1236619516"/>
                <w14:textFill>
                  <w14:solidFill>
                    <w14:srgbClr w14:val="000000">
                      <w14:alpha w14:val="100000"/>
                    </w14:srgbClr>
                  </w14:solidFill>
                </w14:textFill>
              </w:rPr>
              <w:t>|||</w:t>
            </w:r>
            <w:r w:rsidRPr="00D12425">
              <w:rPr>
                <w:color w:val="000000"/>
                <w:spacing w:val="1"/>
                <w:fitText w:val="366" w:id="-1236619516"/>
                <w14:textFill>
                  <w14:solidFill>
                    <w14:srgbClr w14:val="000000">
                      <w14:alpha w14:val="100000"/>
                    </w14:srgbClr>
                  </w14:solidFill>
                </w14:textFill>
              </w:rPr>
              <w:t>|</w:t>
            </w:r>
          </w:p>
        </w:tc>
        <w:tc>
          <w:tcPr>
            <w:tcW w:w="599" w:type="pct"/>
            <w:tcMar>
              <w:left w:w="28" w:type="dxa"/>
              <w:right w:w="28" w:type="dxa"/>
            </w:tcMar>
            <w:vAlign w:val="center"/>
          </w:tcPr>
          <w:p w14:paraId="17B9E522" w14:textId="61315203" w:rsidR="00411215" w:rsidRPr="00653DD9" w:rsidRDefault="00411215" w:rsidP="00E841A9">
            <w:pPr>
              <w:pStyle w:val="TableText0"/>
              <w:jc w:val="center"/>
              <w:rPr>
                <w:rFonts w:eastAsia="Calibri"/>
                <w:szCs w:val="20"/>
              </w:rPr>
            </w:pPr>
            <w:r w:rsidRPr="00653DD9">
              <w:t>0.43</w:t>
            </w:r>
          </w:p>
        </w:tc>
        <w:tc>
          <w:tcPr>
            <w:tcW w:w="665" w:type="pct"/>
            <w:tcMar>
              <w:left w:w="28" w:type="dxa"/>
              <w:right w:w="28" w:type="dxa"/>
            </w:tcMar>
            <w:vAlign w:val="center"/>
          </w:tcPr>
          <w:p w14:paraId="51980A17" w14:textId="61BF63CF" w:rsidR="00411215" w:rsidRPr="00653DD9" w:rsidRDefault="00D12425" w:rsidP="00E841A9">
            <w:pPr>
              <w:pStyle w:val="TableText0"/>
              <w:jc w:val="center"/>
              <w:rPr>
                <w:rFonts w:eastAsia="Calibri"/>
                <w:szCs w:val="20"/>
              </w:rPr>
            </w:pPr>
            <w:r w:rsidRPr="00D12425">
              <w:rPr>
                <w:color w:val="000000"/>
                <w:spacing w:val="54"/>
                <w:shd w:val="solid" w:color="000000" w:fill="000000"/>
                <w:fitText w:val="333" w:id="-1236619515"/>
                <w14:textFill>
                  <w14:solidFill>
                    <w14:srgbClr w14:val="000000">
                      <w14:alpha w14:val="100000"/>
                    </w14:srgbClr>
                  </w14:solidFill>
                </w14:textFill>
              </w:rPr>
              <w:t>|||</w:t>
            </w:r>
            <w:r w:rsidRPr="00D12425">
              <w:rPr>
                <w:color w:val="000000"/>
                <w:spacing w:val="1"/>
                <w:shd w:val="solid" w:color="000000" w:fill="000000"/>
                <w:fitText w:val="333" w:id="-1236619515"/>
                <w14:textFill>
                  <w14:solidFill>
                    <w14:srgbClr w14:val="000000">
                      <w14:alpha w14:val="100000"/>
                    </w14:srgbClr>
                  </w14:solidFill>
                </w14:textFill>
              </w:rPr>
              <w:t>|</w:t>
            </w:r>
            <w:r w:rsidR="00F151DF">
              <w:rPr>
                <w:vertAlign w:val="superscript"/>
              </w:rPr>
              <w:t>8</w:t>
            </w:r>
          </w:p>
        </w:tc>
        <w:tc>
          <w:tcPr>
            <w:tcW w:w="678" w:type="pct"/>
            <w:tcMar>
              <w:left w:w="28" w:type="dxa"/>
              <w:right w:w="28" w:type="dxa"/>
            </w:tcMar>
            <w:vAlign w:val="center"/>
          </w:tcPr>
          <w:p w14:paraId="50C7EBCC" w14:textId="4F347E45" w:rsidR="00411215" w:rsidRPr="00653DD9" w:rsidRDefault="00411215" w:rsidP="00E841A9">
            <w:pPr>
              <w:pStyle w:val="TableText0"/>
              <w:jc w:val="center"/>
              <w:rPr>
                <w:rFonts w:eastAsia="Calibri"/>
                <w:szCs w:val="20"/>
              </w:rPr>
            </w:pPr>
            <w:r w:rsidRPr="00653DD9">
              <w:t>307%</w:t>
            </w:r>
          </w:p>
        </w:tc>
      </w:tr>
    </w:tbl>
    <w:bookmarkEnd w:id="68"/>
    <w:p w14:paraId="0946AB62" w14:textId="5579E580" w:rsidR="00E521CC" w:rsidRDefault="009E342D" w:rsidP="00E521CC">
      <w:pPr>
        <w:pStyle w:val="FooterTableFigure"/>
      </w:pPr>
      <w:r w:rsidRPr="003157A4">
        <w:t>Source: Table 3.9.4, p207; Table 3.9.55, p209; Table 3.9.6, p210; Table3.9.7, p211; Table 3.9.8, p211; Table 3.9.9, p212; Table 3.9.10, p214 of the submission</w:t>
      </w:r>
      <w:r w:rsidR="00E521CC">
        <w:t xml:space="preserve"> and ‘Immunocore_tebentafusp UM_CEMv1’ workbook. </w:t>
      </w:r>
    </w:p>
    <w:p w14:paraId="5DD7EC16" w14:textId="0C43F95C" w:rsidR="009E342D" w:rsidRPr="003157A4" w:rsidRDefault="00E521CC" w:rsidP="009E342D">
      <w:pPr>
        <w:pStyle w:val="FooterTableFigure"/>
      </w:pPr>
      <w:r w:rsidRPr="00F41172">
        <w:rPr>
          <w:bCs/>
        </w:rPr>
        <w:t>AIC</w:t>
      </w:r>
      <w:r>
        <w:rPr>
          <w:bCs/>
        </w:rPr>
        <w:t xml:space="preserve"> =</w:t>
      </w:r>
      <w:r w:rsidRPr="00F41172">
        <w:rPr>
          <w:bCs/>
        </w:rPr>
        <w:t xml:space="preserve"> Akaike’s information criterion</w:t>
      </w:r>
      <w:r>
        <w:rPr>
          <w:bCs/>
        </w:rPr>
        <w:t>,</w:t>
      </w:r>
      <w:r w:rsidRPr="00F41172">
        <w:rPr>
          <w:bCs/>
        </w:rPr>
        <w:t xml:space="preserve"> BIC</w:t>
      </w:r>
      <w:r>
        <w:rPr>
          <w:bCs/>
        </w:rPr>
        <w:t xml:space="preserve"> =</w:t>
      </w:r>
      <w:r w:rsidRPr="00F41172">
        <w:rPr>
          <w:bCs/>
        </w:rPr>
        <w:t xml:space="preserve"> Bayesian information criterion</w:t>
      </w:r>
      <w:r>
        <w:rPr>
          <w:bCs/>
        </w:rPr>
        <w:t xml:space="preserve">, </w:t>
      </w:r>
      <w:r w:rsidR="009E342D" w:rsidRPr="003157A4">
        <w:t xml:space="preserve">AE = adverse event, ICER = incremental cost-effectiveness ratio, ITT = intention-to-treat, KM = Kaplan-Meier, OS = overall survival, PCP = pre-choice pembrolizumab, PFS = progression-free survival, QALY = quality-adjusted life-years, TTD = time to treatment discontinuation. </w:t>
      </w:r>
    </w:p>
    <w:p w14:paraId="3F88F7B6" w14:textId="77777777" w:rsidR="009E342D" w:rsidRPr="000A0CD2" w:rsidRDefault="009E342D" w:rsidP="009E342D">
      <w:pPr>
        <w:pStyle w:val="FooterTableFigure"/>
        <w:rPr>
          <w:rStyle w:val="TableFigureHeadingChar"/>
        </w:rPr>
      </w:pPr>
      <w:r>
        <w:rPr>
          <w:i/>
          <w:iCs/>
        </w:rPr>
        <w:t xml:space="preserve">Italics </w:t>
      </w:r>
      <w:r>
        <w:t>corrected during evaluation using the correct MBS fee of $114.20 by changing cell D95 in the ‘Cost data’ worksheet in the ’Immunocore_tebentafusp UM_CEM v1’ workbook. Multivariate sensitivity analyses were conducted during evaluation.</w:t>
      </w:r>
    </w:p>
    <w:p w14:paraId="0493D44B" w14:textId="77777777" w:rsidR="009E342D" w:rsidRPr="003157A4" w:rsidRDefault="009E342D" w:rsidP="009E342D">
      <w:pPr>
        <w:pStyle w:val="FooterTableFigure"/>
      </w:pPr>
      <w:r w:rsidRPr="003157A4">
        <w:t>Data sweep: April 2022</w:t>
      </w:r>
    </w:p>
    <w:p w14:paraId="3643E630" w14:textId="77777777" w:rsidR="009E342D" w:rsidRPr="005D0EA2" w:rsidRDefault="009E342D" w:rsidP="009E342D">
      <w:pPr>
        <w:pStyle w:val="FooterTableFigure"/>
      </w:pPr>
      <w:r w:rsidRPr="005D0EA2">
        <w:t xml:space="preserve">a Refer to Attachment 3.9 for an explanation how these sensitivity analyses were conducted. </w:t>
      </w:r>
    </w:p>
    <w:p w14:paraId="17E91A13" w14:textId="77777777" w:rsidR="005D0EA2" w:rsidRPr="005D0EA2" w:rsidRDefault="005D0EA2" w:rsidP="005D0EA2">
      <w:pPr>
        <w:pStyle w:val="FooterTableFigure"/>
        <w:rPr>
          <w:i/>
          <w:iCs/>
        </w:rPr>
      </w:pPr>
      <w:r w:rsidRPr="005D0EA2">
        <w:rPr>
          <w:i/>
          <w:iCs/>
        </w:rPr>
        <w:t xml:space="preserve">The redacted values correspond to the following ranges: </w:t>
      </w:r>
    </w:p>
    <w:p w14:paraId="6499F815" w14:textId="529C5727" w:rsidR="005D0EA2" w:rsidRPr="00F151DF" w:rsidRDefault="005D0EA2" w:rsidP="005D0EA2">
      <w:pPr>
        <w:pStyle w:val="FooterTableFigure"/>
        <w:rPr>
          <w:i/>
          <w:iCs/>
        </w:rPr>
      </w:pPr>
      <w:r w:rsidRPr="005D0EA2">
        <w:rPr>
          <w:i/>
          <w:iCs/>
          <w:vertAlign w:val="superscript"/>
        </w:rPr>
        <w:t xml:space="preserve">1 </w:t>
      </w:r>
      <w:r w:rsidR="00F151DF">
        <w:rPr>
          <w:i/>
          <w:iCs/>
        </w:rPr>
        <w:t>$115,000 to &lt; $135,000</w:t>
      </w:r>
    </w:p>
    <w:p w14:paraId="01CF2BC7" w14:textId="31D59F5C" w:rsidR="005D0EA2" w:rsidRPr="00F151DF" w:rsidRDefault="005D0EA2" w:rsidP="005D0EA2">
      <w:pPr>
        <w:pStyle w:val="FooterTableFigure"/>
        <w:rPr>
          <w:i/>
          <w:iCs/>
        </w:rPr>
      </w:pPr>
      <w:r w:rsidRPr="005D0EA2">
        <w:rPr>
          <w:i/>
          <w:iCs/>
          <w:vertAlign w:val="superscript"/>
        </w:rPr>
        <w:t xml:space="preserve">2 </w:t>
      </w:r>
      <w:r w:rsidR="00F151DF">
        <w:rPr>
          <w:i/>
          <w:iCs/>
        </w:rPr>
        <w:t>$75,000 to &lt; $95,000</w:t>
      </w:r>
    </w:p>
    <w:p w14:paraId="03CF2539" w14:textId="47E527EF" w:rsidR="005D0EA2" w:rsidRPr="00F151DF" w:rsidRDefault="005D0EA2" w:rsidP="005D0EA2">
      <w:pPr>
        <w:pStyle w:val="FooterTableFigure"/>
        <w:rPr>
          <w:i/>
          <w:iCs/>
        </w:rPr>
      </w:pPr>
      <w:r w:rsidRPr="005D0EA2">
        <w:rPr>
          <w:i/>
          <w:iCs/>
          <w:vertAlign w:val="superscript"/>
        </w:rPr>
        <w:t xml:space="preserve">3 </w:t>
      </w:r>
      <w:r w:rsidR="00F151DF">
        <w:rPr>
          <w:i/>
          <w:iCs/>
        </w:rPr>
        <w:t>$95,000 to &lt; $115,000</w:t>
      </w:r>
    </w:p>
    <w:p w14:paraId="3CD3AA77" w14:textId="6B51F253" w:rsidR="005D0EA2" w:rsidRPr="00F151DF" w:rsidRDefault="005D0EA2" w:rsidP="005D0EA2">
      <w:pPr>
        <w:pStyle w:val="FooterTableFigure"/>
        <w:rPr>
          <w:i/>
          <w:iCs/>
        </w:rPr>
      </w:pPr>
      <w:r w:rsidRPr="005D0EA2">
        <w:rPr>
          <w:i/>
          <w:iCs/>
          <w:vertAlign w:val="superscript"/>
        </w:rPr>
        <w:t xml:space="preserve">4 </w:t>
      </w:r>
      <w:r w:rsidR="00F151DF">
        <w:rPr>
          <w:i/>
          <w:iCs/>
        </w:rPr>
        <w:t>$355,000 to &lt; $455,000</w:t>
      </w:r>
    </w:p>
    <w:p w14:paraId="1F3F6EE4" w14:textId="377F61A3" w:rsidR="005D0EA2" w:rsidRPr="00F151DF" w:rsidRDefault="005D0EA2" w:rsidP="005D0EA2">
      <w:pPr>
        <w:pStyle w:val="FooterTableFigure"/>
        <w:rPr>
          <w:i/>
          <w:iCs/>
        </w:rPr>
      </w:pPr>
      <w:r w:rsidRPr="005D0EA2">
        <w:rPr>
          <w:i/>
          <w:iCs/>
          <w:vertAlign w:val="superscript"/>
        </w:rPr>
        <w:t xml:space="preserve">5 </w:t>
      </w:r>
      <w:r w:rsidR="00F151DF">
        <w:rPr>
          <w:i/>
          <w:iCs/>
        </w:rPr>
        <w:t>$255,000 to &lt; $355,000</w:t>
      </w:r>
    </w:p>
    <w:p w14:paraId="5F8DD8F3" w14:textId="5E7C5FA8" w:rsidR="005D0EA2" w:rsidRPr="00F151DF" w:rsidRDefault="005D0EA2" w:rsidP="005D0EA2">
      <w:pPr>
        <w:pStyle w:val="FooterTableFigure"/>
        <w:rPr>
          <w:i/>
          <w:iCs/>
        </w:rPr>
      </w:pPr>
      <w:r w:rsidRPr="005D0EA2">
        <w:rPr>
          <w:i/>
          <w:iCs/>
          <w:vertAlign w:val="superscript"/>
        </w:rPr>
        <w:t xml:space="preserve">6 </w:t>
      </w:r>
      <w:r w:rsidR="00F151DF">
        <w:rPr>
          <w:i/>
          <w:iCs/>
        </w:rPr>
        <w:t>$155,000 to &lt; $255,000</w:t>
      </w:r>
    </w:p>
    <w:p w14:paraId="5FC8BDFD" w14:textId="59734825" w:rsidR="005D0EA2" w:rsidRPr="00F151DF" w:rsidRDefault="005D0EA2" w:rsidP="005D0EA2">
      <w:pPr>
        <w:pStyle w:val="FooterTableFigure"/>
        <w:rPr>
          <w:i/>
          <w:iCs/>
        </w:rPr>
      </w:pPr>
      <w:r w:rsidRPr="005D0EA2">
        <w:rPr>
          <w:i/>
          <w:iCs/>
          <w:vertAlign w:val="superscript"/>
        </w:rPr>
        <w:t xml:space="preserve">7 </w:t>
      </w:r>
      <w:r w:rsidR="00F151DF">
        <w:rPr>
          <w:i/>
          <w:iCs/>
        </w:rPr>
        <w:t>$135,000 to &lt; $155,000</w:t>
      </w:r>
    </w:p>
    <w:p w14:paraId="332D7957" w14:textId="4F738621" w:rsidR="005D0EA2" w:rsidRPr="00F151DF" w:rsidRDefault="005D0EA2" w:rsidP="005D0EA2">
      <w:pPr>
        <w:pStyle w:val="FooterTableFigure"/>
        <w:rPr>
          <w:i/>
          <w:iCs/>
        </w:rPr>
      </w:pPr>
      <w:r w:rsidRPr="005D0EA2">
        <w:rPr>
          <w:i/>
          <w:iCs/>
          <w:vertAlign w:val="superscript"/>
        </w:rPr>
        <w:t xml:space="preserve">8 </w:t>
      </w:r>
      <w:r w:rsidR="00F151DF">
        <w:rPr>
          <w:i/>
          <w:iCs/>
        </w:rPr>
        <w:t>$455,000 to &lt; $555,000</w:t>
      </w:r>
    </w:p>
    <w:p w14:paraId="472842D7" w14:textId="175A2858" w:rsidR="00C25D9C" w:rsidRDefault="00C25D9C" w:rsidP="00BB732D">
      <w:pPr>
        <w:pStyle w:val="4-SubsectionHeading"/>
      </w:pPr>
      <w:bookmarkStart w:id="69" w:name="_Toc22897646"/>
      <w:bookmarkStart w:id="70" w:name="_Toc124257838"/>
      <w:r w:rsidRPr="002C2775">
        <w:lastRenderedPageBreak/>
        <w:t>Drug</w:t>
      </w:r>
      <w:r w:rsidR="006B0C9B">
        <w:t xml:space="preserve"> </w:t>
      </w:r>
      <w:r w:rsidRPr="002C2775">
        <w:t>cost/patient/course</w:t>
      </w:r>
      <w:bookmarkEnd w:id="69"/>
      <w:bookmarkEnd w:id="70"/>
    </w:p>
    <w:p w14:paraId="1E2CA6F1" w14:textId="42C44176" w:rsidR="006B0C9B" w:rsidRPr="006B0C9B" w:rsidRDefault="00E16AD8" w:rsidP="006B0C9B">
      <w:pPr>
        <w:pStyle w:val="Caption"/>
        <w:rPr>
          <w:szCs w:val="24"/>
        </w:rPr>
      </w:pPr>
      <w:bookmarkStart w:id="71" w:name="_Ref104805102"/>
      <w:r>
        <w:t xml:space="preserve">Table </w:t>
      </w:r>
      <w:fldSimple w:instr=" SEQ Table \* ARABIC " w:fldLock="1">
        <w:r w:rsidR="00A53FF4">
          <w:rPr>
            <w:noProof/>
          </w:rPr>
          <w:t>14</w:t>
        </w:r>
      </w:fldSimple>
      <w:bookmarkEnd w:id="71"/>
      <w:r>
        <w:t>:</w:t>
      </w:r>
      <w:r w:rsidR="00494207" w:rsidRPr="00BB732D">
        <w:rPr>
          <w:rStyle w:val="CommentReference"/>
          <w:b/>
          <w:szCs w:val="24"/>
        </w:rPr>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6"/>
        <w:gridCol w:w="1104"/>
        <w:gridCol w:w="1244"/>
        <w:gridCol w:w="1243"/>
        <w:gridCol w:w="1244"/>
        <w:gridCol w:w="1243"/>
        <w:gridCol w:w="1243"/>
      </w:tblGrid>
      <w:tr w:rsidR="00BE1B9E" w:rsidRPr="006B0C9B" w14:paraId="63D92FAC" w14:textId="77777777" w:rsidTr="006B0C9B">
        <w:trPr>
          <w:cantSplit/>
          <w:tblHeader/>
          <w:jc w:val="center"/>
        </w:trPr>
        <w:tc>
          <w:tcPr>
            <w:tcW w:w="940" w:type="pct"/>
            <w:vMerge w:val="restart"/>
            <w:shd w:val="clear" w:color="auto" w:fill="auto"/>
            <w:vAlign w:val="center"/>
          </w:tcPr>
          <w:p w14:paraId="24281B84" w14:textId="77777777" w:rsidR="00BE1B9E" w:rsidRPr="006B0C9B" w:rsidRDefault="00BE1B9E" w:rsidP="006B0C9B">
            <w:pPr>
              <w:keepNext/>
              <w:jc w:val="center"/>
              <w:rPr>
                <w:rFonts w:ascii="Arial Narrow" w:eastAsiaTheme="majorEastAsia" w:hAnsi="Arial Narrow" w:cs="Times New Roman"/>
                <w:b/>
                <w:sz w:val="20"/>
                <w:lang w:val="en-US"/>
              </w:rPr>
            </w:pPr>
          </w:p>
        </w:tc>
        <w:tc>
          <w:tcPr>
            <w:tcW w:w="1991" w:type="pct"/>
            <w:gridSpan w:val="3"/>
            <w:shd w:val="clear" w:color="auto" w:fill="auto"/>
            <w:vAlign w:val="center"/>
          </w:tcPr>
          <w:p w14:paraId="31B4616F" w14:textId="77777777" w:rsidR="00BE1B9E" w:rsidRPr="006B0C9B" w:rsidRDefault="00BE1B9E" w:rsidP="006B0C9B">
            <w:pPr>
              <w:keepNext/>
              <w:jc w:val="center"/>
              <w:rPr>
                <w:rFonts w:ascii="Arial Narrow" w:eastAsiaTheme="majorEastAsia" w:hAnsi="Arial Narrow" w:cs="Times New Roman"/>
                <w:b/>
                <w:sz w:val="20"/>
                <w:lang w:val="en-US"/>
              </w:rPr>
            </w:pPr>
            <w:r w:rsidRPr="006B0C9B">
              <w:rPr>
                <w:rFonts w:ascii="Arial Narrow" w:eastAsiaTheme="majorEastAsia" w:hAnsi="Arial Narrow" w:cs="Times New Roman"/>
                <w:b/>
                <w:sz w:val="20"/>
                <w:lang w:val="en-US"/>
              </w:rPr>
              <w:t>Tebentafusp</w:t>
            </w:r>
          </w:p>
        </w:tc>
        <w:tc>
          <w:tcPr>
            <w:tcW w:w="2068" w:type="pct"/>
            <w:gridSpan w:val="3"/>
            <w:shd w:val="clear" w:color="auto" w:fill="auto"/>
            <w:vAlign w:val="center"/>
          </w:tcPr>
          <w:p w14:paraId="700AA7ED" w14:textId="77777777" w:rsidR="00BE1B9E" w:rsidRPr="006B0C9B" w:rsidRDefault="00BE1B9E" w:rsidP="006B0C9B">
            <w:pPr>
              <w:keepNext/>
              <w:jc w:val="center"/>
              <w:rPr>
                <w:rFonts w:ascii="Arial Narrow" w:eastAsiaTheme="majorEastAsia" w:hAnsi="Arial Narrow" w:cs="Times New Roman"/>
                <w:b/>
                <w:sz w:val="20"/>
                <w:lang w:val="en-US"/>
              </w:rPr>
            </w:pPr>
            <w:r w:rsidRPr="006B0C9B">
              <w:rPr>
                <w:rFonts w:ascii="Arial Narrow" w:eastAsiaTheme="majorEastAsia" w:hAnsi="Arial Narrow" w:cs="Times New Roman"/>
                <w:b/>
                <w:sz w:val="20"/>
                <w:lang w:val="en-US"/>
              </w:rPr>
              <w:t xml:space="preserve">Pembrolizumab </w:t>
            </w:r>
            <w:r w:rsidRPr="006B0C9B">
              <w:rPr>
                <w:rFonts w:ascii="Arial Narrow" w:eastAsiaTheme="majorEastAsia" w:hAnsi="Arial Narrow" w:cs="Times New Roman"/>
                <w:b/>
                <w:sz w:val="20"/>
                <w:vertAlign w:val="superscript"/>
                <w:lang w:val="en-US"/>
              </w:rPr>
              <w:t>a</w:t>
            </w:r>
          </w:p>
        </w:tc>
      </w:tr>
      <w:tr w:rsidR="00BE1B9E" w:rsidRPr="006B0C9B" w14:paraId="266662BB" w14:textId="77777777" w:rsidTr="006B0C9B">
        <w:trPr>
          <w:cantSplit/>
          <w:tblHeader/>
          <w:jc w:val="center"/>
        </w:trPr>
        <w:tc>
          <w:tcPr>
            <w:tcW w:w="940" w:type="pct"/>
            <w:vMerge/>
            <w:shd w:val="clear" w:color="auto" w:fill="auto"/>
            <w:vAlign w:val="center"/>
          </w:tcPr>
          <w:p w14:paraId="1E06CE00" w14:textId="77777777" w:rsidR="00BE1B9E" w:rsidRPr="006B0C9B" w:rsidRDefault="00BE1B9E" w:rsidP="006B0C9B">
            <w:pPr>
              <w:keepNext/>
              <w:jc w:val="center"/>
              <w:rPr>
                <w:rFonts w:ascii="Arial Narrow" w:eastAsiaTheme="majorEastAsia" w:hAnsi="Arial Narrow" w:cs="Times New Roman"/>
                <w:b/>
                <w:sz w:val="20"/>
                <w:lang w:val="en-US"/>
              </w:rPr>
            </w:pPr>
          </w:p>
        </w:tc>
        <w:tc>
          <w:tcPr>
            <w:tcW w:w="612" w:type="pct"/>
            <w:shd w:val="clear" w:color="auto" w:fill="auto"/>
            <w:vAlign w:val="center"/>
          </w:tcPr>
          <w:p w14:paraId="06199ACA" w14:textId="77777777" w:rsidR="00BE1B9E" w:rsidRPr="006B0C9B" w:rsidRDefault="00BE1B9E" w:rsidP="006B0C9B">
            <w:pPr>
              <w:keepNext/>
              <w:jc w:val="center"/>
              <w:rPr>
                <w:rFonts w:ascii="Arial Narrow" w:eastAsiaTheme="majorEastAsia" w:hAnsi="Arial Narrow" w:cs="Times New Roman"/>
                <w:b/>
                <w:sz w:val="20"/>
                <w:lang w:val="en-US"/>
              </w:rPr>
            </w:pPr>
            <w:r w:rsidRPr="006B0C9B">
              <w:rPr>
                <w:rFonts w:ascii="Arial Narrow" w:eastAsiaTheme="majorEastAsia" w:hAnsi="Arial Narrow" w:cs="Times New Roman"/>
                <w:b/>
                <w:sz w:val="20"/>
                <w:lang w:val="en-US"/>
              </w:rPr>
              <w:t>Trial dose and duration</w:t>
            </w:r>
          </w:p>
        </w:tc>
        <w:tc>
          <w:tcPr>
            <w:tcW w:w="690" w:type="pct"/>
            <w:shd w:val="clear" w:color="auto" w:fill="auto"/>
            <w:vAlign w:val="center"/>
          </w:tcPr>
          <w:p w14:paraId="1F53E11F" w14:textId="77777777" w:rsidR="00BE1B9E" w:rsidRPr="006B0C9B" w:rsidRDefault="00BE1B9E" w:rsidP="006B0C9B">
            <w:pPr>
              <w:keepNext/>
              <w:jc w:val="center"/>
              <w:rPr>
                <w:rFonts w:ascii="Arial Narrow" w:eastAsiaTheme="majorEastAsia" w:hAnsi="Arial Narrow" w:cs="Times New Roman"/>
                <w:b/>
                <w:sz w:val="20"/>
                <w:lang w:val="en-US"/>
              </w:rPr>
            </w:pPr>
            <w:r w:rsidRPr="006B0C9B">
              <w:rPr>
                <w:rFonts w:ascii="Arial Narrow" w:eastAsiaTheme="majorEastAsia" w:hAnsi="Arial Narrow" w:cs="Times New Roman"/>
                <w:b/>
                <w:sz w:val="20"/>
                <w:lang w:val="en-US"/>
              </w:rPr>
              <w:t>Model</w:t>
            </w:r>
          </w:p>
        </w:tc>
        <w:tc>
          <w:tcPr>
            <w:tcW w:w="689" w:type="pct"/>
            <w:shd w:val="clear" w:color="auto" w:fill="auto"/>
            <w:vAlign w:val="center"/>
          </w:tcPr>
          <w:p w14:paraId="6FF01C67" w14:textId="77777777" w:rsidR="00BE1B9E" w:rsidRPr="006B0C9B" w:rsidRDefault="00BE1B9E" w:rsidP="006B0C9B">
            <w:pPr>
              <w:keepNext/>
              <w:jc w:val="center"/>
              <w:rPr>
                <w:rFonts w:ascii="Arial Narrow" w:eastAsiaTheme="majorEastAsia" w:hAnsi="Arial Narrow" w:cs="Times New Roman"/>
                <w:b/>
                <w:sz w:val="20"/>
                <w:lang w:val="en-US"/>
              </w:rPr>
            </w:pPr>
            <w:r w:rsidRPr="006B0C9B">
              <w:rPr>
                <w:rFonts w:ascii="Arial Narrow" w:eastAsiaTheme="majorEastAsia" w:hAnsi="Arial Narrow" w:cs="Times New Roman"/>
                <w:b/>
                <w:sz w:val="20"/>
                <w:lang w:val="en-US"/>
              </w:rPr>
              <w:t>Financial estimates</w:t>
            </w:r>
          </w:p>
        </w:tc>
        <w:tc>
          <w:tcPr>
            <w:tcW w:w="690" w:type="pct"/>
            <w:shd w:val="clear" w:color="auto" w:fill="auto"/>
            <w:vAlign w:val="center"/>
          </w:tcPr>
          <w:p w14:paraId="697E99D2" w14:textId="77777777" w:rsidR="00BE1B9E" w:rsidRPr="006B0C9B" w:rsidRDefault="00BE1B9E" w:rsidP="006B0C9B">
            <w:pPr>
              <w:keepNext/>
              <w:jc w:val="center"/>
              <w:rPr>
                <w:rFonts w:ascii="Arial Narrow" w:eastAsiaTheme="majorEastAsia" w:hAnsi="Arial Narrow" w:cs="Times New Roman"/>
                <w:b/>
                <w:sz w:val="20"/>
                <w:lang w:val="en-US"/>
              </w:rPr>
            </w:pPr>
            <w:r w:rsidRPr="006B0C9B">
              <w:rPr>
                <w:rFonts w:ascii="Arial Narrow" w:eastAsiaTheme="majorEastAsia" w:hAnsi="Arial Narrow" w:cs="Times New Roman"/>
                <w:b/>
                <w:sz w:val="20"/>
                <w:lang w:val="en-US"/>
              </w:rPr>
              <w:t>Trial dose and duration</w:t>
            </w:r>
          </w:p>
        </w:tc>
        <w:tc>
          <w:tcPr>
            <w:tcW w:w="689" w:type="pct"/>
            <w:shd w:val="clear" w:color="auto" w:fill="auto"/>
            <w:vAlign w:val="center"/>
          </w:tcPr>
          <w:p w14:paraId="38DFF79D" w14:textId="77777777" w:rsidR="00BE1B9E" w:rsidRPr="006B0C9B" w:rsidRDefault="00BE1B9E" w:rsidP="006B0C9B">
            <w:pPr>
              <w:keepNext/>
              <w:jc w:val="center"/>
              <w:rPr>
                <w:rFonts w:ascii="Arial Narrow" w:eastAsiaTheme="majorEastAsia" w:hAnsi="Arial Narrow" w:cs="Times New Roman"/>
                <w:b/>
                <w:sz w:val="20"/>
                <w:lang w:val="en-US"/>
              </w:rPr>
            </w:pPr>
            <w:r w:rsidRPr="006B0C9B">
              <w:rPr>
                <w:rFonts w:ascii="Arial Narrow" w:eastAsiaTheme="majorEastAsia" w:hAnsi="Arial Narrow" w:cs="Times New Roman"/>
                <w:b/>
                <w:sz w:val="20"/>
                <w:lang w:val="en-US"/>
              </w:rPr>
              <w:t>Model</w:t>
            </w:r>
          </w:p>
        </w:tc>
        <w:tc>
          <w:tcPr>
            <w:tcW w:w="689" w:type="pct"/>
            <w:vAlign w:val="center"/>
          </w:tcPr>
          <w:p w14:paraId="032B1236" w14:textId="77777777" w:rsidR="00BE1B9E" w:rsidRPr="006B0C9B" w:rsidRDefault="00BE1B9E" w:rsidP="006B0C9B">
            <w:pPr>
              <w:keepNext/>
              <w:jc w:val="center"/>
              <w:rPr>
                <w:rFonts w:ascii="Arial Narrow" w:eastAsiaTheme="majorEastAsia" w:hAnsi="Arial Narrow" w:cs="Times New Roman"/>
                <w:b/>
                <w:sz w:val="20"/>
                <w:lang w:val="en-US"/>
              </w:rPr>
            </w:pPr>
            <w:r w:rsidRPr="006B0C9B">
              <w:rPr>
                <w:rFonts w:ascii="Arial Narrow" w:eastAsiaTheme="majorEastAsia" w:hAnsi="Arial Narrow" w:cs="Times New Roman"/>
                <w:b/>
                <w:sz w:val="20"/>
                <w:lang w:val="en-US"/>
              </w:rPr>
              <w:t>Financial estimates</w:t>
            </w:r>
          </w:p>
        </w:tc>
      </w:tr>
      <w:tr w:rsidR="00046EED" w:rsidRPr="006B0C9B" w14:paraId="557E16E2" w14:textId="77777777" w:rsidTr="00D12425">
        <w:trPr>
          <w:cantSplit/>
          <w:jc w:val="center"/>
        </w:trPr>
        <w:tc>
          <w:tcPr>
            <w:tcW w:w="940" w:type="pct"/>
            <w:shd w:val="clear" w:color="auto" w:fill="auto"/>
            <w:vAlign w:val="center"/>
          </w:tcPr>
          <w:p w14:paraId="40E673DB" w14:textId="77777777" w:rsidR="00046EED" w:rsidRPr="006B0C9B" w:rsidRDefault="00046EED" w:rsidP="00046EED">
            <w:pPr>
              <w:keepNext/>
              <w:jc w:val="left"/>
              <w:rPr>
                <w:rFonts w:ascii="Arial Narrow" w:eastAsiaTheme="majorEastAsia" w:hAnsi="Arial Narrow" w:cstheme="majorBidi"/>
                <w:bCs/>
                <w:sz w:val="20"/>
                <w:lang w:val="en-US"/>
              </w:rPr>
            </w:pPr>
            <w:r w:rsidRPr="006B0C9B">
              <w:rPr>
                <w:rFonts w:ascii="Arial Narrow" w:eastAsiaTheme="majorEastAsia" w:hAnsi="Arial Narrow" w:cstheme="majorBidi"/>
                <w:bCs/>
                <w:sz w:val="20"/>
                <w:lang w:val="en-US"/>
              </w:rPr>
              <w:t>Mean duration</w:t>
            </w:r>
          </w:p>
        </w:tc>
        <w:tc>
          <w:tcPr>
            <w:tcW w:w="612" w:type="pct"/>
            <w:tcBorders>
              <w:bottom w:val="single" w:sz="4" w:space="0" w:color="auto"/>
            </w:tcBorders>
            <w:shd w:val="clear" w:color="auto" w:fill="auto"/>
            <w:vAlign w:val="center"/>
          </w:tcPr>
          <w:p w14:paraId="63F773D2" w14:textId="6D987276" w:rsidR="00046EED" w:rsidRPr="006B0C9B" w:rsidRDefault="00046EED" w:rsidP="00046EED">
            <w:pPr>
              <w:keepNext/>
              <w:jc w:val="center"/>
              <w:rPr>
                <w:rFonts w:ascii="Arial Narrow" w:eastAsiaTheme="majorEastAsia" w:hAnsi="Arial Narrow" w:cstheme="majorBidi"/>
                <w:sz w:val="20"/>
                <w:lang w:val="en-US"/>
              </w:rPr>
            </w:pPr>
            <w:r w:rsidRPr="006B0C9B">
              <w:rPr>
                <w:rFonts w:ascii="Arial Narrow" w:eastAsiaTheme="majorEastAsia" w:hAnsi="Arial Narrow" w:cstheme="majorBidi"/>
                <w:sz w:val="20"/>
                <w:lang w:val="en-US"/>
              </w:rPr>
              <w:t>10.3 months</w:t>
            </w:r>
            <w:r w:rsidR="004C17B7">
              <w:rPr>
                <w:rFonts w:ascii="Arial Narrow" w:eastAsiaTheme="majorEastAsia" w:hAnsi="Arial Narrow" w:cstheme="majorBidi"/>
                <w:sz w:val="20"/>
                <w:lang w:val="en-US"/>
              </w:rPr>
              <w:t xml:space="preserve"> or 44.6 cycles</w:t>
            </w:r>
          </w:p>
        </w:tc>
        <w:tc>
          <w:tcPr>
            <w:tcW w:w="690" w:type="pct"/>
            <w:tcBorders>
              <w:bottom w:val="single" w:sz="4" w:space="0" w:color="auto"/>
            </w:tcBorders>
            <w:shd w:val="clear" w:color="auto" w:fill="auto"/>
            <w:vAlign w:val="center"/>
          </w:tcPr>
          <w:p w14:paraId="27232245" w14:textId="2FC9BAD6" w:rsidR="00046EED" w:rsidRPr="004C17B7" w:rsidRDefault="00046EED" w:rsidP="00046EED">
            <w:pPr>
              <w:keepNext/>
              <w:jc w:val="center"/>
              <w:rPr>
                <w:rFonts w:ascii="Arial Narrow" w:eastAsiaTheme="majorEastAsia" w:hAnsi="Arial Narrow" w:cstheme="majorBidi"/>
                <w:sz w:val="20"/>
                <w:lang w:val="en-US"/>
              </w:rPr>
            </w:pPr>
            <w:r w:rsidRPr="006B0C9B">
              <w:rPr>
                <w:rFonts w:ascii="Arial Narrow" w:eastAsiaTheme="majorEastAsia" w:hAnsi="Arial Narrow" w:cstheme="majorBidi"/>
                <w:sz w:val="20"/>
                <w:lang w:val="en-US"/>
              </w:rPr>
              <w:t xml:space="preserve">11.06 months </w:t>
            </w:r>
            <w:r>
              <w:rPr>
                <w:rFonts w:ascii="Arial Narrow" w:eastAsiaTheme="majorEastAsia" w:hAnsi="Arial Narrow" w:cstheme="majorBidi"/>
                <w:sz w:val="20"/>
                <w:vertAlign w:val="superscript"/>
                <w:lang w:val="en-US"/>
              </w:rPr>
              <w:t>b</w:t>
            </w:r>
            <w:r w:rsidR="004C17B7">
              <w:rPr>
                <w:rFonts w:ascii="Arial Narrow" w:eastAsiaTheme="majorEastAsia" w:hAnsi="Arial Narrow" w:cstheme="majorBidi"/>
                <w:sz w:val="20"/>
                <w:lang w:val="en-US"/>
              </w:rPr>
              <w:t xml:space="preserve"> or 48.0 cycles</w:t>
            </w:r>
          </w:p>
        </w:tc>
        <w:tc>
          <w:tcPr>
            <w:tcW w:w="689" w:type="pct"/>
            <w:tcBorders>
              <w:bottom w:val="single" w:sz="4" w:space="0" w:color="auto"/>
            </w:tcBorders>
            <w:shd w:val="clear" w:color="auto" w:fill="auto"/>
            <w:vAlign w:val="center"/>
          </w:tcPr>
          <w:p w14:paraId="5E8FF45C" w14:textId="77777777" w:rsidR="00046EED" w:rsidRDefault="00046EED" w:rsidP="00046EED">
            <w:pPr>
              <w:keepNext/>
              <w:jc w:val="center"/>
              <w:rPr>
                <w:rFonts w:ascii="Arial Narrow" w:eastAsiaTheme="majorEastAsia" w:hAnsi="Arial Narrow" w:cstheme="majorBidi"/>
                <w:sz w:val="20"/>
                <w:lang w:val="en-US"/>
              </w:rPr>
            </w:pPr>
            <w:r w:rsidRPr="006B0C9B">
              <w:rPr>
                <w:rFonts w:ascii="Arial Narrow" w:eastAsiaTheme="majorEastAsia" w:hAnsi="Arial Narrow" w:cstheme="majorBidi"/>
                <w:sz w:val="20"/>
                <w:lang w:val="en-US"/>
              </w:rPr>
              <w:t>10.3 months</w:t>
            </w:r>
          </w:p>
          <w:p w14:paraId="09E688E3" w14:textId="001A44DC" w:rsidR="004C17B7" w:rsidRPr="006B0C9B" w:rsidRDefault="004C17B7" w:rsidP="00046EED">
            <w:pPr>
              <w:keepNext/>
              <w:jc w:val="center"/>
              <w:rPr>
                <w:rFonts w:ascii="Arial Narrow" w:eastAsiaTheme="majorEastAsia" w:hAnsi="Arial Narrow" w:cstheme="majorBidi"/>
                <w:sz w:val="20"/>
                <w:lang w:val="en-US"/>
              </w:rPr>
            </w:pPr>
            <w:r>
              <w:rPr>
                <w:rFonts w:ascii="Arial Narrow" w:eastAsiaTheme="majorEastAsia" w:hAnsi="Arial Narrow" w:cstheme="majorBidi"/>
                <w:sz w:val="20"/>
                <w:lang w:val="en-US"/>
              </w:rPr>
              <w:t>or 44.6 cycles</w:t>
            </w:r>
          </w:p>
        </w:tc>
        <w:tc>
          <w:tcPr>
            <w:tcW w:w="690" w:type="pct"/>
            <w:shd w:val="clear" w:color="auto" w:fill="auto"/>
            <w:vAlign w:val="center"/>
          </w:tcPr>
          <w:p w14:paraId="0C7C69A6" w14:textId="77777777" w:rsidR="00046EED" w:rsidRDefault="00046EED" w:rsidP="00046EED">
            <w:pPr>
              <w:keepNext/>
              <w:jc w:val="center"/>
              <w:rPr>
                <w:rFonts w:ascii="Arial Narrow" w:eastAsiaTheme="majorEastAsia" w:hAnsi="Arial Narrow" w:cstheme="majorBidi"/>
                <w:sz w:val="20"/>
                <w:lang w:val="en-US"/>
              </w:rPr>
            </w:pPr>
            <w:r w:rsidRPr="006B0C9B">
              <w:rPr>
                <w:rFonts w:ascii="Arial Narrow" w:eastAsiaTheme="majorEastAsia" w:hAnsi="Arial Narrow" w:cstheme="majorBidi"/>
                <w:sz w:val="20"/>
                <w:lang w:val="en-US"/>
              </w:rPr>
              <w:t>4.5 months</w:t>
            </w:r>
          </w:p>
          <w:p w14:paraId="6C1E1B71" w14:textId="22D873FE" w:rsidR="004C17B7" w:rsidRPr="006B0C9B" w:rsidRDefault="004C17B7" w:rsidP="00046EED">
            <w:pPr>
              <w:keepNext/>
              <w:jc w:val="center"/>
              <w:rPr>
                <w:rFonts w:ascii="Arial Narrow" w:eastAsiaTheme="majorEastAsia" w:hAnsi="Arial Narrow" w:cstheme="majorBidi"/>
                <w:sz w:val="20"/>
                <w:lang w:val="en-US"/>
              </w:rPr>
            </w:pPr>
            <w:r>
              <w:rPr>
                <w:rFonts w:ascii="Arial Narrow" w:eastAsiaTheme="majorEastAsia" w:hAnsi="Arial Narrow" w:cstheme="majorBidi"/>
                <w:sz w:val="20"/>
                <w:lang w:val="en-US"/>
              </w:rPr>
              <w:t>or 6.5 cycles</w:t>
            </w:r>
          </w:p>
        </w:tc>
        <w:tc>
          <w:tcPr>
            <w:tcW w:w="689" w:type="pct"/>
            <w:shd w:val="clear" w:color="auto" w:fill="auto"/>
            <w:vAlign w:val="center"/>
          </w:tcPr>
          <w:p w14:paraId="5A0FB9FB" w14:textId="6014E8D4" w:rsidR="004C17B7" w:rsidRPr="004C17B7" w:rsidRDefault="00046EED" w:rsidP="004C17B7">
            <w:pPr>
              <w:keepNext/>
              <w:jc w:val="center"/>
              <w:rPr>
                <w:rFonts w:ascii="Arial Narrow" w:eastAsiaTheme="majorEastAsia" w:hAnsi="Arial Narrow" w:cstheme="majorBidi"/>
                <w:b/>
                <w:bCs/>
                <w:sz w:val="20"/>
                <w:lang w:val="en-US"/>
              </w:rPr>
            </w:pPr>
            <w:r w:rsidRPr="006B0C9B">
              <w:rPr>
                <w:rFonts w:ascii="Arial Narrow" w:eastAsiaTheme="majorEastAsia" w:hAnsi="Arial Narrow" w:cstheme="majorBidi"/>
                <w:sz w:val="20"/>
                <w:lang w:val="en-US"/>
              </w:rPr>
              <w:t xml:space="preserve">5.4 months </w:t>
            </w:r>
            <w:r>
              <w:rPr>
                <w:rFonts w:ascii="Arial Narrow" w:eastAsiaTheme="majorEastAsia" w:hAnsi="Arial Narrow" w:cstheme="majorBidi"/>
                <w:sz w:val="20"/>
                <w:vertAlign w:val="superscript"/>
                <w:lang w:val="en-US"/>
              </w:rPr>
              <w:t>b</w:t>
            </w:r>
            <w:r w:rsidR="004C17B7">
              <w:rPr>
                <w:rFonts w:ascii="Arial Narrow" w:eastAsiaTheme="majorEastAsia" w:hAnsi="Arial Narrow" w:cstheme="majorBidi"/>
                <w:sz w:val="20"/>
                <w:lang w:val="en-US"/>
              </w:rPr>
              <w:t xml:space="preserve"> </w:t>
            </w:r>
            <w:r w:rsidR="004C17B7">
              <w:rPr>
                <w:rFonts w:ascii="Arial Narrow" w:eastAsiaTheme="majorEastAsia" w:hAnsi="Arial Narrow" w:cstheme="majorBidi"/>
                <w:sz w:val="20"/>
                <w:lang w:val="en-US"/>
              </w:rPr>
              <w:br/>
              <w:t xml:space="preserve">or </w:t>
            </w:r>
            <w:r w:rsidR="004C17B7" w:rsidRPr="004C17B7">
              <w:rPr>
                <w:rFonts w:ascii="Arial Narrow" w:eastAsiaTheme="majorEastAsia" w:hAnsi="Arial Narrow" w:cstheme="majorBidi"/>
                <w:sz w:val="20"/>
                <w:lang w:val="en-US"/>
              </w:rPr>
              <w:t>7.8 cycles</w:t>
            </w:r>
          </w:p>
        </w:tc>
        <w:tc>
          <w:tcPr>
            <w:tcW w:w="689" w:type="pct"/>
          </w:tcPr>
          <w:p w14:paraId="285EBCCF" w14:textId="7729086B" w:rsidR="00046EED" w:rsidRPr="00653DD9" w:rsidRDefault="00046EED" w:rsidP="00046EED">
            <w:pPr>
              <w:keepNext/>
              <w:jc w:val="center"/>
              <w:rPr>
                <w:rFonts w:ascii="Arial Narrow" w:eastAsiaTheme="majorEastAsia" w:hAnsi="Arial Narrow" w:cstheme="majorBidi"/>
                <w:sz w:val="20"/>
                <w:lang w:val="en-US"/>
              </w:rPr>
            </w:pPr>
            <w:r w:rsidRPr="00653DD9">
              <w:rPr>
                <w:rFonts w:ascii="Arial Narrow" w:eastAsiaTheme="majorEastAsia" w:hAnsi="Arial Narrow" w:cstheme="majorBidi"/>
                <w:sz w:val="20"/>
                <w:lang w:val="en-US"/>
              </w:rPr>
              <w:t>Unclear</w:t>
            </w:r>
          </w:p>
        </w:tc>
      </w:tr>
      <w:tr w:rsidR="00046EED" w:rsidRPr="006B0C9B" w14:paraId="3990CE19" w14:textId="77777777" w:rsidTr="00D12425">
        <w:trPr>
          <w:cantSplit/>
          <w:jc w:val="center"/>
        </w:trPr>
        <w:tc>
          <w:tcPr>
            <w:tcW w:w="940" w:type="pct"/>
            <w:shd w:val="clear" w:color="auto" w:fill="auto"/>
            <w:vAlign w:val="center"/>
          </w:tcPr>
          <w:p w14:paraId="6140B317" w14:textId="2EF41452" w:rsidR="00046EED" w:rsidRPr="001B23E6" w:rsidRDefault="00046EED" w:rsidP="00046EED">
            <w:pPr>
              <w:keepNext/>
              <w:jc w:val="left"/>
              <w:rPr>
                <w:rFonts w:ascii="Arial Narrow" w:eastAsiaTheme="majorEastAsia" w:hAnsi="Arial Narrow" w:cstheme="majorBidi"/>
                <w:bCs/>
                <w:sz w:val="20"/>
                <w:lang w:val="en-US"/>
              </w:rPr>
            </w:pPr>
            <w:r w:rsidRPr="006B0C9B">
              <w:rPr>
                <w:rFonts w:ascii="Arial Narrow" w:eastAsiaTheme="majorEastAsia" w:hAnsi="Arial Narrow" w:cstheme="majorBidi"/>
                <w:bCs/>
                <w:sz w:val="20"/>
                <w:lang w:val="en-US"/>
              </w:rPr>
              <w:t>Cost/patient/cycle</w:t>
            </w:r>
            <w:r w:rsidRPr="006B0C9B">
              <w:rPr>
                <w:rFonts w:ascii="Arial Narrow" w:eastAsiaTheme="majorEastAsia" w:hAnsi="Arial Narrow" w:cstheme="majorBidi"/>
                <w:bCs/>
                <w:sz w:val="20"/>
                <w:vertAlign w:val="superscript"/>
                <w:lang w:val="en-US"/>
              </w:rPr>
              <w:t xml:space="preserve"> </w:t>
            </w:r>
            <w:r>
              <w:rPr>
                <w:rFonts w:ascii="Arial Narrow" w:eastAsiaTheme="majorEastAsia" w:hAnsi="Arial Narrow" w:cstheme="majorBidi"/>
                <w:bCs/>
                <w:sz w:val="20"/>
                <w:vertAlign w:val="superscript"/>
                <w:lang w:val="en-US"/>
              </w:rPr>
              <w:t>c</w:t>
            </w:r>
            <w:r w:rsidR="001B23E6">
              <w:rPr>
                <w:rFonts w:ascii="Arial Narrow" w:eastAsiaTheme="majorEastAsia" w:hAnsi="Arial Narrow" w:cstheme="majorBidi"/>
                <w:bCs/>
                <w:sz w:val="20"/>
                <w:vertAlign w:val="superscript"/>
                <w:lang w:val="en-US"/>
              </w:rPr>
              <w:t xml:space="preserve"> </w:t>
            </w:r>
            <w:r w:rsidR="001B23E6">
              <w:rPr>
                <w:rFonts w:ascii="Arial Narrow" w:eastAsiaTheme="majorEastAsia" w:hAnsi="Arial Narrow" w:cstheme="majorBidi"/>
                <w:bCs/>
                <w:sz w:val="20"/>
                <w:lang w:val="en-US"/>
              </w:rPr>
              <w:t>($)</w:t>
            </w:r>
          </w:p>
        </w:tc>
        <w:tc>
          <w:tcPr>
            <w:tcW w:w="612" w:type="pct"/>
            <w:tcBorders>
              <w:bottom w:val="single" w:sz="4" w:space="0" w:color="auto"/>
            </w:tcBorders>
            <w:shd w:val="solid" w:color="000000" w:fill="000000"/>
            <w:vAlign w:val="center"/>
          </w:tcPr>
          <w:p w14:paraId="0A237524" w14:textId="6D3D8191" w:rsidR="00046EED" w:rsidRPr="00D12425" w:rsidRDefault="00D12425" w:rsidP="00046EED">
            <w:pPr>
              <w:keepNext/>
              <w:jc w:val="center"/>
              <w:rPr>
                <w:rFonts w:ascii="Arial Narrow" w:eastAsiaTheme="majorEastAsia" w:hAnsi="Arial Narrow" w:cstheme="majorBidi"/>
                <w:bCs/>
                <w:sz w:val="20"/>
                <w:lang w:val="en-US"/>
              </w:rPr>
            </w:pPr>
            <w:r w:rsidRPr="00D12425">
              <w:rPr>
                <w:rFonts w:ascii="Arial Narrow" w:eastAsiaTheme="majorEastAsia" w:hAnsi="Arial Narrow" w:cstheme="majorBidi"/>
                <w:bCs/>
                <w:color w:val="000000"/>
                <w:spacing w:val="57"/>
                <w:sz w:val="20"/>
                <w:fitText w:val="342" w:id="-1236619514"/>
                <w14:textFill>
                  <w14:solidFill>
                    <w14:srgbClr w14:val="000000">
                      <w14:alpha w14:val="100000"/>
                    </w14:srgbClr>
                  </w14:solidFill>
                </w14:textFill>
              </w:rPr>
              <w:t>|||</w:t>
            </w:r>
            <w:r w:rsidRPr="00D12425">
              <w:rPr>
                <w:rFonts w:ascii="Arial Narrow" w:eastAsiaTheme="majorEastAsia" w:hAnsi="Arial Narrow" w:cstheme="majorBidi"/>
                <w:bCs/>
                <w:color w:val="000000"/>
                <w:spacing w:val="1"/>
                <w:sz w:val="20"/>
                <w:fitText w:val="342" w:id="-1236619514"/>
                <w14:textFill>
                  <w14:solidFill>
                    <w14:srgbClr w14:val="000000">
                      <w14:alpha w14:val="100000"/>
                    </w14:srgbClr>
                  </w14:solidFill>
                </w14:textFill>
              </w:rPr>
              <w:t>|</w:t>
            </w:r>
          </w:p>
        </w:tc>
        <w:tc>
          <w:tcPr>
            <w:tcW w:w="690" w:type="pct"/>
            <w:tcBorders>
              <w:bottom w:val="single" w:sz="4" w:space="0" w:color="auto"/>
            </w:tcBorders>
            <w:shd w:val="solid" w:color="000000" w:fill="000000"/>
            <w:vAlign w:val="center"/>
          </w:tcPr>
          <w:p w14:paraId="0D519C41" w14:textId="5500482A" w:rsidR="00046EED" w:rsidRPr="00D12425" w:rsidRDefault="00D12425" w:rsidP="00046EED">
            <w:pPr>
              <w:keepNext/>
              <w:jc w:val="center"/>
              <w:rPr>
                <w:rFonts w:ascii="Arial Narrow" w:eastAsiaTheme="majorEastAsia" w:hAnsi="Arial Narrow" w:cstheme="majorBidi"/>
                <w:bCs/>
                <w:sz w:val="20"/>
                <w:lang w:val="en-US"/>
              </w:rPr>
            </w:pPr>
            <w:r w:rsidRPr="00D12425">
              <w:rPr>
                <w:rFonts w:ascii="Arial Narrow" w:eastAsiaTheme="majorEastAsia" w:hAnsi="Arial Narrow" w:cstheme="majorBidi"/>
                <w:bCs/>
                <w:color w:val="000000"/>
                <w:spacing w:val="197"/>
                <w:sz w:val="20"/>
                <w:fitText w:val="283" w:id="-1236619513"/>
                <w14:textFill>
                  <w14:solidFill>
                    <w14:srgbClr w14:val="000000">
                      <w14:alpha w14:val="100000"/>
                    </w14:srgbClr>
                  </w14:solidFill>
                </w14:textFill>
              </w:rPr>
              <w:t>|</w:t>
            </w:r>
            <w:r w:rsidRPr="00D12425">
              <w:rPr>
                <w:rFonts w:ascii="Arial Narrow" w:eastAsiaTheme="majorEastAsia" w:hAnsi="Arial Narrow" w:cstheme="majorBidi"/>
                <w:bCs/>
                <w:color w:val="000000"/>
                <w:sz w:val="20"/>
                <w:fitText w:val="283" w:id="-1236619513"/>
                <w14:textFill>
                  <w14:solidFill>
                    <w14:srgbClr w14:val="000000">
                      <w14:alpha w14:val="100000"/>
                    </w14:srgbClr>
                  </w14:solidFill>
                </w14:textFill>
              </w:rPr>
              <w:t>|</w:t>
            </w:r>
          </w:p>
        </w:tc>
        <w:tc>
          <w:tcPr>
            <w:tcW w:w="689" w:type="pct"/>
            <w:tcBorders>
              <w:bottom w:val="single" w:sz="4" w:space="0" w:color="auto"/>
            </w:tcBorders>
            <w:shd w:val="solid" w:color="000000" w:fill="000000"/>
            <w:vAlign w:val="center"/>
          </w:tcPr>
          <w:p w14:paraId="0EE4299B" w14:textId="380086F6" w:rsidR="00046EED" w:rsidRPr="00D12425" w:rsidRDefault="00D12425" w:rsidP="00046EED">
            <w:pPr>
              <w:keepNext/>
              <w:jc w:val="center"/>
              <w:rPr>
                <w:rFonts w:ascii="Arial Narrow" w:eastAsiaTheme="majorEastAsia" w:hAnsi="Arial Narrow" w:cstheme="majorBidi"/>
                <w:bCs/>
                <w:sz w:val="20"/>
                <w:lang w:val="en-US"/>
              </w:rPr>
            </w:pPr>
            <w:r w:rsidRPr="00D12425">
              <w:rPr>
                <w:rFonts w:ascii="Arial Narrow" w:eastAsiaTheme="majorEastAsia" w:hAnsi="Arial Narrow" w:cstheme="majorBidi"/>
                <w:bCs/>
                <w:color w:val="000000"/>
                <w:spacing w:val="197"/>
                <w:sz w:val="20"/>
                <w:fitText w:val="283" w:id="-1236619512"/>
                <w14:textFill>
                  <w14:solidFill>
                    <w14:srgbClr w14:val="000000">
                      <w14:alpha w14:val="100000"/>
                    </w14:srgbClr>
                  </w14:solidFill>
                </w14:textFill>
              </w:rPr>
              <w:t>|</w:t>
            </w:r>
            <w:r w:rsidRPr="00D12425">
              <w:rPr>
                <w:rFonts w:ascii="Arial Narrow" w:eastAsiaTheme="majorEastAsia" w:hAnsi="Arial Narrow" w:cstheme="majorBidi"/>
                <w:bCs/>
                <w:color w:val="000000"/>
                <w:sz w:val="20"/>
                <w:fitText w:val="283" w:id="-1236619512"/>
                <w14:textFill>
                  <w14:solidFill>
                    <w14:srgbClr w14:val="000000">
                      <w14:alpha w14:val="100000"/>
                    </w14:srgbClr>
                  </w14:solidFill>
                </w14:textFill>
              </w:rPr>
              <w:t>|</w:t>
            </w:r>
          </w:p>
        </w:tc>
        <w:tc>
          <w:tcPr>
            <w:tcW w:w="690" w:type="pct"/>
            <w:shd w:val="clear" w:color="auto" w:fill="auto"/>
            <w:vAlign w:val="center"/>
          </w:tcPr>
          <w:p w14:paraId="621CD76E" w14:textId="77777777" w:rsidR="00046EED" w:rsidRPr="006B0C9B" w:rsidRDefault="00046EED" w:rsidP="00046EED">
            <w:pPr>
              <w:keepNext/>
              <w:jc w:val="center"/>
              <w:rPr>
                <w:rFonts w:ascii="Arial Narrow" w:eastAsiaTheme="majorEastAsia" w:hAnsi="Arial Narrow" w:cstheme="majorBidi"/>
                <w:bCs/>
                <w:sz w:val="20"/>
                <w:lang w:val="en-US"/>
              </w:rPr>
            </w:pPr>
            <w:r w:rsidRPr="006B0C9B">
              <w:rPr>
                <w:rFonts w:ascii="Arial Narrow" w:eastAsiaTheme="majorEastAsia" w:hAnsi="Arial Narrow" w:cstheme="majorBidi"/>
                <w:bCs/>
                <w:sz w:val="20"/>
              </w:rPr>
              <w:t>$7,847.00</w:t>
            </w:r>
          </w:p>
        </w:tc>
        <w:tc>
          <w:tcPr>
            <w:tcW w:w="689" w:type="pct"/>
            <w:shd w:val="clear" w:color="auto" w:fill="auto"/>
          </w:tcPr>
          <w:p w14:paraId="078172AD" w14:textId="77777777" w:rsidR="00046EED" w:rsidRPr="006B0C9B" w:rsidRDefault="00046EED" w:rsidP="00046EED">
            <w:pPr>
              <w:keepNext/>
              <w:jc w:val="center"/>
              <w:rPr>
                <w:rFonts w:ascii="Arial Narrow" w:eastAsiaTheme="majorEastAsia" w:hAnsi="Arial Narrow" w:cstheme="majorBidi"/>
                <w:bCs/>
                <w:sz w:val="20"/>
                <w:lang w:val="en-US"/>
              </w:rPr>
            </w:pPr>
            <w:r w:rsidRPr="006B0C9B">
              <w:rPr>
                <w:rFonts w:ascii="Arial Narrow" w:eastAsiaTheme="majorEastAsia" w:hAnsi="Arial Narrow" w:cstheme="majorBidi"/>
                <w:bCs/>
                <w:sz w:val="20"/>
              </w:rPr>
              <w:t>$7,847.00</w:t>
            </w:r>
          </w:p>
        </w:tc>
        <w:tc>
          <w:tcPr>
            <w:tcW w:w="689" w:type="pct"/>
          </w:tcPr>
          <w:p w14:paraId="0C1916EA" w14:textId="157BBE61" w:rsidR="00046EED" w:rsidRPr="00653DD9" w:rsidRDefault="00046EED" w:rsidP="00046EED">
            <w:pPr>
              <w:keepNext/>
              <w:jc w:val="center"/>
              <w:rPr>
                <w:rFonts w:ascii="Arial Narrow" w:eastAsiaTheme="majorEastAsia" w:hAnsi="Arial Narrow" w:cstheme="majorBidi"/>
                <w:bCs/>
                <w:sz w:val="20"/>
                <w:lang w:val="en-US"/>
              </w:rPr>
            </w:pPr>
            <w:r w:rsidRPr="00653DD9">
              <w:rPr>
                <w:rFonts w:ascii="Arial Narrow" w:eastAsiaTheme="majorEastAsia" w:hAnsi="Arial Narrow" w:cstheme="majorBidi"/>
                <w:sz w:val="20"/>
                <w:lang w:val="en-US"/>
              </w:rPr>
              <w:t>Unclear</w:t>
            </w:r>
          </w:p>
        </w:tc>
      </w:tr>
      <w:tr w:rsidR="00046EED" w:rsidRPr="006B0C9B" w14:paraId="1A6DFD3A" w14:textId="77777777" w:rsidTr="00D12425">
        <w:trPr>
          <w:cantSplit/>
          <w:jc w:val="center"/>
        </w:trPr>
        <w:tc>
          <w:tcPr>
            <w:tcW w:w="940" w:type="pct"/>
            <w:shd w:val="clear" w:color="auto" w:fill="auto"/>
            <w:vAlign w:val="center"/>
          </w:tcPr>
          <w:p w14:paraId="033F6CAD" w14:textId="63BCB226" w:rsidR="00046EED" w:rsidRPr="001B23E6" w:rsidRDefault="00046EED" w:rsidP="00046EED">
            <w:pPr>
              <w:keepNext/>
              <w:jc w:val="left"/>
              <w:rPr>
                <w:rFonts w:ascii="Arial Narrow" w:eastAsiaTheme="majorEastAsia" w:hAnsi="Arial Narrow" w:cstheme="majorBidi"/>
                <w:bCs/>
                <w:sz w:val="20"/>
                <w:lang w:val="en-US"/>
              </w:rPr>
            </w:pPr>
            <w:r w:rsidRPr="006B0C9B">
              <w:rPr>
                <w:rFonts w:ascii="Arial Narrow" w:eastAsiaTheme="majorEastAsia" w:hAnsi="Arial Narrow" w:cstheme="majorBidi"/>
                <w:bCs/>
                <w:sz w:val="20"/>
                <w:lang w:val="en-US"/>
              </w:rPr>
              <w:t xml:space="preserve">Cost/patient/course </w:t>
            </w:r>
            <w:r>
              <w:rPr>
                <w:rFonts w:ascii="Arial Narrow" w:eastAsiaTheme="majorEastAsia" w:hAnsi="Arial Narrow" w:cstheme="majorBidi"/>
                <w:bCs/>
                <w:sz w:val="20"/>
                <w:vertAlign w:val="superscript"/>
                <w:lang w:val="en-US"/>
              </w:rPr>
              <w:t>d</w:t>
            </w:r>
            <w:r w:rsidR="001B23E6">
              <w:rPr>
                <w:rFonts w:ascii="Arial Narrow" w:eastAsiaTheme="majorEastAsia" w:hAnsi="Arial Narrow" w:cstheme="majorBidi"/>
                <w:bCs/>
                <w:sz w:val="20"/>
                <w:lang w:val="en-US"/>
              </w:rPr>
              <w:t xml:space="preserve"> ($)</w:t>
            </w:r>
          </w:p>
        </w:tc>
        <w:tc>
          <w:tcPr>
            <w:tcW w:w="612" w:type="pct"/>
            <w:shd w:val="solid" w:color="000000" w:fill="000000"/>
            <w:vAlign w:val="center"/>
          </w:tcPr>
          <w:p w14:paraId="3338E949" w14:textId="5EDF3023" w:rsidR="00046EED" w:rsidRPr="00D12425" w:rsidRDefault="00D12425" w:rsidP="00046EED">
            <w:pPr>
              <w:keepNext/>
              <w:jc w:val="center"/>
              <w:rPr>
                <w:rFonts w:ascii="Arial Narrow" w:eastAsiaTheme="majorEastAsia" w:hAnsi="Arial Narrow" w:cstheme="majorBidi"/>
                <w:bCs/>
                <w:sz w:val="20"/>
                <w:lang w:val="en-US"/>
              </w:rPr>
            </w:pPr>
            <w:r w:rsidRPr="00D12425">
              <w:rPr>
                <w:rFonts w:ascii="Arial Narrow" w:eastAsiaTheme="majorEastAsia" w:hAnsi="Arial Narrow" w:cstheme="majorBidi"/>
                <w:bCs/>
                <w:color w:val="000000"/>
                <w:spacing w:val="57"/>
                <w:sz w:val="20"/>
                <w:fitText w:val="342" w:id="-1236619511"/>
                <w:lang w:val="en-US"/>
                <w14:textFill>
                  <w14:solidFill>
                    <w14:srgbClr w14:val="000000">
                      <w14:alpha w14:val="100000"/>
                    </w14:srgbClr>
                  </w14:solidFill>
                </w14:textFill>
              </w:rPr>
              <w:t>|||</w:t>
            </w:r>
            <w:r w:rsidRPr="00D12425">
              <w:rPr>
                <w:rFonts w:ascii="Arial Narrow" w:eastAsiaTheme="majorEastAsia" w:hAnsi="Arial Narrow" w:cstheme="majorBidi"/>
                <w:bCs/>
                <w:color w:val="000000"/>
                <w:spacing w:val="1"/>
                <w:sz w:val="20"/>
                <w:fitText w:val="342" w:id="-1236619511"/>
                <w:lang w:val="en-US"/>
                <w14:textFill>
                  <w14:solidFill>
                    <w14:srgbClr w14:val="000000">
                      <w14:alpha w14:val="100000"/>
                    </w14:srgbClr>
                  </w14:solidFill>
                </w14:textFill>
              </w:rPr>
              <w:t>|</w:t>
            </w:r>
          </w:p>
        </w:tc>
        <w:tc>
          <w:tcPr>
            <w:tcW w:w="690" w:type="pct"/>
            <w:shd w:val="solid" w:color="000000" w:fill="000000"/>
            <w:vAlign w:val="center"/>
          </w:tcPr>
          <w:p w14:paraId="295A7774" w14:textId="4276BCDE" w:rsidR="00046EED" w:rsidRPr="00D12425" w:rsidRDefault="00D12425" w:rsidP="00046EED">
            <w:pPr>
              <w:keepNext/>
              <w:jc w:val="center"/>
              <w:rPr>
                <w:rFonts w:ascii="Arial Narrow" w:eastAsiaTheme="majorEastAsia" w:hAnsi="Arial Narrow" w:cstheme="majorBidi"/>
                <w:bCs/>
                <w:sz w:val="20"/>
                <w:lang w:val="en-US"/>
              </w:rPr>
            </w:pPr>
            <w:r w:rsidRPr="00D12425">
              <w:rPr>
                <w:rFonts w:ascii="Arial Narrow" w:eastAsiaTheme="majorEastAsia" w:hAnsi="Arial Narrow" w:cstheme="majorBidi"/>
                <w:bCs/>
                <w:color w:val="000000"/>
                <w:spacing w:val="197"/>
                <w:sz w:val="20"/>
                <w:fitText w:val="283" w:id="-1236619510"/>
                <w:lang w:val="en-US"/>
                <w14:textFill>
                  <w14:solidFill>
                    <w14:srgbClr w14:val="000000">
                      <w14:alpha w14:val="100000"/>
                    </w14:srgbClr>
                  </w14:solidFill>
                </w14:textFill>
              </w:rPr>
              <w:t>|</w:t>
            </w:r>
            <w:r w:rsidRPr="00D12425">
              <w:rPr>
                <w:rFonts w:ascii="Arial Narrow" w:eastAsiaTheme="majorEastAsia" w:hAnsi="Arial Narrow" w:cstheme="majorBidi"/>
                <w:bCs/>
                <w:color w:val="000000"/>
                <w:sz w:val="20"/>
                <w:fitText w:val="283" w:id="-1236619510"/>
                <w:lang w:val="en-US"/>
                <w14:textFill>
                  <w14:solidFill>
                    <w14:srgbClr w14:val="000000">
                      <w14:alpha w14:val="100000"/>
                    </w14:srgbClr>
                  </w14:solidFill>
                </w14:textFill>
              </w:rPr>
              <w:t>|</w:t>
            </w:r>
          </w:p>
        </w:tc>
        <w:tc>
          <w:tcPr>
            <w:tcW w:w="689" w:type="pct"/>
            <w:shd w:val="solid" w:color="000000" w:fill="000000"/>
            <w:vAlign w:val="center"/>
          </w:tcPr>
          <w:p w14:paraId="0EA57722" w14:textId="520995FC" w:rsidR="00046EED" w:rsidRPr="00D12425" w:rsidRDefault="00D12425" w:rsidP="00046EED">
            <w:pPr>
              <w:keepNext/>
              <w:jc w:val="center"/>
              <w:rPr>
                <w:rFonts w:ascii="Arial Narrow" w:eastAsiaTheme="majorEastAsia" w:hAnsi="Arial Narrow" w:cstheme="majorBidi"/>
                <w:bCs/>
                <w:sz w:val="20"/>
                <w:lang w:val="en-US"/>
              </w:rPr>
            </w:pPr>
            <w:r w:rsidRPr="00D12425">
              <w:rPr>
                <w:rFonts w:ascii="Arial Narrow" w:eastAsiaTheme="majorEastAsia" w:hAnsi="Arial Narrow" w:cstheme="majorBidi"/>
                <w:bCs/>
                <w:color w:val="000000"/>
                <w:spacing w:val="197"/>
                <w:sz w:val="20"/>
                <w:fitText w:val="283" w:id="-1236619509"/>
                <w:lang w:val="en-US"/>
                <w14:textFill>
                  <w14:solidFill>
                    <w14:srgbClr w14:val="000000">
                      <w14:alpha w14:val="100000"/>
                    </w14:srgbClr>
                  </w14:solidFill>
                </w14:textFill>
              </w:rPr>
              <w:t>|</w:t>
            </w:r>
            <w:r w:rsidRPr="00D12425">
              <w:rPr>
                <w:rFonts w:ascii="Arial Narrow" w:eastAsiaTheme="majorEastAsia" w:hAnsi="Arial Narrow" w:cstheme="majorBidi"/>
                <w:bCs/>
                <w:color w:val="000000"/>
                <w:sz w:val="20"/>
                <w:fitText w:val="283" w:id="-1236619509"/>
                <w:lang w:val="en-US"/>
                <w14:textFill>
                  <w14:solidFill>
                    <w14:srgbClr w14:val="000000">
                      <w14:alpha w14:val="100000"/>
                    </w14:srgbClr>
                  </w14:solidFill>
                </w14:textFill>
              </w:rPr>
              <w:t>|</w:t>
            </w:r>
          </w:p>
        </w:tc>
        <w:tc>
          <w:tcPr>
            <w:tcW w:w="690" w:type="pct"/>
            <w:shd w:val="clear" w:color="auto" w:fill="auto"/>
            <w:vAlign w:val="center"/>
          </w:tcPr>
          <w:p w14:paraId="7CD80C98" w14:textId="77777777" w:rsidR="00046EED" w:rsidRPr="006B0C9B" w:rsidRDefault="00046EED" w:rsidP="00046EED">
            <w:pPr>
              <w:keepNext/>
              <w:jc w:val="center"/>
              <w:rPr>
                <w:rFonts w:ascii="Arial Narrow" w:eastAsiaTheme="majorEastAsia" w:hAnsi="Arial Narrow" w:cstheme="majorBidi"/>
                <w:bCs/>
                <w:sz w:val="20"/>
                <w:lang w:val="en-US"/>
              </w:rPr>
            </w:pPr>
            <w:r w:rsidRPr="006B0C9B">
              <w:rPr>
                <w:rFonts w:ascii="Arial Narrow" w:eastAsiaTheme="majorEastAsia" w:hAnsi="Arial Narrow" w:cstheme="majorBidi"/>
                <w:bCs/>
                <w:sz w:val="20"/>
                <w:lang w:val="en-US"/>
              </w:rPr>
              <w:t>$51,006</w:t>
            </w:r>
          </w:p>
        </w:tc>
        <w:tc>
          <w:tcPr>
            <w:tcW w:w="689" w:type="pct"/>
            <w:shd w:val="clear" w:color="auto" w:fill="auto"/>
            <w:vAlign w:val="center"/>
          </w:tcPr>
          <w:p w14:paraId="07681ABC" w14:textId="77777777" w:rsidR="00046EED" w:rsidRPr="006B0C9B" w:rsidRDefault="00046EED" w:rsidP="00046EED">
            <w:pPr>
              <w:keepNext/>
              <w:jc w:val="center"/>
              <w:rPr>
                <w:rFonts w:ascii="Arial Narrow" w:eastAsiaTheme="majorEastAsia" w:hAnsi="Arial Narrow" w:cstheme="majorBidi"/>
                <w:bCs/>
                <w:sz w:val="20"/>
                <w:lang w:val="en-US"/>
              </w:rPr>
            </w:pPr>
            <w:r w:rsidRPr="006B0C9B">
              <w:rPr>
                <w:rFonts w:ascii="Arial Narrow" w:eastAsiaTheme="majorEastAsia" w:hAnsi="Arial Narrow" w:cstheme="majorBidi"/>
                <w:bCs/>
                <w:sz w:val="20"/>
                <w:lang w:val="en-US"/>
              </w:rPr>
              <w:t>$61,227</w:t>
            </w:r>
          </w:p>
        </w:tc>
        <w:tc>
          <w:tcPr>
            <w:tcW w:w="689" w:type="pct"/>
          </w:tcPr>
          <w:p w14:paraId="3FD646FC" w14:textId="78FEC830" w:rsidR="00046EED" w:rsidRPr="00653DD9" w:rsidRDefault="00046EED" w:rsidP="00046EED">
            <w:pPr>
              <w:keepNext/>
              <w:jc w:val="center"/>
              <w:rPr>
                <w:rFonts w:ascii="Arial Narrow" w:eastAsiaTheme="majorEastAsia" w:hAnsi="Arial Narrow" w:cstheme="majorBidi"/>
                <w:bCs/>
                <w:sz w:val="20"/>
                <w:lang w:val="en-US"/>
              </w:rPr>
            </w:pPr>
            <w:r w:rsidRPr="00653DD9">
              <w:rPr>
                <w:rFonts w:ascii="Arial Narrow" w:eastAsiaTheme="majorEastAsia" w:hAnsi="Arial Narrow" w:cstheme="majorBidi"/>
                <w:sz w:val="20"/>
                <w:lang w:val="en-US"/>
              </w:rPr>
              <w:t>Unclear</w:t>
            </w:r>
          </w:p>
        </w:tc>
      </w:tr>
    </w:tbl>
    <w:p w14:paraId="3C63EABA" w14:textId="26892922" w:rsidR="006B0C9B" w:rsidRDefault="006B0C9B" w:rsidP="006B0C9B">
      <w:pPr>
        <w:pStyle w:val="FooterTableFigure"/>
      </w:pPr>
      <w:r>
        <w:t xml:space="preserve">Source: Section 2.4, p43 of the submission; Table 3.8.1, p196 and Table 3.8.2, p196 of the submission </w:t>
      </w:r>
    </w:p>
    <w:p w14:paraId="6030B9FC" w14:textId="3F322E8B" w:rsidR="006B0C9B" w:rsidRDefault="006B0C9B" w:rsidP="006B0C9B">
      <w:pPr>
        <w:pStyle w:val="FooterTableFigure"/>
      </w:pPr>
      <w:r w:rsidRPr="006B0C9B">
        <w:rPr>
          <w:vertAlign w:val="superscript"/>
        </w:rPr>
        <w:t>a</w:t>
      </w:r>
      <w:r>
        <w:t xml:space="preserve"> </w:t>
      </w:r>
      <w:r w:rsidR="003965C9">
        <w:t>B</w:t>
      </w:r>
      <w:r>
        <w:t>ased on published price for pembrolizumab</w:t>
      </w:r>
    </w:p>
    <w:p w14:paraId="485BDF46" w14:textId="164512DF" w:rsidR="006B0C9B" w:rsidRDefault="006B0C9B" w:rsidP="006B0C9B">
      <w:pPr>
        <w:pStyle w:val="FooterTableFigure"/>
      </w:pPr>
      <w:r w:rsidRPr="006B0C9B">
        <w:rPr>
          <w:vertAlign w:val="superscript"/>
        </w:rPr>
        <w:t>b</w:t>
      </w:r>
      <w:r>
        <w:t xml:space="preserve"> </w:t>
      </w:r>
      <w:r w:rsidR="003965C9">
        <w:t>B</w:t>
      </w:r>
      <w:r>
        <w:t>ack-calculated in the model by dividing undiscounted total cost per patient per course by cost per patient per cycle.</w:t>
      </w:r>
    </w:p>
    <w:p w14:paraId="07915B65" w14:textId="77777777" w:rsidR="006B0C9B" w:rsidRDefault="006B0C9B" w:rsidP="006B0C9B">
      <w:pPr>
        <w:pStyle w:val="FooterTableFigure"/>
      </w:pPr>
      <w:r w:rsidRPr="006B0C9B">
        <w:rPr>
          <w:vertAlign w:val="superscript"/>
        </w:rPr>
        <w:t>c</w:t>
      </w:r>
      <w:r>
        <w:t xml:space="preserve"> Cost/patient/cycle is based on weighted DPMA.</w:t>
      </w:r>
    </w:p>
    <w:p w14:paraId="3E7AA81B" w14:textId="03306371" w:rsidR="00046EED" w:rsidRDefault="006B0C9B" w:rsidP="006B0C9B">
      <w:pPr>
        <w:pStyle w:val="FooterTableFigure"/>
      </w:pPr>
      <w:r w:rsidRPr="00BE1B9E">
        <w:rPr>
          <w:vertAlign w:val="superscript"/>
        </w:rPr>
        <w:t>d</w:t>
      </w:r>
      <w:r>
        <w:t xml:space="preserve"> Cost/patient/course = cost/patient/month × mean duration</w:t>
      </w:r>
    </w:p>
    <w:p w14:paraId="67BF1DEA" w14:textId="4B21AC9C" w:rsidR="00046EED" w:rsidRPr="00653DD9" w:rsidRDefault="00353FDC" w:rsidP="00046EED">
      <w:pPr>
        <w:pStyle w:val="3-BodyText"/>
      </w:pPr>
      <w:r>
        <w:t xml:space="preserve">The cost per patient per course for tebentafusp included the first three doses, which are administered in the inpatient setting. These doses would not be funded through the PBS for public patients. </w:t>
      </w:r>
      <w:r w:rsidR="00046EED" w:rsidRPr="00653DD9">
        <w:t xml:space="preserve">The approach used by the submission to calculate financial estimates for pembrolizumab was uncertain. </w:t>
      </w:r>
    </w:p>
    <w:p w14:paraId="268768EF" w14:textId="41809A08" w:rsidR="00B60939" w:rsidRPr="00C9624D" w:rsidRDefault="00B60939" w:rsidP="002B05A1">
      <w:pPr>
        <w:pStyle w:val="4-SubsectionHeading"/>
      </w:pPr>
      <w:bookmarkStart w:id="72" w:name="_Toc22897647"/>
      <w:bookmarkStart w:id="73" w:name="_Toc124257839"/>
      <w:r w:rsidRPr="00C9624D">
        <w:t>Estimated PBS usage &amp; financial implications</w:t>
      </w:r>
      <w:bookmarkEnd w:id="72"/>
      <w:bookmarkEnd w:id="73"/>
    </w:p>
    <w:p w14:paraId="1FD89911" w14:textId="1484C63A" w:rsidR="00AF3847" w:rsidRPr="00BE1B9E" w:rsidRDefault="00AF3847" w:rsidP="00AF3847">
      <w:pPr>
        <w:pStyle w:val="3-BodyText"/>
        <w:rPr>
          <w:color w:val="0066FF"/>
        </w:rPr>
      </w:pPr>
      <w:bookmarkStart w:id="74" w:name="_Toc22897648"/>
      <w:bookmarkStart w:id="75" w:name="_Toc124257840"/>
      <w:r w:rsidRPr="00BE1B9E">
        <w:t xml:space="preserve">This submission </w:t>
      </w:r>
      <w:r>
        <w:t>was</w:t>
      </w:r>
      <w:r w:rsidRPr="00BE1B9E">
        <w:t xml:space="preserve"> considered by DUSC</w:t>
      </w:r>
      <w:r w:rsidRPr="00BE1B9E">
        <w:rPr>
          <w:color w:val="0070C0"/>
        </w:rPr>
        <w:t xml:space="preserve">. </w:t>
      </w:r>
    </w:p>
    <w:p w14:paraId="5374F578" w14:textId="24B0EF2B" w:rsidR="00AF3847" w:rsidRPr="000E09A7" w:rsidRDefault="00AF3847" w:rsidP="00AF3847">
      <w:pPr>
        <w:pStyle w:val="3-BodyText"/>
        <w:rPr>
          <w:color w:val="0066FF"/>
        </w:rPr>
      </w:pPr>
      <w:r w:rsidRPr="000E09A7">
        <w:t xml:space="preserve">The submission applied an epidemiological approach to estimate the utilisation and financial impact of listing tebentafusp on the PBS. A summary of key inputs and their data sources are presented in </w:t>
      </w:r>
      <w:r w:rsidRPr="000E09A7">
        <w:fldChar w:fldCharType="begin" w:fldLock="1"/>
      </w:r>
      <w:r w:rsidRPr="000E09A7">
        <w:instrText xml:space="preserve"> REF _Ref121654186 \h </w:instrText>
      </w:r>
      <w:r>
        <w:instrText xml:space="preserve"> \* MERGEFORMAT </w:instrText>
      </w:r>
      <w:r w:rsidRPr="000E09A7">
        <w:fldChar w:fldCharType="separate"/>
      </w:r>
      <w:r w:rsidR="00A53FF4">
        <w:t>Table 15</w:t>
      </w:r>
      <w:r w:rsidRPr="000E09A7">
        <w:fldChar w:fldCharType="end"/>
      </w:r>
      <w:r w:rsidRPr="000E09A7">
        <w:t>.</w:t>
      </w:r>
    </w:p>
    <w:p w14:paraId="48F9E3B2" w14:textId="380A3132" w:rsidR="00AF3847" w:rsidRPr="000A0CD2" w:rsidRDefault="00AF3847" w:rsidP="0047489A">
      <w:pPr>
        <w:pStyle w:val="Caption"/>
        <w:pageBreakBefore/>
        <w:rPr>
          <w:rStyle w:val="TableFigureHeadingChar"/>
        </w:rPr>
      </w:pPr>
      <w:bookmarkStart w:id="76" w:name="_Ref121654186"/>
      <w:r>
        <w:lastRenderedPageBreak/>
        <w:t xml:space="preserve">Table </w:t>
      </w:r>
      <w:fldSimple w:instr=" SEQ Table \* ARABIC " w:fldLock="1">
        <w:r w:rsidR="00A53FF4">
          <w:rPr>
            <w:noProof/>
          </w:rPr>
          <w:t>15</w:t>
        </w:r>
      </w:fldSimple>
      <w:bookmarkEnd w:id="76"/>
      <w:r>
        <w:t>:</w:t>
      </w:r>
      <w:r w:rsidRPr="000A0CD2">
        <w:rPr>
          <w:rStyle w:val="TableFigureHeadingChar"/>
        </w:rPr>
        <w:t xml:space="preserve"> </w:t>
      </w:r>
      <w:r w:rsidRPr="006F40BE">
        <w:rPr>
          <w:rStyle w:val="TableFigureHeadingChar"/>
          <w:b/>
          <w:bCs/>
        </w:rPr>
        <w:t>Key inputs for financial estimates</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605"/>
        <w:gridCol w:w="2040"/>
        <w:gridCol w:w="1924"/>
        <w:gridCol w:w="2276"/>
      </w:tblGrid>
      <w:tr w:rsidR="00825D95" w:rsidRPr="00235973" w14:paraId="23D81980" w14:textId="77777777" w:rsidTr="00235973">
        <w:trPr>
          <w:tblHeader/>
        </w:trPr>
        <w:tc>
          <w:tcPr>
            <w:tcW w:w="1270" w:type="dxa"/>
            <w:tcMar>
              <w:left w:w="20" w:type="dxa"/>
              <w:right w:w="20" w:type="dxa"/>
            </w:tcMar>
            <w:vAlign w:val="center"/>
          </w:tcPr>
          <w:p w14:paraId="10CF0A6F" w14:textId="77777777" w:rsidR="00825D95" w:rsidRPr="00235973" w:rsidRDefault="00825D95" w:rsidP="00B515FF">
            <w:pPr>
              <w:keepNext/>
              <w:keepLines/>
              <w:jc w:val="center"/>
              <w:rPr>
                <w:rFonts w:ascii="Arial Narrow" w:eastAsiaTheme="majorEastAsia" w:hAnsi="Arial Narrow" w:cs="Times New Roman"/>
                <w:b/>
                <w:sz w:val="20"/>
                <w:lang w:val="en-US"/>
              </w:rPr>
            </w:pPr>
            <w:r w:rsidRPr="00235973">
              <w:rPr>
                <w:rFonts w:ascii="Arial Narrow" w:eastAsiaTheme="majorEastAsia" w:hAnsi="Arial Narrow" w:cs="Times New Roman"/>
                <w:b/>
                <w:sz w:val="20"/>
                <w:lang w:val="en-US"/>
              </w:rPr>
              <w:t>Data</w:t>
            </w:r>
          </w:p>
        </w:tc>
        <w:tc>
          <w:tcPr>
            <w:tcW w:w="1605" w:type="dxa"/>
            <w:tcMar>
              <w:left w:w="20" w:type="dxa"/>
              <w:right w:w="20" w:type="dxa"/>
            </w:tcMar>
            <w:vAlign w:val="center"/>
          </w:tcPr>
          <w:p w14:paraId="71D00EA6" w14:textId="77777777" w:rsidR="00825D95" w:rsidRPr="00235973" w:rsidRDefault="00825D95" w:rsidP="00B515FF">
            <w:pPr>
              <w:keepNext/>
              <w:keepLines/>
              <w:jc w:val="center"/>
              <w:rPr>
                <w:rFonts w:ascii="Arial Narrow" w:eastAsiaTheme="majorEastAsia" w:hAnsi="Arial Narrow" w:cs="Times New Roman"/>
                <w:b/>
                <w:sz w:val="20"/>
                <w:lang w:val="en-US"/>
              </w:rPr>
            </w:pPr>
            <w:r w:rsidRPr="00235973">
              <w:rPr>
                <w:rFonts w:ascii="Arial Narrow" w:eastAsiaTheme="majorEastAsia" w:hAnsi="Arial Narrow" w:cs="Times New Roman"/>
                <w:b/>
                <w:sz w:val="20"/>
                <w:lang w:val="en-US"/>
              </w:rPr>
              <w:t>Value</w:t>
            </w:r>
          </w:p>
        </w:tc>
        <w:tc>
          <w:tcPr>
            <w:tcW w:w="2040" w:type="dxa"/>
            <w:tcMar>
              <w:left w:w="20" w:type="dxa"/>
              <w:right w:w="20" w:type="dxa"/>
            </w:tcMar>
            <w:vAlign w:val="center"/>
          </w:tcPr>
          <w:p w14:paraId="55CEFDB3" w14:textId="77777777" w:rsidR="00825D95" w:rsidRPr="00235973" w:rsidRDefault="00825D95" w:rsidP="00B515FF">
            <w:pPr>
              <w:keepNext/>
              <w:keepLines/>
              <w:jc w:val="center"/>
              <w:rPr>
                <w:rFonts w:ascii="Arial Narrow" w:eastAsiaTheme="majorEastAsia" w:hAnsi="Arial Narrow" w:cs="Times New Roman"/>
                <w:b/>
                <w:sz w:val="20"/>
                <w:lang w:val="en-US"/>
              </w:rPr>
            </w:pPr>
            <w:r w:rsidRPr="00235973">
              <w:rPr>
                <w:rFonts w:ascii="Arial Narrow" w:eastAsiaTheme="majorEastAsia" w:hAnsi="Arial Narrow" w:cs="Times New Roman"/>
                <w:b/>
                <w:sz w:val="20"/>
                <w:lang w:val="en-US"/>
              </w:rPr>
              <w:t>Source</w:t>
            </w:r>
          </w:p>
        </w:tc>
        <w:tc>
          <w:tcPr>
            <w:tcW w:w="4200" w:type="dxa"/>
            <w:gridSpan w:val="2"/>
            <w:tcMar>
              <w:left w:w="20" w:type="dxa"/>
              <w:right w:w="20" w:type="dxa"/>
            </w:tcMar>
            <w:vAlign w:val="center"/>
          </w:tcPr>
          <w:p w14:paraId="50BAA851" w14:textId="654A5E0F" w:rsidR="00825D95" w:rsidRPr="00235973" w:rsidRDefault="00825D95" w:rsidP="00B515FF">
            <w:pPr>
              <w:keepNext/>
              <w:keepLines/>
              <w:jc w:val="center"/>
              <w:rPr>
                <w:rFonts w:ascii="Arial Narrow" w:eastAsiaTheme="majorEastAsia" w:hAnsi="Arial Narrow" w:cs="Times New Roman"/>
                <w:b/>
                <w:sz w:val="20"/>
                <w:lang w:val="en-US"/>
              </w:rPr>
            </w:pPr>
            <w:r w:rsidRPr="00235973">
              <w:rPr>
                <w:rFonts w:ascii="Arial Narrow" w:eastAsiaTheme="majorEastAsia" w:hAnsi="Arial Narrow" w:cs="Times New Roman"/>
                <w:b/>
                <w:sz w:val="20"/>
                <w:lang w:val="en-US"/>
              </w:rPr>
              <w:t>Comments</w:t>
            </w:r>
          </w:p>
        </w:tc>
      </w:tr>
      <w:tr w:rsidR="00DF0B64" w:rsidRPr="00235973" w14:paraId="080B5DF6" w14:textId="77777777" w:rsidTr="00235973">
        <w:trPr>
          <w:tblHeader/>
        </w:trPr>
        <w:tc>
          <w:tcPr>
            <w:tcW w:w="9115" w:type="dxa"/>
            <w:gridSpan w:val="5"/>
            <w:tcMar>
              <w:left w:w="20" w:type="dxa"/>
              <w:right w:w="20" w:type="dxa"/>
            </w:tcMar>
            <w:vAlign w:val="center"/>
          </w:tcPr>
          <w:p w14:paraId="3456FBEC" w14:textId="77777777" w:rsidR="00DF0B64" w:rsidRPr="00235973" w:rsidRDefault="00DF0B64" w:rsidP="00B515FF">
            <w:pPr>
              <w:keepNext/>
              <w:keepLines/>
              <w:jc w:val="left"/>
              <w:rPr>
                <w:rFonts w:ascii="Arial Narrow" w:eastAsiaTheme="majorEastAsia" w:hAnsi="Arial Narrow" w:cs="Times New Roman"/>
                <w:b/>
                <w:sz w:val="20"/>
                <w:lang w:val="en-US"/>
              </w:rPr>
            </w:pPr>
            <w:r w:rsidRPr="00235973">
              <w:rPr>
                <w:rFonts w:ascii="Arial Narrow" w:eastAsiaTheme="majorEastAsia" w:hAnsi="Arial Narrow" w:cs="Times New Roman"/>
                <w:b/>
                <w:sz w:val="20"/>
                <w:lang w:val="en-US"/>
              </w:rPr>
              <w:t>Eligible population</w:t>
            </w:r>
          </w:p>
        </w:tc>
      </w:tr>
      <w:tr w:rsidR="00825D95" w:rsidRPr="00235973" w14:paraId="4A9A94BB" w14:textId="77777777" w:rsidTr="00235973">
        <w:tc>
          <w:tcPr>
            <w:tcW w:w="1270" w:type="dxa"/>
            <w:tcMar>
              <w:left w:w="20" w:type="dxa"/>
              <w:right w:w="20" w:type="dxa"/>
            </w:tcMar>
          </w:tcPr>
          <w:p w14:paraId="372055F3" w14:textId="77777777" w:rsidR="00825D95" w:rsidRPr="00235973" w:rsidRDefault="00825D95" w:rsidP="00B515FF">
            <w:pPr>
              <w:keepNext/>
              <w:keepLines/>
              <w:jc w:val="left"/>
              <w:rPr>
                <w:rFonts w:ascii="Arial Narrow" w:eastAsiaTheme="majorEastAsia" w:hAnsi="Arial Narrow" w:cstheme="majorBidi"/>
                <w:bCs/>
                <w:sz w:val="20"/>
              </w:rPr>
            </w:pPr>
            <w:r w:rsidRPr="00235973">
              <w:rPr>
                <w:rFonts w:ascii="Arial Narrow" w:eastAsiaTheme="majorEastAsia" w:hAnsi="Arial Narrow" w:cstheme="majorBidi"/>
                <w:bCs/>
                <w:sz w:val="20"/>
              </w:rPr>
              <w:t>Prevalent population</w:t>
            </w:r>
          </w:p>
        </w:tc>
        <w:tc>
          <w:tcPr>
            <w:tcW w:w="1605" w:type="dxa"/>
            <w:tcMar>
              <w:left w:w="20" w:type="dxa"/>
              <w:right w:w="20" w:type="dxa"/>
            </w:tcMar>
          </w:tcPr>
          <w:p w14:paraId="6E8E0BDD" w14:textId="4DAC591D" w:rsidR="00825D95" w:rsidRPr="00235973" w:rsidRDefault="00825D95" w:rsidP="00B515FF">
            <w:pPr>
              <w:keepNext/>
              <w:keepLines/>
              <w:jc w:val="left"/>
              <w:rPr>
                <w:rFonts w:ascii="Arial Narrow" w:eastAsiaTheme="majorEastAsia" w:hAnsi="Arial Narrow" w:cstheme="majorBidi"/>
                <w:bCs/>
                <w:sz w:val="20"/>
              </w:rPr>
            </w:pPr>
            <w:r w:rsidRPr="00235973">
              <w:rPr>
                <w:rFonts w:ascii="Arial Narrow" w:eastAsiaTheme="majorEastAsia" w:hAnsi="Arial Narrow" w:cstheme="majorBidi"/>
                <w:bCs/>
                <w:sz w:val="20"/>
              </w:rPr>
              <w:t>-</w:t>
            </w:r>
          </w:p>
        </w:tc>
        <w:tc>
          <w:tcPr>
            <w:tcW w:w="2040" w:type="dxa"/>
            <w:tcMar>
              <w:left w:w="20" w:type="dxa"/>
              <w:right w:w="20" w:type="dxa"/>
            </w:tcMar>
          </w:tcPr>
          <w:p w14:paraId="5A6A0D27" w14:textId="67E3831A" w:rsidR="00825D95" w:rsidRPr="00235973" w:rsidRDefault="00825D95" w:rsidP="00B515FF">
            <w:pPr>
              <w:keepNext/>
              <w:keepLines/>
              <w:jc w:val="left"/>
              <w:rPr>
                <w:rFonts w:ascii="Arial Narrow" w:eastAsiaTheme="majorEastAsia" w:hAnsi="Arial Narrow" w:cstheme="majorBidi"/>
                <w:bCs/>
                <w:sz w:val="20"/>
              </w:rPr>
            </w:pPr>
            <w:r w:rsidRPr="00235973">
              <w:rPr>
                <w:rFonts w:ascii="Arial Narrow" w:eastAsiaTheme="majorEastAsia" w:hAnsi="Arial Narrow" w:cstheme="majorBidi"/>
                <w:bCs/>
                <w:sz w:val="20"/>
              </w:rPr>
              <w:t>-</w:t>
            </w:r>
          </w:p>
        </w:tc>
        <w:tc>
          <w:tcPr>
            <w:tcW w:w="4200" w:type="dxa"/>
            <w:gridSpan w:val="2"/>
            <w:tcBorders>
              <w:right w:val="single" w:sz="4" w:space="0" w:color="auto"/>
            </w:tcBorders>
            <w:tcMar>
              <w:left w:w="20" w:type="dxa"/>
              <w:right w:w="20" w:type="dxa"/>
            </w:tcMar>
          </w:tcPr>
          <w:p w14:paraId="343AB0BA" w14:textId="20999182" w:rsidR="00825D95" w:rsidRPr="00235973" w:rsidRDefault="00825D95" w:rsidP="00B515FF">
            <w:pPr>
              <w:keepNext/>
              <w:keepLines/>
              <w:jc w:val="left"/>
              <w:rPr>
                <w:rFonts w:ascii="Arial Narrow" w:eastAsiaTheme="majorEastAsia" w:hAnsi="Arial Narrow" w:cstheme="majorBidi"/>
                <w:bCs/>
                <w:sz w:val="20"/>
              </w:rPr>
            </w:pPr>
            <w:r w:rsidRPr="00235973">
              <w:rPr>
                <w:rFonts w:ascii="Arial Narrow" w:eastAsiaTheme="majorEastAsia" w:hAnsi="Arial Narrow" w:cstheme="majorBidi"/>
                <w:bCs/>
                <w:sz w:val="20"/>
              </w:rPr>
              <w:t>DUSC considered that the lack of a prevalent population in the submission was reasonable, noting that the cost of tebentafusp was equivalent to a treatment course of 11 months which aligned with the mean time on treatment (10.3 months) in the trial and a mean survival of 10-12 months.</w:t>
            </w:r>
          </w:p>
        </w:tc>
      </w:tr>
      <w:tr w:rsidR="00825D95" w:rsidRPr="00235973" w14:paraId="1BC0B8DF" w14:textId="77777777" w:rsidTr="00235973">
        <w:tc>
          <w:tcPr>
            <w:tcW w:w="1270" w:type="dxa"/>
            <w:tcMar>
              <w:left w:w="20" w:type="dxa"/>
              <w:right w:w="20" w:type="dxa"/>
            </w:tcMar>
          </w:tcPr>
          <w:p w14:paraId="27489683" w14:textId="77777777" w:rsidR="00825D95" w:rsidRPr="00235973" w:rsidRDefault="00825D95" w:rsidP="00B515FF">
            <w:pPr>
              <w:keepNext/>
              <w:keepLines/>
              <w:jc w:val="left"/>
              <w:rPr>
                <w:rFonts w:ascii="Arial Narrow" w:eastAsiaTheme="majorEastAsia" w:hAnsi="Arial Narrow" w:cstheme="majorBidi"/>
                <w:bCs/>
                <w:sz w:val="20"/>
              </w:rPr>
            </w:pPr>
            <w:r w:rsidRPr="00235973">
              <w:rPr>
                <w:rFonts w:ascii="Arial Narrow" w:eastAsiaTheme="majorEastAsia" w:hAnsi="Arial Narrow" w:cstheme="majorBidi"/>
                <w:bCs/>
                <w:sz w:val="20"/>
              </w:rPr>
              <w:t>Incidence of primary uveal melanoma</w:t>
            </w:r>
          </w:p>
        </w:tc>
        <w:tc>
          <w:tcPr>
            <w:tcW w:w="1605" w:type="dxa"/>
            <w:tcMar>
              <w:left w:w="20" w:type="dxa"/>
              <w:right w:w="20" w:type="dxa"/>
            </w:tcMar>
          </w:tcPr>
          <w:p w14:paraId="26C2EB7E" w14:textId="77777777" w:rsidR="00825D95" w:rsidRPr="00235973" w:rsidRDefault="00825D95" w:rsidP="00B515FF">
            <w:pPr>
              <w:keepNext/>
              <w:keepLines/>
              <w:jc w:val="left"/>
              <w:rPr>
                <w:rFonts w:ascii="Arial Narrow" w:eastAsiaTheme="majorEastAsia" w:hAnsi="Arial Narrow" w:cstheme="majorBidi"/>
                <w:bCs/>
                <w:sz w:val="20"/>
              </w:rPr>
            </w:pPr>
            <w:r w:rsidRPr="00235973">
              <w:rPr>
                <w:rFonts w:ascii="Arial Narrow" w:eastAsiaTheme="majorEastAsia" w:hAnsi="Arial Narrow" w:cstheme="majorBidi"/>
                <w:bCs/>
                <w:sz w:val="20"/>
              </w:rPr>
              <w:t>205</w:t>
            </w:r>
          </w:p>
        </w:tc>
        <w:tc>
          <w:tcPr>
            <w:tcW w:w="2040" w:type="dxa"/>
            <w:tcMar>
              <w:left w:w="20" w:type="dxa"/>
              <w:right w:w="20" w:type="dxa"/>
            </w:tcMar>
          </w:tcPr>
          <w:p w14:paraId="1ED11AB1" w14:textId="56C4D850" w:rsidR="00825D95" w:rsidRPr="00235973" w:rsidRDefault="00825D95" w:rsidP="00B515FF">
            <w:pPr>
              <w:keepNext/>
              <w:keepLines/>
              <w:jc w:val="left"/>
              <w:rPr>
                <w:rFonts w:ascii="Arial Narrow" w:eastAsiaTheme="majorEastAsia" w:hAnsi="Arial Narrow" w:cstheme="majorBidi"/>
                <w:bCs/>
                <w:sz w:val="20"/>
              </w:rPr>
            </w:pPr>
            <w:r w:rsidRPr="00235973">
              <w:rPr>
                <w:rFonts w:ascii="Arial Narrow" w:eastAsiaTheme="majorEastAsia" w:hAnsi="Arial Narrow" w:cstheme="majorBidi"/>
                <w:bCs/>
                <w:sz w:val="20"/>
              </w:rPr>
              <w:t>7.6 per million based on Beasley et al</w:t>
            </w:r>
            <w:r w:rsidR="00235973">
              <w:rPr>
                <w:rFonts w:ascii="Arial Narrow" w:eastAsiaTheme="majorEastAsia" w:hAnsi="Arial Narrow" w:cstheme="majorBidi"/>
                <w:bCs/>
                <w:sz w:val="20"/>
              </w:rPr>
              <w:t xml:space="preserve">, </w:t>
            </w:r>
            <w:r w:rsidRPr="00235973">
              <w:rPr>
                <w:rFonts w:ascii="Arial Narrow" w:eastAsiaTheme="majorEastAsia" w:hAnsi="Arial Narrow" w:cstheme="majorBidi"/>
                <w:bCs/>
                <w:sz w:val="20"/>
              </w:rPr>
              <w:t>2019 and ABS population</w:t>
            </w:r>
          </w:p>
        </w:tc>
        <w:tc>
          <w:tcPr>
            <w:tcW w:w="4200" w:type="dxa"/>
            <w:gridSpan w:val="2"/>
            <w:tcBorders>
              <w:right w:val="single" w:sz="4" w:space="0" w:color="auto"/>
            </w:tcBorders>
            <w:tcMar>
              <w:left w:w="20" w:type="dxa"/>
              <w:right w:w="20" w:type="dxa"/>
            </w:tcMar>
          </w:tcPr>
          <w:p w14:paraId="5EA33840" w14:textId="77777777" w:rsidR="00825D95" w:rsidRPr="00235973" w:rsidRDefault="00825D95" w:rsidP="00B515FF">
            <w:pPr>
              <w:keepNext/>
              <w:keepLines/>
              <w:jc w:val="left"/>
              <w:rPr>
                <w:rFonts w:ascii="Arial Narrow" w:eastAsiaTheme="majorEastAsia" w:hAnsi="Arial Narrow" w:cstheme="majorBidi"/>
                <w:bCs/>
                <w:sz w:val="20"/>
              </w:rPr>
            </w:pPr>
            <w:r w:rsidRPr="00235973">
              <w:rPr>
                <w:rFonts w:ascii="Arial Narrow" w:eastAsiaTheme="majorEastAsia" w:hAnsi="Arial Narrow" w:cstheme="majorBidi"/>
                <w:bCs/>
                <w:sz w:val="20"/>
              </w:rPr>
              <w:t>The incidence rate was based on Australian data from 1982-2014.</w:t>
            </w:r>
          </w:p>
          <w:p w14:paraId="4311C509" w14:textId="00E8E55E" w:rsidR="00825D95" w:rsidRPr="00235973" w:rsidRDefault="00825D95" w:rsidP="00B515FF">
            <w:pPr>
              <w:keepNext/>
              <w:keepLines/>
              <w:jc w:val="left"/>
              <w:rPr>
                <w:rFonts w:ascii="Arial Narrow" w:eastAsiaTheme="majorEastAsia" w:hAnsi="Arial Narrow" w:cstheme="majorBidi"/>
                <w:bCs/>
                <w:i/>
                <w:iCs/>
                <w:sz w:val="20"/>
              </w:rPr>
            </w:pPr>
            <w:r w:rsidRPr="00235973">
              <w:rPr>
                <w:rFonts w:ascii="Arial Narrow" w:eastAsiaTheme="majorEastAsia" w:hAnsi="Arial Narrow" w:cstheme="majorBidi"/>
                <w:bCs/>
                <w:sz w:val="20"/>
              </w:rPr>
              <w:t xml:space="preserve">DUSC </w:t>
            </w:r>
            <w:r w:rsidR="00235973">
              <w:rPr>
                <w:rFonts w:ascii="Arial Narrow" w:eastAsiaTheme="majorEastAsia" w:hAnsi="Arial Narrow" w:cstheme="majorBidi"/>
                <w:bCs/>
                <w:sz w:val="20"/>
              </w:rPr>
              <w:t xml:space="preserve">noted that </w:t>
            </w:r>
            <w:r w:rsidRPr="00235973">
              <w:rPr>
                <w:rFonts w:ascii="Arial Narrow" w:eastAsiaTheme="majorEastAsia" w:hAnsi="Arial Narrow" w:cstheme="majorBidi"/>
                <w:bCs/>
                <w:sz w:val="20"/>
              </w:rPr>
              <w:t>International Classification of Diseases (ICD) coding reported to Department of Health and linked with Australian Institute of Health and Welfare (AIHW)</w:t>
            </w:r>
            <w:r w:rsidR="00235973">
              <w:rPr>
                <w:rFonts w:ascii="Arial Narrow" w:eastAsiaTheme="majorEastAsia" w:hAnsi="Arial Narrow" w:cstheme="majorBidi"/>
                <w:bCs/>
                <w:sz w:val="20"/>
              </w:rPr>
              <w:t xml:space="preserve"> was used</w:t>
            </w:r>
            <w:r w:rsidRPr="00235973">
              <w:rPr>
                <w:rFonts w:ascii="Arial Narrow" w:eastAsiaTheme="majorEastAsia" w:hAnsi="Arial Narrow" w:cstheme="majorBidi"/>
                <w:bCs/>
                <w:sz w:val="20"/>
              </w:rPr>
              <w:t>.</w:t>
            </w:r>
            <w:r w:rsidRPr="00235973">
              <w:rPr>
                <w:rFonts w:ascii="Arial Narrow" w:eastAsiaTheme="majorEastAsia" w:hAnsi="Arial Narrow" w:cstheme="majorBidi"/>
                <w:bCs/>
                <w:i/>
                <w:iCs/>
                <w:sz w:val="20"/>
              </w:rPr>
              <w:t xml:space="preserve"> </w:t>
            </w:r>
          </w:p>
        </w:tc>
      </w:tr>
      <w:tr w:rsidR="00825D95" w:rsidRPr="00235973" w14:paraId="156337AF" w14:textId="77777777" w:rsidTr="00235973">
        <w:tc>
          <w:tcPr>
            <w:tcW w:w="1270" w:type="dxa"/>
            <w:tcMar>
              <w:left w:w="20" w:type="dxa"/>
              <w:right w:w="20" w:type="dxa"/>
            </w:tcMar>
          </w:tcPr>
          <w:p w14:paraId="4B810B3E" w14:textId="77777777" w:rsidR="00825D95" w:rsidRPr="00235973" w:rsidRDefault="00825D95"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Incidence of metastatic uveal melanoma</w:t>
            </w:r>
          </w:p>
        </w:tc>
        <w:tc>
          <w:tcPr>
            <w:tcW w:w="1605" w:type="dxa"/>
            <w:tcMar>
              <w:left w:w="20" w:type="dxa"/>
              <w:right w:w="20" w:type="dxa"/>
            </w:tcMar>
          </w:tcPr>
          <w:p w14:paraId="30992743" w14:textId="77777777" w:rsidR="00825D95" w:rsidRPr="00235973" w:rsidRDefault="00825D95"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102</w:t>
            </w:r>
          </w:p>
        </w:tc>
        <w:tc>
          <w:tcPr>
            <w:tcW w:w="2040" w:type="dxa"/>
            <w:tcMar>
              <w:left w:w="20" w:type="dxa"/>
              <w:right w:w="20" w:type="dxa"/>
            </w:tcMar>
          </w:tcPr>
          <w:p w14:paraId="7E83F1BB" w14:textId="06C5F1FD" w:rsidR="00825D95" w:rsidRPr="00235973" w:rsidRDefault="00825D95" w:rsidP="00235973">
            <w:pPr>
              <w:ind w:right="-175"/>
              <w:jc w:val="left"/>
              <w:rPr>
                <w:rFonts w:ascii="Arial Narrow" w:eastAsiaTheme="majorEastAsia" w:hAnsi="Arial Narrow" w:cstheme="majorBidi"/>
                <w:bCs/>
                <w:sz w:val="20"/>
              </w:rPr>
            </w:pPr>
            <w:r w:rsidRPr="00235973">
              <w:rPr>
                <w:rFonts w:ascii="Arial Narrow" w:eastAsiaTheme="majorEastAsia" w:hAnsi="Arial Narrow" w:cstheme="majorBidi"/>
                <w:bCs/>
                <w:sz w:val="20"/>
              </w:rPr>
              <w:t xml:space="preserve">50% patients with UM will have metastatic disease </w:t>
            </w:r>
            <w:r w:rsidR="00235973">
              <w:rPr>
                <w:rFonts w:ascii="Arial Narrow" w:eastAsiaTheme="majorEastAsia" w:hAnsi="Arial Narrow" w:cstheme="majorBidi"/>
                <w:bCs/>
                <w:sz w:val="20"/>
              </w:rPr>
              <w:t>(</w:t>
            </w:r>
            <w:r w:rsidRPr="00235973">
              <w:rPr>
                <w:rFonts w:ascii="Arial Narrow" w:eastAsiaTheme="majorEastAsia" w:hAnsi="Arial Narrow" w:cstheme="majorBidi"/>
                <w:bCs/>
                <w:sz w:val="20"/>
              </w:rPr>
              <w:t>Kolandjian et al</w:t>
            </w:r>
            <w:r w:rsidR="00235973">
              <w:rPr>
                <w:rFonts w:ascii="Arial Narrow" w:eastAsiaTheme="majorEastAsia" w:hAnsi="Arial Narrow" w:cstheme="majorBidi"/>
                <w:bCs/>
                <w:sz w:val="20"/>
              </w:rPr>
              <w:t>,</w:t>
            </w:r>
            <w:r w:rsidRPr="00235973">
              <w:rPr>
                <w:rFonts w:ascii="Arial Narrow" w:eastAsiaTheme="majorEastAsia" w:hAnsi="Arial Narrow" w:cstheme="majorBidi"/>
                <w:bCs/>
                <w:sz w:val="20"/>
              </w:rPr>
              <w:t xml:space="preserve"> 2013)</w:t>
            </w:r>
          </w:p>
        </w:tc>
        <w:tc>
          <w:tcPr>
            <w:tcW w:w="4200" w:type="dxa"/>
            <w:gridSpan w:val="2"/>
            <w:tcBorders>
              <w:right w:val="single" w:sz="4" w:space="0" w:color="auto"/>
            </w:tcBorders>
            <w:tcMar>
              <w:left w:w="20" w:type="dxa"/>
              <w:right w:w="20" w:type="dxa"/>
            </w:tcMar>
          </w:tcPr>
          <w:p w14:paraId="19F2DF0A" w14:textId="6FB128A9" w:rsidR="00825D95" w:rsidRPr="00235973" w:rsidRDefault="00825D95" w:rsidP="00235973">
            <w:pPr>
              <w:jc w:val="left"/>
              <w:rPr>
                <w:rFonts w:ascii="Arial Narrow" w:eastAsiaTheme="majorEastAsia" w:hAnsi="Arial Narrow" w:cstheme="majorBidi"/>
                <w:bCs/>
                <w:i/>
                <w:iCs/>
                <w:sz w:val="20"/>
              </w:rPr>
            </w:pPr>
            <w:r w:rsidRPr="00235973">
              <w:rPr>
                <w:rFonts w:ascii="Arial Narrow" w:eastAsiaTheme="majorEastAsia" w:hAnsi="Arial Narrow" w:cstheme="majorBidi"/>
                <w:bCs/>
                <w:i/>
                <w:iCs/>
                <w:sz w:val="20"/>
              </w:rPr>
              <w:t xml:space="preserve">- </w:t>
            </w:r>
          </w:p>
        </w:tc>
      </w:tr>
      <w:tr w:rsidR="00825D95" w:rsidRPr="00235973" w14:paraId="63B9D44C" w14:textId="77777777" w:rsidTr="00235973">
        <w:tc>
          <w:tcPr>
            <w:tcW w:w="1270" w:type="dxa"/>
            <w:tcMar>
              <w:left w:w="20" w:type="dxa"/>
              <w:right w:w="20" w:type="dxa"/>
            </w:tcMar>
          </w:tcPr>
          <w:p w14:paraId="1A5BFF21" w14:textId="77777777" w:rsidR="00825D95" w:rsidRPr="00235973" w:rsidRDefault="00825D95"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 xml:space="preserve">HLA-A*02:01- positive patients </w:t>
            </w:r>
          </w:p>
        </w:tc>
        <w:tc>
          <w:tcPr>
            <w:tcW w:w="1605" w:type="dxa"/>
            <w:tcMar>
              <w:left w:w="20" w:type="dxa"/>
              <w:right w:w="20" w:type="dxa"/>
            </w:tcMar>
          </w:tcPr>
          <w:p w14:paraId="56576490" w14:textId="77777777" w:rsidR="00825D95" w:rsidRPr="00235973" w:rsidRDefault="00825D95"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50</w:t>
            </w:r>
          </w:p>
        </w:tc>
        <w:tc>
          <w:tcPr>
            <w:tcW w:w="2040" w:type="dxa"/>
            <w:tcMar>
              <w:left w:w="20" w:type="dxa"/>
              <w:right w:w="20" w:type="dxa"/>
            </w:tcMar>
          </w:tcPr>
          <w:p w14:paraId="71B9BE67" w14:textId="2BD721D2" w:rsidR="00825D95" w:rsidRPr="00235973" w:rsidRDefault="00825D95"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 xml:space="preserve">47% of patients will be HLA-A*02-01-positive </w:t>
            </w:r>
            <w:r w:rsidR="00235973">
              <w:rPr>
                <w:rFonts w:ascii="Arial Narrow" w:eastAsiaTheme="majorEastAsia" w:hAnsi="Arial Narrow" w:cstheme="majorBidi"/>
                <w:bCs/>
                <w:sz w:val="20"/>
              </w:rPr>
              <w:t>(</w:t>
            </w:r>
            <w:r w:rsidRPr="00235973">
              <w:rPr>
                <w:rFonts w:ascii="Arial Narrow" w:eastAsiaTheme="majorEastAsia" w:hAnsi="Arial Narrow" w:cstheme="majorBidi"/>
                <w:bCs/>
                <w:sz w:val="20"/>
              </w:rPr>
              <w:t>Allele Frequencies database</w:t>
            </w:r>
            <w:r w:rsidR="00235973">
              <w:rPr>
                <w:rFonts w:ascii="Arial Narrow" w:eastAsiaTheme="majorEastAsia" w:hAnsi="Arial Narrow" w:cstheme="majorBidi"/>
                <w:bCs/>
                <w:sz w:val="20"/>
              </w:rPr>
              <w:t>,</w:t>
            </w:r>
            <w:r w:rsidRPr="00235973">
              <w:rPr>
                <w:rFonts w:ascii="Arial Narrow" w:eastAsiaTheme="majorEastAsia" w:hAnsi="Arial Narrow" w:cstheme="majorBidi"/>
                <w:bCs/>
                <w:sz w:val="20"/>
              </w:rPr>
              <w:t xml:space="preserve"> 2021)</w:t>
            </w:r>
          </w:p>
        </w:tc>
        <w:tc>
          <w:tcPr>
            <w:tcW w:w="4200" w:type="dxa"/>
            <w:gridSpan w:val="2"/>
            <w:tcBorders>
              <w:right w:val="single" w:sz="4" w:space="0" w:color="auto"/>
            </w:tcBorders>
            <w:tcMar>
              <w:left w:w="20" w:type="dxa"/>
              <w:right w:w="20" w:type="dxa"/>
            </w:tcMar>
          </w:tcPr>
          <w:p w14:paraId="595D19F6" w14:textId="011B1643" w:rsidR="00825D95" w:rsidRPr="00235973" w:rsidRDefault="00825D95" w:rsidP="00235973">
            <w:pPr>
              <w:jc w:val="left"/>
              <w:rPr>
                <w:rFonts w:ascii="Arial Narrow" w:eastAsiaTheme="majorEastAsia" w:hAnsi="Arial Narrow" w:cstheme="majorBidi"/>
                <w:bCs/>
                <w:i/>
                <w:iCs/>
                <w:sz w:val="20"/>
              </w:rPr>
            </w:pPr>
            <w:r w:rsidRPr="00235973">
              <w:rPr>
                <w:rFonts w:ascii="Arial Narrow" w:eastAsiaTheme="majorEastAsia" w:hAnsi="Arial Narrow" w:cstheme="majorBidi"/>
                <w:bCs/>
                <w:i/>
                <w:iCs/>
                <w:sz w:val="20"/>
              </w:rPr>
              <w:t xml:space="preserve">- </w:t>
            </w:r>
          </w:p>
        </w:tc>
      </w:tr>
      <w:tr w:rsidR="00825D95" w:rsidRPr="00235973" w14:paraId="22796A4F" w14:textId="77777777" w:rsidTr="00235973">
        <w:tc>
          <w:tcPr>
            <w:tcW w:w="1270" w:type="dxa"/>
            <w:tcMar>
              <w:left w:w="20" w:type="dxa"/>
              <w:right w:w="20" w:type="dxa"/>
            </w:tcMar>
          </w:tcPr>
          <w:p w14:paraId="6B1250F5" w14:textId="77777777" w:rsidR="00825D95" w:rsidRPr="00235973" w:rsidRDefault="00825D95"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 xml:space="preserve">Total eligible incident patients </w:t>
            </w:r>
          </w:p>
        </w:tc>
        <w:tc>
          <w:tcPr>
            <w:tcW w:w="1605" w:type="dxa"/>
            <w:tcMar>
              <w:left w:w="20" w:type="dxa"/>
              <w:right w:w="20" w:type="dxa"/>
            </w:tcMar>
          </w:tcPr>
          <w:p w14:paraId="38B8AFAE" w14:textId="77777777" w:rsidR="00825D95" w:rsidRPr="00235973" w:rsidRDefault="00825D95"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40</w:t>
            </w:r>
          </w:p>
        </w:tc>
        <w:tc>
          <w:tcPr>
            <w:tcW w:w="2040" w:type="dxa"/>
            <w:tcMar>
              <w:left w:w="20" w:type="dxa"/>
              <w:right w:w="20" w:type="dxa"/>
            </w:tcMar>
          </w:tcPr>
          <w:p w14:paraId="2038769C" w14:textId="0BD3BD93" w:rsidR="00825D95" w:rsidRPr="00235973" w:rsidRDefault="00825D95"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 xml:space="preserve">80% </w:t>
            </w:r>
            <w:r w:rsidR="00235973">
              <w:rPr>
                <w:rFonts w:ascii="Arial Narrow" w:eastAsiaTheme="majorEastAsia" w:hAnsi="Arial Narrow" w:cstheme="majorBidi"/>
                <w:bCs/>
                <w:sz w:val="20"/>
              </w:rPr>
              <w:t>(</w:t>
            </w:r>
            <w:r w:rsidRPr="00235973">
              <w:rPr>
                <w:rFonts w:ascii="Arial Narrow" w:eastAsiaTheme="majorEastAsia" w:hAnsi="Arial Narrow" w:cstheme="majorBidi"/>
                <w:bCs/>
                <w:sz w:val="20"/>
              </w:rPr>
              <w:t>Clinical Advisory Board)</w:t>
            </w:r>
          </w:p>
        </w:tc>
        <w:tc>
          <w:tcPr>
            <w:tcW w:w="4200" w:type="dxa"/>
            <w:gridSpan w:val="2"/>
            <w:tcBorders>
              <w:right w:val="single" w:sz="4" w:space="0" w:color="auto"/>
            </w:tcBorders>
            <w:tcMar>
              <w:left w:w="20" w:type="dxa"/>
              <w:right w:w="20" w:type="dxa"/>
            </w:tcMar>
          </w:tcPr>
          <w:p w14:paraId="5CC591DB" w14:textId="1935DBA7" w:rsidR="00825D95" w:rsidRPr="00235973" w:rsidRDefault="00825D95" w:rsidP="00235973">
            <w:pPr>
              <w:keepNext/>
              <w:jc w:val="left"/>
              <w:rPr>
                <w:rFonts w:ascii="Arial Narrow" w:eastAsiaTheme="majorEastAsia" w:hAnsi="Arial Narrow" w:cstheme="majorBidi"/>
                <w:bCs/>
                <w:sz w:val="20"/>
              </w:rPr>
            </w:pPr>
            <w:r w:rsidRPr="00235973">
              <w:rPr>
                <w:rFonts w:ascii="Arial Narrow" w:eastAsiaTheme="majorEastAsia" w:hAnsi="Arial Narrow" w:cstheme="majorBidi"/>
                <w:bCs/>
                <w:sz w:val="20"/>
              </w:rPr>
              <w:t xml:space="preserve">DUSC considered that the willingness to use tebentafusp would be high given lack of treatment options. </w:t>
            </w:r>
          </w:p>
        </w:tc>
      </w:tr>
      <w:tr w:rsidR="00DF0B64" w:rsidRPr="00235973" w14:paraId="07EC860F" w14:textId="77777777" w:rsidTr="00235973">
        <w:tc>
          <w:tcPr>
            <w:tcW w:w="6839" w:type="dxa"/>
            <w:gridSpan w:val="4"/>
            <w:tcMar>
              <w:left w:w="20" w:type="dxa"/>
              <w:right w:w="20" w:type="dxa"/>
            </w:tcMar>
            <w:vAlign w:val="center"/>
          </w:tcPr>
          <w:p w14:paraId="26F013D2" w14:textId="77777777" w:rsidR="00DF0B64" w:rsidRPr="00235973" w:rsidRDefault="00DF0B64" w:rsidP="00A704EE">
            <w:pPr>
              <w:keepNext/>
              <w:jc w:val="left"/>
              <w:rPr>
                <w:rFonts w:ascii="Arial Narrow" w:eastAsiaTheme="majorEastAsia" w:hAnsi="Arial Narrow" w:cstheme="majorBidi"/>
                <w:b/>
                <w:sz w:val="20"/>
              </w:rPr>
            </w:pPr>
            <w:r w:rsidRPr="00235973">
              <w:rPr>
                <w:rFonts w:ascii="Arial Narrow" w:eastAsiaTheme="majorEastAsia" w:hAnsi="Arial Narrow" w:cstheme="majorBidi"/>
                <w:b/>
                <w:sz w:val="20"/>
              </w:rPr>
              <w:t>Treatment utilisation</w:t>
            </w:r>
          </w:p>
        </w:tc>
        <w:tc>
          <w:tcPr>
            <w:tcW w:w="2276" w:type="dxa"/>
            <w:tcBorders>
              <w:top w:val="single" w:sz="4" w:space="0" w:color="auto"/>
              <w:bottom w:val="single" w:sz="4" w:space="0" w:color="auto"/>
            </w:tcBorders>
            <w:tcMar>
              <w:left w:w="20" w:type="dxa"/>
              <w:right w:w="20" w:type="dxa"/>
            </w:tcMar>
          </w:tcPr>
          <w:p w14:paraId="63351ED4" w14:textId="77777777" w:rsidR="00DF0B64" w:rsidRPr="00235973" w:rsidRDefault="00DF0B64" w:rsidP="00A704EE">
            <w:pPr>
              <w:keepNext/>
              <w:jc w:val="left"/>
              <w:rPr>
                <w:rFonts w:ascii="Arial Narrow" w:eastAsiaTheme="majorEastAsia" w:hAnsi="Arial Narrow" w:cstheme="majorBidi"/>
                <w:b/>
                <w:sz w:val="20"/>
              </w:rPr>
            </w:pPr>
          </w:p>
        </w:tc>
      </w:tr>
      <w:tr w:rsidR="00825D95" w:rsidRPr="00235973" w14:paraId="00FF39C3" w14:textId="77777777" w:rsidTr="00235973">
        <w:tc>
          <w:tcPr>
            <w:tcW w:w="1270" w:type="dxa"/>
            <w:tcMar>
              <w:left w:w="20" w:type="dxa"/>
              <w:right w:w="20" w:type="dxa"/>
            </w:tcMar>
          </w:tcPr>
          <w:p w14:paraId="17DF952A" w14:textId="77777777" w:rsidR="00825D95" w:rsidRPr="00235973" w:rsidRDefault="00825D95"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Uptake - Initiating</w:t>
            </w:r>
          </w:p>
        </w:tc>
        <w:tc>
          <w:tcPr>
            <w:tcW w:w="1605" w:type="dxa"/>
            <w:tcMar>
              <w:left w:w="20" w:type="dxa"/>
              <w:right w:w="20" w:type="dxa"/>
            </w:tcMar>
          </w:tcPr>
          <w:p w14:paraId="776A2A12" w14:textId="77777777" w:rsidR="00825D95" w:rsidRPr="00235973" w:rsidRDefault="00825D95"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90%</w:t>
            </w:r>
          </w:p>
        </w:tc>
        <w:tc>
          <w:tcPr>
            <w:tcW w:w="2040" w:type="dxa"/>
            <w:tcMar>
              <w:left w:w="20" w:type="dxa"/>
              <w:right w:w="20" w:type="dxa"/>
            </w:tcMar>
          </w:tcPr>
          <w:p w14:paraId="3EDCEF1F" w14:textId="77777777" w:rsidR="00825D95" w:rsidRPr="00235973" w:rsidRDefault="00825D95"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Clinical Advisory Board</w:t>
            </w:r>
          </w:p>
        </w:tc>
        <w:tc>
          <w:tcPr>
            <w:tcW w:w="4200" w:type="dxa"/>
            <w:gridSpan w:val="2"/>
            <w:tcBorders>
              <w:right w:val="single" w:sz="4" w:space="0" w:color="auto"/>
            </w:tcBorders>
            <w:tcMar>
              <w:left w:w="20" w:type="dxa"/>
              <w:right w:w="20" w:type="dxa"/>
            </w:tcMar>
          </w:tcPr>
          <w:p w14:paraId="55E30337" w14:textId="30CEF04D" w:rsidR="00825D95" w:rsidRPr="00235973" w:rsidRDefault="00235973" w:rsidP="00235973">
            <w:pPr>
              <w:keepNext/>
              <w:jc w:val="left"/>
              <w:rPr>
                <w:rFonts w:ascii="Arial Narrow" w:eastAsiaTheme="majorEastAsia" w:hAnsi="Arial Narrow" w:cstheme="majorBidi"/>
                <w:bCs/>
                <w:i/>
                <w:iCs/>
                <w:sz w:val="20"/>
                <w:szCs w:val="20"/>
              </w:rPr>
            </w:pPr>
            <w:r w:rsidRPr="00235973">
              <w:rPr>
                <w:rFonts w:ascii="Arial Narrow" w:hAnsi="Arial Narrow"/>
                <w:kern w:val="24"/>
                <w:sz w:val="20"/>
                <w:szCs w:val="20"/>
              </w:rPr>
              <w:t xml:space="preserve">DUSC considered that </w:t>
            </w:r>
            <w:r w:rsidR="00825D95" w:rsidRPr="00235973">
              <w:rPr>
                <w:rFonts w:ascii="Arial Narrow" w:hAnsi="Arial Narrow"/>
                <w:kern w:val="24"/>
                <w:sz w:val="20"/>
                <w:szCs w:val="20"/>
              </w:rPr>
              <w:t>uptake would be high given lack of additional treatment options</w:t>
            </w:r>
            <w:r w:rsidR="00825D95" w:rsidRPr="00235973">
              <w:rPr>
                <w:rFonts w:ascii="Arial Narrow" w:hAnsi="Arial Narrow"/>
                <w:i/>
                <w:iCs/>
                <w:kern w:val="24"/>
                <w:sz w:val="20"/>
                <w:szCs w:val="20"/>
              </w:rPr>
              <w:t xml:space="preserve">. </w:t>
            </w:r>
          </w:p>
        </w:tc>
      </w:tr>
      <w:tr w:rsidR="00235973" w:rsidRPr="00235973" w14:paraId="5E9B2A37" w14:textId="77777777" w:rsidTr="00235973">
        <w:tc>
          <w:tcPr>
            <w:tcW w:w="1270" w:type="dxa"/>
            <w:tcMar>
              <w:left w:w="20" w:type="dxa"/>
              <w:right w:w="20" w:type="dxa"/>
            </w:tcMar>
          </w:tcPr>
          <w:p w14:paraId="5A57AD14"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Uptake - Continuing</w:t>
            </w:r>
          </w:p>
        </w:tc>
        <w:tc>
          <w:tcPr>
            <w:tcW w:w="1605" w:type="dxa"/>
            <w:tcMar>
              <w:left w:w="20" w:type="dxa"/>
              <w:right w:w="20" w:type="dxa"/>
            </w:tcMar>
          </w:tcPr>
          <w:p w14:paraId="7097BDCB"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100%</w:t>
            </w:r>
          </w:p>
        </w:tc>
        <w:tc>
          <w:tcPr>
            <w:tcW w:w="2040" w:type="dxa"/>
            <w:tcMar>
              <w:left w:w="20" w:type="dxa"/>
              <w:right w:w="20" w:type="dxa"/>
            </w:tcMar>
          </w:tcPr>
          <w:p w14:paraId="0858FEC6"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Clinical Advisory Board</w:t>
            </w:r>
          </w:p>
        </w:tc>
        <w:tc>
          <w:tcPr>
            <w:tcW w:w="4200" w:type="dxa"/>
            <w:gridSpan w:val="2"/>
            <w:tcBorders>
              <w:right w:val="single" w:sz="4" w:space="0" w:color="auto"/>
            </w:tcBorders>
            <w:tcMar>
              <w:left w:w="20" w:type="dxa"/>
              <w:right w:w="20" w:type="dxa"/>
            </w:tcMar>
          </w:tcPr>
          <w:p w14:paraId="0722D6E8" w14:textId="5EF69592" w:rsidR="00235973" w:rsidRPr="00235973" w:rsidRDefault="00235973" w:rsidP="00235973">
            <w:pPr>
              <w:keepNext/>
              <w:jc w:val="left"/>
              <w:rPr>
                <w:rFonts w:ascii="Arial Narrow" w:eastAsiaTheme="majorEastAsia" w:hAnsi="Arial Narrow" w:cstheme="majorBidi"/>
                <w:bCs/>
                <w:i/>
                <w:iCs/>
                <w:sz w:val="20"/>
                <w:szCs w:val="20"/>
              </w:rPr>
            </w:pPr>
            <w:r w:rsidRPr="00235973">
              <w:rPr>
                <w:rFonts w:ascii="Arial Narrow" w:hAnsi="Arial Narrow"/>
                <w:kern w:val="24"/>
                <w:sz w:val="20"/>
                <w:szCs w:val="20"/>
              </w:rPr>
              <w:t>DUSC considered that this was likely overestimated –although treatment discontinuation rate was low in trial (3.3%), managing toxicities in the frailer real-world population would result in a higher discontinuation rate.</w:t>
            </w:r>
            <w:r w:rsidRPr="00235973">
              <w:rPr>
                <w:rFonts w:ascii="Arial Narrow" w:hAnsi="Arial Narrow"/>
                <w:i/>
                <w:iCs/>
                <w:kern w:val="24"/>
                <w:sz w:val="20"/>
                <w:szCs w:val="20"/>
              </w:rPr>
              <w:t xml:space="preserve"> </w:t>
            </w:r>
          </w:p>
        </w:tc>
      </w:tr>
      <w:tr w:rsidR="00235973" w:rsidRPr="00235973" w14:paraId="3E684CD7" w14:textId="77777777" w:rsidTr="00235973">
        <w:tc>
          <w:tcPr>
            <w:tcW w:w="1270" w:type="dxa"/>
            <w:tcMar>
              <w:left w:w="20" w:type="dxa"/>
              <w:right w:w="20" w:type="dxa"/>
            </w:tcMar>
          </w:tcPr>
          <w:p w14:paraId="01AF7912"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Duration of treatment</w:t>
            </w:r>
          </w:p>
        </w:tc>
        <w:tc>
          <w:tcPr>
            <w:tcW w:w="1605" w:type="dxa"/>
            <w:tcMar>
              <w:left w:w="20" w:type="dxa"/>
              <w:right w:w="20" w:type="dxa"/>
            </w:tcMar>
          </w:tcPr>
          <w:p w14:paraId="43C44908" w14:textId="77777777" w:rsidR="00235973" w:rsidRPr="00235973" w:rsidRDefault="00235973" w:rsidP="00235973">
            <w:pPr>
              <w:keepNext/>
              <w:jc w:val="left"/>
              <w:rPr>
                <w:rFonts w:ascii="Arial Narrow" w:eastAsiaTheme="majorEastAsia" w:hAnsi="Arial Narrow" w:cstheme="majorBidi"/>
                <w:bCs/>
                <w:sz w:val="20"/>
              </w:rPr>
            </w:pPr>
            <w:r w:rsidRPr="00235973">
              <w:rPr>
                <w:rFonts w:ascii="Arial Narrow" w:eastAsiaTheme="majorEastAsia" w:hAnsi="Arial Narrow" w:cstheme="majorBidi"/>
                <w:bCs/>
                <w:sz w:val="20"/>
              </w:rPr>
              <w:t>10.3 months</w:t>
            </w:r>
          </w:p>
        </w:tc>
        <w:tc>
          <w:tcPr>
            <w:tcW w:w="2040" w:type="dxa"/>
            <w:tcMar>
              <w:left w:w="20" w:type="dxa"/>
              <w:right w:w="20" w:type="dxa"/>
            </w:tcMar>
          </w:tcPr>
          <w:p w14:paraId="5C32992A"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Mean duration of treatment with tebentafusp in the IMCgp100-20 trial</w:t>
            </w:r>
          </w:p>
        </w:tc>
        <w:tc>
          <w:tcPr>
            <w:tcW w:w="4200" w:type="dxa"/>
            <w:gridSpan w:val="2"/>
            <w:tcBorders>
              <w:right w:val="single" w:sz="4" w:space="0" w:color="auto"/>
            </w:tcBorders>
            <w:tcMar>
              <w:left w:w="20" w:type="dxa"/>
              <w:right w:w="20" w:type="dxa"/>
            </w:tcMar>
          </w:tcPr>
          <w:p w14:paraId="30516A50" w14:textId="3999DF8B" w:rsidR="00235973" w:rsidRPr="00235973" w:rsidRDefault="00DE117F" w:rsidP="00353FDC">
            <w:pPr>
              <w:jc w:val="left"/>
              <w:rPr>
                <w:rFonts w:ascii="Arial Narrow" w:eastAsiaTheme="majorEastAsia" w:hAnsi="Arial Narrow" w:cstheme="majorBidi"/>
                <w:bCs/>
                <w:i/>
                <w:iCs/>
                <w:sz w:val="20"/>
                <w:szCs w:val="20"/>
              </w:rPr>
            </w:pPr>
            <w:r>
              <w:rPr>
                <w:rFonts w:ascii="Arial Narrow" w:eastAsiaTheme="majorEastAsia" w:hAnsi="Arial Narrow" w:cstheme="majorBidi"/>
                <w:bCs/>
                <w:sz w:val="20"/>
              </w:rPr>
              <w:t>The PBAC noted that the submission incorrectly included the first 3 doses of tebentafusp</w:t>
            </w:r>
            <w:r w:rsidR="00353FDC">
              <w:rPr>
                <w:rFonts w:ascii="Arial Narrow" w:eastAsiaTheme="majorEastAsia" w:hAnsi="Arial Narrow" w:cstheme="majorBidi"/>
                <w:bCs/>
                <w:sz w:val="20"/>
              </w:rPr>
              <w:t xml:space="preserve"> for public patients</w:t>
            </w:r>
            <w:r>
              <w:rPr>
                <w:rFonts w:ascii="Arial Narrow" w:eastAsiaTheme="majorEastAsia" w:hAnsi="Arial Narrow" w:cstheme="majorBidi"/>
                <w:bCs/>
                <w:sz w:val="20"/>
              </w:rPr>
              <w:t xml:space="preserve">, which are given in the hospital </w:t>
            </w:r>
            <w:r w:rsidR="00353FDC">
              <w:rPr>
                <w:rFonts w:ascii="Arial Narrow" w:eastAsiaTheme="majorEastAsia" w:hAnsi="Arial Narrow" w:cstheme="majorBidi"/>
                <w:bCs/>
                <w:sz w:val="20"/>
              </w:rPr>
              <w:t xml:space="preserve">inpatient </w:t>
            </w:r>
            <w:r>
              <w:rPr>
                <w:rFonts w:ascii="Arial Narrow" w:eastAsiaTheme="majorEastAsia" w:hAnsi="Arial Narrow" w:cstheme="majorBidi"/>
                <w:bCs/>
                <w:sz w:val="20"/>
              </w:rPr>
              <w:t xml:space="preserve">setting, in the duration of treatment. </w:t>
            </w:r>
            <w:r w:rsidR="00235973" w:rsidRPr="00235973">
              <w:rPr>
                <w:rFonts w:ascii="Arial Narrow" w:eastAsiaTheme="majorEastAsia" w:hAnsi="Arial Narrow" w:cstheme="majorBidi"/>
                <w:bCs/>
                <w:sz w:val="20"/>
              </w:rPr>
              <w:t>The submission did not adjust for time on treatment with pembrolizumab.</w:t>
            </w:r>
            <w:r>
              <w:rPr>
                <w:rFonts w:ascii="Arial Narrow" w:eastAsiaTheme="majorEastAsia" w:hAnsi="Arial Narrow" w:cstheme="majorBidi"/>
                <w:bCs/>
                <w:sz w:val="20"/>
              </w:rPr>
              <w:t xml:space="preserve"> The duration of treatment with pembrolizumab was reduced to 4.5 months in the PSCR. Pembrolizumab cost offsets were removed from the model in the pre-PBAC response</w:t>
            </w:r>
            <w:r w:rsidR="00353FDC">
              <w:rPr>
                <w:rFonts w:ascii="Arial Narrow" w:eastAsiaTheme="majorEastAsia" w:hAnsi="Arial Narrow" w:cstheme="majorBidi"/>
                <w:bCs/>
                <w:sz w:val="20"/>
              </w:rPr>
              <w:t xml:space="preserve"> as it was assumed that treatment would be displaced, rather than replaced</w:t>
            </w:r>
            <w:r>
              <w:rPr>
                <w:rFonts w:ascii="Arial Narrow" w:eastAsiaTheme="majorEastAsia" w:hAnsi="Arial Narrow" w:cstheme="majorBidi"/>
                <w:bCs/>
                <w:sz w:val="20"/>
              </w:rPr>
              <w:t>.</w:t>
            </w:r>
          </w:p>
        </w:tc>
      </w:tr>
      <w:tr w:rsidR="00235973" w:rsidRPr="00235973" w14:paraId="1C12F917" w14:textId="77777777" w:rsidTr="00235973">
        <w:tc>
          <w:tcPr>
            <w:tcW w:w="1270" w:type="dxa"/>
            <w:tcMar>
              <w:left w:w="20" w:type="dxa"/>
              <w:right w:w="20" w:type="dxa"/>
            </w:tcMar>
          </w:tcPr>
          <w:p w14:paraId="42589C69"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Growth rate</w:t>
            </w:r>
          </w:p>
        </w:tc>
        <w:tc>
          <w:tcPr>
            <w:tcW w:w="1605" w:type="dxa"/>
            <w:tcMar>
              <w:left w:w="20" w:type="dxa"/>
              <w:right w:w="20" w:type="dxa"/>
            </w:tcMar>
          </w:tcPr>
          <w:p w14:paraId="5C754CD9" w14:textId="77777777" w:rsidR="00235973" w:rsidRPr="00235973" w:rsidRDefault="00235973" w:rsidP="00235973">
            <w:pPr>
              <w:keepNext/>
              <w:jc w:val="left"/>
              <w:rPr>
                <w:rFonts w:ascii="Arial Narrow" w:eastAsiaTheme="majorEastAsia" w:hAnsi="Arial Narrow" w:cstheme="majorBidi"/>
                <w:bCs/>
                <w:sz w:val="20"/>
              </w:rPr>
            </w:pPr>
            <w:r w:rsidRPr="00235973">
              <w:rPr>
                <w:rFonts w:ascii="Arial Narrow" w:eastAsiaTheme="majorEastAsia" w:hAnsi="Arial Narrow" w:cstheme="majorBidi"/>
                <w:bCs/>
                <w:sz w:val="20"/>
              </w:rPr>
              <w:t>Yr 1: -</w:t>
            </w:r>
          </w:p>
          <w:p w14:paraId="1B11FF78" w14:textId="77777777" w:rsidR="00235973" w:rsidRPr="00235973" w:rsidRDefault="00235973" w:rsidP="00235973">
            <w:pPr>
              <w:keepNext/>
              <w:jc w:val="left"/>
              <w:rPr>
                <w:rFonts w:ascii="Arial Narrow" w:eastAsiaTheme="majorEastAsia" w:hAnsi="Arial Narrow" w:cstheme="majorBidi"/>
                <w:bCs/>
                <w:sz w:val="20"/>
              </w:rPr>
            </w:pPr>
            <w:r w:rsidRPr="00235973">
              <w:rPr>
                <w:rFonts w:ascii="Arial Narrow" w:eastAsiaTheme="majorEastAsia" w:hAnsi="Arial Narrow" w:cstheme="majorBidi"/>
                <w:bCs/>
                <w:sz w:val="20"/>
              </w:rPr>
              <w:t>Yr 2: 1.02%</w:t>
            </w:r>
          </w:p>
          <w:p w14:paraId="1C8261E2" w14:textId="77777777" w:rsidR="00235973" w:rsidRPr="00235973" w:rsidRDefault="00235973" w:rsidP="00235973">
            <w:pPr>
              <w:keepNext/>
              <w:jc w:val="left"/>
              <w:rPr>
                <w:rFonts w:ascii="Arial Narrow" w:eastAsiaTheme="majorEastAsia" w:hAnsi="Arial Narrow" w:cstheme="majorBidi"/>
                <w:bCs/>
                <w:sz w:val="20"/>
              </w:rPr>
            </w:pPr>
            <w:r w:rsidRPr="00235973">
              <w:rPr>
                <w:rFonts w:ascii="Arial Narrow" w:eastAsiaTheme="majorEastAsia" w:hAnsi="Arial Narrow" w:cstheme="majorBidi"/>
                <w:bCs/>
                <w:sz w:val="20"/>
              </w:rPr>
              <w:t>Yr 3: 1.01%</w:t>
            </w:r>
          </w:p>
          <w:p w14:paraId="50F1D2EC" w14:textId="77777777" w:rsidR="00235973" w:rsidRPr="00235973" w:rsidRDefault="00235973" w:rsidP="00235973">
            <w:pPr>
              <w:keepNext/>
              <w:jc w:val="left"/>
              <w:rPr>
                <w:rFonts w:ascii="Arial Narrow" w:eastAsiaTheme="majorEastAsia" w:hAnsi="Arial Narrow" w:cstheme="majorBidi"/>
                <w:bCs/>
                <w:sz w:val="20"/>
              </w:rPr>
            </w:pPr>
            <w:r w:rsidRPr="00235973">
              <w:rPr>
                <w:rFonts w:ascii="Arial Narrow" w:eastAsiaTheme="majorEastAsia" w:hAnsi="Arial Narrow" w:cstheme="majorBidi"/>
                <w:bCs/>
                <w:sz w:val="20"/>
              </w:rPr>
              <w:t>Yr 3: 1.01%</w:t>
            </w:r>
          </w:p>
          <w:p w14:paraId="68358DEF" w14:textId="77777777" w:rsidR="00235973" w:rsidRPr="00235973" w:rsidRDefault="00235973" w:rsidP="00235973">
            <w:pPr>
              <w:keepNext/>
              <w:jc w:val="left"/>
              <w:rPr>
                <w:rFonts w:ascii="Arial Narrow" w:eastAsiaTheme="majorEastAsia" w:hAnsi="Arial Narrow" w:cstheme="majorBidi"/>
                <w:bCs/>
                <w:sz w:val="20"/>
              </w:rPr>
            </w:pPr>
            <w:r w:rsidRPr="00235973">
              <w:rPr>
                <w:rFonts w:ascii="Arial Narrow" w:eastAsiaTheme="majorEastAsia" w:hAnsi="Arial Narrow" w:cstheme="majorBidi"/>
                <w:bCs/>
                <w:sz w:val="20"/>
              </w:rPr>
              <w:t>Yr 4: 1.01%</w:t>
            </w:r>
          </w:p>
          <w:p w14:paraId="699300BC" w14:textId="77777777" w:rsidR="00235973" w:rsidRPr="00235973" w:rsidRDefault="00235973" w:rsidP="00235973">
            <w:pPr>
              <w:keepNext/>
              <w:jc w:val="left"/>
              <w:rPr>
                <w:rFonts w:ascii="Arial Narrow" w:eastAsiaTheme="majorEastAsia" w:hAnsi="Arial Narrow" w:cstheme="majorBidi"/>
                <w:bCs/>
                <w:sz w:val="20"/>
              </w:rPr>
            </w:pPr>
            <w:r w:rsidRPr="00235973">
              <w:rPr>
                <w:rFonts w:ascii="Arial Narrow" w:eastAsiaTheme="majorEastAsia" w:hAnsi="Arial Narrow" w:cstheme="majorBidi"/>
                <w:bCs/>
                <w:sz w:val="20"/>
              </w:rPr>
              <w:t>Yr 5: 1.01%</w:t>
            </w:r>
          </w:p>
          <w:p w14:paraId="47901040"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Yr 6: 1.01%</w:t>
            </w:r>
          </w:p>
        </w:tc>
        <w:tc>
          <w:tcPr>
            <w:tcW w:w="2040" w:type="dxa"/>
            <w:tcMar>
              <w:left w:w="20" w:type="dxa"/>
              <w:right w:w="20" w:type="dxa"/>
            </w:tcMar>
          </w:tcPr>
          <w:p w14:paraId="7CCC4CED"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 xml:space="preserve">ABS data </w:t>
            </w:r>
          </w:p>
        </w:tc>
        <w:tc>
          <w:tcPr>
            <w:tcW w:w="4200" w:type="dxa"/>
            <w:gridSpan w:val="2"/>
            <w:tcBorders>
              <w:right w:val="single" w:sz="4" w:space="0" w:color="auto"/>
            </w:tcBorders>
            <w:tcMar>
              <w:left w:w="20" w:type="dxa"/>
              <w:right w:w="20" w:type="dxa"/>
            </w:tcMar>
          </w:tcPr>
          <w:p w14:paraId="30DFFDA9" w14:textId="7D6B1E7A" w:rsidR="00235973" w:rsidRPr="00235973" w:rsidRDefault="00235973" w:rsidP="00235973">
            <w:pPr>
              <w:jc w:val="left"/>
              <w:rPr>
                <w:rFonts w:ascii="Arial Narrow" w:eastAsiaTheme="majorEastAsia" w:hAnsi="Arial Narrow" w:cstheme="majorBidi"/>
                <w:bCs/>
                <w:i/>
                <w:iCs/>
                <w:sz w:val="20"/>
                <w:szCs w:val="20"/>
              </w:rPr>
            </w:pPr>
            <w:r w:rsidRPr="00235973">
              <w:rPr>
                <w:rFonts w:ascii="Arial Narrow" w:hAnsi="Arial Narrow"/>
                <w:i/>
                <w:iCs/>
                <w:kern w:val="24"/>
                <w:sz w:val="20"/>
                <w:szCs w:val="20"/>
              </w:rPr>
              <w:t xml:space="preserve">- </w:t>
            </w:r>
          </w:p>
        </w:tc>
      </w:tr>
      <w:tr w:rsidR="00DF0B64" w:rsidRPr="00235973" w14:paraId="2A006684" w14:textId="77777777" w:rsidTr="00235973">
        <w:tc>
          <w:tcPr>
            <w:tcW w:w="9115" w:type="dxa"/>
            <w:gridSpan w:val="5"/>
            <w:tcBorders>
              <w:right w:val="single" w:sz="8" w:space="0" w:color="000000"/>
            </w:tcBorders>
            <w:tcMar>
              <w:left w:w="20" w:type="dxa"/>
              <w:right w:w="20" w:type="dxa"/>
            </w:tcMar>
            <w:vAlign w:val="center"/>
          </w:tcPr>
          <w:p w14:paraId="1EEA9FC7" w14:textId="77777777" w:rsidR="00DF0B64" w:rsidRPr="00235973" w:rsidRDefault="00DF0B64" w:rsidP="00A704EE">
            <w:pPr>
              <w:jc w:val="left"/>
              <w:rPr>
                <w:rFonts w:ascii="Arial Narrow" w:hAnsi="Arial Narrow"/>
                <w:b/>
                <w:i/>
                <w:iCs/>
                <w:kern w:val="24"/>
                <w:sz w:val="20"/>
                <w:szCs w:val="20"/>
              </w:rPr>
            </w:pPr>
            <w:r w:rsidRPr="00235973">
              <w:rPr>
                <w:rFonts w:ascii="Arial Narrow" w:eastAsiaTheme="majorEastAsia" w:hAnsi="Arial Narrow" w:cstheme="majorBidi"/>
                <w:b/>
                <w:sz w:val="20"/>
              </w:rPr>
              <w:t>Costs</w:t>
            </w:r>
          </w:p>
        </w:tc>
      </w:tr>
      <w:tr w:rsidR="00235973" w:rsidRPr="00235973" w14:paraId="15F8A3DF" w14:textId="77777777" w:rsidTr="00235973">
        <w:tc>
          <w:tcPr>
            <w:tcW w:w="1270" w:type="dxa"/>
            <w:tcMar>
              <w:left w:w="20" w:type="dxa"/>
              <w:right w:w="20" w:type="dxa"/>
            </w:tcMar>
          </w:tcPr>
          <w:p w14:paraId="6C69ABE5"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Wastage</w:t>
            </w:r>
          </w:p>
        </w:tc>
        <w:tc>
          <w:tcPr>
            <w:tcW w:w="1605" w:type="dxa"/>
            <w:tcMar>
              <w:left w:w="20" w:type="dxa"/>
              <w:right w:w="20" w:type="dxa"/>
            </w:tcMar>
          </w:tcPr>
          <w:p w14:paraId="2CF45725" w14:textId="77777777" w:rsidR="00235973" w:rsidRPr="00235973" w:rsidRDefault="00235973" w:rsidP="00235973">
            <w:pPr>
              <w:jc w:val="left"/>
              <w:rPr>
                <w:rFonts w:ascii="Arial Narrow" w:hAnsi="Arial Narrow" w:cs="Times New Roman"/>
                <w:sz w:val="20"/>
              </w:rPr>
            </w:pPr>
          </w:p>
        </w:tc>
        <w:tc>
          <w:tcPr>
            <w:tcW w:w="2040" w:type="dxa"/>
            <w:tcMar>
              <w:left w:w="20" w:type="dxa"/>
              <w:right w:w="20" w:type="dxa"/>
            </w:tcMar>
          </w:tcPr>
          <w:p w14:paraId="34BFF019" w14:textId="77777777" w:rsidR="00235973" w:rsidRPr="00235973" w:rsidRDefault="00235973" w:rsidP="00235973">
            <w:pPr>
              <w:jc w:val="left"/>
              <w:rPr>
                <w:rFonts w:ascii="Arial Narrow" w:eastAsiaTheme="majorEastAsia" w:hAnsi="Arial Narrow" w:cstheme="majorBidi"/>
                <w:bCs/>
                <w:sz w:val="20"/>
              </w:rPr>
            </w:pPr>
          </w:p>
        </w:tc>
        <w:tc>
          <w:tcPr>
            <w:tcW w:w="4200" w:type="dxa"/>
            <w:gridSpan w:val="2"/>
            <w:tcBorders>
              <w:right w:val="single" w:sz="4" w:space="0" w:color="auto"/>
            </w:tcBorders>
            <w:tcMar>
              <w:left w:w="20" w:type="dxa"/>
              <w:right w:w="20" w:type="dxa"/>
            </w:tcMar>
          </w:tcPr>
          <w:p w14:paraId="13189506" w14:textId="77777777" w:rsidR="00235973" w:rsidRPr="00235973" w:rsidRDefault="00235973" w:rsidP="00235973">
            <w:pPr>
              <w:jc w:val="left"/>
              <w:rPr>
                <w:rFonts w:ascii="Arial Narrow" w:hAnsi="Arial Narrow"/>
                <w:kern w:val="24"/>
                <w:sz w:val="20"/>
                <w:szCs w:val="20"/>
              </w:rPr>
            </w:pPr>
            <w:r w:rsidRPr="00235973">
              <w:rPr>
                <w:rFonts w:ascii="Arial Narrow" w:hAnsi="Arial Narrow"/>
                <w:kern w:val="24"/>
                <w:sz w:val="20"/>
                <w:szCs w:val="20"/>
              </w:rPr>
              <w:t>DUSC agreed with the commentary (5.02.COM.5) that there was likely to be significant wastage due to a lower maximum dosage than the dose per single vial use.</w:t>
            </w:r>
          </w:p>
          <w:p w14:paraId="467BC9C7" w14:textId="61236EAD" w:rsidR="00235973" w:rsidRPr="00235973" w:rsidRDefault="00235973" w:rsidP="00235973">
            <w:pPr>
              <w:ind w:right="-104"/>
              <w:jc w:val="left"/>
              <w:rPr>
                <w:rFonts w:ascii="Arial Narrow" w:hAnsi="Arial Narrow"/>
                <w:i/>
                <w:iCs/>
                <w:kern w:val="24"/>
                <w:sz w:val="20"/>
                <w:szCs w:val="20"/>
              </w:rPr>
            </w:pPr>
            <w:r w:rsidRPr="00235973">
              <w:rPr>
                <w:rFonts w:ascii="Arial Narrow" w:hAnsi="Arial Narrow"/>
                <w:kern w:val="24"/>
                <w:sz w:val="20"/>
                <w:szCs w:val="20"/>
              </w:rPr>
              <w:lastRenderedPageBreak/>
              <w:t>DUSC noted, but disagreed with the Pre-Sub-Committee Response (PSCR)</w:t>
            </w:r>
            <w:r w:rsidR="004B2763">
              <w:rPr>
                <w:rFonts w:ascii="Arial Narrow" w:hAnsi="Arial Narrow"/>
                <w:kern w:val="24"/>
                <w:sz w:val="20"/>
                <w:szCs w:val="20"/>
              </w:rPr>
              <w:t>,</w:t>
            </w:r>
            <w:r w:rsidRPr="00235973">
              <w:rPr>
                <w:rFonts w:ascii="Arial Narrow" w:hAnsi="Arial Narrow"/>
                <w:kern w:val="24"/>
                <w:sz w:val="20"/>
                <w:szCs w:val="20"/>
              </w:rPr>
              <w:t xml:space="preserve"> that the extra volume in the vial is needed to account for ‘dead-volume’.</w:t>
            </w:r>
          </w:p>
        </w:tc>
      </w:tr>
      <w:tr w:rsidR="00235973" w:rsidRPr="00235973" w14:paraId="5202F256" w14:textId="77777777" w:rsidTr="00235973">
        <w:tc>
          <w:tcPr>
            <w:tcW w:w="1270" w:type="dxa"/>
            <w:tcMar>
              <w:left w:w="20" w:type="dxa"/>
              <w:right w:w="20" w:type="dxa"/>
            </w:tcMar>
          </w:tcPr>
          <w:p w14:paraId="7EB36DE9"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lastRenderedPageBreak/>
              <w:t>Tebentafusp</w:t>
            </w:r>
          </w:p>
        </w:tc>
        <w:tc>
          <w:tcPr>
            <w:tcW w:w="1605" w:type="dxa"/>
            <w:tcMar>
              <w:left w:w="20" w:type="dxa"/>
              <w:right w:w="20" w:type="dxa"/>
            </w:tcMar>
          </w:tcPr>
          <w:p w14:paraId="448C83EC" w14:textId="77777777" w:rsidR="00235973" w:rsidRPr="00235973" w:rsidRDefault="00235973" w:rsidP="00235973">
            <w:pPr>
              <w:jc w:val="left"/>
              <w:rPr>
                <w:rFonts w:ascii="Arial Narrow" w:hAnsi="Arial Narrow" w:cs="Times New Roman"/>
                <w:sz w:val="20"/>
              </w:rPr>
            </w:pPr>
            <w:r w:rsidRPr="00235973">
              <w:rPr>
                <w:rFonts w:ascii="Arial Narrow" w:hAnsi="Arial Narrow" w:cs="Times New Roman"/>
                <w:sz w:val="20"/>
              </w:rPr>
              <w:t xml:space="preserve">Published: </w:t>
            </w:r>
          </w:p>
          <w:p w14:paraId="5DADCD60" w14:textId="77777777" w:rsidR="00235973" w:rsidRPr="00235973" w:rsidRDefault="00235973" w:rsidP="00235973">
            <w:pPr>
              <w:keepNext/>
              <w:ind w:right="-30"/>
              <w:jc w:val="left"/>
              <w:rPr>
                <w:rFonts w:ascii="Arial Narrow" w:eastAsiaTheme="majorEastAsia" w:hAnsi="Arial Narrow" w:cstheme="majorBidi"/>
                <w:bCs/>
                <w:sz w:val="20"/>
              </w:rPr>
            </w:pPr>
            <w:r w:rsidRPr="00235973">
              <w:rPr>
                <w:rFonts w:ascii="Arial Narrow" w:eastAsiaTheme="majorEastAsia" w:hAnsi="Arial Narrow" w:cstheme="majorBidi"/>
                <w:bCs/>
                <w:sz w:val="20"/>
              </w:rPr>
              <w:t>$19,624.36 (public)</w:t>
            </w:r>
            <w:r w:rsidRPr="00235973">
              <w:rPr>
                <w:rFonts w:ascii="Arial Narrow" w:eastAsiaTheme="majorEastAsia" w:hAnsi="Arial Narrow" w:cstheme="majorBidi"/>
                <w:bCs/>
                <w:sz w:val="20"/>
                <w:vertAlign w:val="superscript"/>
              </w:rPr>
              <w:t>1</w:t>
            </w:r>
            <w:r w:rsidRPr="00235973">
              <w:rPr>
                <w:rFonts w:ascii="Arial Narrow" w:eastAsiaTheme="majorEastAsia" w:hAnsi="Arial Narrow" w:cstheme="majorBidi"/>
                <w:bCs/>
                <w:sz w:val="20"/>
              </w:rPr>
              <w:t>; $19,939.51 (private)</w:t>
            </w:r>
          </w:p>
          <w:p w14:paraId="6FACB124" w14:textId="77777777" w:rsidR="00235973" w:rsidRPr="00235973" w:rsidRDefault="00235973" w:rsidP="00235973">
            <w:pPr>
              <w:jc w:val="left"/>
              <w:rPr>
                <w:rFonts w:ascii="Arial Narrow" w:hAnsi="Arial Narrow" w:cs="Times New Roman"/>
                <w:sz w:val="20"/>
              </w:rPr>
            </w:pPr>
            <w:r w:rsidRPr="00235973">
              <w:rPr>
                <w:rFonts w:ascii="Arial Narrow" w:hAnsi="Arial Narrow" w:cs="Times New Roman"/>
                <w:sz w:val="20"/>
              </w:rPr>
              <w:t xml:space="preserve">Effective: </w:t>
            </w:r>
          </w:p>
          <w:p w14:paraId="4F14A70A" w14:textId="751FBF6C" w:rsidR="00235973" w:rsidRPr="00235973" w:rsidRDefault="00235973" w:rsidP="00235973">
            <w:pPr>
              <w:jc w:val="left"/>
              <w:rPr>
                <w:rFonts w:ascii="Arial Narrow" w:hAnsi="Arial Narrow" w:cs="Times New Roman"/>
                <w:sz w:val="20"/>
              </w:rPr>
            </w:pPr>
            <w:r w:rsidRPr="00235973">
              <w:rPr>
                <w:rFonts w:ascii="Arial Narrow" w:hAnsi="Arial Narrow" w:cs="Times New Roman"/>
                <w:sz w:val="20"/>
              </w:rPr>
              <w:t>$</w:t>
            </w:r>
            <w:r w:rsidR="00D12425" w:rsidRPr="003D4DE8">
              <w:rPr>
                <w:rFonts w:ascii="Arial Narrow" w:hAnsi="Arial Narrow" w:cs="Times New Roman"/>
                <w:color w:val="000000"/>
                <w:spacing w:val="29"/>
                <w:sz w:val="20"/>
                <w:shd w:val="solid" w:color="000000" w:fill="000000"/>
                <w:fitText w:val="550" w:id="-1236619508"/>
                <w14:textFill>
                  <w14:solidFill>
                    <w14:srgbClr w14:val="000000">
                      <w14:alpha w14:val="100000"/>
                    </w14:srgbClr>
                  </w14:solidFill>
                </w14:textFill>
              </w:rPr>
              <w:t>|||||||</w:t>
            </w:r>
            <w:r w:rsidR="00D12425" w:rsidRPr="003D4DE8">
              <w:rPr>
                <w:rFonts w:ascii="Arial Narrow" w:hAnsi="Arial Narrow" w:cs="Times New Roman"/>
                <w:color w:val="000000"/>
                <w:spacing w:val="7"/>
                <w:sz w:val="20"/>
                <w:shd w:val="solid" w:color="000000" w:fill="000000"/>
                <w:fitText w:val="550" w:id="-1236619508"/>
                <w14:textFill>
                  <w14:solidFill>
                    <w14:srgbClr w14:val="000000">
                      <w14:alpha w14:val="100000"/>
                    </w14:srgbClr>
                  </w14:solidFill>
                </w14:textFill>
              </w:rPr>
              <w:t>|</w:t>
            </w:r>
            <w:r w:rsidRPr="00235973">
              <w:rPr>
                <w:rFonts w:ascii="Arial Narrow" w:hAnsi="Arial Narrow" w:cs="Times New Roman"/>
                <w:sz w:val="20"/>
              </w:rPr>
              <w:t>(public)</w:t>
            </w:r>
            <w:r w:rsidRPr="00235973">
              <w:rPr>
                <w:rFonts w:ascii="Arial Narrow" w:hAnsi="Arial Narrow" w:cs="Times New Roman"/>
                <w:sz w:val="20"/>
                <w:vertAlign w:val="superscript"/>
              </w:rPr>
              <w:t>1</w:t>
            </w:r>
            <w:r w:rsidRPr="00235973">
              <w:rPr>
                <w:rFonts w:ascii="Arial Narrow" w:hAnsi="Arial Narrow" w:cs="Times New Roman"/>
                <w:i/>
                <w:iCs/>
                <w:sz w:val="20"/>
              </w:rPr>
              <w:t>;</w:t>
            </w:r>
            <w:r w:rsidRPr="00235973">
              <w:rPr>
                <w:rFonts w:ascii="Arial Narrow" w:hAnsi="Arial Narrow" w:cs="Times New Roman"/>
                <w:sz w:val="20"/>
              </w:rPr>
              <w:t xml:space="preserve"> $</w:t>
            </w:r>
            <w:r w:rsidR="00D12425" w:rsidRPr="003D4DE8">
              <w:rPr>
                <w:rFonts w:ascii="Arial Narrow" w:hAnsi="Arial Narrow" w:cs="Times New Roman"/>
                <w:color w:val="000000"/>
                <w:spacing w:val="29"/>
                <w:sz w:val="20"/>
                <w:shd w:val="solid" w:color="000000" w:fill="000000"/>
                <w:fitText w:val="550" w:id="-1236619507"/>
                <w14:textFill>
                  <w14:solidFill>
                    <w14:srgbClr w14:val="000000">
                      <w14:alpha w14:val="100000"/>
                    </w14:srgbClr>
                  </w14:solidFill>
                </w14:textFill>
              </w:rPr>
              <w:t>|||||||</w:t>
            </w:r>
            <w:r w:rsidR="00D12425" w:rsidRPr="003D4DE8">
              <w:rPr>
                <w:rFonts w:ascii="Arial Narrow" w:hAnsi="Arial Narrow" w:cs="Times New Roman"/>
                <w:color w:val="000000"/>
                <w:spacing w:val="7"/>
                <w:sz w:val="20"/>
                <w:shd w:val="solid" w:color="000000" w:fill="000000"/>
                <w:fitText w:val="550" w:id="-1236619507"/>
                <w14:textFill>
                  <w14:solidFill>
                    <w14:srgbClr w14:val="000000">
                      <w14:alpha w14:val="100000"/>
                    </w14:srgbClr>
                  </w14:solidFill>
                </w14:textFill>
              </w:rPr>
              <w:t>|</w:t>
            </w:r>
            <w:r w:rsidRPr="00235973">
              <w:rPr>
                <w:rFonts w:ascii="Arial Narrow" w:hAnsi="Arial Narrow" w:cs="Times New Roman"/>
                <w:sz w:val="20"/>
              </w:rPr>
              <w:t>(private)</w:t>
            </w:r>
          </w:p>
        </w:tc>
        <w:tc>
          <w:tcPr>
            <w:tcW w:w="2040" w:type="dxa"/>
            <w:tcMar>
              <w:left w:w="20" w:type="dxa"/>
              <w:right w:w="20" w:type="dxa"/>
            </w:tcMar>
          </w:tcPr>
          <w:p w14:paraId="6659194D"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Requested DPMA</w:t>
            </w:r>
          </w:p>
        </w:tc>
        <w:tc>
          <w:tcPr>
            <w:tcW w:w="4200" w:type="dxa"/>
            <w:gridSpan w:val="2"/>
            <w:tcBorders>
              <w:right w:val="single" w:sz="4" w:space="0" w:color="auto"/>
            </w:tcBorders>
            <w:tcMar>
              <w:left w:w="20" w:type="dxa"/>
              <w:right w:w="20" w:type="dxa"/>
            </w:tcMar>
          </w:tcPr>
          <w:p w14:paraId="5DC4627B" w14:textId="47DAFE51" w:rsidR="00235973" w:rsidRPr="00235973" w:rsidRDefault="00235973" w:rsidP="00235973">
            <w:pPr>
              <w:jc w:val="left"/>
              <w:rPr>
                <w:rFonts w:ascii="Arial Narrow" w:hAnsi="Arial Narrow"/>
                <w:i/>
                <w:iCs/>
                <w:kern w:val="24"/>
                <w:sz w:val="20"/>
                <w:szCs w:val="20"/>
              </w:rPr>
            </w:pPr>
            <w:r w:rsidRPr="00235973">
              <w:rPr>
                <w:rFonts w:ascii="Arial Narrow" w:eastAsiaTheme="majorEastAsia" w:hAnsi="Arial Narrow" w:cstheme="majorBidi"/>
                <w:bCs/>
                <w:sz w:val="20"/>
              </w:rPr>
              <w:t>Inappropriate dispensing fees were applied to the AEMP.</w:t>
            </w:r>
          </w:p>
        </w:tc>
      </w:tr>
      <w:tr w:rsidR="00235973" w:rsidRPr="00235973" w14:paraId="4282A433" w14:textId="77777777" w:rsidTr="00235973">
        <w:tc>
          <w:tcPr>
            <w:tcW w:w="1270" w:type="dxa"/>
            <w:tcMar>
              <w:left w:w="20" w:type="dxa"/>
              <w:right w:w="20" w:type="dxa"/>
            </w:tcMar>
          </w:tcPr>
          <w:p w14:paraId="56179C11"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Pembrolizumab</w:t>
            </w:r>
          </w:p>
        </w:tc>
        <w:tc>
          <w:tcPr>
            <w:tcW w:w="1605" w:type="dxa"/>
            <w:tcMar>
              <w:left w:w="20" w:type="dxa"/>
              <w:right w:w="20" w:type="dxa"/>
            </w:tcMar>
          </w:tcPr>
          <w:p w14:paraId="62CB154F"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$7,742.39 (public), $7,883.27 (private), $7,848.91 (weighted)</w:t>
            </w:r>
          </w:p>
        </w:tc>
        <w:tc>
          <w:tcPr>
            <w:tcW w:w="2040" w:type="dxa"/>
            <w:tcMar>
              <w:left w:w="20" w:type="dxa"/>
              <w:right w:w="20" w:type="dxa"/>
            </w:tcMar>
          </w:tcPr>
          <w:p w14:paraId="23FD6F70"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PBS items 10493G, 10436G, 10475H and 10424P. Effective prices for pembrolizumab are not available in the public domain.</w:t>
            </w:r>
          </w:p>
        </w:tc>
        <w:tc>
          <w:tcPr>
            <w:tcW w:w="4200" w:type="dxa"/>
            <w:gridSpan w:val="2"/>
            <w:tcBorders>
              <w:right w:val="single" w:sz="4" w:space="0" w:color="auto"/>
            </w:tcBorders>
            <w:tcMar>
              <w:left w:w="20" w:type="dxa"/>
              <w:right w:w="20" w:type="dxa"/>
            </w:tcMar>
          </w:tcPr>
          <w:p w14:paraId="04A17E9B" w14:textId="375B3481" w:rsidR="00235973" w:rsidRPr="00235973" w:rsidRDefault="00235973" w:rsidP="00235973">
            <w:pPr>
              <w:jc w:val="left"/>
              <w:rPr>
                <w:rFonts w:ascii="Arial Narrow" w:hAnsi="Arial Narrow"/>
                <w:i/>
                <w:iCs/>
                <w:kern w:val="24"/>
                <w:sz w:val="20"/>
                <w:szCs w:val="20"/>
              </w:rPr>
            </w:pPr>
            <w:r w:rsidRPr="00235973">
              <w:rPr>
                <w:rFonts w:ascii="Arial Narrow" w:eastAsiaTheme="majorEastAsia" w:hAnsi="Arial Narrow" w:cstheme="majorBidi"/>
                <w:bCs/>
                <w:sz w:val="20"/>
              </w:rPr>
              <w:t>Inappropriate dispensing fees were applied to the AEMP.</w:t>
            </w:r>
          </w:p>
        </w:tc>
      </w:tr>
      <w:tr w:rsidR="00235973" w:rsidRPr="00235973" w14:paraId="1655B7E4" w14:textId="77777777" w:rsidTr="00235973">
        <w:tc>
          <w:tcPr>
            <w:tcW w:w="1270" w:type="dxa"/>
            <w:tcMar>
              <w:left w:w="20" w:type="dxa"/>
              <w:right w:w="20" w:type="dxa"/>
            </w:tcMar>
          </w:tcPr>
          <w:p w14:paraId="28E21298"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MBS costs</w:t>
            </w:r>
          </w:p>
        </w:tc>
        <w:tc>
          <w:tcPr>
            <w:tcW w:w="1605" w:type="dxa"/>
            <w:tcMar>
              <w:left w:w="20" w:type="dxa"/>
              <w:right w:w="20" w:type="dxa"/>
            </w:tcMar>
          </w:tcPr>
          <w:p w14:paraId="03F01170"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$114.20</w:t>
            </w:r>
          </w:p>
        </w:tc>
        <w:tc>
          <w:tcPr>
            <w:tcW w:w="2040" w:type="dxa"/>
            <w:tcMar>
              <w:left w:w="20" w:type="dxa"/>
              <w:right w:w="20" w:type="dxa"/>
            </w:tcMar>
          </w:tcPr>
          <w:p w14:paraId="2BD99C5A"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MBS item 13950</w:t>
            </w:r>
          </w:p>
        </w:tc>
        <w:tc>
          <w:tcPr>
            <w:tcW w:w="4200" w:type="dxa"/>
            <w:gridSpan w:val="2"/>
            <w:tcMar>
              <w:left w:w="20" w:type="dxa"/>
              <w:right w:w="20" w:type="dxa"/>
            </w:tcMar>
          </w:tcPr>
          <w:p w14:paraId="3CE773E4" w14:textId="77777777" w:rsidR="00235973" w:rsidRPr="00235973" w:rsidRDefault="00235973" w:rsidP="00235973">
            <w:pPr>
              <w:jc w:val="left"/>
              <w:rPr>
                <w:rFonts w:ascii="Arial Narrow" w:eastAsiaTheme="majorEastAsia" w:hAnsi="Arial Narrow"/>
                <w:bCs/>
                <w:kern w:val="24"/>
                <w:sz w:val="20"/>
              </w:rPr>
            </w:pPr>
            <w:r w:rsidRPr="00235973">
              <w:rPr>
                <w:rFonts w:ascii="Arial Narrow" w:eastAsiaTheme="majorEastAsia" w:hAnsi="Arial Narrow"/>
                <w:bCs/>
                <w:kern w:val="24"/>
                <w:sz w:val="20"/>
              </w:rPr>
              <w:t xml:space="preserve">DUSC commented that MBS costs may be considerably underestimated if patients are needing to be admitted to a hospital. </w:t>
            </w:r>
          </w:p>
        </w:tc>
      </w:tr>
      <w:tr w:rsidR="00235973" w:rsidRPr="00235973" w14:paraId="7FCA2B19" w14:textId="77777777" w:rsidTr="00235973">
        <w:tc>
          <w:tcPr>
            <w:tcW w:w="1270" w:type="dxa"/>
            <w:tcMar>
              <w:left w:w="20" w:type="dxa"/>
              <w:right w:w="20" w:type="dxa"/>
            </w:tcMar>
          </w:tcPr>
          <w:p w14:paraId="717C52EF"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Patient co-payment</w:t>
            </w:r>
          </w:p>
        </w:tc>
        <w:tc>
          <w:tcPr>
            <w:tcW w:w="1605" w:type="dxa"/>
            <w:tcMar>
              <w:left w:w="20" w:type="dxa"/>
              <w:right w:w="20" w:type="dxa"/>
            </w:tcMar>
          </w:tcPr>
          <w:p w14:paraId="49868200" w14:textId="77777777" w:rsidR="00235973" w:rsidRPr="00235973" w:rsidRDefault="00235973" w:rsidP="00235973">
            <w:pPr>
              <w:keepNext/>
              <w:jc w:val="left"/>
              <w:rPr>
                <w:rFonts w:ascii="Arial Narrow" w:eastAsiaTheme="majorEastAsia" w:hAnsi="Arial Narrow" w:cstheme="majorBidi"/>
                <w:bCs/>
                <w:sz w:val="20"/>
              </w:rPr>
            </w:pPr>
            <w:r w:rsidRPr="00235973">
              <w:rPr>
                <w:rFonts w:ascii="Arial Narrow" w:eastAsiaTheme="majorEastAsia" w:hAnsi="Arial Narrow" w:cstheme="majorBidi"/>
                <w:bCs/>
                <w:sz w:val="20"/>
              </w:rPr>
              <w:t>PBS: $18.10</w:t>
            </w:r>
          </w:p>
          <w:p w14:paraId="4836187C"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RPBS: $6.32</w:t>
            </w:r>
          </w:p>
        </w:tc>
        <w:tc>
          <w:tcPr>
            <w:tcW w:w="2040" w:type="dxa"/>
            <w:tcMar>
              <w:left w:w="20" w:type="dxa"/>
              <w:right w:w="20" w:type="dxa"/>
            </w:tcMar>
          </w:tcPr>
          <w:p w14:paraId="5E5628C2"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Average co-payment was estimated using PBS statistics items for pembrolizumab (10424P, 10436G, 10475H, 10439G)</w:t>
            </w:r>
          </w:p>
        </w:tc>
        <w:tc>
          <w:tcPr>
            <w:tcW w:w="4200" w:type="dxa"/>
            <w:gridSpan w:val="2"/>
            <w:tcMar>
              <w:left w:w="20" w:type="dxa"/>
              <w:right w:w="20" w:type="dxa"/>
            </w:tcMar>
          </w:tcPr>
          <w:p w14:paraId="396C035F" w14:textId="783C84AD" w:rsidR="00235973" w:rsidRPr="00235973" w:rsidRDefault="00235973" w:rsidP="00235973">
            <w:pPr>
              <w:jc w:val="left"/>
              <w:rPr>
                <w:rFonts w:ascii="Arial Narrow" w:eastAsiaTheme="majorEastAsia" w:hAnsi="Arial Narrow" w:cstheme="majorBidi"/>
                <w:bCs/>
                <w:i/>
                <w:iCs/>
                <w:sz w:val="20"/>
              </w:rPr>
            </w:pPr>
            <w:r w:rsidRPr="00235973">
              <w:rPr>
                <w:rFonts w:ascii="Arial Narrow" w:eastAsiaTheme="majorEastAsia" w:hAnsi="Arial Narrow" w:cstheme="majorBidi"/>
                <w:bCs/>
                <w:sz w:val="20"/>
              </w:rPr>
              <w:t>-</w:t>
            </w:r>
          </w:p>
        </w:tc>
      </w:tr>
      <w:tr w:rsidR="00235973" w:rsidRPr="00486483" w14:paraId="46C0F146" w14:textId="77777777" w:rsidTr="00235973">
        <w:tc>
          <w:tcPr>
            <w:tcW w:w="1270" w:type="dxa"/>
            <w:tcMar>
              <w:left w:w="20" w:type="dxa"/>
              <w:right w:w="20" w:type="dxa"/>
            </w:tcMar>
          </w:tcPr>
          <w:p w14:paraId="09E46B40"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Public/Private weighting</w:t>
            </w:r>
          </w:p>
        </w:tc>
        <w:tc>
          <w:tcPr>
            <w:tcW w:w="1605" w:type="dxa"/>
            <w:tcMar>
              <w:left w:w="20" w:type="dxa"/>
              <w:right w:w="20" w:type="dxa"/>
            </w:tcMar>
          </w:tcPr>
          <w:p w14:paraId="1AF331D2"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24.39% public and 75.61% private</w:t>
            </w:r>
          </w:p>
        </w:tc>
        <w:tc>
          <w:tcPr>
            <w:tcW w:w="2040" w:type="dxa"/>
            <w:tcMar>
              <w:left w:w="20" w:type="dxa"/>
              <w:right w:w="20" w:type="dxa"/>
            </w:tcMar>
          </w:tcPr>
          <w:p w14:paraId="7ECB0845" w14:textId="77777777" w:rsidR="00235973" w:rsidRPr="00235973" w:rsidRDefault="00235973" w:rsidP="00235973">
            <w:pPr>
              <w:jc w:val="left"/>
              <w:rPr>
                <w:rFonts w:ascii="Arial Narrow" w:eastAsiaTheme="majorEastAsia" w:hAnsi="Arial Narrow" w:cstheme="majorBidi"/>
                <w:bCs/>
                <w:sz w:val="20"/>
              </w:rPr>
            </w:pPr>
            <w:r w:rsidRPr="00235973">
              <w:rPr>
                <w:rFonts w:ascii="Arial Narrow" w:eastAsiaTheme="majorEastAsia" w:hAnsi="Arial Narrow" w:cstheme="majorBidi"/>
                <w:bCs/>
                <w:sz w:val="20"/>
              </w:rPr>
              <w:t>PBS statistics for calendar year 2021 for pembrolizumab</w:t>
            </w:r>
          </w:p>
        </w:tc>
        <w:tc>
          <w:tcPr>
            <w:tcW w:w="4200" w:type="dxa"/>
            <w:gridSpan w:val="2"/>
            <w:tcMar>
              <w:left w:w="20" w:type="dxa"/>
              <w:right w:w="20" w:type="dxa"/>
            </w:tcMar>
          </w:tcPr>
          <w:p w14:paraId="56063235" w14:textId="4C4AD03B" w:rsidR="00235973" w:rsidRPr="00486483" w:rsidRDefault="00235973" w:rsidP="00235973">
            <w:pPr>
              <w:jc w:val="left"/>
              <w:rPr>
                <w:rFonts w:ascii="Arial Narrow" w:eastAsiaTheme="majorEastAsia" w:hAnsi="Arial Narrow" w:cstheme="majorBidi"/>
                <w:bCs/>
                <w:i/>
                <w:iCs/>
                <w:sz w:val="20"/>
              </w:rPr>
            </w:pPr>
            <w:r w:rsidRPr="00235973">
              <w:rPr>
                <w:rFonts w:ascii="Arial Narrow" w:eastAsiaTheme="majorEastAsia" w:hAnsi="Arial Narrow" w:cstheme="majorBidi"/>
                <w:bCs/>
                <w:sz w:val="20"/>
              </w:rPr>
              <w:t>-</w:t>
            </w:r>
          </w:p>
        </w:tc>
      </w:tr>
    </w:tbl>
    <w:p w14:paraId="72F4D1FC" w14:textId="73333D0E" w:rsidR="00DF0B64" w:rsidRPr="00AA6CD3" w:rsidRDefault="00DF0B64" w:rsidP="00DF0B64">
      <w:pPr>
        <w:pStyle w:val="FooterTableFigure"/>
      </w:pPr>
      <w:r>
        <w:t xml:space="preserve">Source: Table 4.1.1 5.01.COM.102 </w:t>
      </w:r>
      <w:r w:rsidRPr="00AA6CD3">
        <w:t>pp219-220 and Table 4.1.2, p222 of the submission.</w:t>
      </w:r>
    </w:p>
    <w:p w14:paraId="35289C4B" w14:textId="77777777" w:rsidR="00DF0B64" w:rsidRDefault="00DF0B64" w:rsidP="00DF0B64">
      <w:pPr>
        <w:pStyle w:val="FooterTableFigure"/>
      </w:pPr>
      <w:r w:rsidRPr="00AA6CD3">
        <w:t xml:space="preserve">ABS = Australian bureau of statistics, </w:t>
      </w:r>
      <w:r>
        <w:t>AEMP =</w:t>
      </w:r>
      <w:r w:rsidRPr="00E84135">
        <w:t>approved ex-manufacturer price</w:t>
      </w:r>
      <w:r>
        <w:t xml:space="preserve">, </w:t>
      </w:r>
      <w:r w:rsidRPr="00AA6CD3">
        <w:t>HLA = human leukocyte antigen, MBS = Medicare Benefits Scheme, PBS = Pharmaceutical Benefit Scheme</w:t>
      </w:r>
      <w:r>
        <w:t>, UM = uveal melanoma.</w:t>
      </w:r>
    </w:p>
    <w:p w14:paraId="5E557DFC" w14:textId="49834360" w:rsidR="00DF0B64" w:rsidRDefault="00DF0B64" w:rsidP="00AF3847">
      <w:pPr>
        <w:pStyle w:val="FooterTableFigure"/>
      </w:pPr>
      <w:r>
        <w:rPr>
          <w:i/>
          <w:iCs/>
          <w:vertAlign w:val="superscript"/>
        </w:rPr>
        <w:t>1</w:t>
      </w:r>
      <w:r>
        <w:rPr>
          <w:i/>
          <w:iCs/>
        </w:rPr>
        <w:t xml:space="preserve"> </w:t>
      </w:r>
      <w:r>
        <w:t>C</w:t>
      </w:r>
      <w:r w:rsidRPr="00DE5348">
        <w:t>orrected during evaluation by changing</w:t>
      </w:r>
      <w:r>
        <w:t xml:space="preserve"> </w:t>
      </w:r>
      <w:r w:rsidRPr="00DE5348">
        <w:t>E30</w:t>
      </w:r>
      <w:r>
        <w:t>6</w:t>
      </w:r>
      <w:r w:rsidRPr="00DE5348">
        <w:t xml:space="preserve"> cell to $0 in</w:t>
      </w:r>
      <w:r>
        <w:t xml:space="preserve"> </w:t>
      </w:r>
      <w:r w:rsidRPr="00DE5348">
        <w:t xml:space="preserve">‘3c.Impact – </w:t>
      </w:r>
      <w:r>
        <w:t>affected</w:t>
      </w:r>
      <w:r w:rsidRPr="00DE5348">
        <w:t xml:space="preserve"> (eff)’ Worksheet in ‘Immunocore_UCM_v02_uplaoded into HPP’ Workbook</w:t>
      </w:r>
      <w:r>
        <w:t xml:space="preserve"> and </w:t>
      </w:r>
      <w:r w:rsidRPr="00DE5348">
        <w:t>changing E307 cell to $0 in</w:t>
      </w:r>
      <w:r>
        <w:t xml:space="preserve"> </w:t>
      </w:r>
      <w:r w:rsidRPr="00DE5348">
        <w:t>‘3c.Impact – proposed (eff)’ Worksheet in ‘Immunocore_UCM_v02_uplaoded into HPP’ Workbook</w:t>
      </w:r>
      <w:r>
        <w:t xml:space="preserve"> to adjust for incorrect dispensing fee in public DPMA.</w:t>
      </w:r>
    </w:p>
    <w:p w14:paraId="1C6067D3" w14:textId="77777777" w:rsidR="00AF3847" w:rsidRPr="00AF3847" w:rsidRDefault="00AF3847" w:rsidP="00AF3847">
      <w:pPr>
        <w:pStyle w:val="3-BodyText"/>
      </w:pPr>
      <w:r w:rsidRPr="00AF3847">
        <w:t>The main sources of uncertainty relating to the estimated use of tebentafusp were:</w:t>
      </w:r>
    </w:p>
    <w:p w14:paraId="397BDDA6" w14:textId="77777777" w:rsidR="00AF3847" w:rsidRPr="00AF3847" w:rsidRDefault="00AF3847" w:rsidP="00AF3847">
      <w:pPr>
        <w:pStyle w:val="ListParagraph"/>
        <w:ind w:left="1077" w:hanging="357"/>
      </w:pPr>
      <w:bookmarkStart w:id="77" w:name="_Hlk121424304"/>
      <w:r w:rsidRPr="00AF3847">
        <w:t>The estimated incident population with primary UM (7.6 per million) was based on average age-standardised incidence rate data from 1982 to 2014. In 2022, Australian Institute of Health and Welfare (AIHW) estimated that there will be 428 cases of eye cancer, with an age-standardised incidence rate of 1.4 per 100,000.</w:t>
      </w:r>
    </w:p>
    <w:p w14:paraId="5FF2F488" w14:textId="77777777" w:rsidR="00AF3847" w:rsidRPr="00AF3847" w:rsidRDefault="00AF3847" w:rsidP="00AF3847">
      <w:pPr>
        <w:pStyle w:val="ListParagraph"/>
        <w:ind w:left="1077" w:hanging="357"/>
      </w:pPr>
      <w:r w:rsidRPr="00AF3847">
        <w:t>The eligibility and treatment uptake rates were based on expert opinion which consisted of three clinicians experienced in the treatment of metastatic UM.</w:t>
      </w:r>
    </w:p>
    <w:p w14:paraId="069BED56" w14:textId="77777777" w:rsidR="00AF3847" w:rsidRPr="00AF3847" w:rsidRDefault="00AF3847" w:rsidP="00AF3847">
      <w:pPr>
        <w:pStyle w:val="3-BodyText"/>
      </w:pPr>
      <w:bookmarkStart w:id="78" w:name="_Ref121738938"/>
      <w:r w:rsidRPr="00AF3847">
        <w:t>In addition, there were some uncertainties associated with the approach used by the submission to calculate cost-offsets, including that the:</w:t>
      </w:r>
      <w:bookmarkEnd w:id="78"/>
    </w:p>
    <w:p w14:paraId="26ECAD3F" w14:textId="7DB3A969" w:rsidR="00AF3847" w:rsidRPr="00AF3847" w:rsidRDefault="00AF3847" w:rsidP="00AF3847">
      <w:pPr>
        <w:pStyle w:val="ListParagraph"/>
        <w:ind w:left="1077" w:hanging="357"/>
      </w:pPr>
      <w:bookmarkStart w:id="79" w:name="_Hlk121423693"/>
      <w:r w:rsidRPr="00AF3847">
        <w:t>mean duration of treatment with pembrolizumab was assumed to be the same as that in the tebentafusp arm (10.3 months). This was not appropriate given the mean duration of treatment with pembrolizumab in the IMCgp100-202 trial was 4.5 months.</w:t>
      </w:r>
      <w:r w:rsidR="00A704EE">
        <w:t xml:space="preserve"> The PSCR provided updated financials in which the duration of </w:t>
      </w:r>
      <w:r w:rsidR="00A704EE">
        <w:lastRenderedPageBreak/>
        <w:t>pembrolizumab was reduced to 4.5 months</w:t>
      </w:r>
      <w:r w:rsidR="00B810AB">
        <w:t xml:space="preserve"> (and </w:t>
      </w:r>
      <w:r w:rsidR="00A704EE">
        <w:t xml:space="preserve">corrected </w:t>
      </w:r>
      <w:r w:rsidR="005E29B5">
        <w:t xml:space="preserve">for </w:t>
      </w:r>
      <w:r w:rsidR="00A704EE">
        <w:t xml:space="preserve">an error in the calculations </w:t>
      </w:r>
      <w:r w:rsidR="005E29B5">
        <w:t>of the continuing patient years of treatment</w:t>
      </w:r>
      <w:r w:rsidR="00B810AB">
        <w:t>)</w:t>
      </w:r>
      <w:r w:rsidR="00A704EE">
        <w:t>.</w:t>
      </w:r>
    </w:p>
    <w:p w14:paraId="60BF1BC8" w14:textId="77777777" w:rsidR="00AF3847" w:rsidRPr="00B515FF" w:rsidRDefault="00AF3847" w:rsidP="00AF3847">
      <w:pPr>
        <w:pStyle w:val="ListParagraph"/>
        <w:ind w:left="1077" w:hanging="357"/>
      </w:pPr>
      <w:r w:rsidRPr="00AF3847">
        <w:t xml:space="preserve">submission did not account for the decreased number of IV administrations </w:t>
      </w:r>
      <w:r w:rsidRPr="00B515FF">
        <w:t xml:space="preserve">associated with pembrolizumab as compared to tebentafusp. </w:t>
      </w:r>
    </w:p>
    <w:p w14:paraId="1E99B5F4" w14:textId="77777777" w:rsidR="00AF3847" w:rsidRPr="00B515FF" w:rsidRDefault="00AF3847" w:rsidP="00AF3847">
      <w:pPr>
        <w:pStyle w:val="ListParagraph"/>
        <w:ind w:left="1077" w:hanging="357"/>
      </w:pPr>
      <w:r w:rsidRPr="00B515FF">
        <w:t>submission did not consider the increase in the utilisation of medicines to manage AEs associated with tebentafusp (e.g., CRS and acute skin reactions).</w:t>
      </w:r>
      <w:bookmarkEnd w:id="79"/>
    </w:p>
    <w:p w14:paraId="69686107" w14:textId="33201559" w:rsidR="00754AE6" w:rsidRPr="00B515FF" w:rsidRDefault="00AF3847" w:rsidP="00AF3847">
      <w:pPr>
        <w:pStyle w:val="3-BodyText"/>
      </w:pPr>
      <w:r w:rsidRPr="00B515FF">
        <w:t xml:space="preserve">Estimated use and financial implications are presented in </w:t>
      </w:r>
      <w:r w:rsidRPr="00B515FF">
        <w:fldChar w:fldCharType="begin" w:fldLock="1"/>
      </w:r>
      <w:r w:rsidRPr="00B515FF">
        <w:instrText xml:space="preserve"> REF _Ref104805295 \h  \* MERGEFORMAT </w:instrText>
      </w:r>
      <w:r w:rsidRPr="00B515FF">
        <w:fldChar w:fldCharType="separate"/>
      </w:r>
      <w:r w:rsidR="00A53FF4" w:rsidRPr="00B515FF">
        <w:t xml:space="preserve">Table </w:t>
      </w:r>
      <w:r w:rsidR="00A53FF4">
        <w:rPr>
          <w:noProof/>
        </w:rPr>
        <w:t>16</w:t>
      </w:r>
      <w:r w:rsidRPr="00B515FF">
        <w:fldChar w:fldCharType="end"/>
      </w:r>
      <w:r w:rsidRPr="00B515FF">
        <w:t xml:space="preserve">. </w:t>
      </w:r>
      <w:r w:rsidR="00A704EE" w:rsidRPr="00B515FF">
        <w:t xml:space="preserve">Estimates from the PSCR, corrected for the error, are also presented. </w:t>
      </w:r>
    </w:p>
    <w:p w14:paraId="09E61382" w14:textId="5448E397" w:rsidR="00AF3847" w:rsidRPr="00B515FF" w:rsidRDefault="00F95C1E" w:rsidP="00AF3847">
      <w:pPr>
        <w:pStyle w:val="3-BodyText"/>
      </w:pPr>
      <w:r w:rsidRPr="00B515FF">
        <w:t>The pre-PBAC response provided further revised estimates which included the reduced ex-manufacturer price and removed cost off-sets associated with pembrolizumab</w:t>
      </w:r>
      <w:r w:rsidR="00DE117F" w:rsidRPr="00B515FF">
        <w:t xml:space="preserve"> (see paragraph </w:t>
      </w:r>
      <w:r w:rsidR="00DE117F" w:rsidRPr="00B515FF">
        <w:fldChar w:fldCharType="begin" w:fldLock="1"/>
      </w:r>
      <w:r w:rsidR="00DE117F" w:rsidRPr="00B515FF">
        <w:instrText xml:space="preserve"> REF _Ref130478393 \r \h </w:instrText>
      </w:r>
      <w:r w:rsidR="00B515FF">
        <w:instrText xml:space="preserve"> \* MERGEFORMAT </w:instrText>
      </w:r>
      <w:r w:rsidR="00DE117F" w:rsidRPr="00B515FF">
        <w:fldChar w:fldCharType="separate"/>
      </w:r>
      <w:r w:rsidR="00A53FF4">
        <w:t>6.70</w:t>
      </w:r>
      <w:r w:rsidR="00DE117F" w:rsidRPr="00B515FF">
        <w:fldChar w:fldCharType="end"/>
      </w:r>
      <w:r w:rsidR="00DE117F" w:rsidRPr="00B515FF">
        <w:t>)</w:t>
      </w:r>
      <w:r w:rsidRPr="00B515FF">
        <w:t>.</w:t>
      </w:r>
      <w:r w:rsidR="00DE117F" w:rsidRPr="00B515FF">
        <w:t xml:space="preserve"> Further, the PBAC noted that the submission incorrectly included the first 3 doses of tebentafusp, which are given in the hospital </w:t>
      </w:r>
      <w:r w:rsidR="00353FDC">
        <w:t xml:space="preserve">inpatient </w:t>
      </w:r>
      <w:r w:rsidR="00DE117F" w:rsidRPr="00B515FF">
        <w:t xml:space="preserve">setting, in the calculations. </w:t>
      </w:r>
      <w:r w:rsidR="00353FDC">
        <w:t xml:space="preserve">These would not be funded by the PBS/RPBS for public patients. </w:t>
      </w:r>
      <w:r w:rsidR="00DE117F" w:rsidRPr="00B515FF">
        <w:t xml:space="preserve">This is corrected in the pre-PBAC calculations below. </w:t>
      </w:r>
    </w:p>
    <w:p w14:paraId="5A8708BD" w14:textId="5FEEB875" w:rsidR="00AF3847" w:rsidRPr="00B515FF" w:rsidRDefault="00AF3847" w:rsidP="0047489A">
      <w:pPr>
        <w:pStyle w:val="TableFigureHeading"/>
        <w:keepLines/>
      </w:pPr>
      <w:bookmarkStart w:id="80" w:name="_Ref104805295"/>
      <w:r w:rsidRPr="00B515FF">
        <w:lastRenderedPageBreak/>
        <w:t xml:space="preserve">Table </w:t>
      </w:r>
      <w:fldSimple w:instr=" SEQ Table \* ARABIC " w:fldLock="1">
        <w:r w:rsidR="00A53FF4">
          <w:rPr>
            <w:noProof/>
          </w:rPr>
          <w:t>16</w:t>
        </w:r>
      </w:fldSimple>
      <w:bookmarkEnd w:id="80"/>
      <w:r w:rsidRPr="00B515FF">
        <w:t>:</w:t>
      </w:r>
      <w:r w:rsidRPr="00B515FF">
        <w:rPr>
          <w:rStyle w:val="TableFigureHeadingChar"/>
        </w:rPr>
        <w:t xml:space="preserve"> </w:t>
      </w:r>
      <w:r w:rsidRPr="00B515FF">
        <w:rPr>
          <w:rStyle w:val="TableFigureHeadingChar"/>
          <w:b/>
          <w:bCs/>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AF3847" w:rsidRPr="00B515FF" w14:paraId="381BFF9B" w14:textId="77777777" w:rsidTr="00A704EE">
        <w:trPr>
          <w:tblHeader/>
        </w:trPr>
        <w:tc>
          <w:tcPr>
            <w:tcW w:w="1334" w:type="pct"/>
            <w:shd w:val="clear" w:color="auto" w:fill="auto"/>
            <w:vAlign w:val="center"/>
          </w:tcPr>
          <w:p w14:paraId="09672271" w14:textId="77777777" w:rsidR="00AF3847" w:rsidRPr="00B515FF" w:rsidRDefault="00AF3847" w:rsidP="0047489A">
            <w:pPr>
              <w:pStyle w:val="In-tableHeading"/>
              <w:keepLines/>
              <w:jc w:val="center"/>
            </w:pPr>
          </w:p>
        </w:tc>
        <w:tc>
          <w:tcPr>
            <w:tcW w:w="611" w:type="pct"/>
            <w:shd w:val="clear" w:color="auto" w:fill="auto"/>
            <w:vAlign w:val="center"/>
          </w:tcPr>
          <w:p w14:paraId="54A0EC1E" w14:textId="77777777" w:rsidR="00AF3847" w:rsidRPr="00B515FF" w:rsidRDefault="00AF3847" w:rsidP="0047489A">
            <w:pPr>
              <w:pStyle w:val="In-tableHeading"/>
              <w:keepLines/>
              <w:jc w:val="center"/>
            </w:pPr>
            <w:r w:rsidRPr="00B515FF">
              <w:t>Year 1</w:t>
            </w:r>
          </w:p>
        </w:tc>
        <w:tc>
          <w:tcPr>
            <w:tcW w:w="611" w:type="pct"/>
            <w:shd w:val="clear" w:color="auto" w:fill="auto"/>
            <w:vAlign w:val="center"/>
          </w:tcPr>
          <w:p w14:paraId="3C8F150A" w14:textId="77777777" w:rsidR="00AF3847" w:rsidRPr="00B515FF" w:rsidRDefault="00AF3847" w:rsidP="0047489A">
            <w:pPr>
              <w:pStyle w:val="In-tableHeading"/>
              <w:keepLines/>
              <w:jc w:val="center"/>
            </w:pPr>
            <w:r w:rsidRPr="00B515FF">
              <w:t>Year 2</w:t>
            </w:r>
          </w:p>
        </w:tc>
        <w:tc>
          <w:tcPr>
            <w:tcW w:w="611" w:type="pct"/>
            <w:shd w:val="clear" w:color="auto" w:fill="auto"/>
            <w:vAlign w:val="center"/>
          </w:tcPr>
          <w:p w14:paraId="5826E7D0" w14:textId="77777777" w:rsidR="00AF3847" w:rsidRPr="00B515FF" w:rsidRDefault="00AF3847" w:rsidP="0047489A">
            <w:pPr>
              <w:pStyle w:val="In-tableHeading"/>
              <w:keepLines/>
              <w:jc w:val="center"/>
            </w:pPr>
            <w:r w:rsidRPr="00B515FF">
              <w:t>Year 3</w:t>
            </w:r>
          </w:p>
        </w:tc>
        <w:tc>
          <w:tcPr>
            <w:tcW w:w="611" w:type="pct"/>
            <w:shd w:val="clear" w:color="auto" w:fill="auto"/>
            <w:vAlign w:val="center"/>
          </w:tcPr>
          <w:p w14:paraId="679805D4" w14:textId="77777777" w:rsidR="00AF3847" w:rsidRPr="00B515FF" w:rsidRDefault="00AF3847" w:rsidP="0047489A">
            <w:pPr>
              <w:pStyle w:val="In-tableHeading"/>
              <w:keepLines/>
              <w:jc w:val="center"/>
            </w:pPr>
            <w:r w:rsidRPr="00B515FF">
              <w:t>Year 4</w:t>
            </w:r>
          </w:p>
        </w:tc>
        <w:tc>
          <w:tcPr>
            <w:tcW w:w="611" w:type="pct"/>
            <w:shd w:val="clear" w:color="auto" w:fill="auto"/>
            <w:vAlign w:val="center"/>
          </w:tcPr>
          <w:p w14:paraId="4E248C1A" w14:textId="77777777" w:rsidR="00AF3847" w:rsidRPr="00B515FF" w:rsidRDefault="00AF3847" w:rsidP="0047489A">
            <w:pPr>
              <w:pStyle w:val="In-tableHeading"/>
              <w:keepLines/>
              <w:jc w:val="center"/>
            </w:pPr>
            <w:r w:rsidRPr="00B515FF">
              <w:t>Year 5</w:t>
            </w:r>
          </w:p>
        </w:tc>
        <w:tc>
          <w:tcPr>
            <w:tcW w:w="611" w:type="pct"/>
          </w:tcPr>
          <w:p w14:paraId="6B1FA579" w14:textId="77777777" w:rsidR="00AF3847" w:rsidRPr="00B515FF" w:rsidRDefault="00AF3847" w:rsidP="0047489A">
            <w:pPr>
              <w:pStyle w:val="In-tableHeading"/>
              <w:keepLines/>
              <w:jc w:val="center"/>
            </w:pPr>
            <w:r w:rsidRPr="00B515FF">
              <w:t>Year 6</w:t>
            </w:r>
          </w:p>
        </w:tc>
      </w:tr>
      <w:tr w:rsidR="00AF3847" w:rsidRPr="00B515FF" w14:paraId="48D7A758" w14:textId="77777777" w:rsidTr="00A704EE">
        <w:tc>
          <w:tcPr>
            <w:tcW w:w="5000" w:type="pct"/>
            <w:gridSpan w:val="7"/>
            <w:shd w:val="clear" w:color="auto" w:fill="auto"/>
            <w:vAlign w:val="center"/>
          </w:tcPr>
          <w:p w14:paraId="25299F79" w14:textId="77777777" w:rsidR="00AF3847" w:rsidRPr="00B515FF" w:rsidRDefault="00AF3847" w:rsidP="0047489A">
            <w:pPr>
              <w:pStyle w:val="In-tableHeading"/>
              <w:keepLines/>
              <w:rPr>
                <w:bCs/>
                <w:color w:val="000000"/>
              </w:rPr>
            </w:pPr>
            <w:r w:rsidRPr="00B515FF">
              <w:rPr>
                <w:bCs/>
                <w:color w:val="000000"/>
              </w:rPr>
              <w:t>Estimated extent of use</w:t>
            </w:r>
          </w:p>
        </w:tc>
      </w:tr>
      <w:tr w:rsidR="00AF3847" w:rsidRPr="00B515FF" w14:paraId="060CEC01" w14:textId="77777777" w:rsidTr="00A704EE">
        <w:tc>
          <w:tcPr>
            <w:tcW w:w="1334" w:type="pct"/>
            <w:shd w:val="clear" w:color="auto" w:fill="auto"/>
            <w:vAlign w:val="center"/>
          </w:tcPr>
          <w:p w14:paraId="143BB243" w14:textId="77777777" w:rsidR="00AF3847" w:rsidRPr="00B515FF" w:rsidRDefault="00AF3847" w:rsidP="0047489A">
            <w:pPr>
              <w:pStyle w:val="TableText0"/>
              <w:keepLines/>
              <w:rPr>
                <w:rFonts w:ascii="Times" w:hAnsi="Times"/>
              </w:rPr>
            </w:pPr>
            <w:r w:rsidRPr="00B515FF">
              <w:t>Number of patients treated</w:t>
            </w:r>
          </w:p>
        </w:tc>
        <w:tc>
          <w:tcPr>
            <w:tcW w:w="611" w:type="pct"/>
            <w:shd w:val="clear" w:color="auto" w:fill="auto"/>
          </w:tcPr>
          <w:p w14:paraId="51327F44" w14:textId="1AB97B56" w:rsidR="00AF3847" w:rsidRPr="005F32D1" w:rsidRDefault="00D12425" w:rsidP="0047489A">
            <w:pPr>
              <w:pStyle w:val="TableText0"/>
              <w:keepLines/>
              <w:jc w:val="center"/>
              <w:rPr>
                <w:color w:val="000000"/>
                <w:highlight w:val="lightGray"/>
              </w:rPr>
            </w:pPr>
            <w:r w:rsidRPr="00D12425">
              <w:rPr>
                <w:color w:val="000000"/>
                <w:spacing w:val="70"/>
                <w:shd w:val="solid" w:color="000000" w:fill="000000"/>
                <w:fitText w:val="382" w:id="-1236619506"/>
                <w14:textFill>
                  <w14:solidFill>
                    <w14:srgbClr w14:val="000000">
                      <w14:alpha w14:val="100000"/>
                    </w14:srgbClr>
                  </w14:solidFill>
                </w14:textFill>
              </w:rPr>
              <w:t>|||</w:t>
            </w:r>
            <w:r w:rsidRPr="00D12425">
              <w:rPr>
                <w:color w:val="000000"/>
                <w:spacing w:val="2"/>
                <w:shd w:val="solid" w:color="000000" w:fill="000000"/>
                <w:fitText w:val="382" w:id="-1236619506"/>
                <w14:textFill>
                  <w14:solidFill>
                    <w14:srgbClr w14:val="000000">
                      <w14:alpha w14:val="100000"/>
                    </w14:srgbClr>
                  </w14:solidFill>
                </w14:textFill>
              </w:rPr>
              <w:t>|</w:t>
            </w:r>
            <w:r w:rsidR="009E5BDA" w:rsidRPr="005F32D1">
              <w:rPr>
                <w:rFonts w:eastAsia="Times New Roman" w:cs="Arial"/>
                <w:sz w:val="18"/>
                <w:szCs w:val="22"/>
                <w:vertAlign w:val="superscript"/>
              </w:rPr>
              <w:t>1</w:t>
            </w:r>
          </w:p>
        </w:tc>
        <w:tc>
          <w:tcPr>
            <w:tcW w:w="611" w:type="pct"/>
            <w:shd w:val="clear" w:color="auto" w:fill="auto"/>
          </w:tcPr>
          <w:p w14:paraId="1949461F" w14:textId="3D3B2ABF" w:rsidR="00AF3847" w:rsidRPr="005F32D1" w:rsidRDefault="00D12425" w:rsidP="0047489A">
            <w:pPr>
              <w:pStyle w:val="TableText0"/>
              <w:keepLines/>
              <w:jc w:val="center"/>
              <w:rPr>
                <w:color w:val="000000"/>
                <w:highlight w:val="lightGray"/>
              </w:rPr>
            </w:pPr>
            <w:r w:rsidRPr="00D12425">
              <w:rPr>
                <w:color w:val="000000"/>
                <w:spacing w:val="70"/>
                <w:shd w:val="solid" w:color="000000" w:fill="000000"/>
                <w:fitText w:val="383" w:id="-1236619505"/>
                <w14:textFill>
                  <w14:solidFill>
                    <w14:srgbClr w14:val="000000">
                      <w14:alpha w14:val="100000"/>
                    </w14:srgbClr>
                  </w14:solidFill>
                </w14:textFill>
              </w:rPr>
              <w:t>|||</w:t>
            </w:r>
            <w:r w:rsidRPr="00D12425">
              <w:rPr>
                <w:color w:val="000000"/>
                <w:spacing w:val="3"/>
                <w:shd w:val="solid" w:color="000000" w:fill="000000"/>
                <w:fitText w:val="383" w:id="-1236619505"/>
                <w14:textFill>
                  <w14:solidFill>
                    <w14:srgbClr w14:val="000000">
                      <w14:alpha w14:val="100000"/>
                    </w14:srgbClr>
                  </w14:solidFill>
                </w14:textFill>
              </w:rPr>
              <w:t>|</w:t>
            </w:r>
            <w:r w:rsidR="009E5BDA" w:rsidRPr="005F32D1">
              <w:rPr>
                <w:rFonts w:eastAsia="Times New Roman" w:cs="Arial"/>
                <w:sz w:val="18"/>
                <w:szCs w:val="22"/>
                <w:vertAlign w:val="superscript"/>
              </w:rPr>
              <w:t>1</w:t>
            </w:r>
          </w:p>
        </w:tc>
        <w:tc>
          <w:tcPr>
            <w:tcW w:w="611" w:type="pct"/>
            <w:shd w:val="clear" w:color="auto" w:fill="auto"/>
          </w:tcPr>
          <w:p w14:paraId="2B13D4C0" w14:textId="67DACAFC" w:rsidR="00AF3847" w:rsidRPr="005F32D1" w:rsidRDefault="00D12425" w:rsidP="0047489A">
            <w:pPr>
              <w:pStyle w:val="TableText0"/>
              <w:keepLines/>
              <w:jc w:val="center"/>
              <w:rPr>
                <w:color w:val="000000"/>
                <w:highlight w:val="lightGray"/>
              </w:rPr>
            </w:pPr>
            <w:r w:rsidRPr="00D12425">
              <w:rPr>
                <w:color w:val="000000"/>
                <w:spacing w:val="70"/>
                <w:shd w:val="solid" w:color="000000" w:fill="000000"/>
                <w:fitText w:val="383" w:id="-1236619504"/>
                <w14:textFill>
                  <w14:solidFill>
                    <w14:srgbClr w14:val="000000">
                      <w14:alpha w14:val="100000"/>
                    </w14:srgbClr>
                  </w14:solidFill>
                </w14:textFill>
              </w:rPr>
              <w:t>|||</w:t>
            </w:r>
            <w:r w:rsidRPr="00D12425">
              <w:rPr>
                <w:color w:val="000000"/>
                <w:spacing w:val="3"/>
                <w:shd w:val="solid" w:color="000000" w:fill="000000"/>
                <w:fitText w:val="383" w:id="-1236619504"/>
                <w14:textFill>
                  <w14:solidFill>
                    <w14:srgbClr w14:val="000000">
                      <w14:alpha w14:val="100000"/>
                    </w14:srgbClr>
                  </w14:solidFill>
                </w14:textFill>
              </w:rPr>
              <w:t>|</w:t>
            </w:r>
            <w:r w:rsidR="009E5BDA" w:rsidRPr="005F32D1">
              <w:rPr>
                <w:rFonts w:eastAsia="Times New Roman" w:cs="Arial"/>
                <w:sz w:val="18"/>
                <w:szCs w:val="22"/>
                <w:vertAlign w:val="superscript"/>
              </w:rPr>
              <w:t>1</w:t>
            </w:r>
          </w:p>
        </w:tc>
        <w:tc>
          <w:tcPr>
            <w:tcW w:w="611" w:type="pct"/>
            <w:shd w:val="clear" w:color="auto" w:fill="auto"/>
          </w:tcPr>
          <w:p w14:paraId="32D59A26" w14:textId="4B70BCCD" w:rsidR="00AF3847" w:rsidRPr="005F32D1" w:rsidRDefault="00D12425" w:rsidP="0047489A">
            <w:pPr>
              <w:pStyle w:val="TableText0"/>
              <w:keepLines/>
              <w:jc w:val="center"/>
              <w:rPr>
                <w:color w:val="000000"/>
                <w:highlight w:val="lightGray"/>
              </w:rPr>
            </w:pPr>
            <w:r w:rsidRPr="00D12425">
              <w:rPr>
                <w:color w:val="000000"/>
                <w:spacing w:val="70"/>
                <w:shd w:val="solid" w:color="000000" w:fill="000000"/>
                <w:fitText w:val="383" w:id="-1236619520"/>
                <w14:textFill>
                  <w14:solidFill>
                    <w14:srgbClr w14:val="000000">
                      <w14:alpha w14:val="100000"/>
                    </w14:srgbClr>
                  </w14:solidFill>
                </w14:textFill>
              </w:rPr>
              <w:t>|||</w:t>
            </w:r>
            <w:r w:rsidRPr="00D12425">
              <w:rPr>
                <w:color w:val="000000"/>
                <w:spacing w:val="3"/>
                <w:shd w:val="solid" w:color="000000" w:fill="000000"/>
                <w:fitText w:val="383" w:id="-1236619520"/>
                <w14:textFill>
                  <w14:solidFill>
                    <w14:srgbClr w14:val="000000">
                      <w14:alpha w14:val="100000"/>
                    </w14:srgbClr>
                  </w14:solidFill>
                </w14:textFill>
              </w:rPr>
              <w:t>|</w:t>
            </w:r>
            <w:r w:rsidR="009E5BDA" w:rsidRPr="005F32D1">
              <w:rPr>
                <w:rFonts w:eastAsia="Times New Roman" w:cs="Arial"/>
                <w:sz w:val="18"/>
                <w:szCs w:val="22"/>
                <w:vertAlign w:val="superscript"/>
              </w:rPr>
              <w:t>1</w:t>
            </w:r>
          </w:p>
        </w:tc>
        <w:tc>
          <w:tcPr>
            <w:tcW w:w="611" w:type="pct"/>
            <w:shd w:val="clear" w:color="auto" w:fill="auto"/>
          </w:tcPr>
          <w:p w14:paraId="478779D2" w14:textId="0694BC92" w:rsidR="00AF3847" w:rsidRPr="005F32D1" w:rsidRDefault="00D12425" w:rsidP="0047489A">
            <w:pPr>
              <w:pStyle w:val="TableText0"/>
              <w:keepLines/>
              <w:jc w:val="center"/>
              <w:rPr>
                <w:color w:val="000000"/>
                <w:highlight w:val="lightGray"/>
              </w:rPr>
            </w:pPr>
            <w:r w:rsidRPr="00D12425">
              <w:rPr>
                <w:color w:val="000000"/>
                <w:spacing w:val="70"/>
                <w:shd w:val="solid" w:color="000000" w:fill="000000"/>
                <w:fitText w:val="383" w:id="-1236619519"/>
                <w14:textFill>
                  <w14:solidFill>
                    <w14:srgbClr w14:val="000000">
                      <w14:alpha w14:val="100000"/>
                    </w14:srgbClr>
                  </w14:solidFill>
                </w14:textFill>
              </w:rPr>
              <w:t>|||</w:t>
            </w:r>
            <w:r w:rsidRPr="00D12425">
              <w:rPr>
                <w:color w:val="000000"/>
                <w:spacing w:val="3"/>
                <w:shd w:val="solid" w:color="000000" w:fill="000000"/>
                <w:fitText w:val="383" w:id="-1236619519"/>
                <w14:textFill>
                  <w14:solidFill>
                    <w14:srgbClr w14:val="000000">
                      <w14:alpha w14:val="100000"/>
                    </w14:srgbClr>
                  </w14:solidFill>
                </w14:textFill>
              </w:rPr>
              <w:t>|</w:t>
            </w:r>
            <w:r w:rsidR="009E5BDA" w:rsidRPr="005F32D1">
              <w:rPr>
                <w:rFonts w:eastAsia="Times New Roman" w:cs="Arial"/>
                <w:sz w:val="18"/>
                <w:szCs w:val="22"/>
                <w:vertAlign w:val="superscript"/>
              </w:rPr>
              <w:t>1</w:t>
            </w:r>
          </w:p>
        </w:tc>
        <w:tc>
          <w:tcPr>
            <w:tcW w:w="611" w:type="pct"/>
          </w:tcPr>
          <w:p w14:paraId="33595B36" w14:textId="6AE22E13" w:rsidR="00AF3847" w:rsidRPr="005F32D1" w:rsidRDefault="00D12425" w:rsidP="0047489A">
            <w:pPr>
              <w:pStyle w:val="TableText0"/>
              <w:keepLines/>
              <w:jc w:val="center"/>
              <w:rPr>
                <w:color w:val="000000"/>
                <w:highlight w:val="lightGray"/>
              </w:rPr>
            </w:pPr>
            <w:r w:rsidRPr="00D12425">
              <w:rPr>
                <w:color w:val="000000"/>
                <w:spacing w:val="70"/>
                <w:shd w:val="solid" w:color="000000" w:fill="000000"/>
                <w:fitText w:val="383" w:id="-1236619518"/>
                <w14:textFill>
                  <w14:solidFill>
                    <w14:srgbClr w14:val="000000">
                      <w14:alpha w14:val="100000"/>
                    </w14:srgbClr>
                  </w14:solidFill>
                </w14:textFill>
              </w:rPr>
              <w:t>|||</w:t>
            </w:r>
            <w:r w:rsidRPr="00D12425">
              <w:rPr>
                <w:color w:val="000000"/>
                <w:spacing w:val="3"/>
                <w:shd w:val="solid" w:color="000000" w:fill="000000"/>
                <w:fitText w:val="383" w:id="-1236619518"/>
                <w14:textFill>
                  <w14:solidFill>
                    <w14:srgbClr w14:val="000000">
                      <w14:alpha w14:val="100000"/>
                    </w14:srgbClr>
                  </w14:solidFill>
                </w14:textFill>
              </w:rPr>
              <w:t>|</w:t>
            </w:r>
            <w:r w:rsidR="009E5BDA" w:rsidRPr="005F32D1">
              <w:rPr>
                <w:rFonts w:eastAsia="Times New Roman" w:cs="Arial"/>
                <w:sz w:val="18"/>
                <w:szCs w:val="22"/>
                <w:vertAlign w:val="superscript"/>
              </w:rPr>
              <w:t>1</w:t>
            </w:r>
          </w:p>
        </w:tc>
      </w:tr>
      <w:tr w:rsidR="00AF3847" w:rsidRPr="00B515FF" w14:paraId="0215C180" w14:textId="77777777" w:rsidTr="00A704EE">
        <w:tc>
          <w:tcPr>
            <w:tcW w:w="1334" w:type="pct"/>
            <w:shd w:val="clear" w:color="auto" w:fill="auto"/>
            <w:vAlign w:val="center"/>
          </w:tcPr>
          <w:p w14:paraId="38C69D7C" w14:textId="77777777" w:rsidR="00AF3847" w:rsidRPr="00B515FF" w:rsidRDefault="00AF3847" w:rsidP="0047489A">
            <w:pPr>
              <w:pStyle w:val="TableText0"/>
              <w:keepLines/>
              <w:rPr>
                <w:rFonts w:ascii="Times" w:hAnsi="Times"/>
              </w:rPr>
            </w:pPr>
            <w:r w:rsidRPr="00B515FF">
              <w:t>Number of scripts dispensed</w:t>
            </w:r>
            <w:r w:rsidRPr="00B515FF">
              <w:rPr>
                <w:vertAlign w:val="superscript"/>
              </w:rPr>
              <w:t>a</w:t>
            </w:r>
          </w:p>
        </w:tc>
        <w:tc>
          <w:tcPr>
            <w:tcW w:w="611" w:type="pct"/>
            <w:shd w:val="clear" w:color="auto" w:fill="auto"/>
          </w:tcPr>
          <w:p w14:paraId="36945D96" w14:textId="46EA026A" w:rsidR="00AF3847" w:rsidRPr="005F32D1" w:rsidRDefault="00D12425" w:rsidP="0047489A">
            <w:pPr>
              <w:pStyle w:val="TableText0"/>
              <w:keepLines/>
              <w:jc w:val="center"/>
              <w:rPr>
                <w:color w:val="000000"/>
                <w:highlight w:val="lightGray"/>
              </w:rPr>
            </w:pPr>
            <w:r w:rsidRPr="00D12425">
              <w:rPr>
                <w:color w:val="000000"/>
                <w:spacing w:val="70"/>
                <w:shd w:val="solid" w:color="000000" w:fill="000000"/>
                <w:fitText w:val="382" w:id="-1236619517"/>
                <w14:textFill>
                  <w14:solidFill>
                    <w14:srgbClr w14:val="000000">
                      <w14:alpha w14:val="100000"/>
                    </w14:srgbClr>
                  </w14:solidFill>
                </w14:textFill>
              </w:rPr>
              <w:t>|||</w:t>
            </w:r>
            <w:r w:rsidRPr="00D12425">
              <w:rPr>
                <w:color w:val="000000"/>
                <w:spacing w:val="2"/>
                <w:shd w:val="solid" w:color="000000" w:fill="000000"/>
                <w:fitText w:val="382" w:id="-1236619517"/>
                <w14:textFill>
                  <w14:solidFill>
                    <w14:srgbClr w14:val="000000">
                      <w14:alpha w14:val="100000"/>
                    </w14:srgbClr>
                  </w14:solidFill>
                </w14:textFill>
              </w:rPr>
              <w:t>|</w:t>
            </w:r>
            <w:r w:rsidR="009E5BDA" w:rsidRPr="005F32D1">
              <w:rPr>
                <w:rFonts w:eastAsia="Times New Roman" w:cs="Arial"/>
                <w:sz w:val="18"/>
                <w:szCs w:val="22"/>
                <w:vertAlign w:val="superscript"/>
              </w:rPr>
              <w:t>2</w:t>
            </w:r>
          </w:p>
        </w:tc>
        <w:tc>
          <w:tcPr>
            <w:tcW w:w="611" w:type="pct"/>
            <w:shd w:val="clear" w:color="auto" w:fill="auto"/>
          </w:tcPr>
          <w:p w14:paraId="74D71E87" w14:textId="43837AEA" w:rsidR="00AF3847" w:rsidRPr="005F32D1" w:rsidRDefault="00D12425" w:rsidP="0047489A">
            <w:pPr>
              <w:pStyle w:val="TableText0"/>
              <w:keepLines/>
              <w:jc w:val="center"/>
              <w:rPr>
                <w:color w:val="000000"/>
                <w:highlight w:val="lightGray"/>
              </w:rPr>
            </w:pPr>
            <w:r w:rsidRPr="00D12425">
              <w:rPr>
                <w:color w:val="000000"/>
                <w:spacing w:val="70"/>
                <w:shd w:val="solid" w:color="000000" w:fill="000000"/>
                <w:fitText w:val="383" w:id="-1236619516"/>
                <w14:textFill>
                  <w14:solidFill>
                    <w14:srgbClr w14:val="000000">
                      <w14:alpha w14:val="100000"/>
                    </w14:srgbClr>
                  </w14:solidFill>
                </w14:textFill>
              </w:rPr>
              <w:t>|||</w:t>
            </w:r>
            <w:r w:rsidRPr="00D12425">
              <w:rPr>
                <w:color w:val="000000"/>
                <w:spacing w:val="3"/>
                <w:shd w:val="solid" w:color="000000" w:fill="000000"/>
                <w:fitText w:val="383" w:id="-1236619516"/>
                <w14:textFill>
                  <w14:solidFill>
                    <w14:srgbClr w14:val="000000">
                      <w14:alpha w14:val="100000"/>
                    </w14:srgbClr>
                  </w14:solidFill>
                </w14:textFill>
              </w:rPr>
              <w:t>|</w:t>
            </w:r>
            <w:r w:rsidR="009E5BDA" w:rsidRPr="005F32D1">
              <w:rPr>
                <w:rFonts w:eastAsia="Times New Roman" w:cs="Arial"/>
                <w:sz w:val="18"/>
                <w:szCs w:val="22"/>
                <w:vertAlign w:val="superscript"/>
              </w:rPr>
              <w:t>2</w:t>
            </w:r>
          </w:p>
        </w:tc>
        <w:tc>
          <w:tcPr>
            <w:tcW w:w="611" w:type="pct"/>
            <w:shd w:val="clear" w:color="auto" w:fill="auto"/>
          </w:tcPr>
          <w:p w14:paraId="7BBB157A" w14:textId="608573D9" w:rsidR="00AF3847" w:rsidRPr="005F32D1" w:rsidRDefault="00D12425" w:rsidP="0047489A">
            <w:pPr>
              <w:pStyle w:val="TableText0"/>
              <w:keepLines/>
              <w:jc w:val="center"/>
              <w:rPr>
                <w:color w:val="000000"/>
                <w:highlight w:val="lightGray"/>
              </w:rPr>
            </w:pPr>
            <w:r w:rsidRPr="00D12425">
              <w:rPr>
                <w:color w:val="000000"/>
                <w:spacing w:val="70"/>
                <w:shd w:val="solid" w:color="000000" w:fill="000000"/>
                <w:fitText w:val="383" w:id="-1236619515"/>
                <w14:textFill>
                  <w14:solidFill>
                    <w14:srgbClr w14:val="000000">
                      <w14:alpha w14:val="100000"/>
                    </w14:srgbClr>
                  </w14:solidFill>
                </w14:textFill>
              </w:rPr>
              <w:t>|||</w:t>
            </w:r>
            <w:r w:rsidRPr="00D12425">
              <w:rPr>
                <w:color w:val="000000"/>
                <w:spacing w:val="3"/>
                <w:shd w:val="solid" w:color="000000" w:fill="000000"/>
                <w:fitText w:val="383" w:id="-1236619515"/>
                <w14:textFill>
                  <w14:solidFill>
                    <w14:srgbClr w14:val="000000">
                      <w14:alpha w14:val="100000"/>
                    </w14:srgbClr>
                  </w14:solidFill>
                </w14:textFill>
              </w:rPr>
              <w:t>|</w:t>
            </w:r>
            <w:r w:rsidR="009E5BDA" w:rsidRPr="005F32D1">
              <w:rPr>
                <w:rFonts w:eastAsia="Times New Roman" w:cs="Arial"/>
                <w:sz w:val="18"/>
                <w:szCs w:val="22"/>
                <w:vertAlign w:val="superscript"/>
              </w:rPr>
              <w:t>2</w:t>
            </w:r>
          </w:p>
        </w:tc>
        <w:tc>
          <w:tcPr>
            <w:tcW w:w="611" w:type="pct"/>
            <w:shd w:val="clear" w:color="auto" w:fill="auto"/>
          </w:tcPr>
          <w:p w14:paraId="5333F403" w14:textId="17641B0A" w:rsidR="00AF3847" w:rsidRPr="005F32D1" w:rsidRDefault="00D12425" w:rsidP="0047489A">
            <w:pPr>
              <w:pStyle w:val="TableText0"/>
              <w:keepLines/>
              <w:jc w:val="center"/>
              <w:rPr>
                <w:color w:val="000000"/>
                <w:highlight w:val="lightGray"/>
              </w:rPr>
            </w:pPr>
            <w:r w:rsidRPr="00D12425">
              <w:rPr>
                <w:color w:val="000000"/>
                <w:spacing w:val="55"/>
                <w:shd w:val="solid" w:color="000000" w:fill="000000"/>
                <w:fitText w:val="533" w:id="-1236619514"/>
                <w14:textFill>
                  <w14:solidFill>
                    <w14:srgbClr w14:val="000000">
                      <w14:alpha w14:val="100000"/>
                    </w14:srgbClr>
                  </w14:solidFill>
                </w14:textFill>
              </w:rPr>
              <w:t>|||||</w:t>
            </w:r>
            <w:r w:rsidRPr="00D12425">
              <w:rPr>
                <w:color w:val="000000"/>
                <w:spacing w:val="3"/>
                <w:shd w:val="solid" w:color="000000" w:fill="000000"/>
                <w:fitText w:val="533" w:id="-1236619514"/>
                <w14:textFill>
                  <w14:solidFill>
                    <w14:srgbClr w14:val="000000">
                      <w14:alpha w14:val="100000"/>
                    </w14:srgbClr>
                  </w14:solidFill>
                </w14:textFill>
              </w:rPr>
              <w:t>|</w:t>
            </w:r>
            <w:r w:rsidR="009E5BDA" w:rsidRPr="005F32D1">
              <w:rPr>
                <w:rFonts w:eastAsia="Times New Roman" w:cs="Arial"/>
                <w:sz w:val="18"/>
                <w:szCs w:val="22"/>
                <w:vertAlign w:val="superscript"/>
              </w:rPr>
              <w:t>2</w:t>
            </w:r>
          </w:p>
        </w:tc>
        <w:tc>
          <w:tcPr>
            <w:tcW w:w="611" w:type="pct"/>
            <w:shd w:val="clear" w:color="auto" w:fill="auto"/>
          </w:tcPr>
          <w:p w14:paraId="0B24F953" w14:textId="4F4B5AEE" w:rsidR="00AF3847" w:rsidRPr="005F32D1" w:rsidRDefault="00D12425" w:rsidP="0047489A">
            <w:pPr>
              <w:pStyle w:val="TableText0"/>
              <w:keepLines/>
              <w:jc w:val="center"/>
              <w:rPr>
                <w:color w:val="000000"/>
                <w:highlight w:val="lightGray"/>
              </w:rPr>
            </w:pPr>
            <w:r w:rsidRPr="00D12425">
              <w:rPr>
                <w:color w:val="000000"/>
                <w:spacing w:val="70"/>
                <w:shd w:val="solid" w:color="000000" w:fill="000000"/>
                <w:fitText w:val="383" w:id="-1236619511"/>
                <w14:textFill>
                  <w14:solidFill>
                    <w14:srgbClr w14:val="000000">
                      <w14:alpha w14:val="100000"/>
                    </w14:srgbClr>
                  </w14:solidFill>
                </w14:textFill>
              </w:rPr>
              <w:t>|||</w:t>
            </w:r>
            <w:r w:rsidRPr="00D12425">
              <w:rPr>
                <w:color w:val="000000"/>
                <w:spacing w:val="3"/>
                <w:shd w:val="solid" w:color="000000" w:fill="000000"/>
                <w:fitText w:val="383" w:id="-1236619511"/>
                <w14:textFill>
                  <w14:solidFill>
                    <w14:srgbClr w14:val="000000">
                      <w14:alpha w14:val="100000"/>
                    </w14:srgbClr>
                  </w14:solidFill>
                </w14:textFill>
              </w:rPr>
              <w:t>|</w:t>
            </w:r>
            <w:r w:rsidR="009E5BDA" w:rsidRPr="005F32D1">
              <w:rPr>
                <w:rFonts w:eastAsia="Times New Roman" w:cs="Arial"/>
                <w:sz w:val="18"/>
                <w:szCs w:val="22"/>
                <w:vertAlign w:val="superscript"/>
              </w:rPr>
              <w:t>2</w:t>
            </w:r>
          </w:p>
        </w:tc>
        <w:tc>
          <w:tcPr>
            <w:tcW w:w="611" w:type="pct"/>
          </w:tcPr>
          <w:p w14:paraId="247D9DA6" w14:textId="0325BD0D" w:rsidR="00AF3847" w:rsidRPr="005F32D1" w:rsidRDefault="00D12425" w:rsidP="0047489A">
            <w:pPr>
              <w:pStyle w:val="TableText0"/>
              <w:keepLines/>
              <w:jc w:val="center"/>
              <w:rPr>
                <w:color w:val="000000"/>
                <w:highlight w:val="lightGray"/>
              </w:rPr>
            </w:pPr>
            <w:r w:rsidRPr="00D12425">
              <w:rPr>
                <w:color w:val="000000"/>
                <w:spacing w:val="70"/>
                <w:shd w:val="solid" w:color="000000" w:fill="000000"/>
                <w:fitText w:val="383" w:id="-1236619510"/>
                <w14:textFill>
                  <w14:solidFill>
                    <w14:srgbClr w14:val="000000">
                      <w14:alpha w14:val="100000"/>
                    </w14:srgbClr>
                  </w14:solidFill>
                </w14:textFill>
              </w:rPr>
              <w:t>|||</w:t>
            </w:r>
            <w:r w:rsidRPr="00D12425">
              <w:rPr>
                <w:color w:val="000000"/>
                <w:spacing w:val="3"/>
                <w:shd w:val="solid" w:color="000000" w:fill="000000"/>
                <w:fitText w:val="383" w:id="-1236619510"/>
                <w14:textFill>
                  <w14:solidFill>
                    <w14:srgbClr w14:val="000000">
                      <w14:alpha w14:val="100000"/>
                    </w14:srgbClr>
                  </w14:solidFill>
                </w14:textFill>
              </w:rPr>
              <w:t>|</w:t>
            </w:r>
            <w:r w:rsidR="009E5BDA" w:rsidRPr="005F32D1">
              <w:rPr>
                <w:rFonts w:eastAsia="Times New Roman" w:cs="Arial"/>
                <w:sz w:val="18"/>
                <w:szCs w:val="22"/>
                <w:vertAlign w:val="superscript"/>
              </w:rPr>
              <w:t>2</w:t>
            </w:r>
          </w:p>
        </w:tc>
      </w:tr>
      <w:tr w:rsidR="00AF3847" w:rsidRPr="00B515FF" w14:paraId="618AFC55" w14:textId="77777777" w:rsidTr="00A704EE">
        <w:tc>
          <w:tcPr>
            <w:tcW w:w="5000" w:type="pct"/>
            <w:gridSpan w:val="7"/>
            <w:shd w:val="clear" w:color="auto" w:fill="auto"/>
            <w:vAlign w:val="center"/>
          </w:tcPr>
          <w:p w14:paraId="17ACF6F6" w14:textId="77777777" w:rsidR="00AF3847" w:rsidRPr="00B515FF" w:rsidRDefault="00AF3847" w:rsidP="0047489A">
            <w:pPr>
              <w:pStyle w:val="In-tableHeading"/>
              <w:keepLines/>
            </w:pPr>
            <w:r w:rsidRPr="00B515FF">
              <w:t>Estimated financial implications of tebentafusp</w:t>
            </w:r>
          </w:p>
        </w:tc>
      </w:tr>
      <w:tr w:rsidR="00AF3847" w:rsidRPr="00B515FF" w14:paraId="5CC804A3" w14:textId="77777777" w:rsidTr="00A704EE">
        <w:tc>
          <w:tcPr>
            <w:tcW w:w="1334" w:type="pct"/>
            <w:shd w:val="clear" w:color="auto" w:fill="auto"/>
            <w:vAlign w:val="center"/>
          </w:tcPr>
          <w:p w14:paraId="2BFF25DE" w14:textId="77777777" w:rsidR="00AF3847" w:rsidRPr="00B515FF" w:rsidRDefault="00AF3847" w:rsidP="0047489A">
            <w:pPr>
              <w:pStyle w:val="TableText0"/>
              <w:keepLines/>
              <w:rPr>
                <w:sz w:val="19"/>
                <w:szCs w:val="19"/>
              </w:rPr>
            </w:pPr>
            <w:r w:rsidRPr="00B515FF">
              <w:rPr>
                <w:sz w:val="19"/>
                <w:szCs w:val="19"/>
              </w:rPr>
              <w:t>Cost to PBS/RPBS less co-payments</w:t>
            </w:r>
          </w:p>
        </w:tc>
        <w:tc>
          <w:tcPr>
            <w:tcW w:w="611" w:type="pct"/>
            <w:shd w:val="clear" w:color="auto" w:fill="auto"/>
            <w:vAlign w:val="center"/>
          </w:tcPr>
          <w:p w14:paraId="765C7915" w14:textId="6D5BDC7C" w:rsidR="00AF3847" w:rsidRPr="005F32D1" w:rsidRDefault="00D12425" w:rsidP="0047489A">
            <w:pPr>
              <w:pStyle w:val="TableText0"/>
              <w:keepLines/>
              <w:jc w:val="center"/>
              <w:rPr>
                <w:highlight w:val="lightGray"/>
              </w:rPr>
            </w:pPr>
            <w:r w:rsidRPr="00D12425">
              <w:rPr>
                <w:color w:val="000000"/>
                <w:spacing w:val="70"/>
                <w:shd w:val="solid" w:color="000000" w:fill="000000"/>
                <w:fitText w:val="382" w:id="-1236619509"/>
                <w14:textFill>
                  <w14:solidFill>
                    <w14:srgbClr w14:val="000000">
                      <w14:alpha w14:val="100000"/>
                    </w14:srgbClr>
                  </w14:solidFill>
                </w14:textFill>
              </w:rPr>
              <w:t>|||</w:t>
            </w:r>
            <w:r w:rsidRPr="00D12425">
              <w:rPr>
                <w:color w:val="000000"/>
                <w:spacing w:val="2"/>
                <w:shd w:val="solid" w:color="000000" w:fill="000000"/>
                <w:fitText w:val="382" w:id="-1236619509"/>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549E06C0" w14:textId="265AAC65"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08"/>
                <w14:textFill>
                  <w14:solidFill>
                    <w14:srgbClr w14:val="000000">
                      <w14:alpha w14:val="100000"/>
                    </w14:srgbClr>
                  </w14:solidFill>
                </w14:textFill>
              </w:rPr>
              <w:t>|||</w:t>
            </w:r>
            <w:r w:rsidRPr="00D12425">
              <w:rPr>
                <w:color w:val="000000"/>
                <w:spacing w:val="3"/>
                <w:shd w:val="solid" w:color="000000" w:fill="000000"/>
                <w:fitText w:val="383" w:id="-1236619508"/>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4D75D1C9" w14:textId="0F235C4A"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07"/>
                <w14:textFill>
                  <w14:solidFill>
                    <w14:srgbClr w14:val="000000">
                      <w14:alpha w14:val="100000"/>
                    </w14:srgbClr>
                  </w14:solidFill>
                </w14:textFill>
              </w:rPr>
              <w:t>|||</w:t>
            </w:r>
            <w:r w:rsidRPr="00D12425">
              <w:rPr>
                <w:color w:val="000000"/>
                <w:spacing w:val="3"/>
                <w:shd w:val="solid" w:color="000000" w:fill="000000"/>
                <w:fitText w:val="383" w:id="-1236619507"/>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3BFDE449" w14:textId="277457D4"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06"/>
                <w14:textFill>
                  <w14:solidFill>
                    <w14:srgbClr w14:val="000000">
                      <w14:alpha w14:val="100000"/>
                    </w14:srgbClr>
                  </w14:solidFill>
                </w14:textFill>
              </w:rPr>
              <w:t>|||</w:t>
            </w:r>
            <w:r w:rsidRPr="00D12425">
              <w:rPr>
                <w:color w:val="000000"/>
                <w:spacing w:val="3"/>
                <w:shd w:val="solid" w:color="000000" w:fill="000000"/>
                <w:fitText w:val="383" w:id="-1236619506"/>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162B9D50" w14:textId="365A7045"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05"/>
                <w14:textFill>
                  <w14:solidFill>
                    <w14:srgbClr w14:val="000000">
                      <w14:alpha w14:val="100000"/>
                    </w14:srgbClr>
                  </w14:solidFill>
                </w14:textFill>
              </w:rPr>
              <w:t>|||</w:t>
            </w:r>
            <w:r w:rsidRPr="00D12425">
              <w:rPr>
                <w:color w:val="000000"/>
                <w:spacing w:val="3"/>
                <w:shd w:val="solid" w:color="000000" w:fill="000000"/>
                <w:fitText w:val="383" w:id="-1236619505"/>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vAlign w:val="center"/>
          </w:tcPr>
          <w:p w14:paraId="223EC2E8" w14:textId="6A264091"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04"/>
                <w14:textFill>
                  <w14:solidFill>
                    <w14:srgbClr w14:val="000000">
                      <w14:alpha w14:val="100000"/>
                    </w14:srgbClr>
                  </w14:solidFill>
                </w14:textFill>
              </w:rPr>
              <w:t>|||</w:t>
            </w:r>
            <w:r w:rsidRPr="00D12425">
              <w:rPr>
                <w:color w:val="000000"/>
                <w:spacing w:val="3"/>
                <w:shd w:val="solid" w:color="000000" w:fill="000000"/>
                <w:fitText w:val="383" w:id="-1236619504"/>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AF3847" w:rsidRPr="00B515FF" w14:paraId="035BD4A5" w14:textId="77777777" w:rsidTr="00A704EE">
        <w:tc>
          <w:tcPr>
            <w:tcW w:w="5000" w:type="pct"/>
            <w:gridSpan w:val="7"/>
            <w:shd w:val="clear" w:color="auto" w:fill="auto"/>
            <w:vAlign w:val="center"/>
          </w:tcPr>
          <w:p w14:paraId="0066D090" w14:textId="77777777" w:rsidR="00AF3847" w:rsidRPr="00B515FF" w:rsidRDefault="00AF3847" w:rsidP="0047489A">
            <w:pPr>
              <w:pStyle w:val="TableText0"/>
              <w:keepLines/>
              <w:rPr>
                <w:b/>
                <w:bCs w:val="0"/>
              </w:rPr>
            </w:pPr>
            <w:r w:rsidRPr="00B515FF">
              <w:rPr>
                <w:b/>
                <w:bCs w:val="0"/>
              </w:rPr>
              <w:t>Estimated financial implications for pembrolizumab</w:t>
            </w:r>
          </w:p>
        </w:tc>
      </w:tr>
      <w:tr w:rsidR="00AF3847" w:rsidRPr="00B515FF" w14:paraId="2D0AED99" w14:textId="77777777" w:rsidTr="00A704EE">
        <w:tc>
          <w:tcPr>
            <w:tcW w:w="1334" w:type="pct"/>
            <w:shd w:val="clear" w:color="auto" w:fill="auto"/>
            <w:vAlign w:val="center"/>
          </w:tcPr>
          <w:p w14:paraId="74F9777C" w14:textId="77777777" w:rsidR="00AF3847" w:rsidRPr="00B515FF" w:rsidRDefault="00AF3847" w:rsidP="0047489A">
            <w:pPr>
              <w:pStyle w:val="TableText0"/>
              <w:keepLines/>
              <w:rPr>
                <w:sz w:val="19"/>
                <w:szCs w:val="19"/>
              </w:rPr>
            </w:pPr>
            <w:r w:rsidRPr="00B515FF">
              <w:rPr>
                <w:sz w:val="19"/>
                <w:szCs w:val="19"/>
              </w:rPr>
              <w:t>Cost to PBS/RPBS less co-payments</w:t>
            </w:r>
          </w:p>
        </w:tc>
        <w:tc>
          <w:tcPr>
            <w:tcW w:w="611" w:type="pct"/>
            <w:shd w:val="clear" w:color="auto" w:fill="auto"/>
            <w:vAlign w:val="center"/>
          </w:tcPr>
          <w:p w14:paraId="2169CB71" w14:textId="5709C6A5" w:rsidR="00AF3847" w:rsidRPr="005F32D1" w:rsidRDefault="00D12425" w:rsidP="0047489A">
            <w:pPr>
              <w:pStyle w:val="TableText0"/>
              <w:keepLines/>
              <w:jc w:val="center"/>
              <w:rPr>
                <w:highlight w:val="lightGray"/>
              </w:rPr>
            </w:pPr>
            <w:r w:rsidRPr="00D12425">
              <w:rPr>
                <w:color w:val="000000"/>
                <w:spacing w:val="70"/>
                <w:shd w:val="solid" w:color="000000" w:fill="000000"/>
                <w:fitText w:val="382" w:id="-1236619520"/>
                <w14:textFill>
                  <w14:solidFill>
                    <w14:srgbClr w14:val="000000">
                      <w14:alpha w14:val="100000"/>
                    </w14:srgbClr>
                  </w14:solidFill>
                </w14:textFill>
              </w:rPr>
              <w:t>|||</w:t>
            </w:r>
            <w:r w:rsidRPr="00D12425">
              <w:rPr>
                <w:color w:val="000000"/>
                <w:spacing w:val="2"/>
                <w:shd w:val="solid" w:color="000000" w:fill="000000"/>
                <w:fitText w:val="382" w:id="-1236619520"/>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72AE7741" w14:textId="2EDD7B47"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19"/>
                <w14:textFill>
                  <w14:solidFill>
                    <w14:srgbClr w14:val="000000">
                      <w14:alpha w14:val="100000"/>
                    </w14:srgbClr>
                  </w14:solidFill>
                </w14:textFill>
              </w:rPr>
              <w:t>|||</w:t>
            </w:r>
            <w:r w:rsidRPr="00D12425">
              <w:rPr>
                <w:color w:val="000000"/>
                <w:spacing w:val="3"/>
                <w:shd w:val="solid" w:color="000000" w:fill="000000"/>
                <w:fitText w:val="383" w:id="-1236619519"/>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2A21E436" w14:textId="6EE5EE69"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18"/>
                <w14:textFill>
                  <w14:solidFill>
                    <w14:srgbClr w14:val="000000">
                      <w14:alpha w14:val="100000"/>
                    </w14:srgbClr>
                  </w14:solidFill>
                </w14:textFill>
              </w:rPr>
              <w:t>|||</w:t>
            </w:r>
            <w:r w:rsidRPr="00D12425">
              <w:rPr>
                <w:color w:val="000000"/>
                <w:spacing w:val="3"/>
                <w:shd w:val="solid" w:color="000000" w:fill="000000"/>
                <w:fitText w:val="383" w:id="-1236619518"/>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713CBF29" w14:textId="4610FF21"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17"/>
                <w14:textFill>
                  <w14:solidFill>
                    <w14:srgbClr w14:val="000000">
                      <w14:alpha w14:val="100000"/>
                    </w14:srgbClr>
                  </w14:solidFill>
                </w14:textFill>
              </w:rPr>
              <w:t>|||</w:t>
            </w:r>
            <w:r w:rsidRPr="00D12425">
              <w:rPr>
                <w:color w:val="000000"/>
                <w:spacing w:val="3"/>
                <w:shd w:val="solid" w:color="000000" w:fill="000000"/>
                <w:fitText w:val="383" w:id="-1236619517"/>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427E760A" w14:textId="0192278E"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16"/>
                <w14:textFill>
                  <w14:solidFill>
                    <w14:srgbClr w14:val="000000">
                      <w14:alpha w14:val="100000"/>
                    </w14:srgbClr>
                  </w14:solidFill>
                </w14:textFill>
              </w:rPr>
              <w:t>|||</w:t>
            </w:r>
            <w:r w:rsidRPr="00D12425">
              <w:rPr>
                <w:color w:val="000000"/>
                <w:spacing w:val="3"/>
                <w:shd w:val="solid" w:color="000000" w:fill="000000"/>
                <w:fitText w:val="383" w:id="-1236619516"/>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vAlign w:val="center"/>
          </w:tcPr>
          <w:p w14:paraId="08833813" w14:textId="46BAABD1"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15"/>
                <w14:textFill>
                  <w14:solidFill>
                    <w14:srgbClr w14:val="000000">
                      <w14:alpha w14:val="100000"/>
                    </w14:srgbClr>
                  </w14:solidFill>
                </w14:textFill>
              </w:rPr>
              <w:t>|||</w:t>
            </w:r>
            <w:r w:rsidRPr="00D12425">
              <w:rPr>
                <w:color w:val="000000"/>
                <w:spacing w:val="3"/>
                <w:shd w:val="solid" w:color="000000" w:fill="000000"/>
                <w:fitText w:val="383" w:id="-1236619515"/>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AF3847" w:rsidRPr="00B515FF" w14:paraId="03315A97" w14:textId="77777777" w:rsidTr="00A704EE">
        <w:tc>
          <w:tcPr>
            <w:tcW w:w="5000" w:type="pct"/>
            <w:gridSpan w:val="7"/>
            <w:shd w:val="clear" w:color="auto" w:fill="auto"/>
            <w:vAlign w:val="center"/>
          </w:tcPr>
          <w:p w14:paraId="1749BF01" w14:textId="77777777" w:rsidR="00AF3847" w:rsidRPr="00B515FF" w:rsidRDefault="00AF3847" w:rsidP="0047489A">
            <w:pPr>
              <w:pStyle w:val="In-tableHeading"/>
              <w:keepLines/>
            </w:pPr>
            <w:r w:rsidRPr="00B515FF">
              <w:t>Net financial implications</w:t>
            </w:r>
          </w:p>
        </w:tc>
      </w:tr>
      <w:tr w:rsidR="00AF3847" w:rsidRPr="00B515FF" w14:paraId="45CBE986" w14:textId="77777777" w:rsidTr="00A704EE">
        <w:tc>
          <w:tcPr>
            <w:tcW w:w="1334" w:type="pct"/>
            <w:shd w:val="clear" w:color="auto" w:fill="auto"/>
            <w:vAlign w:val="center"/>
          </w:tcPr>
          <w:p w14:paraId="176D0270" w14:textId="77777777" w:rsidR="00AF3847" w:rsidRPr="00B515FF" w:rsidRDefault="00AF3847" w:rsidP="0047489A">
            <w:pPr>
              <w:pStyle w:val="TableText0"/>
              <w:keepLines/>
              <w:rPr>
                <w:b/>
                <w:bCs w:val="0"/>
                <w:sz w:val="19"/>
                <w:szCs w:val="19"/>
              </w:rPr>
            </w:pPr>
            <w:r w:rsidRPr="00B515FF">
              <w:rPr>
                <w:b/>
                <w:bCs w:val="0"/>
                <w:sz w:val="19"/>
                <w:szCs w:val="19"/>
              </w:rPr>
              <w:t>Net cost to PBS/RPBS</w:t>
            </w:r>
          </w:p>
        </w:tc>
        <w:tc>
          <w:tcPr>
            <w:tcW w:w="611" w:type="pct"/>
            <w:shd w:val="clear" w:color="auto" w:fill="auto"/>
          </w:tcPr>
          <w:p w14:paraId="4C034347" w14:textId="6876C58C"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49" w:id="-1236619514"/>
                <w14:textFill>
                  <w14:solidFill>
                    <w14:srgbClr w14:val="000000">
                      <w14:alpha w14:val="100000"/>
                    </w14:srgbClr>
                  </w14:solidFill>
                </w14:textFill>
              </w:rPr>
              <w:t>|||||</w:t>
            </w:r>
            <w:r w:rsidRPr="00D12425">
              <w:rPr>
                <w:b/>
                <w:bCs w:val="0"/>
                <w:color w:val="000000"/>
                <w:spacing w:val="4"/>
                <w:shd w:val="solid" w:color="000000" w:fill="000000"/>
                <w:fitText w:val="449" w:id="-1236619514"/>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3438DB4D" w14:textId="36A6C926"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49" w:id="-1236619513"/>
                <w14:textFill>
                  <w14:solidFill>
                    <w14:srgbClr w14:val="000000">
                      <w14:alpha w14:val="100000"/>
                    </w14:srgbClr>
                  </w14:solidFill>
                </w14:textFill>
              </w:rPr>
              <w:t>|||||</w:t>
            </w:r>
            <w:r w:rsidRPr="00D12425">
              <w:rPr>
                <w:b/>
                <w:bCs w:val="0"/>
                <w:color w:val="000000"/>
                <w:spacing w:val="4"/>
                <w:shd w:val="solid" w:color="000000" w:fill="000000"/>
                <w:fitText w:val="449" w:id="-1236619513"/>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0441F104" w14:textId="7C3C9510"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49" w:id="-1236619512"/>
                <w14:textFill>
                  <w14:solidFill>
                    <w14:srgbClr w14:val="000000">
                      <w14:alpha w14:val="100000"/>
                    </w14:srgbClr>
                  </w14:solidFill>
                </w14:textFill>
              </w:rPr>
              <w:t>|||||</w:t>
            </w:r>
            <w:r w:rsidRPr="00D12425">
              <w:rPr>
                <w:b/>
                <w:bCs w:val="0"/>
                <w:color w:val="000000"/>
                <w:spacing w:val="4"/>
                <w:shd w:val="solid" w:color="000000" w:fill="000000"/>
                <w:fitText w:val="449" w:id="-1236619512"/>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70C7EA56" w14:textId="5F979DA9"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50" w:id="-1236619511"/>
                <w14:textFill>
                  <w14:solidFill>
                    <w14:srgbClr w14:val="000000">
                      <w14:alpha w14:val="100000"/>
                    </w14:srgbClr>
                  </w14:solidFill>
                </w14:textFill>
              </w:rPr>
              <w:t>|||||</w:t>
            </w:r>
            <w:r w:rsidRPr="00D12425">
              <w:rPr>
                <w:b/>
                <w:bCs w:val="0"/>
                <w:color w:val="000000"/>
                <w:spacing w:val="5"/>
                <w:shd w:val="solid" w:color="000000" w:fill="000000"/>
                <w:fitText w:val="450" w:id="-1236619511"/>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4075D4D0" w14:textId="45E7568D"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50" w:id="-1236619510"/>
                <w14:textFill>
                  <w14:solidFill>
                    <w14:srgbClr w14:val="000000">
                      <w14:alpha w14:val="100000"/>
                    </w14:srgbClr>
                  </w14:solidFill>
                </w14:textFill>
              </w:rPr>
              <w:t>|||||</w:t>
            </w:r>
            <w:r w:rsidRPr="00D12425">
              <w:rPr>
                <w:b/>
                <w:bCs w:val="0"/>
                <w:color w:val="000000"/>
                <w:spacing w:val="5"/>
                <w:shd w:val="solid" w:color="000000" w:fill="000000"/>
                <w:fitText w:val="450" w:id="-1236619510"/>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tcPr>
          <w:p w14:paraId="0371F4E0" w14:textId="45B5C5CB"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50" w:id="-1236619509"/>
                <w14:textFill>
                  <w14:solidFill>
                    <w14:srgbClr w14:val="000000">
                      <w14:alpha w14:val="100000"/>
                    </w14:srgbClr>
                  </w14:solidFill>
                </w14:textFill>
              </w:rPr>
              <w:t>|||||</w:t>
            </w:r>
            <w:r w:rsidRPr="00D12425">
              <w:rPr>
                <w:b/>
                <w:bCs w:val="0"/>
                <w:color w:val="000000"/>
                <w:spacing w:val="5"/>
                <w:shd w:val="solid" w:color="000000" w:fill="000000"/>
                <w:fitText w:val="450" w:id="-1236619509"/>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AF3847" w:rsidRPr="00AF3847" w14:paraId="14CE39B6" w14:textId="77777777" w:rsidTr="00A704EE">
        <w:tc>
          <w:tcPr>
            <w:tcW w:w="1334" w:type="pct"/>
            <w:shd w:val="clear" w:color="auto" w:fill="auto"/>
            <w:vAlign w:val="center"/>
          </w:tcPr>
          <w:p w14:paraId="3ACAA3B4" w14:textId="77777777" w:rsidR="00AF3847" w:rsidRPr="00B515FF" w:rsidRDefault="00AF3847" w:rsidP="0047489A">
            <w:pPr>
              <w:pStyle w:val="TableText0"/>
              <w:keepLines/>
              <w:rPr>
                <w:rFonts w:ascii="Times" w:hAnsi="Times"/>
              </w:rPr>
            </w:pPr>
            <w:r w:rsidRPr="00B515FF">
              <w:rPr>
                <w:sz w:val="19"/>
                <w:szCs w:val="19"/>
              </w:rPr>
              <w:t>Increased cost to MBS</w:t>
            </w:r>
            <w:r w:rsidRPr="00B515FF">
              <w:rPr>
                <w:sz w:val="19"/>
                <w:szCs w:val="19"/>
                <w:vertAlign w:val="superscript"/>
              </w:rPr>
              <w:t>b</w:t>
            </w:r>
          </w:p>
        </w:tc>
        <w:tc>
          <w:tcPr>
            <w:tcW w:w="611" w:type="pct"/>
            <w:shd w:val="clear" w:color="auto" w:fill="auto"/>
          </w:tcPr>
          <w:p w14:paraId="0AF70B0F" w14:textId="0735AB4F" w:rsidR="00AF3847" w:rsidRPr="005F32D1" w:rsidRDefault="00D12425" w:rsidP="0047489A">
            <w:pPr>
              <w:pStyle w:val="TableText0"/>
              <w:keepLines/>
              <w:jc w:val="center"/>
              <w:rPr>
                <w:highlight w:val="lightGray"/>
              </w:rPr>
            </w:pPr>
            <w:r w:rsidRPr="00D12425">
              <w:rPr>
                <w:color w:val="000000"/>
                <w:spacing w:val="70"/>
                <w:shd w:val="solid" w:color="000000" w:fill="000000"/>
                <w:fitText w:val="382" w:id="-1236619508"/>
                <w14:textFill>
                  <w14:solidFill>
                    <w14:srgbClr w14:val="000000">
                      <w14:alpha w14:val="100000"/>
                    </w14:srgbClr>
                  </w14:solidFill>
                </w14:textFill>
              </w:rPr>
              <w:t>|||</w:t>
            </w:r>
            <w:r w:rsidRPr="00D12425">
              <w:rPr>
                <w:color w:val="000000"/>
                <w:spacing w:val="2"/>
                <w:shd w:val="solid" w:color="000000" w:fill="000000"/>
                <w:fitText w:val="382" w:id="-1236619508"/>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426FE9AF" w14:textId="5AEA94D4"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07"/>
                <w14:textFill>
                  <w14:solidFill>
                    <w14:srgbClr w14:val="000000">
                      <w14:alpha w14:val="100000"/>
                    </w14:srgbClr>
                  </w14:solidFill>
                </w14:textFill>
              </w:rPr>
              <w:t>|||</w:t>
            </w:r>
            <w:r w:rsidRPr="00D12425">
              <w:rPr>
                <w:color w:val="000000"/>
                <w:spacing w:val="3"/>
                <w:shd w:val="solid" w:color="000000" w:fill="000000"/>
                <w:fitText w:val="383" w:id="-1236619507"/>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5A64B0FE" w14:textId="01343702"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06"/>
                <w14:textFill>
                  <w14:solidFill>
                    <w14:srgbClr w14:val="000000">
                      <w14:alpha w14:val="100000"/>
                    </w14:srgbClr>
                  </w14:solidFill>
                </w14:textFill>
              </w:rPr>
              <w:t>|||</w:t>
            </w:r>
            <w:r w:rsidRPr="00D12425">
              <w:rPr>
                <w:color w:val="000000"/>
                <w:spacing w:val="3"/>
                <w:shd w:val="solid" w:color="000000" w:fill="000000"/>
                <w:fitText w:val="383" w:id="-1236619506"/>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63E6F8FB" w14:textId="664CCBF9"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05"/>
                <w14:textFill>
                  <w14:solidFill>
                    <w14:srgbClr w14:val="000000">
                      <w14:alpha w14:val="100000"/>
                    </w14:srgbClr>
                  </w14:solidFill>
                </w14:textFill>
              </w:rPr>
              <w:t>|||</w:t>
            </w:r>
            <w:r w:rsidRPr="00D12425">
              <w:rPr>
                <w:color w:val="000000"/>
                <w:spacing w:val="3"/>
                <w:shd w:val="solid" w:color="000000" w:fill="000000"/>
                <w:fitText w:val="383" w:id="-1236619505"/>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2EEAA6ED" w14:textId="3551BEDE"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04"/>
                <w14:textFill>
                  <w14:solidFill>
                    <w14:srgbClr w14:val="000000">
                      <w14:alpha w14:val="100000"/>
                    </w14:srgbClr>
                  </w14:solidFill>
                </w14:textFill>
              </w:rPr>
              <w:t>|||</w:t>
            </w:r>
            <w:r w:rsidRPr="00D12425">
              <w:rPr>
                <w:color w:val="000000"/>
                <w:spacing w:val="3"/>
                <w:shd w:val="solid" w:color="000000" w:fill="000000"/>
                <w:fitText w:val="383" w:id="-1236619504"/>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tcPr>
          <w:p w14:paraId="7B12A198" w14:textId="42C01163" w:rsidR="00AF3847" w:rsidRPr="005F32D1" w:rsidRDefault="00D12425" w:rsidP="0047489A">
            <w:pPr>
              <w:pStyle w:val="TableText0"/>
              <w:keepLines/>
              <w:jc w:val="center"/>
              <w:rPr>
                <w:highlight w:val="lightGray"/>
              </w:rPr>
            </w:pPr>
            <w:r w:rsidRPr="00D12425">
              <w:rPr>
                <w:color w:val="000000"/>
                <w:spacing w:val="70"/>
                <w:shd w:val="solid" w:color="000000" w:fill="000000"/>
                <w:fitText w:val="383" w:id="-1236619520"/>
                <w14:textFill>
                  <w14:solidFill>
                    <w14:srgbClr w14:val="000000">
                      <w14:alpha w14:val="100000"/>
                    </w14:srgbClr>
                  </w14:solidFill>
                </w14:textFill>
              </w:rPr>
              <w:t>|||</w:t>
            </w:r>
            <w:r w:rsidRPr="00D12425">
              <w:rPr>
                <w:color w:val="000000"/>
                <w:spacing w:val="3"/>
                <w:shd w:val="solid" w:color="000000" w:fill="000000"/>
                <w:fitText w:val="383" w:id="-1236619520"/>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AF3847" w:rsidRPr="00384833" w14:paraId="373BD887" w14:textId="77777777" w:rsidTr="00A704EE">
        <w:tc>
          <w:tcPr>
            <w:tcW w:w="1334" w:type="pct"/>
            <w:shd w:val="clear" w:color="auto" w:fill="auto"/>
            <w:vAlign w:val="center"/>
          </w:tcPr>
          <w:p w14:paraId="4688A766" w14:textId="77777777" w:rsidR="00AF3847" w:rsidRPr="00384833" w:rsidRDefault="00AF3847" w:rsidP="0047489A">
            <w:pPr>
              <w:pStyle w:val="TableText0"/>
              <w:keepLines/>
              <w:rPr>
                <w:b/>
                <w:bCs w:val="0"/>
                <w:sz w:val="19"/>
                <w:szCs w:val="19"/>
              </w:rPr>
            </w:pPr>
            <w:r w:rsidRPr="00384833">
              <w:rPr>
                <w:b/>
                <w:bCs w:val="0"/>
                <w:sz w:val="19"/>
                <w:szCs w:val="19"/>
              </w:rPr>
              <w:t>Net cost to PBS/RPBS/MBS</w:t>
            </w:r>
          </w:p>
        </w:tc>
        <w:tc>
          <w:tcPr>
            <w:tcW w:w="611" w:type="pct"/>
            <w:shd w:val="clear" w:color="auto" w:fill="auto"/>
          </w:tcPr>
          <w:p w14:paraId="038ADB4F" w14:textId="095EC15A"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49" w:id="-1236619519"/>
                <w14:textFill>
                  <w14:solidFill>
                    <w14:srgbClr w14:val="000000">
                      <w14:alpha w14:val="100000"/>
                    </w14:srgbClr>
                  </w14:solidFill>
                </w14:textFill>
              </w:rPr>
              <w:t>|||||</w:t>
            </w:r>
            <w:r w:rsidRPr="00D12425">
              <w:rPr>
                <w:b/>
                <w:bCs w:val="0"/>
                <w:color w:val="000000"/>
                <w:spacing w:val="4"/>
                <w:shd w:val="solid" w:color="000000" w:fill="000000"/>
                <w:fitText w:val="449" w:id="-1236619519"/>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010C24B8" w14:textId="6978A7CC"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49" w:id="-1236619518"/>
                <w14:textFill>
                  <w14:solidFill>
                    <w14:srgbClr w14:val="000000">
                      <w14:alpha w14:val="100000"/>
                    </w14:srgbClr>
                  </w14:solidFill>
                </w14:textFill>
              </w:rPr>
              <w:t>|||||</w:t>
            </w:r>
            <w:r w:rsidRPr="00D12425">
              <w:rPr>
                <w:b/>
                <w:bCs w:val="0"/>
                <w:color w:val="000000"/>
                <w:spacing w:val="4"/>
                <w:shd w:val="solid" w:color="000000" w:fill="000000"/>
                <w:fitText w:val="449" w:id="-1236619518"/>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49E9511A" w14:textId="075712FD"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49" w:id="-1236619517"/>
                <w14:textFill>
                  <w14:solidFill>
                    <w14:srgbClr w14:val="000000">
                      <w14:alpha w14:val="100000"/>
                    </w14:srgbClr>
                  </w14:solidFill>
                </w14:textFill>
              </w:rPr>
              <w:t>|||||</w:t>
            </w:r>
            <w:r w:rsidRPr="00D12425">
              <w:rPr>
                <w:b/>
                <w:bCs w:val="0"/>
                <w:color w:val="000000"/>
                <w:spacing w:val="4"/>
                <w:shd w:val="solid" w:color="000000" w:fill="000000"/>
                <w:fitText w:val="449" w:id="-1236619517"/>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16D93D5F" w14:textId="01DC36D1"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50" w:id="-1236619516"/>
                <w14:textFill>
                  <w14:solidFill>
                    <w14:srgbClr w14:val="000000">
                      <w14:alpha w14:val="100000"/>
                    </w14:srgbClr>
                  </w14:solidFill>
                </w14:textFill>
              </w:rPr>
              <w:t>|||||</w:t>
            </w:r>
            <w:r w:rsidRPr="00D12425">
              <w:rPr>
                <w:b/>
                <w:bCs w:val="0"/>
                <w:color w:val="000000"/>
                <w:spacing w:val="5"/>
                <w:shd w:val="solid" w:color="000000" w:fill="000000"/>
                <w:fitText w:val="450" w:id="-1236619516"/>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27142C2C" w14:textId="4B1450FB"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50" w:id="-1236619515"/>
                <w14:textFill>
                  <w14:solidFill>
                    <w14:srgbClr w14:val="000000">
                      <w14:alpha w14:val="100000"/>
                    </w14:srgbClr>
                  </w14:solidFill>
                </w14:textFill>
              </w:rPr>
              <w:t>|||||</w:t>
            </w:r>
            <w:r w:rsidRPr="00D12425">
              <w:rPr>
                <w:b/>
                <w:bCs w:val="0"/>
                <w:color w:val="000000"/>
                <w:spacing w:val="5"/>
                <w:shd w:val="solid" w:color="000000" w:fill="000000"/>
                <w:fitText w:val="450" w:id="-1236619515"/>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tcPr>
          <w:p w14:paraId="4BEF5279" w14:textId="1A0B4569" w:rsidR="00AF3847" w:rsidRPr="005F32D1" w:rsidRDefault="00D12425" w:rsidP="0047489A">
            <w:pPr>
              <w:pStyle w:val="TableText0"/>
              <w:keepLines/>
              <w:jc w:val="center"/>
              <w:rPr>
                <w:b/>
                <w:bCs w:val="0"/>
                <w:highlight w:val="lightGray"/>
              </w:rPr>
            </w:pPr>
            <w:r w:rsidRPr="00D12425">
              <w:rPr>
                <w:b/>
                <w:bCs w:val="0"/>
                <w:color w:val="000000"/>
                <w:spacing w:val="34"/>
                <w:shd w:val="solid" w:color="000000" w:fill="000000"/>
                <w:fitText w:val="450" w:id="-1236619514"/>
                <w14:textFill>
                  <w14:solidFill>
                    <w14:srgbClr w14:val="000000">
                      <w14:alpha w14:val="100000"/>
                    </w14:srgbClr>
                  </w14:solidFill>
                </w14:textFill>
              </w:rPr>
              <w:t>|||||</w:t>
            </w:r>
            <w:r w:rsidRPr="00D12425">
              <w:rPr>
                <w:b/>
                <w:bCs w:val="0"/>
                <w:color w:val="000000"/>
                <w:spacing w:val="5"/>
                <w:shd w:val="solid" w:color="000000" w:fill="000000"/>
                <w:fitText w:val="450" w:id="-1236619514"/>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4B2763" w:rsidRPr="00AF3847" w14:paraId="18A6EBD5" w14:textId="77777777" w:rsidTr="004B2763">
        <w:tc>
          <w:tcPr>
            <w:tcW w:w="5000" w:type="pct"/>
            <w:gridSpan w:val="7"/>
            <w:shd w:val="clear" w:color="auto" w:fill="auto"/>
            <w:vAlign w:val="center"/>
          </w:tcPr>
          <w:p w14:paraId="3EB09DEA" w14:textId="6686B80A" w:rsidR="004B2763" w:rsidRPr="004B2763" w:rsidRDefault="004B2763" w:rsidP="0047489A">
            <w:pPr>
              <w:pStyle w:val="TableText0"/>
              <w:keepLines/>
              <w:rPr>
                <w:b/>
                <w:bCs w:val="0"/>
              </w:rPr>
            </w:pPr>
            <w:r w:rsidRPr="004B2763">
              <w:rPr>
                <w:b/>
                <w:bCs w:val="0"/>
              </w:rPr>
              <w:t>Corrected estimates provided in the PSCR</w:t>
            </w:r>
            <w:r>
              <w:rPr>
                <w:b/>
                <w:bCs w:val="0"/>
              </w:rPr>
              <w:t xml:space="preserve"> (duration of pembrolizumab reduced from 10.3 months to 4.5 months)</w:t>
            </w:r>
          </w:p>
        </w:tc>
      </w:tr>
      <w:tr w:rsidR="004B2763" w:rsidRPr="00AF3847" w14:paraId="62D3CED0" w14:textId="77777777" w:rsidTr="00A704EE">
        <w:tc>
          <w:tcPr>
            <w:tcW w:w="5000" w:type="pct"/>
            <w:gridSpan w:val="7"/>
            <w:shd w:val="clear" w:color="auto" w:fill="auto"/>
            <w:vAlign w:val="center"/>
          </w:tcPr>
          <w:p w14:paraId="61E32A1F" w14:textId="77777777" w:rsidR="004B2763" w:rsidRPr="00AF3847" w:rsidRDefault="004B2763" w:rsidP="0047489A">
            <w:pPr>
              <w:pStyle w:val="In-tableHeading"/>
              <w:keepLines/>
            </w:pPr>
            <w:r w:rsidRPr="00AF3847">
              <w:t>Estimated financial implications of tebentafusp</w:t>
            </w:r>
          </w:p>
        </w:tc>
      </w:tr>
      <w:tr w:rsidR="004B2763" w:rsidRPr="00AF3847" w14:paraId="7935CAEC" w14:textId="77777777" w:rsidTr="00A704EE">
        <w:tc>
          <w:tcPr>
            <w:tcW w:w="1334" w:type="pct"/>
            <w:shd w:val="clear" w:color="auto" w:fill="auto"/>
            <w:vAlign w:val="center"/>
          </w:tcPr>
          <w:p w14:paraId="72B1DC73" w14:textId="1A4FBABE" w:rsidR="004B2763" w:rsidRPr="00AF3847" w:rsidRDefault="004B2763" w:rsidP="0047489A">
            <w:pPr>
              <w:pStyle w:val="TableText0"/>
              <w:keepLines/>
              <w:rPr>
                <w:sz w:val="19"/>
                <w:szCs w:val="19"/>
              </w:rPr>
            </w:pPr>
            <w:r w:rsidRPr="00AF3847">
              <w:rPr>
                <w:sz w:val="19"/>
                <w:szCs w:val="19"/>
              </w:rPr>
              <w:t>Cost to PBS/RPBS less co-payments</w:t>
            </w:r>
            <w:r w:rsidR="00290237" w:rsidRPr="00290237">
              <w:rPr>
                <w:sz w:val="19"/>
                <w:szCs w:val="19"/>
                <w:vertAlign w:val="superscript"/>
              </w:rPr>
              <w:t>c</w:t>
            </w:r>
          </w:p>
        </w:tc>
        <w:tc>
          <w:tcPr>
            <w:tcW w:w="611" w:type="pct"/>
            <w:shd w:val="clear" w:color="auto" w:fill="auto"/>
            <w:vAlign w:val="center"/>
          </w:tcPr>
          <w:p w14:paraId="2C630E48" w14:textId="41A78702" w:rsidR="004B2763" w:rsidRPr="005F32D1" w:rsidRDefault="00D12425" w:rsidP="0047489A">
            <w:pPr>
              <w:pStyle w:val="TableText0"/>
              <w:keepLines/>
              <w:jc w:val="center"/>
              <w:rPr>
                <w:highlight w:val="lightGray"/>
              </w:rPr>
            </w:pPr>
            <w:r w:rsidRPr="00D12425">
              <w:rPr>
                <w:color w:val="000000"/>
                <w:spacing w:val="70"/>
                <w:shd w:val="solid" w:color="000000" w:fill="000000"/>
                <w:fitText w:val="382" w:id="-1236619513"/>
                <w14:textFill>
                  <w14:solidFill>
                    <w14:srgbClr w14:val="000000">
                      <w14:alpha w14:val="100000"/>
                    </w14:srgbClr>
                  </w14:solidFill>
                </w14:textFill>
              </w:rPr>
              <w:t>|||</w:t>
            </w:r>
            <w:r w:rsidRPr="00D12425">
              <w:rPr>
                <w:color w:val="000000"/>
                <w:spacing w:val="2"/>
                <w:shd w:val="solid" w:color="000000" w:fill="000000"/>
                <w:fitText w:val="382" w:id="-1236619513"/>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6F27A636" w14:textId="626A3CC2" w:rsidR="004B2763" w:rsidRPr="005F32D1" w:rsidRDefault="00D12425" w:rsidP="0047489A">
            <w:pPr>
              <w:pStyle w:val="TableText0"/>
              <w:keepLines/>
              <w:jc w:val="center"/>
              <w:rPr>
                <w:highlight w:val="lightGray"/>
              </w:rPr>
            </w:pPr>
            <w:r w:rsidRPr="00D12425">
              <w:rPr>
                <w:color w:val="000000"/>
                <w:spacing w:val="70"/>
                <w:shd w:val="solid" w:color="000000" w:fill="000000"/>
                <w:fitText w:val="383" w:id="-1236619512"/>
                <w14:textFill>
                  <w14:solidFill>
                    <w14:srgbClr w14:val="000000">
                      <w14:alpha w14:val="100000"/>
                    </w14:srgbClr>
                  </w14:solidFill>
                </w14:textFill>
              </w:rPr>
              <w:t>|||</w:t>
            </w:r>
            <w:r w:rsidRPr="00D12425">
              <w:rPr>
                <w:color w:val="000000"/>
                <w:spacing w:val="3"/>
                <w:shd w:val="solid" w:color="000000" w:fill="000000"/>
                <w:fitText w:val="383" w:id="-1236619512"/>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5F205F73" w14:textId="184519B1" w:rsidR="004B2763" w:rsidRPr="005F32D1" w:rsidRDefault="00D12425" w:rsidP="0047489A">
            <w:pPr>
              <w:pStyle w:val="TableText0"/>
              <w:keepLines/>
              <w:jc w:val="center"/>
              <w:rPr>
                <w:highlight w:val="lightGray"/>
              </w:rPr>
            </w:pPr>
            <w:r w:rsidRPr="00D12425">
              <w:rPr>
                <w:color w:val="000000"/>
                <w:spacing w:val="70"/>
                <w:shd w:val="solid" w:color="000000" w:fill="000000"/>
                <w:fitText w:val="383" w:id="-1236619511"/>
                <w14:textFill>
                  <w14:solidFill>
                    <w14:srgbClr w14:val="000000">
                      <w14:alpha w14:val="100000"/>
                    </w14:srgbClr>
                  </w14:solidFill>
                </w14:textFill>
              </w:rPr>
              <w:t>|||</w:t>
            </w:r>
            <w:r w:rsidRPr="00D12425">
              <w:rPr>
                <w:color w:val="000000"/>
                <w:spacing w:val="3"/>
                <w:shd w:val="solid" w:color="000000" w:fill="000000"/>
                <w:fitText w:val="383" w:id="-1236619511"/>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77FAA61A" w14:textId="534D86A7" w:rsidR="004B2763" w:rsidRPr="005F32D1" w:rsidRDefault="00D12425" w:rsidP="0047489A">
            <w:pPr>
              <w:pStyle w:val="TableText0"/>
              <w:keepLines/>
              <w:jc w:val="center"/>
              <w:rPr>
                <w:highlight w:val="lightGray"/>
              </w:rPr>
            </w:pPr>
            <w:r w:rsidRPr="00D12425">
              <w:rPr>
                <w:color w:val="000000"/>
                <w:spacing w:val="70"/>
                <w:shd w:val="solid" w:color="000000" w:fill="000000"/>
                <w:fitText w:val="383" w:id="-1236619510"/>
                <w14:textFill>
                  <w14:solidFill>
                    <w14:srgbClr w14:val="000000">
                      <w14:alpha w14:val="100000"/>
                    </w14:srgbClr>
                  </w14:solidFill>
                </w14:textFill>
              </w:rPr>
              <w:t>|||</w:t>
            </w:r>
            <w:r w:rsidRPr="00D12425">
              <w:rPr>
                <w:color w:val="000000"/>
                <w:spacing w:val="3"/>
                <w:shd w:val="solid" w:color="000000" w:fill="000000"/>
                <w:fitText w:val="383" w:id="-1236619510"/>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65C31FCA" w14:textId="68F22CA7" w:rsidR="004B2763" w:rsidRPr="005F32D1" w:rsidRDefault="00D12425" w:rsidP="0047489A">
            <w:pPr>
              <w:pStyle w:val="TableText0"/>
              <w:keepLines/>
              <w:jc w:val="center"/>
              <w:rPr>
                <w:highlight w:val="lightGray"/>
              </w:rPr>
            </w:pPr>
            <w:r w:rsidRPr="00D12425">
              <w:rPr>
                <w:color w:val="000000"/>
                <w:spacing w:val="70"/>
                <w:shd w:val="solid" w:color="000000" w:fill="000000"/>
                <w:fitText w:val="383" w:id="-1236619509"/>
                <w14:textFill>
                  <w14:solidFill>
                    <w14:srgbClr w14:val="000000">
                      <w14:alpha w14:val="100000"/>
                    </w14:srgbClr>
                  </w14:solidFill>
                </w14:textFill>
              </w:rPr>
              <w:t>|||</w:t>
            </w:r>
            <w:r w:rsidRPr="00D12425">
              <w:rPr>
                <w:color w:val="000000"/>
                <w:spacing w:val="3"/>
                <w:shd w:val="solid" w:color="000000" w:fill="000000"/>
                <w:fitText w:val="383" w:id="-1236619509"/>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vAlign w:val="center"/>
          </w:tcPr>
          <w:p w14:paraId="09A77B67" w14:textId="3139BA02" w:rsidR="004B2763" w:rsidRPr="005F32D1" w:rsidRDefault="00D12425" w:rsidP="0047489A">
            <w:pPr>
              <w:pStyle w:val="TableText0"/>
              <w:keepLines/>
              <w:jc w:val="center"/>
              <w:rPr>
                <w:highlight w:val="lightGray"/>
              </w:rPr>
            </w:pPr>
            <w:r w:rsidRPr="00D12425">
              <w:rPr>
                <w:color w:val="000000"/>
                <w:spacing w:val="70"/>
                <w:shd w:val="solid" w:color="000000" w:fill="000000"/>
                <w:fitText w:val="383" w:id="-1236619508"/>
                <w14:textFill>
                  <w14:solidFill>
                    <w14:srgbClr w14:val="000000">
                      <w14:alpha w14:val="100000"/>
                    </w14:srgbClr>
                  </w14:solidFill>
                </w14:textFill>
              </w:rPr>
              <w:t>|||</w:t>
            </w:r>
            <w:r w:rsidRPr="00D12425">
              <w:rPr>
                <w:color w:val="000000"/>
                <w:spacing w:val="3"/>
                <w:shd w:val="solid" w:color="000000" w:fill="000000"/>
                <w:fitText w:val="383" w:id="-1236619508"/>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4B2763" w:rsidRPr="00AF3847" w14:paraId="4052F2EB" w14:textId="77777777" w:rsidTr="00A704EE">
        <w:tc>
          <w:tcPr>
            <w:tcW w:w="5000" w:type="pct"/>
            <w:gridSpan w:val="7"/>
            <w:shd w:val="clear" w:color="auto" w:fill="auto"/>
            <w:vAlign w:val="center"/>
          </w:tcPr>
          <w:p w14:paraId="1FB6BBE5" w14:textId="77777777" w:rsidR="004B2763" w:rsidRPr="00AF3847" w:rsidRDefault="004B2763" w:rsidP="0047489A">
            <w:pPr>
              <w:pStyle w:val="TableText0"/>
              <w:keepLines/>
              <w:rPr>
                <w:b/>
                <w:bCs w:val="0"/>
              </w:rPr>
            </w:pPr>
            <w:r w:rsidRPr="00AF3847">
              <w:rPr>
                <w:b/>
                <w:bCs w:val="0"/>
              </w:rPr>
              <w:t>Estimated financial implications for pembrolizumab</w:t>
            </w:r>
          </w:p>
        </w:tc>
      </w:tr>
      <w:tr w:rsidR="004B2763" w:rsidRPr="00AF3847" w14:paraId="57A050FD" w14:textId="77777777" w:rsidTr="00A704EE">
        <w:tc>
          <w:tcPr>
            <w:tcW w:w="1334" w:type="pct"/>
            <w:shd w:val="clear" w:color="auto" w:fill="auto"/>
            <w:vAlign w:val="center"/>
          </w:tcPr>
          <w:p w14:paraId="493DFA16" w14:textId="77777777" w:rsidR="004B2763" w:rsidRPr="00AF3847" w:rsidRDefault="004B2763" w:rsidP="0047489A">
            <w:pPr>
              <w:pStyle w:val="TableText0"/>
              <w:keepLines/>
              <w:rPr>
                <w:sz w:val="19"/>
                <w:szCs w:val="19"/>
              </w:rPr>
            </w:pPr>
            <w:r w:rsidRPr="00AF3847">
              <w:rPr>
                <w:sz w:val="19"/>
                <w:szCs w:val="19"/>
              </w:rPr>
              <w:t>Cost to PBS/RPBS less co-payments</w:t>
            </w:r>
          </w:p>
        </w:tc>
        <w:tc>
          <w:tcPr>
            <w:tcW w:w="611" w:type="pct"/>
            <w:shd w:val="clear" w:color="auto" w:fill="auto"/>
            <w:vAlign w:val="center"/>
          </w:tcPr>
          <w:p w14:paraId="69AFFA3A" w14:textId="7C652799" w:rsidR="004B2763"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2" w:id="-1236619507"/>
                <w:lang w:val="en-GB" w:eastAsia="en-US"/>
                <w14:textFill>
                  <w14:solidFill>
                    <w14:srgbClr w14:val="000000">
                      <w14:alpha w14:val="100000"/>
                    </w14:srgbClr>
                  </w14:solidFill>
                </w14:textFill>
              </w:rPr>
              <w:t>|||</w:t>
            </w:r>
            <w:r w:rsidRPr="00D12425">
              <w:rPr>
                <w:rFonts w:cstheme="minorHAnsi"/>
                <w:color w:val="000000"/>
                <w:spacing w:val="2"/>
                <w:shd w:val="solid" w:color="000000" w:fill="000000"/>
                <w:fitText w:val="382" w:id="-1236619507"/>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1F1F73EA" w14:textId="689C4E98" w:rsidR="004B2763"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3" w:id="-1236619506"/>
                <w:lang w:val="en-GB" w:eastAsia="en-US"/>
                <w14:textFill>
                  <w14:solidFill>
                    <w14:srgbClr w14:val="000000">
                      <w14:alpha w14:val="100000"/>
                    </w14:srgbClr>
                  </w14:solidFill>
                </w14:textFill>
              </w:rPr>
              <w:t>|||</w:t>
            </w:r>
            <w:r w:rsidRPr="00D12425">
              <w:rPr>
                <w:rFonts w:cstheme="minorHAnsi"/>
                <w:color w:val="000000"/>
                <w:spacing w:val="3"/>
                <w:shd w:val="solid" w:color="000000" w:fill="000000"/>
                <w:fitText w:val="383" w:id="-1236619506"/>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14AEA09E" w14:textId="7C72CB0E" w:rsidR="004B2763"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3" w:id="-1236619505"/>
                <w:lang w:val="en-GB" w:eastAsia="en-US"/>
                <w14:textFill>
                  <w14:solidFill>
                    <w14:srgbClr w14:val="000000">
                      <w14:alpha w14:val="100000"/>
                    </w14:srgbClr>
                  </w14:solidFill>
                </w14:textFill>
              </w:rPr>
              <w:t>|||</w:t>
            </w:r>
            <w:r w:rsidRPr="00D12425">
              <w:rPr>
                <w:rFonts w:cstheme="minorHAnsi"/>
                <w:color w:val="000000"/>
                <w:spacing w:val="3"/>
                <w:shd w:val="solid" w:color="000000" w:fill="000000"/>
                <w:fitText w:val="383" w:id="-1236619505"/>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0A548141" w14:textId="2EC91E09" w:rsidR="004B2763"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3" w:id="-1236619504"/>
                <w:lang w:val="en-GB" w:eastAsia="en-US"/>
                <w14:textFill>
                  <w14:solidFill>
                    <w14:srgbClr w14:val="000000">
                      <w14:alpha w14:val="100000"/>
                    </w14:srgbClr>
                  </w14:solidFill>
                </w14:textFill>
              </w:rPr>
              <w:t>|||</w:t>
            </w:r>
            <w:r w:rsidRPr="00D12425">
              <w:rPr>
                <w:rFonts w:cstheme="minorHAnsi"/>
                <w:color w:val="000000"/>
                <w:spacing w:val="3"/>
                <w:shd w:val="solid" w:color="000000" w:fill="000000"/>
                <w:fitText w:val="383" w:id="-1236619504"/>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66EF4266" w14:textId="187959A4" w:rsidR="004B2763"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3" w:id="-1236619520"/>
                <w:lang w:val="en-GB" w:eastAsia="en-US"/>
                <w14:textFill>
                  <w14:solidFill>
                    <w14:srgbClr w14:val="000000">
                      <w14:alpha w14:val="100000"/>
                    </w14:srgbClr>
                  </w14:solidFill>
                </w14:textFill>
              </w:rPr>
              <w:t>|||</w:t>
            </w:r>
            <w:r w:rsidRPr="00D12425">
              <w:rPr>
                <w:rFonts w:cstheme="minorHAnsi"/>
                <w:color w:val="000000"/>
                <w:spacing w:val="3"/>
                <w:shd w:val="solid" w:color="000000" w:fill="000000"/>
                <w:fitText w:val="383" w:id="-1236619520"/>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vAlign w:val="center"/>
          </w:tcPr>
          <w:p w14:paraId="03D32E35" w14:textId="0E6648D6" w:rsidR="004B2763"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3" w:id="-1236619519"/>
                <w:lang w:val="en-GB" w:eastAsia="en-US"/>
                <w14:textFill>
                  <w14:solidFill>
                    <w14:srgbClr w14:val="000000">
                      <w14:alpha w14:val="100000"/>
                    </w14:srgbClr>
                  </w14:solidFill>
                </w14:textFill>
              </w:rPr>
              <w:t>|||</w:t>
            </w:r>
            <w:r w:rsidRPr="00D12425">
              <w:rPr>
                <w:rFonts w:cstheme="minorHAnsi"/>
                <w:color w:val="000000"/>
                <w:spacing w:val="3"/>
                <w:shd w:val="solid" w:color="000000" w:fill="000000"/>
                <w:fitText w:val="383" w:id="-1236619519"/>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4B2763" w:rsidRPr="00AF3847" w14:paraId="5E7B12E9" w14:textId="77777777" w:rsidTr="00A704EE">
        <w:tc>
          <w:tcPr>
            <w:tcW w:w="5000" w:type="pct"/>
            <w:gridSpan w:val="7"/>
            <w:shd w:val="clear" w:color="auto" w:fill="auto"/>
            <w:vAlign w:val="center"/>
          </w:tcPr>
          <w:p w14:paraId="3C4FDA6B" w14:textId="77777777" w:rsidR="004B2763" w:rsidRPr="00AF3847" w:rsidRDefault="004B2763" w:rsidP="0047489A">
            <w:pPr>
              <w:pStyle w:val="In-tableHeading"/>
              <w:keepLines/>
            </w:pPr>
            <w:r w:rsidRPr="00AF3847">
              <w:t>Net financial implications</w:t>
            </w:r>
          </w:p>
        </w:tc>
      </w:tr>
      <w:tr w:rsidR="004B2763" w:rsidRPr="00384833" w14:paraId="277CCFBD" w14:textId="77777777" w:rsidTr="00A704EE">
        <w:tc>
          <w:tcPr>
            <w:tcW w:w="1334" w:type="pct"/>
            <w:shd w:val="clear" w:color="auto" w:fill="auto"/>
            <w:vAlign w:val="center"/>
          </w:tcPr>
          <w:p w14:paraId="32915EE5" w14:textId="77777777" w:rsidR="004B2763" w:rsidRPr="00384833" w:rsidRDefault="004B2763" w:rsidP="0047489A">
            <w:pPr>
              <w:pStyle w:val="TableText0"/>
              <w:keepLines/>
              <w:rPr>
                <w:b/>
                <w:bCs w:val="0"/>
                <w:sz w:val="19"/>
                <w:szCs w:val="19"/>
              </w:rPr>
            </w:pPr>
            <w:r w:rsidRPr="00384833">
              <w:rPr>
                <w:b/>
                <w:bCs w:val="0"/>
                <w:sz w:val="19"/>
                <w:szCs w:val="19"/>
              </w:rPr>
              <w:t>Net cost to PBS/RPBS</w:t>
            </w:r>
          </w:p>
        </w:tc>
        <w:tc>
          <w:tcPr>
            <w:tcW w:w="611" w:type="pct"/>
            <w:shd w:val="clear" w:color="auto" w:fill="auto"/>
          </w:tcPr>
          <w:p w14:paraId="0DF24066" w14:textId="629EC28B"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49" w:id="-1236619518"/>
                <w:lang w:val="en-GB" w:eastAsia="en-US"/>
                <w14:textFill>
                  <w14:solidFill>
                    <w14:srgbClr w14:val="000000">
                      <w14:alpha w14:val="100000"/>
                    </w14:srgbClr>
                  </w14:solidFill>
                </w14:textFill>
              </w:rPr>
              <w:t>|||||</w:t>
            </w:r>
            <w:r w:rsidRPr="00D12425">
              <w:rPr>
                <w:rFonts w:cstheme="minorHAnsi"/>
                <w:b/>
                <w:bCs w:val="0"/>
                <w:color w:val="000000"/>
                <w:spacing w:val="4"/>
                <w:shd w:val="solid" w:color="000000" w:fill="000000"/>
                <w:fitText w:val="449" w:id="-1236619518"/>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219D4E4A" w14:textId="6F0E126C"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49" w:id="-1236619517"/>
                <w:lang w:val="en-GB" w:eastAsia="en-US"/>
                <w14:textFill>
                  <w14:solidFill>
                    <w14:srgbClr w14:val="000000">
                      <w14:alpha w14:val="100000"/>
                    </w14:srgbClr>
                  </w14:solidFill>
                </w14:textFill>
              </w:rPr>
              <w:t>|||||</w:t>
            </w:r>
            <w:r w:rsidRPr="00D12425">
              <w:rPr>
                <w:rFonts w:cstheme="minorHAnsi"/>
                <w:b/>
                <w:bCs w:val="0"/>
                <w:color w:val="000000"/>
                <w:spacing w:val="4"/>
                <w:shd w:val="solid" w:color="000000" w:fill="000000"/>
                <w:fitText w:val="449" w:id="-1236619517"/>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2AD1406E" w14:textId="3A7FF3E4"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49" w:id="-1236619516"/>
                <w:lang w:val="en-GB" w:eastAsia="en-US"/>
                <w14:textFill>
                  <w14:solidFill>
                    <w14:srgbClr w14:val="000000">
                      <w14:alpha w14:val="100000"/>
                    </w14:srgbClr>
                  </w14:solidFill>
                </w14:textFill>
              </w:rPr>
              <w:t>|||||</w:t>
            </w:r>
            <w:r w:rsidRPr="00D12425">
              <w:rPr>
                <w:rFonts w:cstheme="minorHAnsi"/>
                <w:b/>
                <w:bCs w:val="0"/>
                <w:color w:val="000000"/>
                <w:spacing w:val="4"/>
                <w:shd w:val="solid" w:color="000000" w:fill="000000"/>
                <w:fitText w:val="449" w:id="-1236619516"/>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38A183BE" w14:textId="52BFC821"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50" w:id="-1236619515"/>
                <w:lang w:val="en-GB" w:eastAsia="en-US"/>
                <w14:textFill>
                  <w14:solidFill>
                    <w14:srgbClr w14:val="000000">
                      <w14:alpha w14:val="100000"/>
                    </w14:srgbClr>
                  </w14:solidFill>
                </w14:textFill>
              </w:rPr>
              <w:t>|||||</w:t>
            </w:r>
            <w:r w:rsidRPr="00D12425">
              <w:rPr>
                <w:rFonts w:cstheme="minorHAnsi"/>
                <w:b/>
                <w:bCs w:val="0"/>
                <w:color w:val="000000"/>
                <w:spacing w:val="5"/>
                <w:shd w:val="solid" w:color="000000" w:fill="000000"/>
                <w:fitText w:val="450" w:id="-1236619515"/>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2747EA50" w14:textId="014E4283"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50" w:id="-1236619514"/>
                <w:lang w:val="en-GB" w:eastAsia="en-US"/>
                <w14:textFill>
                  <w14:solidFill>
                    <w14:srgbClr w14:val="000000">
                      <w14:alpha w14:val="100000"/>
                    </w14:srgbClr>
                  </w14:solidFill>
                </w14:textFill>
              </w:rPr>
              <w:t>|||||</w:t>
            </w:r>
            <w:r w:rsidRPr="00D12425">
              <w:rPr>
                <w:rFonts w:cstheme="minorHAnsi"/>
                <w:b/>
                <w:bCs w:val="0"/>
                <w:color w:val="000000"/>
                <w:spacing w:val="5"/>
                <w:shd w:val="solid" w:color="000000" w:fill="000000"/>
                <w:fitText w:val="450" w:id="-1236619514"/>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tcPr>
          <w:p w14:paraId="0CF4D42F" w14:textId="584B87A5"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50" w:id="-1236619513"/>
                <w:lang w:val="en-GB" w:eastAsia="en-US"/>
                <w14:textFill>
                  <w14:solidFill>
                    <w14:srgbClr w14:val="000000">
                      <w14:alpha w14:val="100000"/>
                    </w14:srgbClr>
                  </w14:solidFill>
                </w14:textFill>
              </w:rPr>
              <w:t>|||||</w:t>
            </w:r>
            <w:r w:rsidRPr="00D12425">
              <w:rPr>
                <w:rFonts w:cstheme="minorHAnsi"/>
                <w:b/>
                <w:bCs w:val="0"/>
                <w:color w:val="000000"/>
                <w:spacing w:val="5"/>
                <w:shd w:val="solid" w:color="000000" w:fill="000000"/>
                <w:fitText w:val="450" w:id="-1236619513"/>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754AE6" w:rsidRPr="00AF3847" w14:paraId="3437C077" w14:textId="77777777" w:rsidTr="00A704EE">
        <w:tc>
          <w:tcPr>
            <w:tcW w:w="1334" w:type="pct"/>
            <w:shd w:val="clear" w:color="auto" w:fill="auto"/>
            <w:vAlign w:val="center"/>
          </w:tcPr>
          <w:p w14:paraId="7A3A5621" w14:textId="77777777" w:rsidR="00754AE6" w:rsidRPr="00AF3847" w:rsidRDefault="00754AE6" w:rsidP="0047489A">
            <w:pPr>
              <w:pStyle w:val="TableText0"/>
              <w:keepLines/>
              <w:rPr>
                <w:rFonts w:ascii="Times" w:hAnsi="Times"/>
              </w:rPr>
            </w:pPr>
            <w:r w:rsidRPr="00AF3847">
              <w:rPr>
                <w:sz w:val="19"/>
                <w:szCs w:val="19"/>
              </w:rPr>
              <w:t>Increased cost to MBS</w:t>
            </w:r>
            <w:r w:rsidRPr="00AF3847">
              <w:rPr>
                <w:sz w:val="19"/>
                <w:szCs w:val="19"/>
                <w:vertAlign w:val="superscript"/>
              </w:rPr>
              <w:t>b</w:t>
            </w:r>
          </w:p>
        </w:tc>
        <w:tc>
          <w:tcPr>
            <w:tcW w:w="611" w:type="pct"/>
            <w:shd w:val="clear" w:color="auto" w:fill="auto"/>
          </w:tcPr>
          <w:p w14:paraId="2B073357" w14:textId="7A44AA6B" w:rsidR="00754AE6" w:rsidRPr="005F32D1" w:rsidRDefault="00D12425" w:rsidP="0047489A">
            <w:pPr>
              <w:pStyle w:val="TableText0"/>
              <w:keepLines/>
              <w:jc w:val="center"/>
              <w:rPr>
                <w:highlight w:val="lightGray"/>
              </w:rPr>
            </w:pPr>
            <w:r w:rsidRPr="00D12425">
              <w:rPr>
                <w:color w:val="000000"/>
                <w:spacing w:val="70"/>
                <w:shd w:val="solid" w:color="000000" w:fill="000000"/>
                <w:fitText w:val="382" w:id="-1236619512"/>
                <w14:textFill>
                  <w14:solidFill>
                    <w14:srgbClr w14:val="000000">
                      <w14:alpha w14:val="100000"/>
                    </w14:srgbClr>
                  </w14:solidFill>
                </w14:textFill>
              </w:rPr>
              <w:t>|||</w:t>
            </w:r>
            <w:r w:rsidRPr="00D12425">
              <w:rPr>
                <w:color w:val="000000"/>
                <w:spacing w:val="2"/>
                <w:shd w:val="solid" w:color="000000" w:fill="000000"/>
                <w:fitText w:val="382" w:id="-1236619512"/>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4E49541E" w14:textId="19B8CCD3" w:rsidR="00754AE6" w:rsidRPr="005F32D1" w:rsidRDefault="00D12425" w:rsidP="0047489A">
            <w:pPr>
              <w:pStyle w:val="TableText0"/>
              <w:keepLines/>
              <w:jc w:val="center"/>
              <w:rPr>
                <w:highlight w:val="lightGray"/>
              </w:rPr>
            </w:pPr>
            <w:r w:rsidRPr="00D12425">
              <w:rPr>
                <w:color w:val="000000"/>
                <w:spacing w:val="70"/>
                <w:shd w:val="solid" w:color="000000" w:fill="000000"/>
                <w:fitText w:val="383" w:id="-1236619511"/>
                <w14:textFill>
                  <w14:solidFill>
                    <w14:srgbClr w14:val="000000">
                      <w14:alpha w14:val="100000"/>
                    </w14:srgbClr>
                  </w14:solidFill>
                </w14:textFill>
              </w:rPr>
              <w:t>|||</w:t>
            </w:r>
            <w:r w:rsidRPr="00D12425">
              <w:rPr>
                <w:color w:val="000000"/>
                <w:spacing w:val="3"/>
                <w:shd w:val="solid" w:color="000000" w:fill="000000"/>
                <w:fitText w:val="383" w:id="-1236619511"/>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6E2CCF9F" w14:textId="51612774" w:rsidR="00754AE6" w:rsidRPr="005F32D1" w:rsidRDefault="00D12425" w:rsidP="0047489A">
            <w:pPr>
              <w:pStyle w:val="TableText0"/>
              <w:keepLines/>
              <w:jc w:val="center"/>
              <w:rPr>
                <w:highlight w:val="lightGray"/>
              </w:rPr>
            </w:pPr>
            <w:r w:rsidRPr="00D12425">
              <w:rPr>
                <w:color w:val="000000"/>
                <w:spacing w:val="70"/>
                <w:shd w:val="solid" w:color="000000" w:fill="000000"/>
                <w:fitText w:val="383" w:id="-1236619510"/>
                <w14:textFill>
                  <w14:solidFill>
                    <w14:srgbClr w14:val="000000">
                      <w14:alpha w14:val="100000"/>
                    </w14:srgbClr>
                  </w14:solidFill>
                </w14:textFill>
              </w:rPr>
              <w:t>|||</w:t>
            </w:r>
            <w:r w:rsidRPr="00D12425">
              <w:rPr>
                <w:color w:val="000000"/>
                <w:spacing w:val="3"/>
                <w:shd w:val="solid" w:color="000000" w:fill="000000"/>
                <w:fitText w:val="383" w:id="-1236619510"/>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482606F7" w14:textId="65D0F00E" w:rsidR="00754AE6" w:rsidRPr="005F32D1" w:rsidRDefault="00D12425" w:rsidP="0047489A">
            <w:pPr>
              <w:pStyle w:val="TableText0"/>
              <w:keepLines/>
              <w:jc w:val="center"/>
              <w:rPr>
                <w:highlight w:val="lightGray"/>
              </w:rPr>
            </w:pPr>
            <w:r w:rsidRPr="00D12425">
              <w:rPr>
                <w:color w:val="000000"/>
                <w:spacing w:val="70"/>
                <w:shd w:val="solid" w:color="000000" w:fill="000000"/>
                <w:fitText w:val="383" w:id="-1236619509"/>
                <w14:textFill>
                  <w14:solidFill>
                    <w14:srgbClr w14:val="000000">
                      <w14:alpha w14:val="100000"/>
                    </w14:srgbClr>
                  </w14:solidFill>
                </w14:textFill>
              </w:rPr>
              <w:t>|||</w:t>
            </w:r>
            <w:r w:rsidRPr="00D12425">
              <w:rPr>
                <w:color w:val="000000"/>
                <w:spacing w:val="3"/>
                <w:shd w:val="solid" w:color="000000" w:fill="000000"/>
                <w:fitText w:val="383" w:id="-1236619509"/>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75E60379" w14:textId="6BA3D14F" w:rsidR="00754AE6" w:rsidRPr="005F32D1" w:rsidRDefault="00D12425" w:rsidP="0047489A">
            <w:pPr>
              <w:pStyle w:val="TableText0"/>
              <w:keepLines/>
              <w:jc w:val="center"/>
              <w:rPr>
                <w:highlight w:val="lightGray"/>
              </w:rPr>
            </w:pPr>
            <w:r w:rsidRPr="00D12425">
              <w:rPr>
                <w:color w:val="000000"/>
                <w:spacing w:val="70"/>
                <w:shd w:val="solid" w:color="000000" w:fill="000000"/>
                <w:fitText w:val="383" w:id="-1236619508"/>
                <w14:textFill>
                  <w14:solidFill>
                    <w14:srgbClr w14:val="000000">
                      <w14:alpha w14:val="100000"/>
                    </w14:srgbClr>
                  </w14:solidFill>
                </w14:textFill>
              </w:rPr>
              <w:t>|||</w:t>
            </w:r>
            <w:r w:rsidRPr="00D12425">
              <w:rPr>
                <w:color w:val="000000"/>
                <w:spacing w:val="3"/>
                <w:shd w:val="solid" w:color="000000" w:fill="000000"/>
                <w:fitText w:val="383" w:id="-1236619508"/>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tcPr>
          <w:p w14:paraId="14203FAE" w14:textId="4E8870B0" w:rsidR="00754AE6" w:rsidRPr="005F32D1" w:rsidRDefault="00D12425" w:rsidP="0047489A">
            <w:pPr>
              <w:pStyle w:val="TableText0"/>
              <w:keepLines/>
              <w:jc w:val="center"/>
              <w:rPr>
                <w:highlight w:val="lightGray"/>
              </w:rPr>
            </w:pPr>
            <w:r w:rsidRPr="00D12425">
              <w:rPr>
                <w:color w:val="000000"/>
                <w:spacing w:val="70"/>
                <w:shd w:val="solid" w:color="000000" w:fill="000000"/>
                <w:fitText w:val="383" w:id="-1236619507"/>
                <w14:textFill>
                  <w14:solidFill>
                    <w14:srgbClr w14:val="000000">
                      <w14:alpha w14:val="100000"/>
                    </w14:srgbClr>
                  </w14:solidFill>
                </w14:textFill>
              </w:rPr>
              <w:t>|||</w:t>
            </w:r>
            <w:r w:rsidRPr="00D12425">
              <w:rPr>
                <w:color w:val="000000"/>
                <w:spacing w:val="3"/>
                <w:shd w:val="solid" w:color="000000" w:fill="000000"/>
                <w:fitText w:val="383" w:id="-1236619507"/>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4B2763" w:rsidRPr="00384833" w14:paraId="78B9DEA6" w14:textId="77777777" w:rsidTr="00A704EE">
        <w:tc>
          <w:tcPr>
            <w:tcW w:w="1334" w:type="pct"/>
            <w:shd w:val="clear" w:color="auto" w:fill="auto"/>
            <w:vAlign w:val="center"/>
          </w:tcPr>
          <w:p w14:paraId="59DF6F4B" w14:textId="77777777" w:rsidR="004B2763" w:rsidRPr="00384833" w:rsidRDefault="004B2763" w:rsidP="0047489A">
            <w:pPr>
              <w:pStyle w:val="TableText0"/>
              <w:keepLines/>
              <w:rPr>
                <w:b/>
                <w:bCs w:val="0"/>
                <w:sz w:val="19"/>
                <w:szCs w:val="19"/>
              </w:rPr>
            </w:pPr>
            <w:r w:rsidRPr="00384833">
              <w:rPr>
                <w:b/>
                <w:bCs w:val="0"/>
                <w:sz w:val="19"/>
                <w:szCs w:val="19"/>
              </w:rPr>
              <w:t>Net cost to PBS/RPBS/MBS</w:t>
            </w:r>
          </w:p>
        </w:tc>
        <w:tc>
          <w:tcPr>
            <w:tcW w:w="611" w:type="pct"/>
            <w:shd w:val="clear" w:color="auto" w:fill="auto"/>
          </w:tcPr>
          <w:p w14:paraId="6BBD76D2" w14:textId="4DF31FC0"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49" w:id="-1236619506"/>
                <w:lang w:val="en-GB" w:eastAsia="en-US"/>
                <w14:textFill>
                  <w14:solidFill>
                    <w14:srgbClr w14:val="000000">
                      <w14:alpha w14:val="100000"/>
                    </w14:srgbClr>
                  </w14:solidFill>
                </w14:textFill>
              </w:rPr>
              <w:t>|||||</w:t>
            </w:r>
            <w:r w:rsidRPr="00D12425">
              <w:rPr>
                <w:rFonts w:cstheme="minorHAnsi"/>
                <w:b/>
                <w:bCs w:val="0"/>
                <w:color w:val="000000"/>
                <w:spacing w:val="4"/>
                <w:shd w:val="solid" w:color="000000" w:fill="000000"/>
                <w:fitText w:val="449" w:id="-1236619506"/>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5E8449AD" w14:textId="733FD311"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49" w:id="-1236619505"/>
                <w:lang w:val="en-GB" w:eastAsia="en-US"/>
                <w14:textFill>
                  <w14:solidFill>
                    <w14:srgbClr w14:val="000000">
                      <w14:alpha w14:val="100000"/>
                    </w14:srgbClr>
                  </w14:solidFill>
                </w14:textFill>
              </w:rPr>
              <w:t>|||||</w:t>
            </w:r>
            <w:r w:rsidRPr="00D12425">
              <w:rPr>
                <w:rFonts w:cstheme="minorHAnsi"/>
                <w:b/>
                <w:bCs w:val="0"/>
                <w:color w:val="000000"/>
                <w:spacing w:val="4"/>
                <w:shd w:val="solid" w:color="000000" w:fill="000000"/>
                <w:fitText w:val="449" w:id="-1236619505"/>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140B6790" w14:textId="6959894E"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49" w:id="-1236619504"/>
                <w:lang w:val="en-GB" w:eastAsia="en-US"/>
                <w14:textFill>
                  <w14:solidFill>
                    <w14:srgbClr w14:val="000000">
                      <w14:alpha w14:val="100000"/>
                    </w14:srgbClr>
                  </w14:solidFill>
                </w14:textFill>
              </w:rPr>
              <w:t>|||||</w:t>
            </w:r>
            <w:r w:rsidRPr="00D12425">
              <w:rPr>
                <w:rFonts w:cstheme="minorHAnsi"/>
                <w:b/>
                <w:bCs w:val="0"/>
                <w:color w:val="000000"/>
                <w:spacing w:val="4"/>
                <w:shd w:val="solid" w:color="000000" w:fill="000000"/>
                <w:fitText w:val="449" w:id="-1236619504"/>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1490C081" w14:textId="119D49E3"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50" w:id="-1236619520"/>
                <w:lang w:val="en-GB" w:eastAsia="en-US"/>
                <w14:textFill>
                  <w14:solidFill>
                    <w14:srgbClr w14:val="000000">
                      <w14:alpha w14:val="100000"/>
                    </w14:srgbClr>
                  </w14:solidFill>
                </w14:textFill>
              </w:rPr>
              <w:t>|||||</w:t>
            </w:r>
            <w:r w:rsidRPr="00D12425">
              <w:rPr>
                <w:rFonts w:cstheme="minorHAnsi"/>
                <w:b/>
                <w:bCs w:val="0"/>
                <w:color w:val="000000"/>
                <w:spacing w:val="5"/>
                <w:shd w:val="solid" w:color="000000" w:fill="000000"/>
                <w:fitText w:val="450" w:id="-1236619520"/>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tcPr>
          <w:p w14:paraId="1035C964" w14:textId="68E68D3C"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50" w:id="-1236619519"/>
                <w:lang w:val="en-GB" w:eastAsia="en-US"/>
                <w14:textFill>
                  <w14:solidFill>
                    <w14:srgbClr w14:val="000000">
                      <w14:alpha w14:val="100000"/>
                    </w14:srgbClr>
                  </w14:solidFill>
                </w14:textFill>
              </w:rPr>
              <w:t>|||||</w:t>
            </w:r>
            <w:r w:rsidRPr="00D12425">
              <w:rPr>
                <w:rFonts w:cstheme="minorHAnsi"/>
                <w:b/>
                <w:bCs w:val="0"/>
                <w:color w:val="000000"/>
                <w:spacing w:val="5"/>
                <w:shd w:val="solid" w:color="000000" w:fill="000000"/>
                <w:fitText w:val="450" w:id="-1236619519"/>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tcPr>
          <w:p w14:paraId="7A7BC177" w14:textId="69124691" w:rsidR="004B2763" w:rsidRPr="005F32D1" w:rsidRDefault="00D12425" w:rsidP="0047489A">
            <w:pPr>
              <w:pStyle w:val="TableText0"/>
              <w:keepLines/>
              <w:jc w:val="center"/>
              <w:rPr>
                <w:b/>
                <w:bCs w:val="0"/>
                <w:highlight w:val="lightGray"/>
              </w:rPr>
            </w:pPr>
            <w:r w:rsidRPr="00D12425">
              <w:rPr>
                <w:rFonts w:cstheme="minorHAnsi"/>
                <w:b/>
                <w:bCs w:val="0"/>
                <w:color w:val="000000"/>
                <w:spacing w:val="34"/>
                <w:shd w:val="solid" w:color="000000" w:fill="000000"/>
                <w:fitText w:val="450" w:id="-1236619518"/>
                <w:lang w:val="en-GB" w:eastAsia="en-US"/>
                <w14:textFill>
                  <w14:solidFill>
                    <w14:srgbClr w14:val="000000">
                      <w14:alpha w14:val="100000"/>
                    </w14:srgbClr>
                  </w14:solidFill>
                </w14:textFill>
              </w:rPr>
              <w:t>|||||</w:t>
            </w:r>
            <w:r w:rsidRPr="00D12425">
              <w:rPr>
                <w:rFonts w:cstheme="minorHAnsi"/>
                <w:b/>
                <w:bCs w:val="0"/>
                <w:color w:val="000000"/>
                <w:spacing w:val="5"/>
                <w:shd w:val="solid" w:color="000000" w:fill="000000"/>
                <w:fitText w:val="450" w:id="-1236619518"/>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754AE6" w:rsidRPr="00AF3847" w14:paraId="1F03FFBA" w14:textId="77777777" w:rsidTr="005B73EC">
        <w:tc>
          <w:tcPr>
            <w:tcW w:w="5000" w:type="pct"/>
            <w:gridSpan w:val="7"/>
            <w:shd w:val="clear" w:color="auto" w:fill="auto"/>
            <w:vAlign w:val="center"/>
          </w:tcPr>
          <w:p w14:paraId="6440A4ED" w14:textId="46576139" w:rsidR="00754AE6" w:rsidRPr="004B2763" w:rsidRDefault="00754AE6" w:rsidP="0047489A">
            <w:pPr>
              <w:pStyle w:val="TableText0"/>
              <w:keepLines/>
              <w:rPr>
                <w:b/>
                <w:bCs w:val="0"/>
              </w:rPr>
            </w:pPr>
            <w:r w:rsidRPr="004B2763">
              <w:rPr>
                <w:b/>
                <w:bCs w:val="0"/>
              </w:rPr>
              <w:t xml:space="preserve">Corrected estimates provided in the </w:t>
            </w:r>
            <w:r>
              <w:rPr>
                <w:b/>
                <w:bCs w:val="0"/>
              </w:rPr>
              <w:t>pre-PBAC response (</w:t>
            </w:r>
            <w:r w:rsidR="00DE117F">
              <w:rPr>
                <w:b/>
                <w:bCs w:val="0"/>
              </w:rPr>
              <w:t>pembrolizumab cost offsets removed</w:t>
            </w:r>
            <w:r>
              <w:rPr>
                <w:b/>
                <w:bCs w:val="0"/>
              </w:rPr>
              <w:t>)</w:t>
            </w:r>
          </w:p>
        </w:tc>
      </w:tr>
      <w:tr w:rsidR="00754AE6" w:rsidRPr="00AF3847" w14:paraId="0E37CE32" w14:textId="77777777" w:rsidTr="005B73EC">
        <w:tc>
          <w:tcPr>
            <w:tcW w:w="5000" w:type="pct"/>
            <w:gridSpan w:val="7"/>
            <w:shd w:val="clear" w:color="auto" w:fill="auto"/>
            <w:vAlign w:val="center"/>
          </w:tcPr>
          <w:p w14:paraId="77763E0F" w14:textId="77777777" w:rsidR="00754AE6" w:rsidRPr="00AF3847" w:rsidRDefault="00754AE6" w:rsidP="0047489A">
            <w:pPr>
              <w:pStyle w:val="In-tableHeading"/>
              <w:keepLines/>
            </w:pPr>
            <w:r w:rsidRPr="00AF3847">
              <w:t>Estimated financial implications of tebentafusp</w:t>
            </w:r>
          </w:p>
        </w:tc>
      </w:tr>
      <w:tr w:rsidR="00DE117F" w:rsidRPr="00AF3847" w14:paraId="58C68509" w14:textId="77777777" w:rsidTr="00B515FF">
        <w:tc>
          <w:tcPr>
            <w:tcW w:w="1334" w:type="pct"/>
            <w:shd w:val="clear" w:color="auto" w:fill="auto"/>
            <w:vAlign w:val="center"/>
          </w:tcPr>
          <w:p w14:paraId="6A094AE3" w14:textId="3F165AE9" w:rsidR="00DE117F" w:rsidRPr="00AF3847" w:rsidRDefault="00DE117F" w:rsidP="0047489A">
            <w:pPr>
              <w:pStyle w:val="TableText0"/>
              <w:keepLines/>
              <w:rPr>
                <w:sz w:val="19"/>
                <w:szCs w:val="19"/>
              </w:rPr>
            </w:pPr>
            <w:r>
              <w:rPr>
                <w:sz w:val="19"/>
                <w:szCs w:val="19"/>
              </w:rPr>
              <w:t>Number of patients treated</w:t>
            </w:r>
          </w:p>
        </w:tc>
        <w:tc>
          <w:tcPr>
            <w:tcW w:w="611" w:type="pct"/>
            <w:shd w:val="clear" w:color="auto" w:fill="auto"/>
          </w:tcPr>
          <w:p w14:paraId="018AD2D1" w14:textId="2F83F9E3" w:rsidR="00DE117F" w:rsidRPr="005F32D1" w:rsidRDefault="00D12425" w:rsidP="0047489A">
            <w:pPr>
              <w:pStyle w:val="TableText0"/>
              <w:keepLines/>
              <w:jc w:val="center"/>
              <w:rPr>
                <w:highlight w:val="lightGray"/>
              </w:rPr>
            </w:pPr>
            <w:r w:rsidRPr="00D12425">
              <w:rPr>
                <w:color w:val="000000"/>
                <w:spacing w:val="70"/>
                <w:shd w:val="solid" w:color="000000" w:fill="000000"/>
                <w:fitText w:val="382" w:id="-1236619517"/>
                <w14:textFill>
                  <w14:solidFill>
                    <w14:srgbClr w14:val="000000">
                      <w14:alpha w14:val="100000"/>
                    </w14:srgbClr>
                  </w14:solidFill>
                </w14:textFill>
              </w:rPr>
              <w:t>|||</w:t>
            </w:r>
            <w:r w:rsidRPr="00D12425">
              <w:rPr>
                <w:color w:val="000000"/>
                <w:spacing w:val="2"/>
                <w:shd w:val="solid" w:color="000000" w:fill="000000"/>
                <w:fitText w:val="382" w:id="-1236619517"/>
                <w14:textFill>
                  <w14:solidFill>
                    <w14:srgbClr w14:val="000000">
                      <w14:alpha w14:val="100000"/>
                    </w14:srgbClr>
                  </w14:solidFill>
                </w14:textFill>
              </w:rPr>
              <w:t>|</w:t>
            </w:r>
            <w:r w:rsidR="009E5BDA" w:rsidRPr="005F32D1">
              <w:rPr>
                <w:rFonts w:eastAsia="Times New Roman" w:cs="Arial"/>
                <w:sz w:val="18"/>
                <w:szCs w:val="22"/>
                <w:vertAlign w:val="superscript"/>
              </w:rPr>
              <w:t>1</w:t>
            </w:r>
          </w:p>
        </w:tc>
        <w:tc>
          <w:tcPr>
            <w:tcW w:w="611" w:type="pct"/>
            <w:shd w:val="clear" w:color="auto" w:fill="auto"/>
          </w:tcPr>
          <w:p w14:paraId="45C64210" w14:textId="78983835" w:rsidR="00DE117F" w:rsidRPr="005F32D1" w:rsidRDefault="00D12425" w:rsidP="0047489A">
            <w:pPr>
              <w:pStyle w:val="TableText0"/>
              <w:keepLines/>
              <w:jc w:val="center"/>
              <w:rPr>
                <w:highlight w:val="lightGray"/>
              </w:rPr>
            </w:pPr>
            <w:r w:rsidRPr="00D12425">
              <w:rPr>
                <w:color w:val="000000"/>
                <w:spacing w:val="55"/>
                <w:shd w:val="solid" w:color="000000" w:fill="000000"/>
                <w:fitText w:val="533" w:id="-1236619516"/>
                <w14:textFill>
                  <w14:solidFill>
                    <w14:srgbClr w14:val="000000">
                      <w14:alpha w14:val="100000"/>
                    </w14:srgbClr>
                  </w14:solidFill>
                </w14:textFill>
              </w:rPr>
              <w:t>|||||</w:t>
            </w:r>
            <w:r w:rsidRPr="00D12425">
              <w:rPr>
                <w:color w:val="000000"/>
                <w:spacing w:val="3"/>
                <w:shd w:val="solid" w:color="000000" w:fill="000000"/>
                <w:fitText w:val="533" w:id="-1236619516"/>
                <w14:textFill>
                  <w14:solidFill>
                    <w14:srgbClr w14:val="000000">
                      <w14:alpha w14:val="100000"/>
                    </w14:srgbClr>
                  </w14:solidFill>
                </w14:textFill>
              </w:rPr>
              <w:t>|</w:t>
            </w:r>
            <w:r w:rsidR="009E5BDA" w:rsidRPr="005F32D1">
              <w:rPr>
                <w:rFonts w:eastAsia="Times New Roman" w:cs="Arial"/>
                <w:sz w:val="18"/>
                <w:szCs w:val="22"/>
                <w:vertAlign w:val="superscript"/>
              </w:rPr>
              <w:t>1</w:t>
            </w:r>
          </w:p>
        </w:tc>
        <w:tc>
          <w:tcPr>
            <w:tcW w:w="611" w:type="pct"/>
            <w:shd w:val="clear" w:color="auto" w:fill="auto"/>
          </w:tcPr>
          <w:p w14:paraId="61E14B1C" w14:textId="64CF3119" w:rsidR="00DE117F" w:rsidRPr="005F32D1" w:rsidRDefault="00D12425" w:rsidP="0047489A">
            <w:pPr>
              <w:pStyle w:val="TableText0"/>
              <w:keepLines/>
              <w:jc w:val="center"/>
              <w:rPr>
                <w:highlight w:val="lightGray"/>
              </w:rPr>
            </w:pPr>
            <w:r w:rsidRPr="00273A02">
              <w:rPr>
                <w:color w:val="000000"/>
                <w:spacing w:val="55"/>
                <w:shd w:val="solid" w:color="000000" w:fill="000000"/>
                <w:fitText w:val="533" w:id="-1236619513"/>
                <w14:textFill>
                  <w14:solidFill>
                    <w14:srgbClr w14:val="000000">
                      <w14:alpha w14:val="100000"/>
                    </w14:srgbClr>
                  </w14:solidFill>
                </w14:textFill>
              </w:rPr>
              <w:t>|||||</w:t>
            </w:r>
            <w:r w:rsidRPr="00273A02">
              <w:rPr>
                <w:color w:val="000000"/>
                <w:spacing w:val="3"/>
                <w:shd w:val="solid" w:color="000000" w:fill="000000"/>
                <w:fitText w:val="533" w:id="-1236619513"/>
                <w14:textFill>
                  <w14:solidFill>
                    <w14:srgbClr w14:val="000000">
                      <w14:alpha w14:val="100000"/>
                    </w14:srgbClr>
                  </w14:solidFill>
                </w14:textFill>
              </w:rPr>
              <w:t>|</w:t>
            </w:r>
            <w:r w:rsidR="009E5BDA" w:rsidRPr="005F32D1">
              <w:rPr>
                <w:rFonts w:eastAsia="Times New Roman" w:cs="Arial"/>
                <w:sz w:val="18"/>
                <w:szCs w:val="22"/>
                <w:vertAlign w:val="superscript"/>
              </w:rPr>
              <w:t>1</w:t>
            </w:r>
          </w:p>
        </w:tc>
        <w:tc>
          <w:tcPr>
            <w:tcW w:w="611" w:type="pct"/>
            <w:shd w:val="clear" w:color="auto" w:fill="auto"/>
          </w:tcPr>
          <w:p w14:paraId="1B0B5AAC" w14:textId="3DC87E46" w:rsidR="00DE117F" w:rsidRPr="005F32D1" w:rsidRDefault="00D12425" w:rsidP="0047489A">
            <w:pPr>
              <w:pStyle w:val="TableText0"/>
              <w:keepLines/>
              <w:jc w:val="center"/>
              <w:rPr>
                <w:highlight w:val="lightGray"/>
              </w:rPr>
            </w:pPr>
            <w:r w:rsidRPr="00D12425">
              <w:rPr>
                <w:color w:val="000000"/>
                <w:spacing w:val="55"/>
                <w:shd w:val="solid" w:color="000000" w:fill="000000"/>
                <w:fitText w:val="533" w:id="-1236619510"/>
                <w14:textFill>
                  <w14:solidFill>
                    <w14:srgbClr w14:val="000000">
                      <w14:alpha w14:val="100000"/>
                    </w14:srgbClr>
                  </w14:solidFill>
                </w14:textFill>
              </w:rPr>
              <w:t>|||||</w:t>
            </w:r>
            <w:r w:rsidRPr="00D12425">
              <w:rPr>
                <w:color w:val="000000"/>
                <w:spacing w:val="3"/>
                <w:shd w:val="solid" w:color="000000" w:fill="000000"/>
                <w:fitText w:val="533" w:id="-1236619510"/>
                <w14:textFill>
                  <w14:solidFill>
                    <w14:srgbClr w14:val="000000">
                      <w14:alpha w14:val="100000"/>
                    </w14:srgbClr>
                  </w14:solidFill>
                </w14:textFill>
              </w:rPr>
              <w:t>|</w:t>
            </w:r>
            <w:r w:rsidR="009E5BDA" w:rsidRPr="005F32D1">
              <w:rPr>
                <w:rFonts w:eastAsia="Times New Roman" w:cs="Arial"/>
                <w:sz w:val="18"/>
                <w:szCs w:val="22"/>
                <w:vertAlign w:val="superscript"/>
              </w:rPr>
              <w:t>1</w:t>
            </w:r>
          </w:p>
        </w:tc>
        <w:tc>
          <w:tcPr>
            <w:tcW w:w="611" w:type="pct"/>
            <w:shd w:val="clear" w:color="auto" w:fill="auto"/>
          </w:tcPr>
          <w:p w14:paraId="1DA248BC" w14:textId="72825685" w:rsidR="00DE117F" w:rsidRPr="005F32D1" w:rsidRDefault="00D12425" w:rsidP="0047489A">
            <w:pPr>
              <w:pStyle w:val="TableText0"/>
              <w:keepLines/>
              <w:jc w:val="center"/>
              <w:rPr>
                <w:highlight w:val="lightGray"/>
              </w:rPr>
            </w:pPr>
            <w:r w:rsidRPr="00D12425">
              <w:rPr>
                <w:color w:val="000000"/>
                <w:spacing w:val="55"/>
                <w:shd w:val="solid" w:color="000000" w:fill="000000"/>
                <w:fitText w:val="532" w:id="-1236619507"/>
                <w14:textFill>
                  <w14:solidFill>
                    <w14:srgbClr w14:val="000000">
                      <w14:alpha w14:val="100000"/>
                    </w14:srgbClr>
                  </w14:solidFill>
                </w14:textFill>
              </w:rPr>
              <w:t>|||||</w:t>
            </w:r>
            <w:r w:rsidRPr="00D12425">
              <w:rPr>
                <w:color w:val="000000"/>
                <w:spacing w:val="2"/>
                <w:shd w:val="solid" w:color="000000" w:fill="000000"/>
                <w:fitText w:val="532" w:id="-1236619507"/>
                <w14:textFill>
                  <w14:solidFill>
                    <w14:srgbClr w14:val="000000">
                      <w14:alpha w14:val="100000"/>
                    </w14:srgbClr>
                  </w14:solidFill>
                </w14:textFill>
              </w:rPr>
              <w:t>|</w:t>
            </w:r>
            <w:r w:rsidR="009E5BDA" w:rsidRPr="005F32D1">
              <w:rPr>
                <w:rFonts w:eastAsia="Times New Roman" w:cs="Arial"/>
                <w:sz w:val="18"/>
                <w:szCs w:val="22"/>
                <w:vertAlign w:val="superscript"/>
              </w:rPr>
              <w:t>1</w:t>
            </w:r>
          </w:p>
        </w:tc>
        <w:tc>
          <w:tcPr>
            <w:tcW w:w="611" w:type="pct"/>
          </w:tcPr>
          <w:p w14:paraId="75CD1C60" w14:textId="25081E73" w:rsidR="00DE117F" w:rsidRPr="005F32D1" w:rsidRDefault="00D12425" w:rsidP="0047489A">
            <w:pPr>
              <w:pStyle w:val="TableText0"/>
              <w:keepLines/>
              <w:jc w:val="center"/>
              <w:rPr>
                <w:highlight w:val="lightGray"/>
              </w:rPr>
            </w:pPr>
            <w:r w:rsidRPr="00D12425">
              <w:rPr>
                <w:color w:val="000000"/>
                <w:spacing w:val="55"/>
                <w:shd w:val="solid" w:color="000000" w:fill="000000"/>
                <w:fitText w:val="532" w:id="-1236619504"/>
                <w14:textFill>
                  <w14:solidFill>
                    <w14:srgbClr w14:val="000000">
                      <w14:alpha w14:val="100000"/>
                    </w14:srgbClr>
                  </w14:solidFill>
                </w14:textFill>
              </w:rPr>
              <w:t>|||||</w:t>
            </w:r>
            <w:r w:rsidRPr="00D12425">
              <w:rPr>
                <w:color w:val="000000"/>
                <w:spacing w:val="2"/>
                <w:shd w:val="solid" w:color="000000" w:fill="000000"/>
                <w:fitText w:val="532" w:id="-1236619504"/>
                <w14:textFill>
                  <w14:solidFill>
                    <w14:srgbClr w14:val="000000">
                      <w14:alpha w14:val="100000"/>
                    </w14:srgbClr>
                  </w14:solidFill>
                </w14:textFill>
              </w:rPr>
              <w:t>|</w:t>
            </w:r>
            <w:r w:rsidR="009E5BDA" w:rsidRPr="005F32D1">
              <w:rPr>
                <w:rFonts w:eastAsia="Times New Roman" w:cs="Arial"/>
                <w:sz w:val="18"/>
                <w:szCs w:val="22"/>
                <w:vertAlign w:val="superscript"/>
              </w:rPr>
              <w:t>1</w:t>
            </w:r>
          </w:p>
        </w:tc>
      </w:tr>
      <w:tr w:rsidR="00DE117F" w:rsidRPr="00AF3847" w14:paraId="03133C86" w14:textId="77777777" w:rsidTr="005B73EC">
        <w:tc>
          <w:tcPr>
            <w:tcW w:w="1334" w:type="pct"/>
            <w:shd w:val="clear" w:color="auto" w:fill="auto"/>
            <w:vAlign w:val="center"/>
          </w:tcPr>
          <w:p w14:paraId="1DF13F7A" w14:textId="5C3D3468" w:rsidR="00DE117F" w:rsidRPr="00AF3847" w:rsidRDefault="00DE117F" w:rsidP="0047489A">
            <w:pPr>
              <w:pStyle w:val="TableText0"/>
              <w:keepLines/>
              <w:rPr>
                <w:sz w:val="19"/>
                <w:szCs w:val="19"/>
              </w:rPr>
            </w:pPr>
            <w:r>
              <w:rPr>
                <w:sz w:val="19"/>
                <w:szCs w:val="19"/>
              </w:rPr>
              <w:t>Number of scripts dispensed</w:t>
            </w:r>
            <w:r w:rsidRPr="00DE117F">
              <w:rPr>
                <w:sz w:val="19"/>
                <w:szCs w:val="19"/>
                <w:vertAlign w:val="superscript"/>
              </w:rPr>
              <w:t>d</w:t>
            </w:r>
          </w:p>
        </w:tc>
        <w:tc>
          <w:tcPr>
            <w:tcW w:w="611" w:type="pct"/>
            <w:shd w:val="clear" w:color="auto" w:fill="auto"/>
            <w:vAlign w:val="center"/>
          </w:tcPr>
          <w:p w14:paraId="4B1CF739" w14:textId="526964E4" w:rsidR="00DE117F" w:rsidRPr="005F32D1" w:rsidRDefault="00D12425" w:rsidP="0047489A">
            <w:pPr>
              <w:pStyle w:val="TableText0"/>
              <w:keepLines/>
              <w:jc w:val="center"/>
              <w:rPr>
                <w:highlight w:val="lightGray"/>
              </w:rPr>
            </w:pPr>
            <w:r w:rsidRPr="00D12425">
              <w:rPr>
                <w:color w:val="000000"/>
                <w:spacing w:val="70"/>
                <w:shd w:val="solid" w:color="000000" w:fill="000000"/>
                <w:fitText w:val="382" w:id="-1236619518"/>
                <w14:textFill>
                  <w14:solidFill>
                    <w14:srgbClr w14:val="000000">
                      <w14:alpha w14:val="100000"/>
                    </w14:srgbClr>
                  </w14:solidFill>
                </w14:textFill>
              </w:rPr>
              <w:t>|||</w:t>
            </w:r>
            <w:r w:rsidRPr="00D12425">
              <w:rPr>
                <w:color w:val="000000"/>
                <w:spacing w:val="2"/>
                <w:shd w:val="solid" w:color="000000" w:fill="000000"/>
                <w:fitText w:val="382" w:id="-1236619518"/>
                <w14:textFill>
                  <w14:solidFill>
                    <w14:srgbClr w14:val="000000">
                      <w14:alpha w14:val="100000"/>
                    </w14:srgbClr>
                  </w14:solidFill>
                </w14:textFill>
              </w:rPr>
              <w:t>|</w:t>
            </w:r>
            <w:r w:rsidR="009E5BDA" w:rsidRPr="005F32D1">
              <w:rPr>
                <w:rFonts w:eastAsia="Times New Roman" w:cs="Arial"/>
                <w:sz w:val="18"/>
                <w:szCs w:val="22"/>
                <w:vertAlign w:val="superscript"/>
              </w:rPr>
              <w:t>2</w:t>
            </w:r>
          </w:p>
        </w:tc>
        <w:tc>
          <w:tcPr>
            <w:tcW w:w="611" w:type="pct"/>
            <w:shd w:val="clear" w:color="auto" w:fill="auto"/>
            <w:vAlign w:val="center"/>
          </w:tcPr>
          <w:p w14:paraId="31451F9F" w14:textId="267C93B0" w:rsidR="00DE117F" w:rsidRPr="005F32D1" w:rsidRDefault="00D12425" w:rsidP="0047489A">
            <w:pPr>
              <w:pStyle w:val="TableText0"/>
              <w:keepLines/>
              <w:jc w:val="center"/>
              <w:rPr>
                <w:highlight w:val="lightGray"/>
              </w:rPr>
            </w:pPr>
            <w:r w:rsidRPr="00D12425">
              <w:rPr>
                <w:color w:val="000000"/>
                <w:spacing w:val="70"/>
                <w:shd w:val="solid" w:color="000000" w:fill="000000"/>
                <w:fitText w:val="383" w:id="-1236619517"/>
                <w14:textFill>
                  <w14:solidFill>
                    <w14:srgbClr w14:val="000000">
                      <w14:alpha w14:val="100000"/>
                    </w14:srgbClr>
                  </w14:solidFill>
                </w14:textFill>
              </w:rPr>
              <w:t>|||</w:t>
            </w:r>
            <w:r w:rsidRPr="00D12425">
              <w:rPr>
                <w:color w:val="000000"/>
                <w:spacing w:val="3"/>
                <w:shd w:val="solid" w:color="000000" w:fill="000000"/>
                <w:fitText w:val="383" w:id="-1236619517"/>
                <w14:textFill>
                  <w14:solidFill>
                    <w14:srgbClr w14:val="000000">
                      <w14:alpha w14:val="100000"/>
                    </w14:srgbClr>
                  </w14:solidFill>
                </w14:textFill>
              </w:rPr>
              <w:t>|</w:t>
            </w:r>
            <w:r w:rsidR="009E5BDA" w:rsidRPr="005F32D1">
              <w:rPr>
                <w:rFonts w:eastAsia="Times New Roman" w:cs="Arial"/>
                <w:sz w:val="18"/>
                <w:szCs w:val="22"/>
                <w:vertAlign w:val="superscript"/>
              </w:rPr>
              <w:t>2</w:t>
            </w:r>
          </w:p>
        </w:tc>
        <w:tc>
          <w:tcPr>
            <w:tcW w:w="611" w:type="pct"/>
            <w:shd w:val="clear" w:color="auto" w:fill="auto"/>
            <w:vAlign w:val="center"/>
          </w:tcPr>
          <w:p w14:paraId="43DAEF67" w14:textId="41915FCC" w:rsidR="00DE117F" w:rsidRPr="005F32D1" w:rsidRDefault="00D12425" w:rsidP="0047489A">
            <w:pPr>
              <w:pStyle w:val="TableText0"/>
              <w:keepLines/>
              <w:jc w:val="center"/>
              <w:rPr>
                <w:highlight w:val="lightGray"/>
              </w:rPr>
            </w:pPr>
            <w:r w:rsidRPr="00D12425">
              <w:rPr>
                <w:color w:val="000000"/>
                <w:spacing w:val="70"/>
                <w:shd w:val="solid" w:color="000000" w:fill="000000"/>
                <w:fitText w:val="383" w:id="-1236619516"/>
                <w14:textFill>
                  <w14:solidFill>
                    <w14:srgbClr w14:val="000000">
                      <w14:alpha w14:val="100000"/>
                    </w14:srgbClr>
                  </w14:solidFill>
                </w14:textFill>
              </w:rPr>
              <w:t>|||</w:t>
            </w:r>
            <w:r w:rsidRPr="00D12425">
              <w:rPr>
                <w:color w:val="000000"/>
                <w:spacing w:val="3"/>
                <w:shd w:val="solid" w:color="000000" w:fill="000000"/>
                <w:fitText w:val="383" w:id="-1236619516"/>
                <w14:textFill>
                  <w14:solidFill>
                    <w14:srgbClr w14:val="000000">
                      <w14:alpha w14:val="100000"/>
                    </w14:srgbClr>
                  </w14:solidFill>
                </w14:textFill>
              </w:rPr>
              <w:t>|</w:t>
            </w:r>
            <w:r w:rsidR="009E5BDA" w:rsidRPr="005F32D1">
              <w:rPr>
                <w:rFonts w:eastAsia="Times New Roman" w:cs="Arial"/>
                <w:sz w:val="18"/>
                <w:szCs w:val="22"/>
                <w:vertAlign w:val="superscript"/>
              </w:rPr>
              <w:t>2</w:t>
            </w:r>
          </w:p>
        </w:tc>
        <w:tc>
          <w:tcPr>
            <w:tcW w:w="611" w:type="pct"/>
            <w:shd w:val="clear" w:color="auto" w:fill="auto"/>
            <w:vAlign w:val="center"/>
          </w:tcPr>
          <w:p w14:paraId="411F17B0" w14:textId="223B7B77" w:rsidR="00DE117F" w:rsidRPr="005F32D1" w:rsidRDefault="00D12425" w:rsidP="0047489A">
            <w:pPr>
              <w:pStyle w:val="TableText0"/>
              <w:keepLines/>
              <w:jc w:val="center"/>
              <w:rPr>
                <w:highlight w:val="lightGray"/>
              </w:rPr>
            </w:pPr>
            <w:r w:rsidRPr="00D12425">
              <w:rPr>
                <w:color w:val="000000"/>
                <w:spacing w:val="70"/>
                <w:shd w:val="solid" w:color="000000" w:fill="000000"/>
                <w:fitText w:val="383" w:id="-1236619515"/>
                <w14:textFill>
                  <w14:solidFill>
                    <w14:srgbClr w14:val="000000">
                      <w14:alpha w14:val="100000"/>
                    </w14:srgbClr>
                  </w14:solidFill>
                </w14:textFill>
              </w:rPr>
              <w:t>|||</w:t>
            </w:r>
            <w:r w:rsidRPr="00D12425">
              <w:rPr>
                <w:color w:val="000000"/>
                <w:spacing w:val="3"/>
                <w:shd w:val="solid" w:color="000000" w:fill="000000"/>
                <w:fitText w:val="383" w:id="-1236619515"/>
                <w14:textFill>
                  <w14:solidFill>
                    <w14:srgbClr w14:val="000000">
                      <w14:alpha w14:val="100000"/>
                    </w14:srgbClr>
                  </w14:solidFill>
                </w14:textFill>
              </w:rPr>
              <w:t>|</w:t>
            </w:r>
            <w:r w:rsidR="009E5BDA" w:rsidRPr="005F32D1">
              <w:rPr>
                <w:rFonts w:eastAsia="Times New Roman" w:cs="Arial"/>
                <w:sz w:val="18"/>
                <w:szCs w:val="22"/>
                <w:vertAlign w:val="superscript"/>
              </w:rPr>
              <w:t>2</w:t>
            </w:r>
          </w:p>
        </w:tc>
        <w:tc>
          <w:tcPr>
            <w:tcW w:w="611" w:type="pct"/>
            <w:shd w:val="clear" w:color="auto" w:fill="auto"/>
            <w:vAlign w:val="center"/>
          </w:tcPr>
          <w:p w14:paraId="60DC8989" w14:textId="660A95BF" w:rsidR="00DE117F" w:rsidRPr="005F32D1" w:rsidRDefault="00D12425" w:rsidP="0047489A">
            <w:pPr>
              <w:pStyle w:val="TableText0"/>
              <w:keepLines/>
              <w:jc w:val="center"/>
              <w:rPr>
                <w:highlight w:val="lightGray"/>
              </w:rPr>
            </w:pPr>
            <w:r w:rsidRPr="00D12425">
              <w:rPr>
                <w:color w:val="000000"/>
                <w:spacing w:val="70"/>
                <w:shd w:val="solid" w:color="000000" w:fill="000000"/>
                <w:fitText w:val="383" w:id="-1236619514"/>
                <w14:textFill>
                  <w14:solidFill>
                    <w14:srgbClr w14:val="000000">
                      <w14:alpha w14:val="100000"/>
                    </w14:srgbClr>
                  </w14:solidFill>
                </w14:textFill>
              </w:rPr>
              <w:t>|||</w:t>
            </w:r>
            <w:r w:rsidRPr="00D12425">
              <w:rPr>
                <w:color w:val="000000"/>
                <w:spacing w:val="3"/>
                <w:shd w:val="solid" w:color="000000" w:fill="000000"/>
                <w:fitText w:val="383" w:id="-1236619514"/>
                <w14:textFill>
                  <w14:solidFill>
                    <w14:srgbClr w14:val="000000">
                      <w14:alpha w14:val="100000"/>
                    </w14:srgbClr>
                  </w14:solidFill>
                </w14:textFill>
              </w:rPr>
              <w:t>|</w:t>
            </w:r>
            <w:r w:rsidR="009E5BDA" w:rsidRPr="005F32D1">
              <w:rPr>
                <w:rFonts w:eastAsia="Times New Roman" w:cs="Arial"/>
                <w:sz w:val="18"/>
                <w:szCs w:val="22"/>
                <w:vertAlign w:val="superscript"/>
              </w:rPr>
              <w:t>2</w:t>
            </w:r>
          </w:p>
        </w:tc>
        <w:tc>
          <w:tcPr>
            <w:tcW w:w="611" w:type="pct"/>
            <w:vAlign w:val="center"/>
          </w:tcPr>
          <w:p w14:paraId="07953B5E" w14:textId="2750AB27" w:rsidR="00DE117F" w:rsidRPr="005F32D1" w:rsidRDefault="00D12425" w:rsidP="0047489A">
            <w:pPr>
              <w:pStyle w:val="TableText0"/>
              <w:keepLines/>
              <w:jc w:val="center"/>
              <w:rPr>
                <w:highlight w:val="lightGray"/>
              </w:rPr>
            </w:pPr>
            <w:r w:rsidRPr="00D12425">
              <w:rPr>
                <w:color w:val="000000"/>
                <w:spacing w:val="70"/>
                <w:shd w:val="solid" w:color="000000" w:fill="000000"/>
                <w:fitText w:val="383" w:id="-1236619513"/>
                <w14:textFill>
                  <w14:solidFill>
                    <w14:srgbClr w14:val="000000">
                      <w14:alpha w14:val="100000"/>
                    </w14:srgbClr>
                  </w14:solidFill>
                </w14:textFill>
              </w:rPr>
              <w:t>|||</w:t>
            </w:r>
            <w:r w:rsidRPr="00D12425">
              <w:rPr>
                <w:color w:val="000000"/>
                <w:spacing w:val="3"/>
                <w:shd w:val="solid" w:color="000000" w:fill="000000"/>
                <w:fitText w:val="383" w:id="-1236619513"/>
                <w14:textFill>
                  <w14:solidFill>
                    <w14:srgbClr w14:val="000000">
                      <w14:alpha w14:val="100000"/>
                    </w14:srgbClr>
                  </w14:solidFill>
                </w14:textFill>
              </w:rPr>
              <w:t>|</w:t>
            </w:r>
            <w:r w:rsidR="009E5BDA" w:rsidRPr="005F32D1">
              <w:rPr>
                <w:rFonts w:eastAsia="Times New Roman" w:cs="Arial"/>
                <w:sz w:val="18"/>
                <w:szCs w:val="22"/>
                <w:vertAlign w:val="superscript"/>
              </w:rPr>
              <w:t>2</w:t>
            </w:r>
          </w:p>
        </w:tc>
      </w:tr>
      <w:tr w:rsidR="00353FDC" w:rsidRPr="00AF3847" w14:paraId="76E70A72" w14:textId="77777777" w:rsidTr="005B73EC">
        <w:tc>
          <w:tcPr>
            <w:tcW w:w="1334" w:type="pct"/>
            <w:shd w:val="clear" w:color="auto" w:fill="auto"/>
            <w:vAlign w:val="center"/>
          </w:tcPr>
          <w:p w14:paraId="0DEE1AAD" w14:textId="77777777" w:rsidR="00353FDC" w:rsidRPr="00AF3847" w:rsidRDefault="00353FDC" w:rsidP="0047489A">
            <w:pPr>
              <w:pStyle w:val="TableText0"/>
              <w:keepLines/>
              <w:rPr>
                <w:sz w:val="19"/>
                <w:szCs w:val="19"/>
              </w:rPr>
            </w:pPr>
            <w:r w:rsidRPr="00AF3847">
              <w:rPr>
                <w:sz w:val="19"/>
                <w:szCs w:val="19"/>
              </w:rPr>
              <w:t>Cost to PBS/RPBS less co-payments</w:t>
            </w:r>
            <w:r w:rsidRPr="00290237">
              <w:rPr>
                <w:sz w:val="19"/>
                <w:szCs w:val="19"/>
                <w:vertAlign w:val="superscript"/>
              </w:rPr>
              <w:t>c</w:t>
            </w:r>
          </w:p>
        </w:tc>
        <w:tc>
          <w:tcPr>
            <w:tcW w:w="611" w:type="pct"/>
            <w:shd w:val="clear" w:color="auto" w:fill="auto"/>
            <w:vAlign w:val="center"/>
          </w:tcPr>
          <w:p w14:paraId="02820F68" w14:textId="3633AC08" w:rsidR="00353FDC" w:rsidRPr="005F32D1" w:rsidRDefault="00D12425" w:rsidP="0047489A">
            <w:pPr>
              <w:pStyle w:val="TableText0"/>
              <w:keepLines/>
              <w:jc w:val="center"/>
              <w:rPr>
                <w:highlight w:val="lightGray"/>
              </w:rPr>
            </w:pPr>
            <w:r w:rsidRPr="00D12425">
              <w:rPr>
                <w:rFonts w:cs="Arial"/>
                <w:b/>
                <w:bCs w:val="0"/>
                <w:color w:val="000000"/>
                <w:spacing w:val="34"/>
                <w:szCs w:val="20"/>
                <w:shd w:val="solid" w:color="000000" w:fill="000000"/>
                <w:fitText w:val="449" w:id="-1236619512"/>
                <w14:textFill>
                  <w14:solidFill>
                    <w14:srgbClr w14:val="000000">
                      <w14:alpha w14:val="100000"/>
                    </w14:srgbClr>
                  </w14:solidFill>
                </w14:textFill>
              </w:rPr>
              <w:t>|||||</w:t>
            </w:r>
            <w:r w:rsidRPr="00D12425">
              <w:rPr>
                <w:rFonts w:cs="Arial"/>
                <w:b/>
                <w:bCs w:val="0"/>
                <w:color w:val="000000"/>
                <w:spacing w:val="4"/>
                <w:szCs w:val="20"/>
                <w:shd w:val="solid" w:color="000000" w:fill="000000"/>
                <w:fitText w:val="449" w:id="-1236619512"/>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5295B0DE" w14:textId="64F3381B" w:rsidR="00353FDC" w:rsidRPr="005F32D1" w:rsidRDefault="00D12425" w:rsidP="0047489A">
            <w:pPr>
              <w:pStyle w:val="TableText0"/>
              <w:keepLines/>
              <w:jc w:val="center"/>
              <w:rPr>
                <w:highlight w:val="lightGray"/>
              </w:rPr>
            </w:pPr>
            <w:r w:rsidRPr="00D12425">
              <w:rPr>
                <w:rFonts w:cs="Arial"/>
                <w:b/>
                <w:bCs w:val="0"/>
                <w:color w:val="000000"/>
                <w:spacing w:val="34"/>
                <w:szCs w:val="20"/>
                <w:shd w:val="solid" w:color="000000" w:fill="000000"/>
                <w:fitText w:val="449" w:id="-1236619511"/>
                <w14:textFill>
                  <w14:solidFill>
                    <w14:srgbClr w14:val="000000">
                      <w14:alpha w14:val="100000"/>
                    </w14:srgbClr>
                  </w14:solidFill>
                </w14:textFill>
              </w:rPr>
              <w:t>|||||</w:t>
            </w:r>
            <w:r w:rsidRPr="00D12425">
              <w:rPr>
                <w:rFonts w:cs="Arial"/>
                <w:b/>
                <w:bCs w:val="0"/>
                <w:color w:val="000000"/>
                <w:spacing w:val="4"/>
                <w:szCs w:val="20"/>
                <w:shd w:val="solid" w:color="000000" w:fill="000000"/>
                <w:fitText w:val="449" w:id="-1236619511"/>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53AF154F" w14:textId="07861291" w:rsidR="00353FDC" w:rsidRPr="005F32D1" w:rsidRDefault="00D12425" w:rsidP="0047489A">
            <w:pPr>
              <w:pStyle w:val="TableText0"/>
              <w:keepLines/>
              <w:jc w:val="center"/>
              <w:rPr>
                <w:highlight w:val="lightGray"/>
              </w:rPr>
            </w:pPr>
            <w:r w:rsidRPr="00D12425">
              <w:rPr>
                <w:rFonts w:cs="Arial"/>
                <w:b/>
                <w:bCs w:val="0"/>
                <w:color w:val="000000"/>
                <w:spacing w:val="34"/>
                <w:szCs w:val="20"/>
                <w:shd w:val="solid" w:color="000000" w:fill="000000"/>
                <w:fitText w:val="449" w:id="-1236619510"/>
                <w14:textFill>
                  <w14:solidFill>
                    <w14:srgbClr w14:val="000000">
                      <w14:alpha w14:val="100000"/>
                    </w14:srgbClr>
                  </w14:solidFill>
                </w14:textFill>
              </w:rPr>
              <w:t>|||||</w:t>
            </w:r>
            <w:r w:rsidRPr="00D12425">
              <w:rPr>
                <w:rFonts w:cs="Arial"/>
                <w:b/>
                <w:bCs w:val="0"/>
                <w:color w:val="000000"/>
                <w:spacing w:val="4"/>
                <w:szCs w:val="20"/>
                <w:shd w:val="solid" w:color="000000" w:fill="000000"/>
                <w:fitText w:val="449" w:id="-1236619510"/>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7ED14E50" w14:textId="30377E27" w:rsidR="00353FDC" w:rsidRPr="005F32D1" w:rsidRDefault="00D12425" w:rsidP="0047489A">
            <w:pPr>
              <w:pStyle w:val="TableText0"/>
              <w:keepLines/>
              <w:jc w:val="center"/>
              <w:rPr>
                <w:highlight w:val="lightGray"/>
              </w:rPr>
            </w:pPr>
            <w:r w:rsidRPr="00D12425">
              <w:rPr>
                <w:rFonts w:cs="Arial"/>
                <w:b/>
                <w:bCs w:val="0"/>
                <w:color w:val="000000"/>
                <w:spacing w:val="34"/>
                <w:szCs w:val="20"/>
                <w:shd w:val="solid" w:color="000000" w:fill="000000"/>
                <w:fitText w:val="450" w:id="-1236619509"/>
                <w14:textFill>
                  <w14:solidFill>
                    <w14:srgbClr w14:val="000000">
                      <w14:alpha w14:val="100000"/>
                    </w14:srgbClr>
                  </w14:solidFill>
                </w14:textFill>
              </w:rPr>
              <w:t>|||||</w:t>
            </w:r>
            <w:r w:rsidRPr="00D12425">
              <w:rPr>
                <w:rFonts w:cs="Arial"/>
                <w:b/>
                <w:bCs w:val="0"/>
                <w:color w:val="000000"/>
                <w:spacing w:val="5"/>
                <w:szCs w:val="20"/>
                <w:shd w:val="solid" w:color="000000" w:fill="000000"/>
                <w:fitText w:val="450" w:id="-1236619509"/>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3EB6525E" w14:textId="334E2A8D" w:rsidR="00353FDC" w:rsidRPr="005F32D1" w:rsidRDefault="00D12425" w:rsidP="0047489A">
            <w:pPr>
              <w:pStyle w:val="TableText0"/>
              <w:keepLines/>
              <w:jc w:val="center"/>
              <w:rPr>
                <w:highlight w:val="lightGray"/>
              </w:rPr>
            </w:pPr>
            <w:r w:rsidRPr="00D12425">
              <w:rPr>
                <w:rFonts w:cs="Arial"/>
                <w:b/>
                <w:bCs w:val="0"/>
                <w:color w:val="000000"/>
                <w:spacing w:val="34"/>
                <w:szCs w:val="20"/>
                <w:shd w:val="solid" w:color="000000" w:fill="000000"/>
                <w:fitText w:val="450" w:id="-1236619508"/>
                <w14:textFill>
                  <w14:solidFill>
                    <w14:srgbClr w14:val="000000">
                      <w14:alpha w14:val="100000"/>
                    </w14:srgbClr>
                  </w14:solidFill>
                </w14:textFill>
              </w:rPr>
              <w:t>|||||</w:t>
            </w:r>
            <w:r w:rsidRPr="00D12425">
              <w:rPr>
                <w:rFonts w:cs="Arial"/>
                <w:b/>
                <w:bCs w:val="0"/>
                <w:color w:val="000000"/>
                <w:spacing w:val="5"/>
                <w:szCs w:val="20"/>
                <w:shd w:val="solid" w:color="000000" w:fill="000000"/>
                <w:fitText w:val="450" w:id="-1236619508"/>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vAlign w:val="center"/>
          </w:tcPr>
          <w:p w14:paraId="7382AB00" w14:textId="74B32BBA" w:rsidR="00353FDC" w:rsidRPr="005F32D1" w:rsidRDefault="00D12425" w:rsidP="0047489A">
            <w:pPr>
              <w:pStyle w:val="TableText0"/>
              <w:keepLines/>
              <w:jc w:val="center"/>
              <w:rPr>
                <w:highlight w:val="lightGray"/>
              </w:rPr>
            </w:pPr>
            <w:r w:rsidRPr="00D12425">
              <w:rPr>
                <w:rFonts w:cs="Arial"/>
                <w:b/>
                <w:bCs w:val="0"/>
                <w:color w:val="000000"/>
                <w:spacing w:val="34"/>
                <w:szCs w:val="20"/>
                <w:shd w:val="solid" w:color="000000" w:fill="000000"/>
                <w:fitText w:val="450" w:id="-1236619507"/>
                <w14:textFill>
                  <w14:solidFill>
                    <w14:srgbClr w14:val="000000">
                      <w14:alpha w14:val="100000"/>
                    </w14:srgbClr>
                  </w14:solidFill>
                </w14:textFill>
              </w:rPr>
              <w:t>|||||</w:t>
            </w:r>
            <w:r w:rsidRPr="00D12425">
              <w:rPr>
                <w:rFonts w:cs="Arial"/>
                <w:b/>
                <w:bCs w:val="0"/>
                <w:color w:val="000000"/>
                <w:spacing w:val="5"/>
                <w:szCs w:val="20"/>
                <w:shd w:val="solid" w:color="000000" w:fill="000000"/>
                <w:fitText w:val="450" w:id="-1236619507"/>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754AE6" w:rsidRPr="00AF3847" w14:paraId="4CF69CCE" w14:textId="77777777" w:rsidTr="005B73EC">
        <w:tc>
          <w:tcPr>
            <w:tcW w:w="5000" w:type="pct"/>
            <w:gridSpan w:val="7"/>
            <w:shd w:val="clear" w:color="auto" w:fill="auto"/>
            <w:vAlign w:val="center"/>
          </w:tcPr>
          <w:p w14:paraId="1888A38A" w14:textId="77777777" w:rsidR="00754AE6" w:rsidRPr="00353FDC" w:rsidRDefault="00754AE6" w:rsidP="0047489A">
            <w:pPr>
              <w:pStyle w:val="TableText0"/>
              <w:keepLines/>
              <w:rPr>
                <w:b/>
                <w:bCs w:val="0"/>
              </w:rPr>
            </w:pPr>
            <w:r w:rsidRPr="00353FDC">
              <w:rPr>
                <w:b/>
                <w:bCs w:val="0"/>
              </w:rPr>
              <w:t>Estimated financial implications for pembrolizumab</w:t>
            </w:r>
          </w:p>
        </w:tc>
      </w:tr>
      <w:tr w:rsidR="00754AE6" w:rsidRPr="00AF3847" w14:paraId="2C72A337" w14:textId="77777777" w:rsidTr="005B73EC">
        <w:tc>
          <w:tcPr>
            <w:tcW w:w="1334" w:type="pct"/>
            <w:shd w:val="clear" w:color="auto" w:fill="auto"/>
            <w:vAlign w:val="center"/>
          </w:tcPr>
          <w:p w14:paraId="2BEA631A" w14:textId="77777777" w:rsidR="00754AE6" w:rsidRPr="00AF3847" w:rsidRDefault="00754AE6" w:rsidP="0047489A">
            <w:pPr>
              <w:pStyle w:val="TableText0"/>
              <w:keepLines/>
              <w:rPr>
                <w:sz w:val="19"/>
                <w:szCs w:val="19"/>
              </w:rPr>
            </w:pPr>
            <w:r w:rsidRPr="00AF3847">
              <w:rPr>
                <w:sz w:val="19"/>
                <w:szCs w:val="19"/>
              </w:rPr>
              <w:t>Cost to PBS/RPBS less co-payments</w:t>
            </w:r>
          </w:p>
        </w:tc>
        <w:tc>
          <w:tcPr>
            <w:tcW w:w="611" w:type="pct"/>
            <w:shd w:val="clear" w:color="auto" w:fill="auto"/>
            <w:vAlign w:val="center"/>
          </w:tcPr>
          <w:p w14:paraId="59E8B53C" w14:textId="69BA583F" w:rsidR="00754AE6"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2" w:id="-1236619506"/>
                <w:lang w:val="en-GB" w:eastAsia="en-US"/>
                <w14:textFill>
                  <w14:solidFill>
                    <w14:srgbClr w14:val="000000">
                      <w14:alpha w14:val="100000"/>
                    </w14:srgbClr>
                  </w14:solidFill>
                </w14:textFill>
              </w:rPr>
              <w:t>|||</w:t>
            </w:r>
            <w:r w:rsidRPr="00D12425">
              <w:rPr>
                <w:rFonts w:cstheme="minorHAnsi"/>
                <w:color w:val="000000"/>
                <w:spacing w:val="2"/>
                <w:shd w:val="solid" w:color="000000" w:fill="000000"/>
                <w:fitText w:val="382" w:id="-1236619506"/>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4F7DA200" w14:textId="1E637ABE" w:rsidR="00754AE6"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3" w:id="-1236619505"/>
                <w:lang w:val="en-GB" w:eastAsia="en-US"/>
                <w14:textFill>
                  <w14:solidFill>
                    <w14:srgbClr w14:val="000000">
                      <w14:alpha w14:val="100000"/>
                    </w14:srgbClr>
                  </w14:solidFill>
                </w14:textFill>
              </w:rPr>
              <w:t>|||</w:t>
            </w:r>
            <w:r w:rsidRPr="00D12425">
              <w:rPr>
                <w:rFonts w:cstheme="minorHAnsi"/>
                <w:color w:val="000000"/>
                <w:spacing w:val="3"/>
                <w:shd w:val="solid" w:color="000000" w:fill="000000"/>
                <w:fitText w:val="383" w:id="-1236619505"/>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21BCC6B9" w14:textId="7B843AC9" w:rsidR="00754AE6"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3" w:id="-1236619504"/>
                <w:lang w:val="en-GB" w:eastAsia="en-US"/>
                <w14:textFill>
                  <w14:solidFill>
                    <w14:srgbClr w14:val="000000">
                      <w14:alpha w14:val="100000"/>
                    </w14:srgbClr>
                  </w14:solidFill>
                </w14:textFill>
              </w:rPr>
              <w:t>|||</w:t>
            </w:r>
            <w:r w:rsidRPr="00D12425">
              <w:rPr>
                <w:rFonts w:cstheme="minorHAnsi"/>
                <w:color w:val="000000"/>
                <w:spacing w:val="3"/>
                <w:shd w:val="solid" w:color="000000" w:fill="000000"/>
                <w:fitText w:val="383" w:id="-1236619504"/>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6220702F" w14:textId="4561096F" w:rsidR="00754AE6"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3" w:id="-1236619520"/>
                <w:lang w:val="en-GB" w:eastAsia="en-US"/>
                <w14:textFill>
                  <w14:solidFill>
                    <w14:srgbClr w14:val="000000">
                      <w14:alpha w14:val="100000"/>
                    </w14:srgbClr>
                  </w14:solidFill>
                </w14:textFill>
              </w:rPr>
              <w:t>|||</w:t>
            </w:r>
            <w:r w:rsidRPr="00D12425">
              <w:rPr>
                <w:rFonts w:cstheme="minorHAnsi"/>
                <w:color w:val="000000"/>
                <w:spacing w:val="3"/>
                <w:shd w:val="solid" w:color="000000" w:fill="000000"/>
                <w:fitText w:val="383" w:id="-1236619520"/>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117CB822" w14:textId="2E223B06" w:rsidR="00754AE6"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3" w:id="-1236619519"/>
                <w:lang w:val="en-GB" w:eastAsia="en-US"/>
                <w14:textFill>
                  <w14:solidFill>
                    <w14:srgbClr w14:val="000000">
                      <w14:alpha w14:val="100000"/>
                    </w14:srgbClr>
                  </w14:solidFill>
                </w14:textFill>
              </w:rPr>
              <w:t>|||</w:t>
            </w:r>
            <w:r w:rsidRPr="00D12425">
              <w:rPr>
                <w:rFonts w:cstheme="minorHAnsi"/>
                <w:color w:val="000000"/>
                <w:spacing w:val="3"/>
                <w:shd w:val="solid" w:color="000000" w:fill="000000"/>
                <w:fitText w:val="383" w:id="-1236619519"/>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vAlign w:val="center"/>
          </w:tcPr>
          <w:p w14:paraId="78B0A9E5" w14:textId="2A93099F" w:rsidR="00754AE6" w:rsidRPr="005F32D1" w:rsidRDefault="00D12425" w:rsidP="0047489A">
            <w:pPr>
              <w:pStyle w:val="TableText0"/>
              <w:keepLines/>
              <w:jc w:val="center"/>
              <w:rPr>
                <w:highlight w:val="lightGray"/>
              </w:rPr>
            </w:pPr>
            <w:r w:rsidRPr="00D12425">
              <w:rPr>
                <w:rFonts w:cstheme="minorHAnsi"/>
                <w:color w:val="000000"/>
                <w:spacing w:val="70"/>
                <w:shd w:val="solid" w:color="000000" w:fill="000000"/>
                <w:fitText w:val="383" w:id="-1236619518"/>
                <w:lang w:val="en-GB" w:eastAsia="en-US"/>
                <w14:textFill>
                  <w14:solidFill>
                    <w14:srgbClr w14:val="000000">
                      <w14:alpha w14:val="100000"/>
                    </w14:srgbClr>
                  </w14:solidFill>
                </w14:textFill>
              </w:rPr>
              <w:t>|||</w:t>
            </w:r>
            <w:r w:rsidRPr="00D12425">
              <w:rPr>
                <w:rFonts w:cstheme="minorHAnsi"/>
                <w:color w:val="000000"/>
                <w:spacing w:val="3"/>
                <w:shd w:val="solid" w:color="000000" w:fill="000000"/>
                <w:fitText w:val="383" w:id="-1236619518"/>
                <w:lang w:val="en-GB" w:eastAsia="en-US"/>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754AE6" w:rsidRPr="00AF3847" w14:paraId="34824F09" w14:textId="77777777" w:rsidTr="005B73EC">
        <w:tc>
          <w:tcPr>
            <w:tcW w:w="5000" w:type="pct"/>
            <w:gridSpan w:val="7"/>
            <w:shd w:val="clear" w:color="auto" w:fill="auto"/>
            <w:vAlign w:val="center"/>
          </w:tcPr>
          <w:p w14:paraId="44EC338C" w14:textId="77777777" w:rsidR="00754AE6" w:rsidRPr="00353FDC" w:rsidRDefault="00754AE6" w:rsidP="0047489A">
            <w:pPr>
              <w:pStyle w:val="In-tableHeading"/>
              <w:keepLines/>
            </w:pPr>
            <w:r w:rsidRPr="00353FDC">
              <w:t>Net financial implications</w:t>
            </w:r>
          </w:p>
        </w:tc>
      </w:tr>
      <w:tr w:rsidR="00353FDC" w:rsidRPr="00754AE6" w14:paraId="7439EBBC" w14:textId="77777777" w:rsidTr="00754AE6">
        <w:tc>
          <w:tcPr>
            <w:tcW w:w="1334" w:type="pct"/>
            <w:shd w:val="clear" w:color="auto" w:fill="auto"/>
            <w:vAlign w:val="center"/>
          </w:tcPr>
          <w:p w14:paraId="061EE98F" w14:textId="77777777" w:rsidR="00353FDC" w:rsidRPr="00754AE6" w:rsidRDefault="00353FDC" w:rsidP="0047489A">
            <w:pPr>
              <w:pStyle w:val="TableText0"/>
              <w:keepLines/>
              <w:rPr>
                <w:b/>
                <w:bCs w:val="0"/>
                <w:sz w:val="19"/>
                <w:szCs w:val="19"/>
              </w:rPr>
            </w:pPr>
            <w:r w:rsidRPr="00754AE6">
              <w:rPr>
                <w:b/>
                <w:bCs w:val="0"/>
                <w:sz w:val="19"/>
                <w:szCs w:val="19"/>
              </w:rPr>
              <w:t>Net cost to PBS/RPBS</w:t>
            </w:r>
          </w:p>
        </w:tc>
        <w:tc>
          <w:tcPr>
            <w:tcW w:w="611" w:type="pct"/>
            <w:shd w:val="clear" w:color="auto" w:fill="auto"/>
            <w:vAlign w:val="center"/>
          </w:tcPr>
          <w:p w14:paraId="6AF2CBE4" w14:textId="41557B01" w:rsidR="00353FDC" w:rsidRPr="005F32D1" w:rsidRDefault="00D12425" w:rsidP="0047489A">
            <w:pPr>
              <w:pStyle w:val="TableText0"/>
              <w:keepLines/>
              <w:jc w:val="center"/>
              <w:rPr>
                <w:b/>
                <w:bCs w:val="0"/>
                <w:highlight w:val="lightGray"/>
              </w:rPr>
            </w:pPr>
            <w:r w:rsidRPr="00D12425">
              <w:rPr>
                <w:rFonts w:cs="Arial"/>
                <w:b/>
                <w:bCs w:val="0"/>
                <w:color w:val="000000"/>
                <w:spacing w:val="34"/>
                <w:szCs w:val="20"/>
                <w:shd w:val="solid" w:color="000000" w:fill="000000"/>
                <w:fitText w:val="449" w:id="-1236619517"/>
                <w14:textFill>
                  <w14:solidFill>
                    <w14:srgbClr w14:val="000000">
                      <w14:alpha w14:val="100000"/>
                    </w14:srgbClr>
                  </w14:solidFill>
                </w14:textFill>
              </w:rPr>
              <w:t>|||||</w:t>
            </w:r>
            <w:r w:rsidRPr="00D12425">
              <w:rPr>
                <w:rFonts w:cs="Arial"/>
                <w:b/>
                <w:bCs w:val="0"/>
                <w:color w:val="000000"/>
                <w:spacing w:val="4"/>
                <w:szCs w:val="20"/>
                <w:shd w:val="solid" w:color="000000" w:fill="000000"/>
                <w:fitText w:val="449" w:id="-1236619517"/>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7F84EBD3" w14:textId="430E5B76" w:rsidR="00353FDC" w:rsidRPr="005F32D1" w:rsidRDefault="00D12425" w:rsidP="0047489A">
            <w:pPr>
              <w:pStyle w:val="TableText0"/>
              <w:keepLines/>
              <w:jc w:val="center"/>
              <w:rPr>
                <w:b/>
                <w:bCs w:val="0"/>
                <w:highlight w:val="lightGray"/>
              </w:rPr>
            </w:pPr>
            <w:r w:rsidRPr="00D12425">
              <w:rPr>
                <w:rFonts w:cs="Arial"/>
                <w:b/>
                <w:bCs w:val="0"/>
                <w:color w:val="000000"/>
                <w:spacing w:val="34"/>
                <w:szCs w:val="20"/>
                <w:shd w:val="solid" w:color="000000" w:fill="000000"/>
                <w:fitText w:val="449" w:id="-1236619516"/>
                <w14:textFill>
                  <w14:solidFill>
                    <w14:srgbClr w14:val="000000">
                      <w14:alpha w14:val="100000"/>
                    </w14:srgbClr>
                  </w14:solidFill>
                </w14:textFill>
              </w:rPr>
              <w:t>|||||</w:t>
            </w:r>
            <w:r w:rsidRPr="00D12425">
              <w:rPr>
                <w:rFonts w:cs="Arial"/>
                <w:b/>
                <w:bCs w:val="0"/>
                <w:color w:val="000000"/>
                <w:spacing w:val="4"/>
                <w:szCs w:val="20"/>
                <w:shd w:val="solid" w:color="000000" w:fill="000000"/>
                <w:fitText w:val="449" w:id="-1236619516"/>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2958038D" w14:textId="2FA9E853" w:rsidR="00353FDC" w:rsidRPr="005F32D1" w:rsidRDefault="00D12425" w:rsidP="0047489A">
            <w:pPr>
              <w:pStyle w:val="TableText0"/>
              <w:keepLines/>
              <w:jc w:val="center"/>
              <w:rPr>
                <w:b/>
                <w:bCs w:val="0"/>
                <w:highlight w:val="lightGray"/>
              </w:rPr>
            </w:pPr>
            <w:r w:rsidRPr="00D12425">
              <w:rPr>
                <w:rFonts w:cs="Arial"/>
                <w:b/>
                <w:bCs w:val="0"/>
                <w:color w:val="000000"/>
                <w:spacing w:val="34"/>
                <w:szCs w:val="20"/>
                <w:shd w:val="solid" w:color="000000" w:fill="000000"/>
                <w:fitText w:val="449" w:id="-1236619515"/>
                <w14:textFill>
                  <w14:solidFill>
                    <w14:srgbClr w14:val="000000">
                      <w14:alpha w14:val="100000"/>
                    </w14:srgbClr>
                  </w14:solidFill>
                </w14:textFill>
              </w:rPr>
              <w:t>|||||</w:t>
            </w:r>
            <w:r w:rsidRPr="00D12425">
              <w:rPr>
                <w:rFonts w:cs="Arial"/>
                <w:b/>
                <w:bCs w:val="0"/>
                <w:color w:val="000000"/>
                <w:spacing w:val="4"/>
                <w:szCs w:val="20"/>
                <w:shd w:val="solid" w:color="000000" w:fill="000000"/>
                <w:fitText w:val="449" w:id="-1236619515"/>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308D027A" w14:textId="640A6DDF" w:rsidR="00353FDC" w:rsidRPr="005F32D1" w:rsidRDefault="00D12425" w:rsidP="0047489A">
            <w:pPr>
              <w:pStyle w:val="TableText0"/>
              <w:keepLines/>
              <w:jc w:val="center"/>
              <w:rPr>
                <w:b/>
                <w:bCs w:val="0"/>
                <w:highlight w:val="lightGray"/>
              </w:rPr>
            </w:pPr>
            <w:r w:rsidRPr="00D12425">
              <w:rPr>
                <w:rFonts w:cs="Arial"/>
                <w:b/>
                <w:bCs w:val="0"/>
                <w:color w:val="000000"/>
                <w:spacing w:val="34"/>
                <w:szCs w:val="20"/>
                <w:shd w:val="solid" w:color="000000" w:fill="000000"/>
                <w:fitText w:val="450" w:id="-1236619514"/>
                <w14:textFill>
                  <w14:solidFill>
                    <w14:srgbClr w14:val="000000">
                      <w14:alpha w14:val="100000"/>
                    </w14:srgbClr>
                  </w14:solidFill>
                </w14:textFill>
              </w:rPr>
              <w:t>|||||</w:t>
            </w:r>
            <w:r w:rsidRPr="00D12425">
              <w:rPr>
                <w:rFonts w:cs="Arial"/>
                <w:b/>
                <w:bCs w:val="0"/>
                <w:color w:val="000000"/>
                <w:spacing w:val="5"/>
                <w:szCs w:val="20"/>
                <w:shd w:val="solid" w:color="000000" w:fill="000000"/>
                <w:fitText w:val="450" w:id="-1236619514"/>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2CA4DC63" w14:textId="4397551B" w:rsidR="00353FDC" w:rsidRPr="005F32D1" w:rsidRDefault="00D12425" w:rsidP="0047489A">
            <w:pPr>
              <w:pStyle w:val="TableText0"/>
              <w:keepLines/>
              <w:jc w:val="center"/>
              <w:rPr>
                <w:b/>
                <w:bCs w:val="0"/>
                <w:highlight w:val="lightGray"/>
              </w:rPr>
            </w:pPr>
            <w:r w:rsidRPr="00D12425">
              <w:rPr>
                <w:rFonts w:cs="Arial"/>
                <w:b/>
                <w:bCs w:val="0"/>
                <w:color w:val="000000"/>
                <w:spacing w:val="34"/>
                <w:szCs w:val="20"/>
                <w:shd w:val="solid" w:color="000000" w:fill="000000"/>
                <w:fitText w:val="450" w:id="-1236619513"/>
                <w14:textFill>
                  <w14:solidFill>
                    <w14:srgbClr w14:val="000000">
                      <w14:alpha w14:val="100000"/>
                    </w14:srgbClr>
                  </w14:solidFill>
                </w14:textFill>
              </w:rPr>
              <w:t>|||||</w:t>
            </w:r>
            <w:r w:rsidRPr="00D12425">
              <w:rPr>
                <w:rFonts w:cs="Arial"/>
                <w:b/>
                <w:bCs w:val="0"/>
                <w:color w:val="000000"/>
                <w:spacing w:val="5"/>
                <w:szCs w:val="20"/>
                <w:shd w:val="solid" w:color="000000" w:fill="000000"/>
                <w:fitText w:val="450" w:id="-1236619513"/>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vAlign w:val="center"/>
          </w:tcPr>
          <w:p w14:paraId="4BA7822E" w14:textId="799F12BF" w:rsidR="00353FDC" w:rsidRPr="005F32D1" w:rsidRDefault="00D12425" w:rsidP="0047489A">
            <w:pPr>
              <w:pStyle w:val="TableText0"/>
              <w:keepLines/>
              <w:jc w:val="center"/>
              <w:rPr>
                <w:b/>
                <w:bCs w:val="0"/>
                <w:highlight w:val="lightGray"/>
              </w:rPr>
            </w:pPr>
            <w:r w:rsidRPr="00D12425">
              <w:rPr>
                <w:rFonts w:cs="Arial"/>
                <w:b/>
                <w:bCs w:val="0"/>
                <w:color w:val="000000"/>
                <w:spacing w:val="34"/>
                <w:szCs w:val="20"/>
                <w:shd w:val="solid" w:color="000000" w:fill="000000"/>
                <w:fitText w:val="450" w:id="-1236619512"/>
                <w14:textFill>
                  <w14:solidFill>
                    <w14:srgbClr w14:val="000000">
                      <w14:alpha w14:val="100000"/>
                    </w14:srgbClr>
                  </w14:solidFill>
                </w14:textFill>
              </w:rPr>
              <w:t>|||||</w:t>
            </w:r>
            <w:r w:rsidRPr="00D12425">
              <w:rPr>
                <w:rFonts w:cs="Arial"/>
                <w:b/>
                <w:bCs w:val="0"/>
                <w:color w:val="000000"/>
                <w:spacing w:val="5"/>
                <w:szCs w:val="20"/>
                <w:shd w:val="solid" w:color="000000" w:fill="000000"/>
                <w:fitText w:val="450" w:id="-1236619512"/>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353FDC" w:rsidRPr="00AF3847" w14:paraId="704A6819" w14:textId="77777777" w:rsidTr="001D7E47">
        <w:tc>
          <w:tcPr>
            <w:tcW w:w="1334" w:type="pct"/>
            <w:shd w:val="clear" w:color="auto" w:fill="auto"/>
            <w:vAlign w:val="center"/>
          </w:tcPr>
          <w:p w14:paraId="6D158102" w14:textId="77777777" w:rsidR="00353FDC" w:rsidRPr="00AF3847" w:rsidRDefault="00353FDC" w:rsidP="0047489A">
            <w:pPr>
              <w:pStyle w:val="TableText0"/>
              <w:keepLines/>
              <w:rPr>
                <w:rFonts w:ascii="Times" w:hAnsi="Times"/>
              </w:rPr>
            </w:pPr>
            <w:r w:rsidRPr="00AF3847">
              <w:rPr>
                <w:sz w:val="19"/>
                <w:szCs w:val="19"/>
              </w:rPr>
              <w:t>Increased cost to MBS</w:t>
            </w:r>
            <w:r w:rsidRPr="00AF3847">
              <w:rPr>
                <w:sz w:val="19"/>
                <w:szCs w:val="19"/>
                <w:vertAlign w:val="superscript"/>
              </w:rPr>
              <w:t>b</w:t>
            </w:r>
          </w:p>
        </w:tc>
        <w:tc>
          <w:tcPr>
            <w:tcW w:w="611" w:type="pct"/>
            <w:shd w:val="clear" w:color="auto" w:fill="auto"/>
            <w:vAlign w:val="center"/>
          </w:tcPr>
          <w:p w14:paraId="6D03115A" w14:textId="09FB60CF" w:rsidR="00353FDC" w:rsidRPr="005F32D1" w:rsidRDefault="00D12425" w:rsidP="0047489A">
            <w:pPr>
              <w:pStyle w:val="TableText0"/>
              <w:keepLines/>
              <w:jc w:val="center"/>
              <w:rPr>
                <w:highlight w:val="lightGray"/>
              </w:rPr>
            </w:pPr>
            <w:r w:rsidRPr="00D12425">
              <w:rPr>
                <w:rFonts w:cs="Arial"/>
                <w:color w:val="000000"/>
                <w:spacing w:val="70"/>
                <w:szCs w:val="20"/>
                <w:shd w:val="solid" w:color="000000" w:fill="000000"/>
                <w:fitText w:val="382" w:id="-1236619511"/>
                <w14:textFill>
                  <w14:solidFill>
                    <w14:srgbClr w14:val="000000">
                      <w14:alpha w14:val="100000"/>
                    </w14:srgbClr>
                  </w14:solidFill>
                </w14:textFill>
              </w:rPr>
              <w:t>|||</w:t>
            </w:r>
            <w:r w:rsidRPr="00D12425">
              <w:rPr>
                <w:rFonts w:cs="Arial"/>
                <w:color w:val="000000"/>
                <w:spacing w:val="2"/>
                <w:szCs w:val="20"/>
                <w:shd w:val="solid" w:color="000000" w:fill="000000"/>
                <w:fitText w:val="382" w:id="-1236619511"/>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29BD8BA1" w14:textId="1A21635F" w:rsidR="00353FDC" w:rsidRPr="005F32D1" w:rsidRDefault="00D12425" w:rsidP="0047489A">
            <w:pPr>
              <w:pStyle w:val="TableText0"/>
              <w:keepLines/>
              <w:jc w:val="center"/>
              <w:rPr>
                <w:highlight w:val="lightGray"/>
              </w:rPr>
            </w:pPr>
            <w:r w:rsidRPr="00D12425">
              <w:rPr>
                <w:rFonts w:cs="Arial"/>
                <w:color w:val="000000"/>
                <w:spacing w:val="70"/>
                <w:szCs w:val="20"/>
                <w:shd w:val="solid" w:color="000000" w:fill="000000"/>
                <w:fitText w:val="383" w:id="-1236619510"/>
                <w14:textFill>
                  <w14:solidFill>
                    <w14:srgbClr w14:val="000000">
                      <w14:alpha w14:val="100000"/>
                    </w14:srgbClr>
                  </w14:solidFill>
                </w14:textFill>
              </w:rPr>
              <w:t>|||</w:t>
            </w:r>
            <w:r w:rsidRPr="00D12425">
              <w:rPr>
                <w:rFonts w:cs="Arial"/>
                <w:color w:val="000000"/>
                <w:spacing w:val="3"/>
                <w:szCs w:val="20"/>
                <w:shd w:val="solid" w:color="000000" w:fill="000000"/>
                <w:fitText w:val="383" w:id="-1236619510"/>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67A2628C" w14:textId="599FCACF" w:rsidR="00353FDC" w:rsidRPr="005F32D1" w:rsidRDefault="00D12425" w:rsidP="0047489A">
            <w:pPr>
              <w:pStyle w:val="TableText0"/>
              <w:keepLines/>
              <w:jc w:val="center"/>
              <w:rPr>
                <w:highlight w:val="lightGray"/>
              </w:rPr>
            </w:pPr>
            <w:r w:rsidRPr="00D12425">
              <w:rPr>
                <w:rFonts w:cs="Arial"/>
                <w:color w:val="000000"/>
                <w:spacing w:val="70"/>
                <w:szCs w:val="20"/>
                <w:shd w:val="solid" w:color="000000" w:fill="000000"/>
                <w:fitText w:val="383" w:id="-1236619509"/>
                <w14:textFill>
                  <w14:solidFill>
                    <w14:srgbClr w14:val="000000">
                      <w14:alpha w14:val="100000"/>
                    </w14:srgbClr>
                  </w14:solidFill>
                </w14:textFill>
              </w:rPr>
              <w:t>|||</w:t>
            </w:r>
            <w:r w:rsidRPr="00D12425">
              <w:rPr>
                <w:rFonts w:cs="Arial"/>
                <w:color w:val="000000"/>
                <w:spacing w:val="3"/>
                <w:szCs w:val="20"/>
                <w:shd w:val="solid" w:color="000000" w:fill="000000"/>
                <w:fitText w:val="383" w:id="-1236619509"/>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5BAB8480" w14:textId="70135C5E" w:rsidR="00353FDC" w:rsidRPr="005F32D1" w:rsidRDefault="00D12425" w:rsidP="0047489A">
            <w:pPr>
              <w:pStyle w:val="TableText0"/>
              <w:keepLines/>
              <w:jc w:val="center"/>
              <w:rPr>
                <w:highlight w:val="lightGray"/>
              </w:rPr>
            </w:pPr>
            <w:r w:rsidRPr="00D12425">
              <w:rPr>
                <w:rFonts w:cs="Arial"/>
                <w:color w:val="000000"/>
                <w:spacing w:val="70"/>
                <w:szCs w:val="20"/>
                <w:shd w:val="solid" w:color="000000" w:fill="000000"/>
                <w:fitText w:val="383" w:id="-1236619508"/>
                <w14:textFill>
                  <w14:solidFill>
                    <w14:srgbClr w14:val="000000">
                      <w14:alpha w14:val="100000"/>
                    </w14:srgbClr>
                  </w14:solidFill>
                </w14:textFill>
              </w:rPr>
              <w:t>|||</w:t>
            </w:r>
            <w:r w:rsidRPr="00D12425">
              <w:rPr>
                <w:rFonts w:cs="Arial"/>
                <w:color w:val="000000"/>
                <w:spacing w:val="3"/>
                <w:szCs w:val="20"/>
                <w:shd w:val="solid" w:color="000000" w:fill="000000"/>
                <w:fitText w:val="383" w:id="-1236619508"/>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5E071510" w14:textId="7A87EC06" w:rsidR="00353FDC" w:rsidRPr="005F32D1" w:rsidRDefault="00D12425" w:rsidP="0047489A">
            <w:pPr>
              <w:pStyle w:val="TableText0"/>
              <w:keepLines/>
              <w:jc w:val="center"/>
              <w:rPr>
                <w:highlight w:val="lightGray"/>
              </w:rPr>
            </w:pPr>
            <w:r w:rsidRPr="00D12425">
              <w:rPr>
                <w:rFonts w:cs="Arial"/>
                <w:color w:val="000000"/>
                <w:spacing w:val="70"/>
                <w:szCs w:val="20"/>
                <w:shd w:val="solid" w:color="000000" w:fill="000000"/>
                <w:fitText w:val="383" w:id="-1236619507"/>
                <w14:textFill>
                  <w14:solidFill>
                    <w14:srgbClr w14:val="000000">
                      <w14:alpha w14:val="100000"/>
                    </w14:srgbClr>
                  </w14:solidFill>
                </w14:textFill>
              </w:rPr>
              <w:t>|||</w:t>
            </w:r>
            <w:r w:rsidRPr="00D12425">
              <w:rPr>
                <w:rFonts w:cs="Arial"/>
                <w:color w:val="000000"/>
                <w:spacing w:val="3"/>
                <w:szCs w:val="20"/>
                <w:shd w:val="solid" w:color="000000" w:fill="000000"/>
                <w:fitText w:val="383" w:id="-1236619507"/>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vAlign w:val="center"/>
          </w:tcPr>
          <w:p w14:paraId="50BFFC99" w14:textId="507B2D72" w:rsidR="00353FDC" w:rsidRPr="005F32D1" w:rsidRDefault="00D12425" w:rsidP="0047489A">
            <w:pPr>
              <w:pStyle w:val="TableText0"/>
              <w:keepLines/>
              <w:jc w:val="center"/>
              <w:rPr>
                <w:highlight w:val="lightGray"/>
              </w:rPr>
            </w:pPr>
            <w:r w:rsidRPr="00D12425">
              <w:rPr>
                <w:rFonts w:cs="Arial"/>
                <w:color w:val="000000"/>
                <w:spacing w:val="70"/>
                <w:szCs w:val="20"/>
                <w:shd w:val="solid" w:color="000000" w:fill="000000"/>
                <w:fitText w:val="383" w:id="-1236619506"/>
                <w14:textFill>
                  <w14:solidFill>
                    <w14:srgbClr w14:val="000000">
                      <w14:alpha w14:val="100000"/>
                    </w14:srgbClr>
                  </w14:solidFill>
                </w14:textFill>
              </w:rPr>
              <w:t>|||</w:t>
            </w:r>
            <w:r w:rsidRPr="00D12425">
              <w:rPr>
                <w:rFonts w:cs="Arial"/>
                <w:color w:val="000000"/>
                <w:spacing w:val="3"/>
                <w:szCs w:val="20"/>
                <w:shd w:val="solid" w:color="000000" w:fill="000000"/>
                <w:fitText w:val="383" w:id="-1236619506"/>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r w:rsidR="00353FDC" w:rsidRPr="00754AE6" w14:paraId="4F4EE90F" w14:textId="77777777" w:rsidTr="00754AE6">
        <w:tc>
          <w:tcPr>
            <w:tcW w:w="1334" w:type="pct"/>
            <w:shd w:val="clear" w:color="auto" w:fill="auto"/>
            <w:vAlign w:val="center"/>
          </w:tcPr>
          <w:p w14:paraId="71888436" w14:textId="77777777" w:rsidR="00353FDC" w:rsidRPr="00754AE6" w:rsidRDefault="00353FDC" w:rsidP="0047489A">
            <w:pPr>
              <w:pStyle w:val="TableText0"/>
              <w:keepLines/>
              <w:rPr>
                <w:b/>
                <w:bCs w:val="0"/>
                <w:szCs w:val="20"/>
              </w:rPr>
            </w:pPr>
            <w:r w:rsidRPr="00754AE6">
              <w:rPr>
                <w:b/>
                <w:bCs w:val="0"/>
                <w:szCs w:val="20"/>
              </w:rPr>
              <w:t>Net cost to PBS/RPBS/MBS</w:t>
            </w:r>
          </w:p>
        </w:tc>
        <w:tc>
          <w:tcPr>
            <w:tcW w:w="611" w:type="pct"/>
            <w:shd w:val="clear" w:color="auto" w:fill="auto"/>
            <w:vAlign w:val="center"/>
          </w:tcPr>
          <w:p w14:paraId="1D44F2A5" w14:textId="274C6C0B" w:rsidR="00353FDC" w:rsidRPr="005F32D1" w:rsidRDefault="00D12425" w:rsidP="0047489A">
            <w:pPr>
              <w:pStyle w:val="TableText0"/>
              <w:keepLines/>
              <w:jc w:val="center"/>
              <w:rPr>
                <w:b/>
                <w:bCs w:val="0"/>
                <w:szCs w:val="20"/>
                <w:highlight w:val="lightGray"/>
              </w:rPr>
            </w:pPr>
            <w:r w:rsidRPr="00D12425">
              <w:rPr>
                <w:rFonts w:cs="Arial"/>
                <w:color w:val="000000"/>
                <w:spacing w:val="70"/>
                <w:szCs w:val="20"/>
                <w:shd w:val="solid" w:color="000000" w:fill="000000"/>
                <w:fitText w:val="382" w:id="-1236619505"/>
                <w14:textFill>
                  <w14:solidFill>
                    <w14:srgbClr w14:val="000000">
                      <w14:alpha w14:val="100000"/>
                    </w14:srgbClr>
                  </w14:solidFill>
                </w14:textFill>
              </w:rPr>
              <w:t>|||</w:t>
            </w:r>
            <w:r w:rsidRPr="00D12425">
              <w:rPr>
                <w:rFonts w:cs="Arial"/>
                <w:color w:val="000000"/>
                <w:spacing w:val="2"/>
                <w:szCs w:val="20"/>
                <w:shd w:val="solid" w:color="000000" w:fill="000000"/>
                <w:fitText w:val="382" w:id="-1236619505"/>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791D747C" w14:textId="0298DB83" w:rsidR="00353FDC" w:rsidRPr="005F32D1" w:rsidRDefault="00D12425" w:rsidP="0047489A">
            <w:pPr>
              <w:pStyle w:val="TableText0"/>
              <w:keepLines/>
              <w:jc w:val="center"/>
              <w:rPr>
                <w:b/>
                <w:bCs w:val="0"/>
                <w:szCs w:val="20"/>
                <w:highlight w:val="lightGray"/>
              </w:rPr>
            </w:pPr>
            <w:r w:rsidRPr="00D12425">
              <w:rPr>
                <w:rFonts w:cs="Arial"/>
                <w:color w:val="000000"/>
                <w:spacing w:val="70"/>
                <w:szCs w:val="20"/>
                <w:shd w:val="solid" w:color="000000" w:fill="000000"/>
                <w:fitText w:val="383" w:id="-1236619264"/>
                <w14:textFill>
                  <w14:solidFill>
                    <w14:srgbClr w14:val="000000">
                      <w14:alpha w14:val="100000"/>
                    </w14:srgbClr>
                  </w14:solidFill>
                </w14:textFill>
              </w:rPr>
              <w:t>|||</w:t>
            </w:r>
            <w:r w:rsidRPr="00D12425">
              <w:rPr>
                <w:rFonts w:cs="Arial"/>
                <w:color w:val="000000"/>
                <w:spacing w:val="3"/>
                <w:szCs w:val="20"/>
                <w:shd w:val="solid" w:color="000000" w:fill="000000"/>
                <w:fitText w:val="383" w:id="-1236619264"/>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7A0AC35C" w14:textId="76FA57BE" w:rsidR="00353FDC" w:rsidRPr="005F32D1" w:rsidRDefault="00D12425" w:rsidP="0047489A">
            <w:pPr>
              <w:pStyle w:val="TableText0"/>
              <w:keepLines/>
              <w:jc w:val="center"/>
              <w:rPr>
                <w:b/>
                <w:bCs w:val="0"/>
                <w:szCs w:val="20"/>
                <w:highlight w:val="lightGray"/>
              </w:rPr>
            </w:pPr>
            <w:r w:rsidRPr="00D12425">
              <w:rPr>
                <w:rFonts w:cs="Arial"/>
                <w:color w:val="000000"/>
                <w:spacing w:val="70"/>
                <w:szCs w:val="20"/>
                <w:shd w:val="solid" w:color="000000" w:fill="000000"/>
                <w:fitText w:val="383" w:id="-1236619263"/>
                <w14:textFill>
                  <w14:solidFill>
                    <w14:srgbClr w14:val="000000">
                      <w14:alpha w14:val="100000"/>
                    </w14:srgbClr>
                  </w14:solidFill>
                </w14:textFill>
              </w:rPr>
              <w:t>|||</w:t>
            </w:r>
            <w:r w:rsidRPr="00D12425">
              <w:rPr>
                <w:rFonts w:cs="Arial"/>
                <w:color w:val="000000"/>
                <w:spacing w:val="3"/>
                <w:szCs w:val="20"/>
                <w:shd w:val="solid" w:color="000000" w:fill="000000"/>
                <w:fitText w:val="383" w:id="-1236619263"/>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09F5AC9E" w14:textId="761C6E94" w:rsidR="00353FDC" w:rsidRPr="005F32D1" w:rsidRDefault="00D12425" w:rsidP="0047489A">
            <w:pPr>
              <w:pStyle w:val="TableText0"/>
              <w:keepLines/>
              <w:jc w:val="center"/>
              <w:rPr>
                <w:b/>
                <w:bCs w:val="0"/>
                <w:szCs w:val="20"/>
                <w:highlight w:val="lightGray"/>
              </w:rPr>
            </w:pPr>
            <w:r w:rsidRPr="00D12425">
              <w:rPr>
                <w:rFonts w:cs="Arial"/>
                <w:color w:val="000000"/>
                <w:spacing w:val="70"/>
                <w:szCs w:val="20"/>
                <w:shd w:val="solid" w:color="000000" w:fill="000000"/>
                <w:fitText w:val="383" w:id="-1236619262"/>
                <w14:textFill>
                  <w14:solidFill>
                    <w14:srgbClr w14:val="000000">
                      <w14:alpha w14:val="100000"/>
                    </w14:srgbClr>
                  </w14:solidFill>
                </w14:textFill>
              </w:rPr>
              <w:t>|||</w:t>
            </w:r>
            <w:r w:rsidRPr="00D12425">
              <w:rPr>
                <w:rFonts w:cs="Arial"/>
                <w:color w:val="000000"/>
                <w:spacing w:val="3"/>
                <w:szCs w:val="20"/>
                <w:shd w:val="solid" w:color="000000" w:fill="000000"/>
                <w:fitText w:val="383" w:id="-1236619262"/>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shd w:val="clear" w:color="auto" w:fill="auto"/>
            <w:vAlign w:val="center"/>
          </w:tcPr>
          <w:p w14:paraId="30EBD72E" w14:textId="75C879B9" w:rsidR="00353FDC" w:rsidRPr="005F32D1" w:rsidRDefault="00D12425" w:rsidP="0047489A">
            <w:pPr>
              <w:pStyle w:val="TableText0"/>
              <w:keepLines/>
              <w:jc w:val="center"/>
              <w:rPr>
                <w:b/>
                <w:bCs w:val="0"/>
                <w:szCs w:val="20"/>
                <w:highlight w:val="lightGray"/>
              </w:rPr>
            </w:pPr>
            <w:r w:rsidRPr="00D12425">
              <w:rPr>
                <w:rFonts w:cs="Arial"/>
                <w:color w:val="000000"/>
                <w:spacing w:val="70"/>
                <w:szCs w:val="20"/>
                <w:shd w:val="solid" w:color="000000" w:fill="000000"/>
                <w:fitText w:val="383" w:id="-1236619261"/>
                <w14:textFill>
                  <w14:solidFill>
                    <w14:srgbClr w14:val="000000">
                      <w14:alpha w14:val="100000"/>
                    </w14:srgbClr>
                  </w14:solidFill>
                </w14:textFill>
              </w:rPr>
              <w:t>|||</w:t>
            </w:r>
            <w:r w:rsidRPr="00D12425">
              <w:rPr>
                <w:rFonts w:cs="Arial"/>
                <w:color w:val="000000"/>
                <w:spacing w:val="3"/>
                <w:szCs w:val="20"/>
                <w:shd w:val="solid" w:color="000000" w:fill="000000"/>
                <w:fitText w:val="383" w:id="-1236619261"/>
                <w14:textFill>
                  <w14:solidFill>
                    <w14:srgbClr w14:val="000000">
                      <w14:alpha w14:val="100000"/>
                    </w14:srgbClr>
                  </w14:solidFill>
                </w14:textFill>
              </w:rPr>
              <w:t>|</w:t>
            </w:r>
            <w:r w:rsidR="009E5BDA" w:rsidRPr="005F32D1">
              <w:rPr>
                <w:rFonts w:eastAsia="Times New Roman" w:cs="Arial"/>
                <w:sz w:val="18"/>
                <w:szCs w:val="22"/>
                <w:vertAlign w:val="superscript"/>
              </w:rPr>
              <w:t>3</w:t>
            </w:r>
          </w:p>
        </w:tc>
        <w:tc>
          <w:tcPr>
            <w:tcW w:w="611" w:type="pct"/>
            <w:vAlign w:val="center"/>
          </w:tcPr>
          <w:p w14:paraId="62AAD8E0" w14:textId="38E10C1D" w:rsidR="00353FDC" w:rsidRPr="005F32D1" w:rsidRDefault="00D12425" w:rsidP="0047489A">
            <w:pPr>
              <w:pStyle w:val="TableText0"/>
              <w:keepLines/>
              <w:jc w:val="center"/>
              <w:rPr>
                <w:b/>
                <w:bCs w:val="0"/>
                <w:szCs w:val="20"/>
                <w:highlight w:val="lightGray"/>
              </w:rPr>
            </w:pPr>
            <w:r w:rsidRPr="00D12425">
              <w:rPr>
                <w:rFonts w:cs="Arial"/>
                <w:color w:val="000000"/>
                <w:spacing w:val="70"/>
                <w:szCs w:val="20"/>
                <w:shd w:val="solid" w:color="000000" w:fill="000000"/>
                <w:fitText w:val="383" w:id="-1236619260"/>
                <w14:textFill>
                  <w14:solidFill>
                    <w14:srgbClr w14:val="000000">
                      <w14:alpha w14:val="100000"/>
                    </w14:srgbClr>
                  </w14:solidFill>
                </w14:textFill>
              </w:rPr>
              <w:t>|||</w:t>
            </w:r>
            <w:r w:rsidRPr="00D12425">
              <w:rPr>
                <w:rFonts w:cs="Arial"/>
                <w:color w:val="000000"/>
                <w:spacing w:val="1"/>
                <w:szCs w:val="20"/>
                <w:shd w:val="solid" w:color="000000" w:fill="000000"/>
                <w:fitText w:val="383" w:id="-1236619260"/>
                <w14:textFill>
                  <w14:solidFill>
                    <w14:srgbClr w14:val="000000">
                      <w14:alpha w14:val="100000"/>
                    </w14:srgbClr>
                  </w14:solidFill>
                </w14:textFill>
              </w:rPr>
              <w:t>|</w:t>
            </w:r>
            <w:r w:rsidR="009E5BDA" w:rsidRPr="005F32D1">
              <w:rPr>
                <w:rFonts w:eastAsia="Times New Roman" w:cs="Arial"/>
                <w:sz w:val="18"/>
                <w:szCs w:val="22"/>
                <w:vertAlign w:val="superscript"/>
              </w:rPr>
              <w:t>3</w:t>
            </w:r>
          </w:p>
        </w:tc>
      </w:tr>
    </w:tbl>
    <w:p w14:paraId="0DEE9474" w14:textId="77777777" w:rsidR="00AF3847" w:rsidRPr="00AF3847" w:rsidRDefault="00AF3847" w:rsidP="0047489A">
      <w:pPr>
        <w:pStyle w:val="FooterTableFigure"/>
        <w:keepNext/>
        <w:keepLines/>
      </w:pPr>
      <w:r w:rsidRPr="00AF3847">
        <w:t>Source: ‘Immunocore_UCM_v02_uplaoded into HPP’ Workbook.</w:t>
      </w:r>
    </w:p>
    <w:p w14:paraId="14C1DEB7" w14:textId="77777777" w:rsidR="00AF3847" w:rsidRPr="00AF3847" w:rsidRDefault="00AF3847" w:rsidP="0047489A">
      <w:pPr>
        <w:pStyle w:val="FooterTableFigure"/>
        <w:keepNext/>
        <w:keepLines/>
        <w:rPr>
          <w:rStyle w:val="CommentReference"/>
          <w:b w:val="0"/>
          <w:sz w:val="18"/>
          <w:szCs w:val="22"/>
        </w:rPr>
      </w:pPr>
      <w:r w:rsidRPr="00AF3847">
        <w:rPr>
          <w:rStyle w:val="CommentReference"/>
          <w:b w:val="0"/>
          <w:sz w:val="18"/>
          <w:szCs w:val="22"/>
        </w:rPr>
        <w:t>MBS = Medicare Benefits Schedule, PBS = Pharmaceutical Benefits Scheme, RPBS = Repatriation Pharmaceutical Benefits Scheme</w:t>
      </w:r>
    </w:p>
    <w:p w14:paraId="6C89CB46" w14:textId="77777777" w:rsidR="00AF3847" w:rsidRPr="00D12425" w:rsidRDefault="00AF3847" w:rsidP="0047489A">
      <w:pPr>
        <w:pStyle w:val="FooterTableFigure"/>
        <w:keepNext/>
        <w:keepLines/>
      </w:pPr>
      <w:r w:rsidRPr="00AF3847">
        <w:rPr>
          <w:vertAlign w:val="superscript"/>
        </w:rPr>
        <w:t>a</w:t>
      </w:r>
      <w:r w:rsidRPr="00AF3847">
        <w:t xml:space="preserve"> </w:t>
      </w:r>
      <w:r w:rsidRPr="00D12425">
        <w:t>Assuming 44.63 scripts per year (adjusted for duration of treatment with tebentafusp (10.3 months)).</w:t>
      </w:r>
    </w:p>
    <w:p w14:paraId="7D48307D" w14:textId="24769F5E" w:rsidR="00AF3847" w:rsidRPr="00D12425" w:rsidRDefault="00AF3847" w:rsidP="0047489A">
      <w:pPr>
        <w:pStyle w:val="FooterTableFigure"/>
        <w:keepNext/>
        <w:keepLines/>
      </w:pPr>
      <w:r w:rsidRPr="00D12425">
        <w:rPr>
          <w:vertAlign w:val="superscript"/>
        </w:rPr>
        <w:t xml:space="preserve">b </w:t>
      </w:r>
      <w:r w:rsidRPr="00D12425">
        <w:t>The submission did not calculate the cost-offset to MBS due to decreased number of IV administration for pembrolizumab</w:t>
      </w:r>
    </w:p>
    <w:p w14:paraId="75CCA5A6" w14:textId="4892D141" w:rsidR="00290237" w:rsidRPr="00D12425" w:rsidRDefault="00290237" w:rsidP="0047489A">
      <w:pPr>
        <w:pStyle w:val="FooterTableFigure"/>
        <w:keepNext/>
        <w:keepLines/>
      </w:pPr>
      <w:r w:rsidRPr="00D12425">
        <w:rPr>
          <w:vertAlign w:val="superscript"/>
        </w:rPr>
        <w:t xml:space="preserve">c </w:t>
      </w:r>
      <w:r w:rsidRPr="00D12425">
        <w:t xml:space="preserve">Total continuing patient years of treatment corrected by changing N54 cell to 0.00 in ‘2d.Patients – DTG’ Worksheet </w:t>
      </w:r>
    </w:p>
    <w:p w14:paraId="43727FF5" w14:textId="5CA48F72" w:rsidR="00DE117F" w:rsidRPr="00DE117F" w:rsidRDefault="00DE117F" w:rsidP="0047489A">
      <w:pPr>
        <w:pStyle w:val="FooterTableFigure"/>
        <w:keepNext/>
        <w:keepLines/>
      </w:pPr>
      <w:r w:rsidRPr="00D12425">
        <w:rPr>
          <w:vertAlign w:val="superscript"/>
        </w:rPr>
        <w:t>d</w:t>
      </w:r>
      <w:r w:rsidRPr="00D12425">
        <w:t xml:space="preserve"> Assuming 41.63 scripts per year</w:t>
      </w:r>
      <w:r w:rsidR="00353FDC" w:rsidRPr="00D12425">
        <w:t xml:space="preserve"> (</w:t>
      </w:r>
      <w:r w:rsidRPr="00D12425">
        <w:t xml:space="preserve"> 9.6 months of treatment</w:t>
      </w:r>
      <w:r w:rsidR="00353FDC" w:rsidRPr="00D12425">
        <w:t>) for public patients (24.39% of patients) and 44.63 scripts per year (10.3 months of treatment for private patients (75.61% of patients)</w:t>
      </w:r>
    </w:p>
    <w:p w14:paraId="5579398C" w14:textId="3B8A7B38" w:rsidR="00AF3847" w:rsidRDefault="00AF3847" w:rsidP="0047489A">
      <w:pPr>
        <w:pStyle w:val="FooterTableFigure"/>
        <w:keepNext/>
        <w:keepLines/>
      </w:pPr>
      <w:bookmarkStart w:id="81" w:name="_Hlk121423722"/>
      <w:r w:rsidRPr="00AF3847">
        <w:t>Italics corrected DPMA (public) for tebentafusp during evaluation by changing E307 cell to $0 in ‘3c.Impact – proposed (eff)’ Worksheet in ‘Immunocore_UCM_v02_uplaoded into HPP’ Workbook and DPMA (public) for pembrolizumab by changing E306 cell to $0 in ‘3c.Impact – affected (eff)’ Worksheet in ‘Immunocore_UCM_v02_uplaoded into HPP’ Workbook</w:t>
      </w:r>
      <w:bookmarkEnd w:id="81"/>
      <w:r w:rsidRPr="00AF3847">
        <w:t xml:space="preserve"> to adjust for incorrect dispensing fee in public DPMA.</w:t>
      </w:r>
    </w:p>
    <w:p w14:paraId="70100041" w14:textId="77777777" w:rsidR="005F32D1" w:rsidRPr="009E5BDA" w:rsidRDefault="005F32D1" w:rsidP="0047489A">
      <w:pPr>
        <w:pStyle w:val="FooterTableFigure"/>
        <w:keepNext/>
        <w:keepLines/>
        <w:rPr>
          <w:i/>
          <w:iCs/>
        </w:rPr>
      </w:pPr>
      <w:r w:rsidRPr="009E5BDA">
        <w:rPr>
          <w:i/>
          <w:iCs/>
        </w:rPr>
        <w:t xml:space="preserve">The redacted values correspond to the following ranges: </w:t>
      </w:r>
    </w:p>
    <w:p w14:paraId="30E69FEC" w14:textId="5B8C5C6B" w:rsidR="005F32D1" w:rsidRPr="009E5BDA" w:rsidRDefault="005F32D1" w:rsidP="0047489A">
      <w:pPr>
        <w:pStyle w:val="FooterTableFigure"/>
        <w:keepNext/>
        <w:keepLines/>
        <w:rPr>
          <w:i/>
          <w:iCs/>
        </w:rPr>
      </w:pPr>
      <w:r w:rsidRPr="009E5BDA">
        <w:rPr>
          <w:i/>
          <w:iCs/>
          <w:vertAlign w:val="superscript"/>
        </w:rPr>
        <w:t xml:space="preserve">1 </w:t>
      </w:r>
      <w:r w:rsidR="009E5BDA" w:rsidRPr="009E5BDA">
        <w:rPr>
          <w:i/>
          <w:iCs/>
        </w:rPr>
        <w:t>&lt;500</w:t>
      </w:r>
    </w:p>
    <w:p w14:paraId="1A91E034" w14:textId="2000AA39" w:rsidR="005F32D1" w:rsidRPr="009E5BDA" w:rsidRDefault="005F32D1" w:rsidP="0047489A">
      <w:pPr>
        <w:pStyle w:val="FooterTableFigure"/>
        <w:keepNext/>
        <w:keepLines/>
        <w:tabs>
          <w:tab w:val="left" w:pos="777"/>
        </w:tabs>
        <w:rPr>
          <w:i/>
          <w:iCs/>
        </w:rPr>
      </w:pPr>
      <w:r w:rsidRPr="009E5BDA">
        <w:rPr>
          <w:i/>
          <w:iCs/>
          <w:vertAlign w:val="superscript"/>
        </w:rPr>
        <w:t xml:space="preserve">2 </w:t>
      </w:r>
      <w:r w:rsidR="009E5BDA" w:rsidRPr="009E5BDA">
        <w:rPr>
          <w:i/>
          <w:iCs/>
        </w:rPr>
        <w:t>500 to &lt; 5,000</w:t>
      </w:r>
    </w:p>
    <w:p w14:paraId="4AA5D74E" w14:textId="5DB7C92A" w:rsidR="005F32D1" w:rsidRPr="0047489A" w:rsidRDefault="005F32D1" w:rsidP="0047489A">
      <w:pPr>
        <w:pStyle w:val="FooterTableFigure"/>
        <w:keepNext/>
        <w:keepLines/>
        <w:rPr>
          <w:i/>
          <w:iCs/>
        </w:rPr>
      </w:pPr>
      <w:r w:rsidRPr="009E5BDA">
        <w:rPr>
          <w:i/>
          <w:iCs/>
          <w:vertAlign w:val="superscript"/>
        </w:rPr>
        <w:t xml:space="preserve">3 </w:t>
      </w:r>
      <w:r w:rsidR="009E5BDA" w:rsidRPr="009E5BDA">
        <w:rPr>
          <w:i/>
          <w:iCs/>
        </w:rPr>
        <w:t>$0 to &lt; $10 million</w:t>
      </w:r>
    </w:p>
    <w:p w14:paraId="26A19FBB" w14:textId="74AACDAD" w:rsidR="00AF3847" w:rsidRDefault="00AF3847" w:rsidP="00AF3847">
      <w:pPr>
        <w:pStyle w:val="3-BodyText"/>
      </w:pPr>
      <w:r w:rsidRPr="00AF3847">
        <w:lastRenderedPageBreak/>
        <w:t>The submission estimated that listing of tebentafusp on the PBS would result in a net cost to government of $</w:t>
      </w:r>
      <w:r w:rsidR="009E5BDA">
        <w:t> 0 to &lt; $ 10</w:t>
      </w:r>
      <w:r w:rsidRPr="00AF3847">
        <w:t xml:space="preserve"> million in Year 1, $</w:t>
      </w:r>
      <w:r w:rsidR="009E5BDA">
        <w:t> 0 to &lt; $ 10 </w:t>
      </w:r>
      <w:r w:rsidRPr="00AF3847">
        <w:t>million in Year 6 and total $</w:t>
      </w:r>
      <w:r w:rsidR="009E5BDA">
        <w:t> 40 million to &lt; $ 50 </w:t>
      </w:r>
      <w:r w:rsidRPr="00AF3847">
        <w:t>million over the first 6 years of listing.</w:t>
      </w:r>
      <w:r w:rsidR="00290237">
        <w:t xml:space="preserve"> The </w:t>
      </w:r>
      <w:r w:rsidR="00754AE6">
        <w:t xml:space="preserve">PSCR </w:t>
      </w:r>
      <w:r w:rsidR="00F95C1E">
        <w:t xml:space="preserve">revisions </w:t>
      </w:r>
      <w:r w:rsidR="00290237">
        <w:t xml:space="preserve">resulted in a net cost to government of </w:t>
      </w:r>
      <w:r w:rsidR="009E5BDA" w:rsidRPr="00AF3847">
        <w:t>$</w:t>
      </w:r>
      <w:r w:rsidR="009E5BDA">
        <w:t> 0 to &lt; $ 10</w:t>
      </w:r>
      <w:r w:rsidR="00290237">
        <w:t xml:space="preserve">million in Year 1, </w:t>
      </w:r>
      <w:r w:rsidR="009E5BDA" w:rsidRPr="00AF3847">
        <w:t>$</w:t>
      </w:r>
      <w:r w:rsidR="009E5BDA">
        <w:t> 0 to &lt; $ 10 </w:t>
      </w:r>
      <w:r w:rsidR="00290237">
        <w:t>million in Year 6 and a total of $</w:t>
      </w:r>
      <w:r w:rsidR="009E5BDA">
        <w:t> 50 million to &lt; $ 60 </w:t>
      </w:r>
      <w:r w:rsidR="00290237">
        <w:t xml:space="preserve">million over the first 6 years of listing. </w:t>
      </w:r>
      <w:r w:rsidR="00F95C1E">
        <w:t xml:space="preserve">The </w:t>
      </w:r>
      <w:r w:rsidR="00353FDC">
        <w:t xml:space="preserve">corrected </w:t>
      </w:r>
      <w:r w:rsidR="00F95C1E">
        <w:t>revisions in the pre-PBAC response resulted in a cost to government of $</w:t>
      </w:r>
      <w:r w:rsidR="009E5BDA">
        <w:t>0</w:t>
      </w:r>
      <w:r w:rsidR="006F1456">
        <w:t> </w:t>
      </w:r>
      <w:r w:rsidR="009E5BDA">
        <w:t>to</w:t>
      </w:r>
      <w:r w:rsidR="006F1456">
        <w:t> </w:t>
      </w:r>
      <w:r w:rsidR="009E5BDA">
        <w:t>&lt;</w:t>
      </w:r>
      <w:r w:rsidR="006F1456">
        <w:t> </w:t>
      </w:r>
      <w:r w:rsidR="009E5BDA">
        <w:t>$</w:t>
      </w:r>
      <w:r w:rsidR="006F1456">
        <w:t xml:space="preserve"> </w:t>
      </w:r>
      <w:r w:rsidR="009E5BDA">
        <w:t>10</w:t>
      </w:r>
      <w:r w:rsidR="006F1456">
        <w:t> </w:t>
      </w:r>
      <w:r w:rsidR="00F95C1E">
        <w:t>million in Year 1, $</w:t>
      </w:r>
      <w:r w:rsidR="006F1456">
        <w:t> </w:t>
      </w:r>
      <w:r w:rsidR="009E5BDA">
        <w:t>0</w:t>
      </w:r>
      <w:r w:rsidR="006F1456">
        <w:t> </w:t>
      </w:r>
      <w:r w:rsidR="009E5BDA">
        <w:t>to</w:t>
      </w:r>
      <w:r w:rsidR="006F1456">
        <w:t> </w:t>
      </w:r>
      <w:r w:rsidR="009E5BDA">
        <w:t>&lt;</w:t>
      </w:r>
      <w:r w:rsidR="006F1456">
        <w:t> </w:t>
      </w:r>
      <w:r w:rsidR="009E5BDA">
        <w:t>$</w:t>
      </w:r>
      <w:r w:rsidR="006F1456">
        <w:t> </w:t>
      </w:r>
      <w:r w:rsidR="009E5BDA">
        <w:t>10</w:t>
      </w:r>
      <w:r w:rsidR="006F1456">
        <w:t> </w:t>
      </w:r>
      <w:r w:rsidR="00F95C1E">
        <w:t xml:space="preserve">million in Year 6 and a total of </w:t>
      </w:r>
      <w:r w:rsidR="00C576A1" w:rsidRPr="00C576A1">
        <w:t>$30</w:t>
      </w:r>
      <w:r w:rsidR="00C576A1">
        <w:t> </w:t>
      </w:r>
      <w:r w:rsidR="00C576A1" w:rsidRPr="00C576A1">
        <w:t>million</w:t>
      </w:r>
      <w:r w:rsidR="00C576A1">
        <w:t> </w:t>
      </w:r>
      <w:r w:rsidR="00C576A1" w:rsidRPr="00C576A1">
        <w:t>to</w:t>
      </w:r>
      <w:r w:rsidR="00C576A1">
        <w:t> </w:t>
      </w:r>
      <w:r w:rsidR="00C576A1" w:rsidRPr="00C576A1">
        <w:t>&lt;</w:t>
      </w:r>
      <w:r w:rsidR="00C576A1">
        <w:t> </w:t>
      </w:r>
      <w:r w:rsidR="00C576A1" w:rsidRPr="00C576A1">
        <w:t>$40 million</w:t>
      </w:r>
      <w:r w:rsidR="00C576A1">
        <w:t xml:space="preserve"> </w:t>
      </w:r>
      <w:r w:rsidR="00F95C1E">
        <w:t>over the first 6 years.</w:t>
      </w:r>
    </w:p>
    <w:p w14:paraId="5239E92F" w14:textId="77777777" w:rsidR="000108D1" w:rsidRPr="005E29B5" w:rsidRDefault="000108D1" w:rsidP="000108D1">
      <w:pPr>
        <w:pStyle w:val="3-BodyText"/>
      </w:pPr>
      <w:bookmarkStart w:id="82" w:name="_Ref130478393"/>
      <w:r w:rsidRPr="005E29B5">
        <w:t>DUSC noted the following uncertainties with the estimates:</w:t>
      </w:r>
      <w:bookmarkEnd w:id="82"/>
    </w:p>
    <w:p w14:paraId="18A3A8AD" w14:textId="0B342096" w:rsidR="000108D1" w:rsidRPr="005E29B5" w:rsidRDefault="000108D1" w:rsidP="000108D1">
      <w:pPr>
        <w:pStyle w:val="3-BodyText"/>
        <w:numPr>
          <w:ilvl w:val="1"/>
          <w:numId w:val="22"/>
        </w:numPr>
        <w:ind w:left="1080" w:hanging="360"/>
      </w:pPr>
      <w:r w:rsidRPr="005E29B5">
        <w:rPr>
          <w:lang w:val="en-US"/>
        </w:rPr>
        <w:t xml:space="preserve">The submission assumed that tebentafusp would replace pembrolizumab use. DUSC noted that as the pembrolizumab PBS listing does not exclude use for ocular or </w:t>
      </w:r>
      <w:r w:rsidR="005E29B5">
        <w:rPr>
          <w:lang w:val="en-US"/>
        </w:rPr>
        <w:t>UM</w:t>
      </w:r>
      <w:r w:rsidRPr="005E29B5">
        <w:rPr>
          <w:lang w:val="en-US"/>
        </w:rPr>
        <w:t xml:space="preserve">, nor does it specify the line of therapy, it could potentially be used after tebentafusp for </w:t>
      </w:r>
      <w:r w:rsidR="005E29B5">
        <w:rPr>
          <w:lang w:val="en-US"/>
        </w:rPr>
        <w:t>UM</w:t>
      </w:r>
      <w:r w:rsidRPr="005E29B5">
        <w:rPr>
          <w:lang w:val="en-US"/>
        </w:rPr>
        <w:t xml:space="preserve"> treatment.</w:t>
      </w:r>
      <w:r w:rsidR="0086172A">
        <w:rPr>
          <w:lang w:val="en-US"/>
        </w:rPr>
        <w:t xml:space="preserve"> Cost offsets associated with pembrolizumab were removed in the pre-PBAC response</w:t>
      </w:r>
      <w:r w:rsidR="00353FDC">
        <w:rPr>
          <w:lang w:val="en-US"/>
        </w:rPr>
        <w:t xml:space="preserve"> as it was assumed that pembrolizumab use would be displaced, rather than replaced</w:t>
      </w:r>
      <w:r w:rsidR="0086172A">
        <w:rPr>
          <w:lang w:val="en-US"/>
        </w:rPr>
        <w:t>.</w:t>
      </w:r>
    </w:p>
    <w:p w14:paraId="74FE51AD" w14:textId="5D3ACA11" w:rsidR="000108D1" w:rsidRPr="005E29B5" w:rsidRDefault="000108D1" w:rsidP="000108D1">
      <w:pPr>
        <w:pStyle w:val="3-BodyText"/>
        <w:numPr>
          <w:ilvl w:val="1"/>
          <w:numId w:val="22"/>
        </w:numPr>
        <w:ind w:left="1080" w:hanging="360"/>
        <w:rPr>
          <w:lang w:val="en-US"/>
        </w:rPr>
      </w:pPr>
      <w:r w:rsidRPr="005E29B5">
        <w:rPr>
          <w:lang w:val="en-US"/>
        </w:rPr>
        <w:t>There were no cost offsets included for associated adverse events.</w:t>
      </w:r>
    </w:p>
    <w:bookmarkEnd w:id="77"/>
    <w:p w14:paraId="2238DEE9" w14:textId="6A3C8C7E" w:rsidR="00576972" w:rsidRDefault="00576972" w:rsidP="00606FBA">
      <w:pPr>
        <w:pStyle w:val="4-SubsectionHeading"/>
      </w:pPr>
      <w:r w:rsidRPr="00C9624D">
        <w:t>Quality Use of Medicines</w:t>
      </w:r>
      <w:bookmarkEnd w:id="74"/>
      <w:bookmarkEnd w:id="75"/>
    </w:p>
    <w:p w14:paraId="52CDBC49" w14:textId="6DFD0710" w:rsidR="00E12B37" w:rsidRDefault="00E12B37" w:rsidP="000E09A7">
      <w:pPr>
        <w:pStyle w:val="3-BodyText"/>
      </w:pPr>
      <w:r w:rsidRPr="00E12B37">
        <w:t>The submission outlined a number of activities intended to promote safe and effective use of tebentafusp in clinical practice. These include providing medical training to clinicians, increasing awareness in the community, and collecting post-marketing surveillance safety data.</w:t>
      </w:r>
      <w:r w:rsidR="005018A5">
        <w:t xml:space="preserve"> </w:t>
      </w:r>
    </w:p>
    <w:p w14:paraId="682903C9" w14:textId="77777777" w:rsidR="00DF0B64" w:rsidRDefault="005018A5" w:rsidP="00DF0B64">
      <w:pPr>
        <w:pStyle w:val="3-BodyText"/>
      </w:pPr>
      <w:r w:rsidRPr="00AF3847">
        <w:t>The ESC suggested that prescribers of tebentafusp would require education on how to manage CRS, given the paucity of experience in Australia managing this potentially fatal adverse event.</w:t>
      </w:r>
    </w:p>
    <w:p w14:paraId="19B984E9" w14:textId="5D0D7406" w:rsidR="00DF0B64" w:rsidRPr="00DF0B64" w:rsidRDefault="00DF0B64" w:rsidP="00DF0B64">
      <w:pPr>
        <w:pStyle w:val="3-BodyText"/>
        <w:numPr>
          <w:ilvl w:val="0"/>
          <w:numId w:val="0"/>
        </w:numPr>
        <w:ind w:left="720"/>
        <w:rPr>
          <w:i/>
          <w:iCs/>
        </w:rPr>
      </w:pPr>
      <w:r w:rsidRPr="00DF0B64">
        <w:rPr>
          <w:i/>
          <w:iCs/>
        </w:rPr>
        <w:t>For more detail in PBAC’s view, see section 7 PBAC outcome.</w:t>
      </w:r>
    </w:p>
    <w:p w14:paraId="3E35FA60" w14:textId="77777777" w:rsidR="00B84048" w:rsidRPr="0090150D" w:rsidRDefault="00B84048" w:rsidP="00B84048">
      <w:pPr>
        <w:pStyle w:val="2-SectionHeading"/>
      </w:pPr>
      <w:bookmarkStart w:id="83" w:name="_Hlk76381249"/>
      <w:bookmarkStart w:id="84" w:name="_Hlk76377955"/>
      <w:r w:rsidRPr="0090150D">
        <w:t>PBAC Outcome</w:t>
      </w:r>
    </w:p>
    <w:p w14:paraId="4127C88E" w14:textId="3E294332" w:rsidR="007673DB" w:rsidRDefault="005E29B5" w:rsidP="007673DB">
      <w:pPr>
        <w:widowControl w:val="0"/>
        <w:numPr>
          <w:ilvl w:val="1"/>
          <w:numId w:val="1"/>
        </w:numPr>
        <w:spacing w:after="120"/>
        <w:rPr>
          <w:rFonts w:asciiTheme="minorHAnsi" w:hAnsiTheme="minorHAnsi"/>
          <w:snapToGrid w:val="0"/>
          <w:lang w:val="en-GB"/>
        </w:rPr>
      </w:pPr>
      <w:bookmarkStart w:id="85" w:name="_Hlk111543188"/>
      <w:r>
        <w:rPr>
          <w:rFonts w:asciiTheme="minorHAnsi" w:hAnsiTheme="minorHAnsi"/>
          <w:snapToGrid w:val="0"/>
          <w:lang w:val="en-GB"/>
        </w:rPr>
        <w:t>The PBAC did not recommend tebentafusp for the treatment of HLA-A*02:01-positive adult patients with advanced (unresectable or metastatic) uveal melanoma (UM). The PBAC noted the unmet clinical need for new treatments</w:t>
      </w:r>
      <w:r w:rsidR="000079A1">
        <w:rPr>
          <w:rFonts w:asciiTheme="minorHAnsi" w:hAnsiTheme="minorHAnsi"/>
          <w:snapToGrid w:val="0"/>
          <w:lang w:val="en-GB"/>
        </w:rPr>
        <w:t xml:space="preserve"> in this setting</w:t>
      </w:r>
      <w:r w:rsidR="00353FDC">
        <w:rPr>
          <w:rFonts w:asciiTheme="minorHAnsi" w:hAnsiTheme="minorHAnsi"/>
          <w:snapToGrid w:val="0"/>
          <w:lang w:val="en-GB"/>
        </w:rPr>
        <w:t xml:space="preserve"> and considered that tebentafusp was superior in terms of efficacy compared to pembrolizumab, but likely inferior in term of safety. </w:t>
      </w:r>
      <w:r w:rsidR="0041701A">
        <w:rPr>
          <w:rFonts w:asciiTheme="minorHAnsi" w:hAnsiTheme="minorHAnsi"/>
          <w:snapToGrid w:val="0"/>
          <w:lang w:val="en-GB"/>
        </w:rPr>
        <w:t>T</w:t>
      </w:r>
      <w:r w:rsidR="000079A1">
        <w:rPr>
          <w:rFonts w:asciiTheme="minorHAnsi" w:hAnsiTheme="minorHAnsi"/>
          <w:snapToGrid w:val="0"/>
          <w:lang w:val="en-GB"/>
        </w:rPr>
        <w:t>he PBAC noted that there were uncertainties associated with the economic model and considered that these could be mitigated by reducing the time horizon applied and adjusting the utility value</w:t>
      </w:r>
      <w:r w:rsidR="00ED2AF2">
        <w:rPr>
          <w:rFonts w:asciiTheme="minorHAnsi" w:hAnsiTheme="minorHAnsi"/>
          <w:snapToGrid w:val="0"/>
          <w:lang w:val="en-GB"/>
        </w:rPr>
        <w:t>s</w:t>
      </w:r>
      <w:r w:rsidR="000079A1">
        <w:rPr>
          <w:rFonts w:asciiTheme="minorHAnsi" w:hAnsiTheme="minorHAnsi"/>
          <w:snapToGrid w:val="0"/>
          <w:lang w:val="en-GB"/>
        </w:rPr>
        <w:t xml:space="preserve">. The PBAC considered that a price reduction would be required </w:t>
      </w:r>
      <w:r w:rsidR="0041701A">
        <w:rPr>
          <w:rFonts w:asciiTheme="minorHAnsi" w:hAnsiTheme="minorHAnsi"/>
          <w:snapToGrid w:val="0"/>
          <w:lang w:val="en-GB"/>
        </w:rPr>
        <w:t>for tebentafusp to be</w:t>
      </w:r>
      <w:r w:rsidR="000079A1">
        <w:rPr>
          <w:rFonts w:asciiTheme="minorHAnsi" w:hAnsiTheme="minorHAnsi"/>
          <w:snapToGrid w:val="0"/>
          <w:lang w:val="en-GB"/>
        </w:rPr>
        <w:t xml:space="preserve"> cost effective. The PBAC considered that the utilisation estimates for tebentafusp were reasonable. </w:t>
      </w:r>
    </w:p>
    <w:p w14:paraId="55BF4FD7" w14:textId="35CA76F8" w:rsidR="00C06616" w:rsidRDefault="000079A1" w:rsidP="00D019CA">
      <w:pPr>
        <w:widowControl w:val="0"/>
        <w:numPr>
          <w:ilvl w:val="1"/>
          <w:numId w:val="1"/>
        </w:numPr>
        <w:spacing w:after="120"/>
        <w:rPr>
          <w:rFonts w:asciiTheme="minorHAnsi" w:hAnsiTheme="minorHAnsi"/>
          <w:snapToGrid w:val="0"/>
          <w:lang w:val="en-GB"/>
        </w:rPr>
      </w:pPr>
      <w:r w:rsidRPr="007673DB">
        <w:rPr>
          <w:rFonts w:asciiTheme="minorHAnsi" w:hAnsiTheme="minorHAnsi"/>
          <w:snapToGrid w:val="0"/>
          <w:lang w:val="en-GB"/>
        </w:rPr>
        <w:t xml:space="preserve">The PBAC </w:t>
      </w:r>
      <w:r w:rsidR="00353FDC">
        <w:rPr>
          <w:rFonts w:asciiTheme="minorHAnsi" w:hAnsiTheme="minorHAnsi"/>
          <w:snapToGrid w:val="0"/>
          <w:lang w:val="en-GB"/>
        </w:rPr>
        <w:t xml:space="preserve">considered that tebentafusp addressed a high and urgent unmet clinical </w:t>
      </w:r>
      <w:r w:rsidR="00353FDC">
        <w:rPr>
          <w:rFonts w:asciiTheme="minorHAnsi" w:hAnsiTheme="minorHAnsi"/>
          <w:snapToGrid w:val="0"/>
          <w:lang w:val="en-GB"/>
        </w:rPr>
        <w:lastRenderedPageBreak/>
        <w:t xml:space="preserve">need and </w:t>
      </w:r>
      <w:r w:rsidRPr="007673DB">
        <w:rPr>
          <w:rFonts w:asciiTheme="minorHAnsi" w:hAnsiTheme="minorHAnsi"/>
          <w:snapToGrid w:val="0"/>
          <w:lang w:val="en-GB"/>
        </w:rPr>
        <w:t xml:space="preserve">acknowledged the consumer comments which described the high clinical need for new treatments in the UM setting and the improvements in </w:t>
      </w:r>
      <w:r w:rsidR="0041318F" w:rsidRPr="007673DB">
        <w:rPr>
          <w:rFonts w:asciiTheme="minorHAnsi" w:hAnsiTheme="minorHAnsi"/>
          <w:snapToGrid w:val="0"/>
          <w:lang w:val="en-GB"/>
        </w:rPr>
        <w:t xml:space="preserve">overall survival </w:t>
      </w:r>
      <w:r w:rsidR="00987C84" w:rsidRPr="007673DB">
        <w:rPr>
          <w:rFonts w:asciiTheme="minorHAnsi" w:hAnsiTheme="minorHAnsi"/>
          <w:snapToGrid w:val="0"/>
          <w:lang w:val="en-GB"/>
        </w:rPr>
        <w:t xml:space="preserve">(OS) </w:t>
      </w:r>
      <w:r w:rsidR="0041318F" w:rsidRPr="007673DB">
        <w:rPr>
          <w:rFonts w:asciiTheme="minorHAnsi" w:hAnsiTheme="minorHAnsi"/>
          <w:snapToGrid w:val="0"/>
          <w:lang w:val="en-GB"/>
        </w:rPr>
        <w:t>and quality of life that tebentafusp offered.</w:t>
      </w:r>
    </w:p>
    <w:p w14:paraId="09B65D4F" w14:textId="4B3F4823" w:rsidR="007673DB" w:rsidRDefault="0041318F" w:rsidP="00D019CA">
      <w:pPr>
        <w:widowControl w:val="0"/>
        <w:numPr>
          <w:ilvl w:val="1"/>
          <w:numId w:val="1"/>
        </w:numPr>
        <w:spacing w:after="120"/>
        <w:rPr>
          <w:rFonts w:asciiTheme="minorHAnsi" w:hAnsiTheme="minorHAnsi"/>
          <w:snapToGrid w:val="0"/>
          <w:lang w:val="en-GB"/>
        </w:rPr>
      </w:pPr>
      <w:r w:rsidRPr="007673DB">
        <w:rPr>
          <w:rFonts w:asciiTheme="minorHAnsi" w:hAnsiTheme="minorHAnsi"/>
          <w:snapToGrid w:val="0"/>
          <w:lang w:val="en-GB"/>
        </w:rPr>
        <w:t>The PBAC considered that the proposed place in therapy of tebentafusp as a treatment for patients with advanced (unresectable or metastatic) UM was appropriate and noted that it aligned with the key clinical trial, IMCgp100-202.</w:t>
      </w:r>
      <w:r w:rsidR="000079A1" w:rsidRPr="007673DB">
        <w:rPr>
          <w:rFonts w:asciiTheme="minorHAnsi" w:hAnsiTheme="minorHAnsi"/>
          <w:snapToGrid w:val="0"/>
          <w:lang w:val="en-GB"/>
        </w:rPr>
        <w:t xml:space="preserve"> </w:t>
      </w:r>
      <w:bookmarkEnd w:id="85"/>
    </w:p>
    <w:p w14:paraId="671CF3BD" w14:textId="47725F14" w:rsidR="00987C84" w:rsidRDefault="00987C84" w:rsidP="00D019C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nomination of pembrolizumab as the comparator was appropriate.</w:t>
      </w:r>
    </w:p>
    <w:p w14:paraId="2C4BCB83" w14:textId="7238D3D6" w:rsidR="00987C84" w:rsidRDefault="00987C84" w:rsidP="00987C8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was </w:t>
      </w:r>
      <w:r w:rsidR="00B53439">
        <w:rPr>
          <w:rFonts w:asciiTheme="minorHAnsi" w:hAnsiTheme="minorHAnsi"/>
          <w:snapToGrid w:val="0"/>
          <w:lang w:val="en-GB"/>
        </w:rPr>
        <w:t xml:space="preserve">primarily </w:t>
      </w:r>
      <w:r>
        <w:rPr>
          <w:rFonts w:asciiTheme="minorHAnsi" w:hAnsiTheme="minorHAnsi"/>
          <w:snapToGrid w:val="0"/>
          <w:lang w:val="en-GB"/>
        </w:rPr>
        <w:t>based on one randomised controlled trial</w:t>
      </w:r>
      <w:r w:rsidR="00B53439">
        <w:rPr>
          <w:rFonts w:asciiTheme="minorHAnsi" w:hAnsiTheme="minorHAnsi"/>
          <w:snapToGrid w:val="0"/>
          <w:lang w:val="en-GB"/>
        </w:rPr>
        <w:t>, IMCgp100-202,</w:t>
      </w:r>
      <w:r>
        <w:rPr>
          <w:rFonts w:asciiTheme="minorHAnsi" w:hAnsiTheme="minorHAnsi"/>
          <w:snapToGrid w:val="0"/>
          <w:lang w:val="en-GB"/>
        </w:rPr>
        <w:t xml:space="preserve"> which compared tebentafusp with investigators choice, which consisted of pembrolizumab, dacarbazine or ipilimumab. The PBAC noted that results were presented for the intention-to-treat (ITT) population and for the subgroup of patients who were pre-selected to receive pembrolizumab. The PBAC noted the tebentafusp was associated with a </w:t>
      </w:r>
      <w:r w:rsidR="00353FDC">
        <w:rPr>
          <w:rFonts w:asciiTheme="minorHAnsi" w:hAnsiTheme="minorHAnsi"/>
          <w:snapToGrid w:val="0"/>
          <w:lang w:val="en-GB"/>
        </w:rPr>
        <w:t xml:space="preserve">median improvement in OS of 4.8 months, which was statistically significant </w:t>
      </w:r>
      <w:r w:rsidR="00B53439">
        <w:rPr>
          <w:rFonts w:asciiTheme="minorHAnsi" w:hAnsiTheme="minorHAnsi"/>
          <w:snapToGrid w:val="0"/>
          <w:lang w:val="en-GB"/>
        </w:rPr>
        <w:t>both populations</w:t>
      </w:r>
      <w:r w:rsidR="00646536">
        <w:rPr>
          <w:rFonts w:asciiTheme="minorHAnsi" w:hAnsiTheme="minorHAnsi"/>
          <w:snapToGrid w:val="0"/>
          <w:lang w:val="en-GB"/>
        </w:rPr>
        <w:t xml:space="preserve"> </w:t>
      </w:r>
      <w:r w:rsidR="00353FDC">
        <w:rPr>
          <w:rFonts w:asciiTheme="minorHAnsi" w:hAnsiTheme="minorHAnsi"/>
          <w:snapToGrid w:val="0"/>
          <w:lang w:val="en-GB"/>
        </w:rPr>
        <w:t>(</w:t>
      </w:r>
      <w:r>
        <w:rPr>
          <w:rFonts w:asciiTheme="minorHAnsi" w:hAnsiTheme="minorHAnsi"/>
          <w:snapToGrid w:val="0"/>
          <w:lang w:val="en-GB"/>
        </w:rPr>
        <w:t>ITT HR = 0.63; 95% CI: 0.49, 0.82</w:t>
      </w:r>
      <w:r w:rsidR="00353FDC">
        <w:rPr>
          <w:rFonts w:asciiTheme="minorHAnsi" w:hAnsiTheme="minorHAnsi"/>
          <w:snapToGrid w:val="0"/>
          <w:lang w:val="en-GB"/>
        </w:rPr>
        <w:t xml:space="preserve">; pembrolizumab subgroup </w:t>
      </w:r>
      <w:r>
        <w:rPr>
          <w:rFonts w:asciiTheme="minorHAnsi" w:hAnsiTheme="minorHAnsi"/>
          <w:snapToGrid w:val="0"/>
          <w:lang w:val="en-GB"/>
        </w:rPr>
        <w:t>HR = 0.66; 95% CI: 0.49, 0.89).</w:t>
      </w:r>
      <w:r w:rsidR="001C1567">
        <w:rPr>
          <w:rFonts w:asciiTheme="minorHAnsi" w:hAnsiTheme="minorHAnsi"/>
          <w:snapToGrid w:val="0"/>
          <w:lang w:val="en-GB"/>
        </w:rPr>
        <w:t xml:space="preserve"> The PBAC also noted that tebentafusp was associated with improvements in objective response and disease control rates.</w:t>
      </w:r>
    </w:p>
    <w:p w14:paraId="6AE97742" w14:textId="3EB5139A" w:rsidR="00987C84" w:rsidRDefault="001C1567" w:rsidP="00D019C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Overall, the PBAC considered that the claim that tebentafusp was superior compared to pembrolizumab in terms of efficacy was supported by the data provided in the submission. </w:t>
      </w:r>
    </w:p>
    <w:p w14:paraId="43BDC26D" w14:textId="76485E33" w:rsidR="001C1567" w:rsidRDefault="001C1567" w:rsidP="00D019C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tebentafusp was associated with more Grade </w:t>
      </w:r>
      <w:r>
        <w:rPr>
          <w:rFonts w:asciiTheme="minorHAnsi" w:hAnsiTheme="minorHAnsi" w:cstheme="minorHAnsi"/>
          <w:snapToGrid w:val="0"/>
          <w:lang w:val="en-GB"/>
        </w:rPr>
        <w:t>≥</w:t>
      </w:r>
      <w:r>
        <w:rPr>
          <w:rFonts w:asciiTheme="minorHAnsi" w:hAnsiTheme="minorHAnsi"/>
          <w:snapToGrid w:val="0"/>
          <w:lang w:val="en-GB"/>
        </w:rPr>
        <w:t xml:space="preserve"> 3 treatment related (</w:t>
      </w:r>
      <w:r w:rsidR="00DF1402">
        <w:rPr>
          <w:rFonts w:asciiTheme="minorHAnsi" w:hAnsiTheme="minorHAnsi"/>
          <w:snapToGrid w:val="0"/>
          <w:lang w:val="en-GB"/>
        </w:rPr>
        <w:t>45</w:t>
      </w:r>
      <w:r w:rsidR="00D61D6B">
        <w:rPr>
          <w:rFonts w:asciiTheme="minorHAnsi" w:hAnsiTheme="minorHAnsi"/>
          <w:snapToGrid w:val="0"/>
          <w:lang w:val="en-GB"/>
        </w:rPr>
        <w:t>.</w:t>
      </w:r>
      <w:r w:rsidR="00DF1402">
        <w:rPr>
          <w:rFonts w:asciiTheme="minorHAnsi" w:hAnsiTheme="minorHAnsi"/>
          <w:snapToGrid w:val="0"/>
          <w:lang w:val="en-GB"/>
        </w:rPr>
        <w:t>6%</w:t>
      </w:r>
      <w:r>
        <w:rPr>
          <w:rFonts w:asciiTheme="minorHAnsi" w:hAnsiTheme="minorHAnsi"/>
          <w:snapToGrid w:val="0"/>
          <w:lang w:val="en-GB"/>
        </w:rPr>
        <w:t xml:space="preserve"> versus 1</w:t>
      </w:r>
      <w:r w:rsidR="00DF1402">
        <w:rPr>
          <w:rFonts w:asciiTheme="minorHAnsi" w:hAnsiTheme="minorHAnsi"/>
          <w:snapToGrid w:val="0"/>
          <w:lang w:val="en-GB"/>
        </w:rPr>
        <w:t>6.5</w:t>
      </w:r>
      <w:r>
        <w:rPr>
          <w:rFonts w:asciiTheme="minorHAnsi" w:hAnsiTheme="minorHAnsi"/>
          <w:snapToGrid w:val="0"/>
          <w:lang w:val="en-GB"/>
        </w:rPr>
        <w:t>%) and serious (</w:t>
      </w:r>
      <w:r w:rsidR="00DF1402">
        <w:rPr>
          <w:rFonts w:asciiTheme="minorHAnsi" w:hAnsiTheme="minorHAnsi"/>
          <w:snapToGrid w:val="0"/>
          <w:lang w:val="en-GB"/>
        </w:rPr>
        <w:t>18.1</w:t>
      </w:r>
      <w:r>
        <w:rPr>
          <w:rFonts w:asciiTheme="minorHAnsi" w:hAnsiTheme="minorHAnsi"/>
          <w:snapToGrid w:val="0"/>
          <w:lang w:val="en-GB"/>
        </w:rPr>
        <w:t xml:space="preserve">% versus </w:t>
      </w:r>
      <w:r w:rsidR="00DF1402">
        <w:rPr>
          <w:rFonts w:asciiTheme="minorHAnsi" w:hAnsiTheme="minorHAnsi"/>
          <w:snapToGrid w:val="0"/>
          <w:lang w:val="en-GB"/>
        </w:rPr>
        <w:t>5.5</w:t>
      </w:r>
      <w:r>
        <w:rPr>
          <w:rFonts w:asciiTheme="minorHAnsi" w:hAnsiTheme="minorHAnsi"/>
          <w:snapToGrid w:val="0"/>
          <w:lang w:val="en-GB"/>
        </w:rPr>
        <w:t xml:space="preserve">%) adverse events compared to </w:t>
      </w:r>
      <w:r w:rsidR="00DF1402">
        <w:rPr>
          <w:rFonts w:asciiTheme="minorHAnsi" w:hAnsiTheme="minorHAnsi"/>
          <w:snapToGrid w:val="0"/>
          <w:lang w:val="en-GB"/>
        </w:rPr>
        <w:t>pembrolizumab</w:t>
      </w:r>
      <w:r>
        <w:rPr>
          <w:rFonts w:asciiTheme="minorHAnsi" w:hAnsiTheme="minorHAnsi"/>
          <w:snapToGrid w:val="0"/>
          <w:lang w:val="en-GB"/>
        </w:rPr>
        <w:t xml:space="preserve">. The PBAC also noted that 89% of tebentafusp patients </w:t>
      </w:r>
      <w:r w:rsidR="00DF1402">
        <w:rPr>
          <w:rFonts w:asciiTheme="minorHAnsi" w:hAnsiTheme="minorHAnsi"/>
          <w:snapToGrid w:val="0"/>
          <w:lang w:val="en-GB"/>
        </w:rPr>
        <w:t xml:space="preserve">experienced Grade </w:t>
      </w:r>
      <w:r w:rsidR="00DF1402">
        <w:rPr>
          <w:rFonts w:asciiTheme="minorHAnsi" w:hAnsiTheme="minorHAnsi" w:cstheme="minorHAnsi"/>
          <w:snapToGrid w:val="0"/>
          <w:lang w:val="en-GB"/>
        </w:rPr>
        <w:t>≤</w:t>
      </w:r>
      <w:r w:rsidR="00DF1402">
        <w:rPr>
          <w:rFonts w:asciiTheme="minorHAnsi" w:hAnsiTheme="minorHAnsi"/>
          <w:snapToGrid w:val="0"/>
          <w:lang w:val="en-GB"/>
        </w:rPr>
        <w:t xml:space="preserve"> 3 cytokine release syndrome (CRS). Overall, the PBAC considered that tebentafusp was inferior compared to pembrolizumab in terms of safety. </w:t>
      </w:r>
    </w:p>
    <w:p w14:paraId="5DE42DC9" w14:textId="4BFF44A3" w:rsidR="003D6B65" w:rsidRDefault="00DB33B7" w:rsidP="003D6B6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submission presented a cost utility analysis between tebentafusp and pembrolizumab which was informed by the pembrolizumab pre-selected subgroup.</w:t>
      </w:r>
      <w:r w:rsidR="006F365A">
        <w:rPr>
          <w:rFonts w:asciiTheme="minorHAnsi" w:hAnsiTheme="minorHAnsi"/>
          <w:snapToGrid w:val="0"/>
          <w:lang w:val="en-GB"/>
        </w:rPr>
        <w:t xml:space="preserve"> </w:t>
      </w:r>
      <w:r w:rsidR="003D6B65">
        <w:rPr>
          <w:rFonts w:asciiTheme="minorHAnsi" w:hAnsiTheme="minorHAnsi"/>
          <w:snapToGrid w:val="0"/>
          <w:lang w:val="en-GB"/>
        </w:rPr>
        <w:t>The PBAC noted that the revised base case incremental cost effectiveness ratio (ICER) in the pre-PBAC response was $</w:t>
      </w:r>
      <w:r w:rsidR="006F1456">
        <w:rPr>
          <w:rFonts w:asciiTheme="minorHAnsi" w:hAnsiTheme="minorHAnsi"/>
          <w:snapToGrid w:val="0"/>
          <w:lang w:val="en-GB"/>
        </w:rPr>
        <w:t>75,000</w:t>
      </w:r>
      <w:r w:rsidR="004C425D">
        <w:rPr>
          <w:rFonts w:asciiTheme="minorHAnsi" w:hAnsiTheme="minorHAnsi"/>
          <w:snapToGrid w:val="0"/>
          <w:lang w:val="en-GB"/>
        </w:rPr>
        <w:t> </w:t>
      </w:r>
      <w:r w:rsidR="006F1456">
        <w:rPr>
          <w:rFonts w:asciiTheme="minorHAnsi" w:hAnsiTheme="minorHAnsi"/>
          <w:snapToGrid w:val="0"/>
          <w:lang w:val="en-GB"/>
        </w:rPr>
        <w:t>to</w:t>
      </w:r>
      <w:r w:rsidR="004C425D">
        <w:rPr>
          <w:rFonts w:asciiTheme="minorHAnsi" w:hAnsiTheme="minorHAnsi"/>
          <w:snapToGrid w:val="0"/>
          <w:lang w:val="en-GB"/>
        </w:rPr>
        <w:t> </w:t>
      </w:r>
      <w:r w:rsidR="006F1456">
        <w:rPr>
          <w:rFonts w:asciiTheme="minorHAnsi" w:hAnsiTheme="minorHAnsi"/>
          <w:snapToGrid w:val="0"/>
          <w:lang w:val="en-GB"/>
        </w:rPr>
        <w:t>&lt;</w:t>
      </w:r>
      <w:r w:rsidR="004C425D">
        <w:rPr>
          <w:rFonts w:asciiTheme="minorHAnsi" w:hAnsiTheme="minorHAnsi"/>
          <w:snapToGrid w:val="0"/>
          <w:lang w:val="en-GB"/>
        </w:rPr>
        <w:t> </w:t>
      </w:r>
      <w:r w:rsidR="006F1456">
        <w:rPr>
          <w:rFonts w:asciiTheme="minorHAnsi" w:hAnsiTheme="minorHAnsi"/>
          <w:snapToGrid w:val="0"/>
          <w:lang w:val="en-GB"/>
        </w:rPr>
        <w:t>$95,000</w:t>
      </w:r>
      <w:r w:rsidR="003D6B65">
        <w:rPr>
          <w:rFonts w:asciiTheme="minorHAnsi" w:hAnsiTheme="minorHAnsi"/>
          <w:snapToGrid w:val="0"/>
          <w:lang w:val="en-GB"/>
        </w:rPr>
        <w:t xml:space="preserve"> per quality adjusted life year</w:t>
      </w:r>
      <w:r w:rsidR="00EA302C">
        <w:rPr>
          <w:rFonts w:asciiTheme="minorHAnsi" w:hAnsiTheme="minorHAnsi"/>
          <w:snapToGrid w:val="0"/>
          <w:lang w:val="en-GB"/>
        </w:rPr>
        <w:t xml:space="preserve"> (QALY)</w:t>
      </w:r>
      <w:r w:rsidR="003D6B65">
        <w:rPr>
          <w:rFonts w:asciiTheme="minorHAnsi" w:hAnsiTheme="minorHAnsi"/>
          <w:snapToGrid w:val="0"/>
          <w:lang w:val="en-GB"/>
        </w:rPr>
        <w:t xml:space="preserve">. The PBAC considered that the ICER was </w:t>
      </w:r>
      <w:r w:rsidR="00B515FF">
        <w:rPr>
          <w:rFonts w:asciiTheme="minorHAnsi" w:hAnsiTheme="minorHAnsi"/>
          <w:snapToGrid w:val="0"/>
          <w:lang w:val="en-GB"/>
        </w:rPr>
        <w:t>underestimated</w:t>
      </w:r>
      <w:r w:rsidR="003D6B65">
        <w:rPr>
          <w:rFonts w:asciiTheme="minorHAnsi" w:hAnsiTheme="minorHAnsi"/>
          <w:snapToGrid w:val="0"/>
          <w:lang w:val="en-GB"/>
        </w:rPr>
        <w:t xml:space="preserve"> as the submission:</w:t>
      </w:r>
    </w:p>
    <w:p w14:paraId="728D7C48" w14:textId="4D3724C7" w:rsidR="00DB33B7" w:rsidRDefault="00DB33B7" w:rsidP="003D6B65">
      <w:pPr>
        <w:widowControl w:val="0"/>
        <w:numPr>
          <w:ilvl w:val="1"/>
          <w:numId w:val="23"/>
        </w:numPr>
        <w:spacing w:after="120"/>
        <w:ind w:left="1080" w:hanging="360"/>
        <w:rPr>
          <w:rFonts w:asciiTheme="minorHAnsi" w:hAnsiTheme="minorHAnsi"/>
          <w:snapToGrid w:val="0"/>
          <w:lang w:val="en-GB"/>
        </w:rPr>
      </w:pPr>
      <w:r>
        <w:rPr>
          <w:rFonts w:asciiTheme="minorHAnsi" w:hAnsiTheme="minorHAnsi"/>
          <w:snapToGrid w:val="0"/>
          <w:lang w:val="en-GB"/>
        </w:rPr>
        <w:t>applied a 20</w:t>
      </w:r>
      <w:r w:rsidR="003D6B65">
        <w:rPr>
          <w:rFonts w:asciiTheme="minorHAnsi" w:hAnsiTheme="minorHAnsi"/>
          <w:snapToGrid w:val="0"/>
          <w:lang w:val="en-GB"/>
        </w:rPr>
        <w:t>-</w:t>
      </w:r>
      <w:r>
        <w:rPr>
          <w:rFonts w:asciiTheme="minorHAnsi" w:hAnsiTheme="minorHAnsi"/>
          <w:snapToGrid w:val="0"/>
          <w:lang w:val="en-GB"/>
        </w:rPr>
        <w:t>year time horizon to the economic model</w:t>
      </w:r>
      <w:r w:rsidR="003216D0">
        <w:rPr>
          <w:rFonts w:asciiTheme="minorHAnsi" w:hAnsiTheme="minorHAnsi"/>
          <w:snapToGrid w:val="0"/>
          <w:lang w:val="en-GB"/>
        </w:rPr>
        <w:t>, which was reduced to 15 years in the pre-PBAC response</w:t>
      </w:r>
      <w:r>
        <w:rPr>
          <w:rFonts w:asciiTheme="minorHAnsi" w:hAnsiTheme="minorHAnsi"/>
          <w:snapToGrid w:val="0"/>
          <w:lang w:val="en-GB"/>
        </w:rPr>
        <w:t xml:space="preserve">. The PBAC considered that the application of a </w:t>
      </w:r>
      <w:r w:rsidR="003216D0">
        <w:rPr>
          <w:rFonts w:asciiTheme="minorHAnsi" w:hAnsiTheme="minorHAnsi"/>
          <w:snapToGrid w:val="0"/>
          <w:lang w:val="en-GB"/>
        </w:rPr>
        <w:t>15</w:t>
      </w:r>
      <w:r w:rsidR="003D6B65">
        <w:rPr>
          <w:rFonts w:asciiTheme="minorHAnsi" w:hAnsiTheme="minorHAnsi"/>
          <w:snapToGrid w:val="0"/>
          <w:lang w:val="en-GB"/>
        </w:rPr>
        <w:t>-</w:t>
      </w:r>
      <w:r w:rsidR="003216D0">
        <w:rPr>
          <w:rFonts w:asciiTheme="minorHAnsi" w:hAnsiTheme="minorHAnsi"/>
          <w:snapToGrid w:val="0"/>
          <w:lang w:val="en-GB"/>
        </w:rPr>
        <w:t xml:space="preserve"> or </w:t>
      </w:r>
      <w:r>
        <w:rPr>
          <w:rFonts w:asciiTheme="minorHAnsi" w:hAnsiTheme="minorHAnsi"/>
          <w:snapToGrid w:val="0"/>
          <w:lang w:val="en-GB"/>
        </w:rPr>
        <w:t>20</w:t>
      </w:r>
      <w:r w:rsidR="003D6B65">
        <w:rPr>
          <w:rFonts w:asciiTheme="minorHAnsi" w:hAnsiTheme="minorHAnsi"/>
          <w:snapToGrid w:val="0"/>
          <w:lang w:val="en-GB"/>
        </w:rPr>
        <w:t>-</w:t>
      </w:r>
      <w:r>
        <w:rPr>
          <w:rFonts w:asciiTheme="minorHAnsi" w:hAnsiTheme="minorHAnsi"/>
          <w:snapToGrid w:val="0"/>
          <w:lang w:val="en-GB"/>
        </w:rPr>
        <w:t>year time horizon was inappropr</w:t>
      </w:r>
      <w:r w:rsidR="00F95C1E">
        <w:rPr>
          <w:rFonts w:asciiTheme="minorHAnsi" w:hAnsiTheme="minorHAnsi"/>
          <w:snapToGrid w:val="0"/>
          <w:lang w:val="en-GB"/>
        </w:rPr>
        <w:t>i</w:t>
      </w:r>
      <w:r>
        <w:rPr>
          <w:rFonts w:asciiTheme="minorHAnsi" w:hAnsiTheme="minorHAnsi"/>
          <w:snapToGrid w:val="0"/>
          <w:lang w:val="en-GB"/>
        </w:rPr>
        <w:t>ate as (i) patients with metastatic disease have poor prognosis, and (ii) the maximum duration of follow up in the IMCgp100-202 trial was 50 months.</w:t>
      </w:r>
      <w:r w:rsidR="003216D0">
        <w:rPr>
          <w:rFonts w:asciiTheme="minorHAnsi" w:hAnsiTheme="minorHAnsi"/>
          <w:snapToGrid w:val="0"/>
          <w:lang w:val="en-GB"/>
        </w:rPr>
        <w:t xml:space="preserve"> The PBAC considered that a more reasonable time horizon would be 7.5 years. </w:t>
      </w:r>
    </w:p>
    <w:p w14:paraId="2137A796" w14:textId="63BF63CC" w:rsidR="003216D0" w:rsidRDefault="001A65DC" w:rsidP="003D6B65">
      <w:pPr>
        <w:widowControl w:val="0"/>
        <w:numPr>
          <w:ilvl w:val="1"/>
          <w:numId w:val="23"/>
        </w:numPr>
        <w:spacing w:after="120"/>
        <w:ind w:left="1080" w:hanging="360"/>
        <w:rPr>
          <w:rFonts w:asciiTheme="minorHAnsi" w:hAnsiTheme="minorHAnsi"/>
          <w:snapToGrid w:val="0"/>
          <w:lang w:val="en-GB"/>
        </w:rPr>
      </w:pPr>
      <w:bookmarkStart w:id="86" w:name="_Ref130541703"/>
      <w:r>
        <w:rPr>
          <w:rFonts w:asciiTheme="minorHAnsi" w:hAnsiTheme="minorHAnsi"/>
          <w:snapToGrid w:val="0"/>
          <w:lang w:val="en-GB"/>
        </w:rPr>
        <w:t xml:space="preserve">assumed that </w:t>
      </w:r>
      <w:r w:rsidR="00472A5C">
        <w:rPr>
          <w:rFonts w:asciiTheme="minorHAnsi" w:hAnsiTheme="minorHAnsi"/>
          <w:snapToGrid w:val="0"/>
          <w:lang w:val="en-GB"/>
        </w:rPr>
        <w:t xml:space="preserve">approximately 20% of </w:t>
      </w:r>
      <w:r>
        <w:rPr>
          <w:rFonts w:asciiTheme="minorHAnsi" w:hAnsiTheme="minorHAnsi"/>
          <w:snapToGrid w:val="0"/>
          <w:lang w:val="en-GB"/>
        </w:rPr>
        <w:t xml:space="preserve">patients receiving tebentafusp </w:t>
      </w:r>
      <w:r w:rsidR="003D6B65">
        <w:rPr>
          <w:rFonts w:asciiTheme="minorHAnsi" w:hAnsiTheme="minorHAnsi"/>
          <w:snapToGrid w:val="0"/>
          <w:lang w:val="en-GB"/>
        </w:rPr>
        <w:t xml:space="preserve">were alive at </w:t>
      </w:r>
      <w:r w:rsidR="003D6B65">
        <w:rPr>
          <w:rFonts w:asciiTheme="minorHAnsi" w:hAnsiTheme="minorHAnsi"/>
          <w:snapToGrid w:val="0"/>
          <w:lang w:val="en-GB"/>
        </w:rPr>
        <w:lastRenderedPageBreak/>
        <w:t>10 years</w:t>
      </w:r>
      <w:r>
        <w:rPr>
          <w:rFonts w:asciiTheme="minorHAnsi" w:hAnsiTheme="minorHAnsi"/>
          <w:snapToGrid w:val="0"/>
          <w:lang w:val="en-GB"/>
        </w:rPr>
        <w:t xml:space="preserve"> </w:t>
      </w:r>
      <w:r w:rsidR="00612860">
        <w:rPr>
          <w:rFonts w:asciiTheme="minorHAnsi" w:hAnsiTheme="minorHAnsi"/>
          <w:snapToGrid w:val="0"/>
          <w:lang w:val="en-GB"/>
        </w:rPr>
        <w:t xml:space="preserve">due to </w:t>
      </w:r>
      <w:r w:rsidR="00353FDC">
        <w:rPr>
          <w:rFonts w:asciiTheme="minorHAnsi" w:hAnsiTheme="minorHAnsi"/>
          <w:snapToGrid w:val="0"/>
          <w:lang w:val="en-GB"/>
        </w:rPr>
        <w:t>OS in the model</w:t>
      </w:r>
      <w:r w:rsidR="00612860">
        <w:rPr>
          <w:rFonts w:asciiTheme="minorHAnsi" w:hAnsiTheme="minorHAnsi"/>
          <w:snapToGrid w:val="0"/>
          <w:lang w:val="en-GB"/>
        </w:rPr>
        <w:t xml:space="preserve"> being </w:t>
      </w:r>
      <w:r>
        <w:rPr>
          <w:rFonts w:asciiTheme="minorHAnsi" w:hAnsiTheme="minorHAnsi"/>
          <w:snapToGrid w:val="0"/>
          <w:lang w:val="en-GB"/>
        </w:rPr>
        <w:t xml:space="preserve">sustained beyond Year 3 (see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_Ref121076059 \h </w:instrText>
      </w:r>
      <w:r>
        <w:rPr>
          <w:rFonts w:asciiTheme="minorHAnsi" w:hAnsiTheme="minorHAnsi"/>
          <w:snapToGrid w:val="0"/>
          <w:lang w:val="en-GB"/>
        </w:rPr>
      </w:r>
      <w:r>
        <w:rPr>
          <w:rFonts w:asciiTheme="minorHAnsi" w:hAnsiTheme="minorHAnsi"/>
          <w:snapToGrid w:val="0"/>
          <w:lang w:val="en-GB"/>
        </w:rPr>
        <w:fldChar w:fldCharType="separate"/>
      </w:r>
      <w:r w:rsidR="00A53FF4">
        <w:t xml:space="preserve">Figure </w:t>
      </w:r>
      <w:r w:rsidR="00A53FF4">
        <w:rPr>
          <w:noProof/>
        </w:rPr>
        <w:t>5</w:t>
      </w:r>
      <w:r>
        <w:rPr>
          <w:rFonts w:asciiTheme="minorHAnsi" w:hAnsiTheme="minorHAnsi"/>
          <w:snapToGrid w:val="0"/>
          <w:lang w:val="en-GB"/>
        </w:rPr>
        <w:fldChar w:fldCharType="end"/>
      </w:r>
      <w:r w:rsidR="00472A5C">
        <w:rPr>
          <w:rFonts w:asciiTheme="minorHAnsi" w:hAnsiTheme="minorHAnsi"/>
          <w:snapToGrid w:val="0"/>
          <w:lang w:val="en-GB"/>
        </w:rPr>
        <w:t>)</w:t>
      </w:r>
      <w:r>
        <w:rPr>
          <w:rFonts w:asciiTheme="minorHAnsi" w:hAnsiTheme="minorHAnsi"/>
          <w:snapToGrid w:val="0"/>
          <w:lang w:val="en-GB"/>
        </w:rPr>
        <w:t>. The PBAC</w:t>
      </w:r>
      <w:bookmarkEnd w:id="86"/>
      <w:r>
        <w:rPr>
          <w:rFonts w:asciiTheme="minorHAnsi" w:hAnsiTheme="minorHAnsi"/>
          <w:snapToGrid w:val="0"/>
          <w:lang w:val="en-GB"/>
        </w:rPr>
        <w:t>, noting that the number of patients remaining at risk beyond Years 3 and 4 w</w:t>
      </w:r>
      <w:r w:rsidR="00472A5C">
        <w:rPr>
          <w:rFonts w:asciiTheme="minorHAnsi" w:hAnsiTheme="minorHAnsi"/>
          <w:snapToGrid w:val="0"/>
          <w:lang w:val="en-GB"/>
        </w:rPr>
        <w:t>as</w:t>
      </w:r>
      <w:r>
        <w:rPr>
          <w:rFonts w:asciiTheme="minorHAnsi" w:hAnsiTheme="minorHAnsi"/>
          <w:snapToGrid w:val="0"/>
          <w:lang w:val="en-GB"/>
        </w:rPr>
        <w:t xml:space="preserve"> small (&lt; 10% and &lt; 2% respectively)</w:t>
      </w:r>
      <w:r w:rsidR="00472A5C">
        <w:rPr>
          <w:rFonts w:asciiTheme="minorHAnsi" w:hAnsiTheme="minorHAnsi"/>
          <w:snapToGrid w:val="0"/>
          <w:lang w:val="en-GB"/>
        </w:rPr>
        <w:t xml:space="preserve"> and that the median </w:t>
      </w:r>
      <w:r w:rsidR="00353FDC">
        <w:rPr>
          <w:rFonts w:asciiTheme="minorHAnsi" w:hAnsiTheme="minorHAnsi"/>
          <w:snapToGrid w:val="0"/>
          <w:lang w:val="en-GB"/>
        </w:rPr>
        <w:t>OS</w:t>
      </w:r>
      <w:r w:rsidR="00472A5C">
        <w:rPr>
          <w:rFonts w:asciiTheme="minorHAnsi" w:hAnsiTheme="minorHAnsi"/>
          <w:snapToGrid w:val="0"/>
          <w:lang w:val="en-GB"/>
        </w:rPr>
        <w:t xml:space="preserve"> benefit in IMCgp100-202 was 4.8 months, considered that the Kaplan Meier estimates were unreliable beyond Year 3 and that the assumption of a plateau effect was not supported by the available data. </w:t>
      </w:r>
      <w:r w:rsidR="00612860">
        <w:rPr>
          <w:rFonts w:asciiTheme="minorHAnsi" w:hAnsiTheme="minorHAnsi"/>
          <w:snapToGrid w:val="0"/>
          <w:lang w:val="en-GB"/>
        </w:rPr>
        <w:t>The PBAC further n</w:t>
      </w:r>
      <w:r w:rsidR="00472A5C">
        <w:rPr>
          <w:rFonts w:asciiTheme="minorHAnsi" w:hAnsiTheme="minorHAnsi"/>
          <w:snapToGrid w:val="0"/>
          <w:lang w:val="en-GB"/>
        </w:rPr>
        <w:t>ot</w:t>
      </w:r>
      <w:r w:rsidR="00612860">
        <w:rPr>
          <w:rFonts w:asciiTheme="minorHAnsi" w:hAnsiTheme="minorHAnsi"/>
          <w:snapToGrid w:val="0"/>
          <w:lang w:val="en-GB"/>
        </w:rPr>
        <w:t>ed</w:t>
      </w:r>
      <w:r w:rsidR="00472A5C">
        <w:rPr>
          <w:rFonts w:asciiTheme="minorHAnsi" w:hAnsiTheme="minorHAnsi"/>
          <w:snapToGrid w:val="0"/>
          <w:lang w:val="en-GB"/>
        </w:rPr>
        <w:t xml:space="preserve"> that clinical experts</w:t>
      </w:r>
      <w:r w:rsidR="00394121">
        <w:rPr>
          <w:rStyle w:val="FootnoteReference"/>
          <w:rFonts w:asciiTheme="minorHAnsi" w:hAnsiTheme="minorHAnsi"/>
          <w:snapToGrid w:val="0"/>
          <w:lang w:val="en-GB"/>
        </w:rPr>
        <w:footnoteReference w:id="10"/>
      </w:r>
      <w:r w:rsidR="00472A5C">
        <w:rPr>
          <w:rFonts w:asciiTheme="minorHAnsi" w:hAnsiTheme="minorHAnsi"/>
          <w:snapToGrid w:val="0"/>
          <w:lang w:val="en-GB"/>
        </w:rPr>
        <w:t xml:space="preserve"> stated that a long-term survival benefit </w:t>
      </w:r>
      <w:r w:rsidR="00612860">
        <w:rPr>
          <w:rFonts w:asciiTheme="minorHAnsi" w:hAnsiTheme="minorHAnsi"/>
          <w:snapToGrid w:val="0"/>
          <w:lang w:val="en-GB"/>
        </w:rPr>
        <w:t xml:space="preserve">with tebentafusp </w:t>
      </w:r>
      <w:r w:rsidR="00472A5C">
        <w:rPr>
          <w:rFonts w:asciiTheme="minorHAnsi" w:hAnsiTheme="minorHAnsi"/>
          <w:snapToGrid w:val="0"/>
          <w:lang w:val="en-GB"/>
        </w:rPr>
        <w:t>was optimistic</w:t>
      </w:r>
      <w:r w:rsidR="00612860">
        <w:rPr>
          <w:rFonts w:asciiTheme="minorHAnsi" w:hAnsiTheme="minorHAnsi"/>
          <w:snapToGrid w:val="0"/>
          <w:lang w:val="en-GB"/>
        </w:rPr>
        <w:t>.</w:t>
      </w:r>
      <w:r w:rsidR="00472A5C">
        <w:rPr>
          <w:rFonts w:asciiTheme="minorHAnsi" w:hAnsiTheme="minorHAnsi"/>
          <w:snapToGrid w:val="0"/>
          <w:lang w:val="en-GB"/>
        </w:rPr>
        <w:t xml:space="preserve"> </w:t>
      </w:r>
      <w:r w:rsidR="00AC3327">
        <w:rPr>
          <w:rFonts w:asciiTheme="minorHAnsi" w:hAnsiTheme="minorHAnsi"/>
          <w:snapToGrid w:val="0"/>
          <w:lang w:val="en-GB"/>
        </w:rPr>
        <w:t>T</w:t>
      </w:r>
      <w:r w:rsidR="00472A5C">
        <w:rPr>
          <w:rFonts w:asciiTheme="minorHAnsi" w:hAnsiTheme="minorHAnsi"/>
          <w:snapToGrid w:val="0"/>
          <w:lang w:val="en-GB"/>
        </w:rPr>
        <w:t>he PBAC considered that the application of a 7.5</w:t>
      </w:r>
      <w:r w:rsidR="003D6B65">
        <w:rPr>
          <w:rFonts w:asciiTheme="minorHAnsi" w:hAnsiTheme="minorHAnsi"/>
          <w:snapToGrid w:val="0"/>
          <w:lang w:val="en-GB"/>
        </w:rPr>
        <w:t>-</w:t>
      </w:r>
      <w:r w:rsidR="00472A5C">
        <w:rPr>
          <w:rFonts w:asciiTheme="minorHAnsi" w:hAnsiTheme="minorHAnsi"/>
          <w:snapToGrid w:val="0"/>
          <w:lang w:val="en-GB"/>
        </w:rPr>
        <w:t xml:space="preserve">year time horizon would reduce the </w:t>
      </w:r>
      <w:r w:rsidR="00AC3327">
        <w:rPr>
          <w:rFonts w:asciiTheme="minorHAnsi" w:hAnsiTheme="minorHAnsi"/>
          <w:snapToGrid w:val="0"/>
          <w:lang w:val="en-GB"/>
        </w:rPr>
        <w:t xml:space="preserve">magnitude of the </w:t>
      </w:r>
      <w:r w:rsidR="00472A5C">
        <w:rPr>
          <w:rFonts w:asciiTheme="minorHAnsi" w:hAnsiTheme="minorHAnsi"/>
          <w:snapToGrid w:val="0"/>
          <w:lang w:val="en-GB"/>
        </w:rPr>
        <w:t>uncertainties associated with the modelling.</w:t>
      </w:r>
    </w:p>
    <w:p w14:paraId="232349AA" w14:textId="03AFDC88" w:rsidR="00394121" w:rsidRDefault="006F365A" w:rsidP="003D6B65">
      <w:pPr>
        <w:widowControl w:val="0"/>
        <w:numPr>
          <w:ilvl w:val="1"/>
          <w:numId w:val="24"/>
        </w:numPr>
        <w:spacing w:after="120"/>
        <w:ind w:left="1080" w:hanging="360"/>
        <w:rPr>
          <w:rFonts w:asciiTheme="minorHAnsi" w:hAnsiTheme="minorHAnsi"/>
          <w:snapToGrid w:val="0"/>
          <w:lang w:val="en-GB"/>
        </w:rPr>
      </w:pPr>
      <w:r>
        <w:rPr>
          <w:rFonts w:asciiTheme="minorHAnsi" w:hAnsiTheme="minorHAnsi"/>
          <w:snapToGrid w:val="0"/>
          <w:lang w:val="en-GB"/>
        </w:rPr>
        <w:t xml:space="preserve">applied utility values based on a time-to-death approach. The PBAC </w:t>
      </w:r>
      <w:r w:rsidR="00353FDC">
        <w:rPr>
          <w:rFonts w:asciiTheme="minorHAnsi" w:hAnsiTheme="minorHAnsi"/>
          <w:snapToGrid w:val="0"/>
          <w:lang w:val="en-GB"/>
        </w:rPr>
        <w:t xml:space="preserve">agreed with the ESC in </w:t>
      </w:r>
      <w:r>
        <w:rPr>
          <w:rFonts w:asciiTheme="minorHAnsi" w:hAnsiTheme="minorHAnsi"/>
          <w:snapToGrid w:val="0"/>
          <w:lang w:val="en-GB"/>
        </w:rPr>
        <w:t>consider</w:t>
      </w:r>
      <w:r w:rsidR="00353FDC">
        <w:rPr>
          <w:rFonts w:asciiTheme="minorHAnsi" w:hAnsiTheme="minorHAnsi"/>
          <w:snapToGrid w:val="0"/>
          <w:lang w:val="en-GB"/>
        </w:rPr>
        <w:t>ing</w:t>
      </w:r>
      <w:r>
        <w:rPr>
          <w:rFonts w:asciiTheme="minorHAnsi" w:hAnsiTheme="minorHAnsi"/>
          <w:snapToGrid w:val="0"/>
          <w:lang w:val="en-GB"/>
        </w:rPr>
        <w:t xml:space="preserve"> that utility values should have been assigned to the progression free and progressed health states, based on whether patients were receiving or not receiving treatment.</w:t>
      </w:r>
    </w:p>
    <w:p w14:paraId="5CF1E864" w14:textId="2B6B0C82" w:rsidR="003D6B65" w:rsidRDefault="003D6B65" w:rsidP="00D019CA">
      <w:pPr>
        <w:widowControl w:val="0"/>
        <w:numPr>
          <w:ilvl w:val="1"/>
          <w:numId w:val="1"/>
        </w:numPr>
        <w:spacing w:after="120"/>
        <w:rPr>
          <w:rFonts w:asciiTheme="minorHAnsi" w:hAnsiTheme="minorHAnsi"/>
          <w:snapToGrid w:val="0"/>
          <w:lang w:val="en-GB"/>
        </w:rPr>
      </w:pPr>
      <w:bookmarkStart w:id="87" w:name="_Ref130549357"/>
      <w:r>
        <w:rPr>
          <w:rFonts w:asciiTheme="minorHAnsi" w:hAnsiTheme="minorHAnsi"/>
          <w:snapToGrid w:val="0"/>
          <w:lang w:val="en-GB"/>
        </w:rPr>
        <w:t>The PBAC</w:t>
      </w:r>
      <w:r w:rsidR="000E51D9">
        <w:rPr>
          <w:rFonts w:asciiTheme="minorHAnsi" w:hAnsiTheme="minorHAnsi"/>
          <w:snapToGrid w:val="0"/>
          <w:lang w:val="en-GB"/>
        </w:rPr>
        <w:t xml:space="preserve">, noting </w:t>
      </w:r>
      <w:r>
        <w:rPr>
          <w:rFonts w:asciiTheme="minorHAnsi" w:hAnsiTheme="minorHAnsi"/>
          <w:snapToGrid w:val="0"/>
          <w:lang w:val="en-GB"/>
        </w:rPr>
        <w:t xml:space="preserve">that UM </w:t>
      </w:r>
      <w:r w:rsidR="000E51D9">
        <w:rPr>
          <w:rFonts w:asciiTheme="minorHAnsi" w:hAnsiTheme="minorHAnsi"/>
          <w:snapToGrid w:val="0"/>
          <w:lang w:val="en-GB"/>
        </w:rPr>
        <w:t>was</w:t>
      </w:r>
      <w:r>
        <w:rPr>
          <w:rFonts w:asciiTheme="minorHAnsi" w:hAnsiTheme="minorHAnsi"/>
          <w:snapToGrid w:val="0"/>
          <w:lang w:val="en-GB"/>
        </w:rPr>
        <w:t xml:space="preserve"> a rare disease</w:t>
      </w:r>
      <w:r w:rsidR="000E51D9">
        <w:rPr>
          <w:rFonts w:asciiTheme="minorHAnsi" w:hAnsiTheme="minorHAnsi"/>
          <w:snapToGrid w:val="0"/>
          <w:lang w:val="en-GB"/>
        </w:rPr>
        <w:t xml:space="preserve"> for which there were limited treatments available, considered that an ICER </w:t>
      </w:r>
      <w:r w:rsidR="0010307B">
        <w:rPr>
          <w:rFonts w:asciiTheme="minorHAnsi" w:hAnsiTheme="minorHAnsi"/>
          <w:snapToGrid w:val="0"/>
          <w:lang w:val="en-GB"/>
        </w:rPr>
        <w:t>that was no higher than the revised base case presented in the pre-PBAC response</w:t>
      </w:r>
      <w:r w:rsidR="000E51D9">
        <w:rPr>
          <w:rFonts w:asciiTheme="minorHAnsi" w:hAnsiTheme="minorHAnsi"/>
          <w:snapToGrid w:val="0"/>
          <w:lang w:val="en-GB"/>
        </w:rPr>
        <w:t xml:space="preserve"> would be reasonable if the time horizon was reduced to 7.5 years and utility weights based on whether patients were or were not receiving treatment were applied. The PBAC noted that a price reduction would be required to attain cost effectiveness.</w:t>
      </w:r>
      <w:bookmarkEnd w:id="87"/>
    </w:p>
    <w:p w14:paraId="4F00726D" w14:textId="5ED7E7EC" w:rsidR="000E51D9" w:rsidRDefault="00DE117F" w:rsidP="00D019C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utilisation and financial impact estimates presented incorrectly included the first 3 doses of tebentafusp</w:t>
      </w:r>
      <w:r w:rsidR="00353FDC">
        <w:rPr>
          <w:rFonts w:asciiTheme="minorHAnsi" w:hAnsiTheme="minorHAnsi"/>
          <w:snapToGrid w:val="0"/>
          <w:lang w:val="en-GB"/>
        </w:rPr>
        <w:t xml:space="preserve">, which are given in the </w:t>
      </w:r>
      <w:r>
        <w:rPr>
          <w:rFonts w:asciiTheme="minorHAnsi" w:hAnsiTheme="minorHAnsi"/>
          <w:snapToGrid w:val="0"/>
          <w:lang w:val="en-GB"/>
        </w:rPr>
        <w:t xml:space="preserve">hospital </w:t>
      </w:r>
      <w:r w:rsidR="00AC3327">
        <w:rPr>
          <w:rFonts w:asciiTheme="minorHAnsi" w:hAnsiTheme="minorHAnsi"/>
          <w:snapToGrid w:val="0"/>
          <w:lang w:val="en-GB"/>
        </w:rPr>
        <w:t xml:space="preserve">inpatient </w:t>
      </w:r>
      <w:r>
        <w:rPr>
          <w:rFonts w:asciiTheme="minorHAnsi" w:hAnsiTheme="minorHAnsi"/>
          <w:snapToGrid w:val="0"/>
          <w:lang w:val="en-GB"/>
        </w:rPr>
        <w:t>setting</w:t>
      </w:r>
      <w:r w:rsidR="00353FDC">
        <w:rPr>
          <w:rFonts w:asciiTheme="minorHAnsi" w:hAnsiTheme="minorHAnsi"/>
          <w:snapToGrid w:val="0"/>
          <w:lang w:val="en-GB"/>
        </w:rPr>
        <w:t xml:space="preserve"> and would not be funded by the PBS for public patients</w:t>
      </w:r>
      <w:r>
        <w:rPr>
          <w:rFonts w:asciiTheme="minorHAnsi" w:hAnsiTheme="minorHAnsi"/>
          <w:snapToGrid w:val="0"/>
          <w:lang w:val="en-GB"/>
        </w:rPr>
        <w:t xml:space="preserve">. </w:t>
      </w:r>
      <w:r w:rsidR="00353FDC">
        <w:rPr>
          <w:rFonts w:asciiTheme="minorHAnsi" w:hAnsiTheme="minorHAnsi"/>
          <w:snapToGrid w:val="0"/>
          <w:lang w:val="en-GB"/>
        </w:rPr>
        <w:t>The PBAC considered that revised estimates provided in the pre-PBAC response, in which the cost offsets associated with pembrolizumab were removed, were reasonable as it was likely that treatment with pembrolizumab would be displaced rather than replaced. Overall, t</w:t>
      </w:r>
      <w:r w:rsidR="000E51D9">
        <w:rPr>
          <w:rFonts w:asciiTheme="minorHAnsi" w:hAnsiTheme="minorHAnsi"/>
          <w:snapToGrid w:val="0"/>
          <w:lang w:val="en-GB"/>
        </w:rPr>
        <w:t>he PBAC considered that the utilisation and financial impact estimates presented in the pre-PBAC response</w:t>
      </w:r>
      <w:r w:rsidR="00353FDC">
        <w:rPr>
          <w:rFonts w:asciiTheme="minorHAnsi" w:hAnsiTheme="minorHAnsi"/>
          <w:snapToGrid w:val="0"/>
          <w:lang w:val="en-GB"/>
        </w:rPr>
        <w:t>, corrected for the inpatient use of tebentafusp in public patients,</w:t>
      </w:r>
      <w:r w:rsidR="000E51D9">
        <w:rPr>
          <w:rFonts w:asciiTheme="minorHAnsi" w:hAnsiTheme="minorHAnsi"/>
          <w:snapToGrid w:val="0"/>
          <w:lang w:val="en-GB"/>
        </w:rPr>
        <w:t xml:space="preserve"> were reasonable.</w:t>
      </w:r>
      <w:r>
        <w:rPr>
          <w:rFonts w:asciiTheme="minorHAnsi" w:hAnsiTheme="minorHAnsi"/>
          <w:snapToGrid w:val="0"/>
          <w:lang w:val="en-GB"/>
        </w:rPr>
        <w:t xml:space="preserve"> </w:t>
      </w:r>
    </w:p>
    <w:p w14:paraId="331AB0A3" w14:textId="3ADC0A46" w:rsidR="000E51D9" w:rsidRDefault="000E51D9" w:rsidP="00D019C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w:t>
      </w:r>
      <w:r w:rsidR="00D33B58">
        <w:rPr>
          <w:rFonts w:asciiTheme="minorHAnsi" w:hAnsiTheme="minorHAnsi"/>
          <w:snapToGrid w:val="0"/>
          <w:lang w:val="en-GB"/>
        </w:rPr>
        <w:t xml:space="preserve"> the proposed restriction, with included edits by the Secretariat, was reasonable. The PBAC noted that the restriction stipulated that the first three doses of tebentafusp were to be given </w:t>
      </w:r>
      <w:r w:rsidR="00353FDC">
        <w:rPr>
          <w:rFonts w:asciiTheme="minorHAnsi" w:hAnsiTheme="minorHAnsi"/>
          <w:snapToGrid w:val="0"/>
          <w:lang w:val="en-GB"/>
        </w:rPr>
        <w:t>in the inpatient</w:t>
      </w:r>
      <w:r w:rsidR="00D33B58">
        <w:rPr>
          <w:rFonts w:asciiTheme="minorHAnsi" w:hAnsiTheme="minorHAnsi"/>
          <w:snapToGrid w:val="0"/>
          <w:lang w:val="en-GB"/>
        </w:rPr>
        <w:t xml:space="preserve"> </w:t>
      </w:r>
      <w:r w:rsidR="00353FDC">
        <w:rPr>
          <w:rFonts w:asciiTheme="minorHAnsi" w:hAnsiTheme="minorHAnsi"/>
          <w:snapToGrid w:val="0"/>
          <w:lang w:val="en-GB"/>
        </w:rPr>
        <w:t>setting d</w:t>
      </w:r>
      <w:r w:rsidR="00D33B58">
        <w:rPr>
          <w:rFonts w:asciiTheme="minorHAnsi" w:hAnsiTheme="minorHAnsi"/>
          <w:snapToGrid w:val="0"/>
          <w:lang w:val="en-GB"/>
        </w:rPr>
        <w:t>ue to the risk of CRS and considered that this was appropriate. The PBAC considered that the proposed stopping rule in the continuing restriction which allowed use until it was no longer clinically beneficial to the patient was reasonable and aligned with the IMCgp100-202 trial.</w:t>
      </w:r>
    </w:p>
    <w:p w14:paraId="55CEEF24" w14:textId="3C1BDD58" w:rsidR="007673DB" w:rsidRPr="007673DB" w:rsidRDefault="007673DB" w:rsidP="007673DB">
      <w:pPr>
        <w:widowControl w:val="0"/>
        <w:numPr>
          <w:ilvl w:val="1"/>
          <w:numId w:val="1"/>
        </w:numPr>
        <w:spacing w:after="120"/>
        <w:rPr>
          <w:rFonts w:asciiTheme="minorHAnsi" w:hAnsiTheme="minorHAnsi"/>
          <w:snapToGrid w:val="0"/>
          <w:lang w:val="en-GB"/>
        </w:rPr>
      </w:pPr>
      <w:r w:rsidRPr="007673DB">
        <w:rPr>
          <w:rFonts w:asciiTheme="minorHAnsi" w:hAnsiTheme="minorHAnsi"/>
          <w:snapToGrid w:val="0"/>
          <w:lang w:val="en-GB"/>
        </w:rPr>
        <w:t>The PBAC considered the outstanding issues could be easily resolved in a simple resubmission for tebentafusp</w:t>
      </w:r>
      <w:r w:rsidR="00481D49">
        <w:rPr>
          <w:rFonts w:asciiTheme="minorHAnsi" w:hAnsiTheme="minorHAnsi"/>
          <w:snapToGrid w:val="0"/>
          <w:lang w:val="en-GB"/>
        </w:rPr>
        <w:t xml:space="preserve">. The PBAC also considered that tebentafusp addresses </w:t>
      </w:r>
      <w:r w:rsidR="00481D49">
        <w:rPr>
          <w:rFonts w:asciiTheme="minorHAnsi" w:hAnsiTheme="minorHAnsi"/>
          <w:snapToGrid w:val="0"/>
          <w:lang w:val="en-GB"/>
        </w:rPr>
        <w:lastRenderedPageBreak/>
        <w:t xml:space="preserve">a high and urgent unmet clinical need and was expected to provide a substantial and clinically relevant improvement in efficacy over any alternative therapies. Therefore, the PBAC considered an </w:t>
      </w:r>
      <w:r w:rsidRPr="00481D49">
        <w:rPr>
          <w:rFonts w:asciiTheme="minorHAnsi" w:hAnsiTheme="minorHAnsi"/>
          <w:snapToGrid w:val="0"/>
          <w:lang w:val="en-GB"/>
        </w:rPr>
        <w:t>early re</w:t>
      </w:r>
      <w:r w:rsidR="00481D49" w:rsidRPr="00481D49">
        <w:rPr>
          <w:rFonts w:asciiTheme="minorHAnsi" w:hAnsiTheme="minorHAnsi"/>
          <w:snapToGrid w:val="0"/>
          <w:lang w:val="en-GB"/>
        </w:rPr>
        <w:t>solution</w:t>
      </w:r>
      <w:r w:rsidRPr="00481D49">
        <w:rPr>
          <w:rFonts w:asciiTheme="minorHAnsi" w:hAnsiTheme="minorHAnsi"/>
          <w:snapToGrid w:val="0"/>
          <w:lang w:val="en-GB"/>
        </w:rPr>
        <w:t xml:space="preserve"> pathway</w:t>
      </w:r>
      <w:r w:rsidR="00481D49">
        <w:rPr>
          <w:rFonts w:asciiTheme="minorHAnsi" w:hAnsiTheme="minorHAnsi"/>
          <w:snapToGrid w:val="0"/>
          <w:lang w:val="en-GB"/>
        </w:rPr>
        <w:t xml:space="preserve"> would be acceptable</w:t>
      </w:r>
      <w:r w:rsidRPr="007673DB">
        <w:rPr>
          <w:rFonts w:asciiTheme="minorHAnsi" w:hAnsiTheme="minorHAnsi"/>
          <w:snapToGrid w:val="0"/>
          <w:lang w:val="en-GB"/>
        </w:rPr>
        <w:t>. If the sponsor accepts this pathway, the following changes may address these outstanding issues without requiring further re-evaluation:</w:t>
      </w:r>
    </w:p>
    <w:p w14:paraId="7EB92B77" w14:textId="67292AF4" w:rsidR="007673DB" w:rsidRPr="0010307B" w:rsidRDefault="007673DB" w:rsidP="007673DB">
      <w:pPr>
        <w:widowControl w:val="0"/>
        <w:numPr>
          <w:ilvl w:val="1"/>
          <w:numId w:val="26"/>
        </w:numPr>
        <w:spacing w:after="120"/>
        <w:ind w:left="1080" w:hanging="360"/>
        <w:rPr>
          <w:rFonts w:asciiTheme="minorHAnsi" w:hAnsiTheme="minorHAnsi"/>
          <w:snapToGrid w:val="0"/>
          <w:lang w:val="en-GB"/>
        </w:rPr>
      </w:pPr>
      <w:r>
        <w:rPr>
          <w:rFonts w:asciiTheme="minorHAnsi" w:hAnsiTheme="minorHAnsi"/>
          <w:snapToGrid w:val="0"/>
          <w:lang w:val="en-GB"/>
        </w:rPr>
        <w:t xml:space="preserve">Provide a revised economic analysis as outlined in paragraph </w:t>
      </w:r>
      <w:r w:rsidRPr="0010307B">
        <w:rPr>
          <w:rFonts w:asciiTheme="minorHAnsi" w:hAnsiTheme="minorHAnsi"/>
          <w:snapToGrid w:val="0"/>
          <w:lang w:val="en-GB"/>
        </w:rPr>
        <w:fldChar w:fldCharType="begin" w:fldLock="1"/>
      </w:r>
      <w:r w:rsidRPr="0010307B">
        <w:rPr>
          <w:rFonts w:asciiTheme="minorHAnsi" w:hAnsiTheme="minorHAnsi"/>
          <w:snapToGrid w:val="0"/>
          <w:lang w:val="en-GB"/>
        </w:rPr>
        <w:instrText xml:space="preserve"> REF _Ref130549357 \r \h  \* MERGEFORMAT </w:instrText>
      </w:r>
      <w:r w:rsidRPr="0010307B">
        <w:rPr>
          <w:rFonts w:asciiTheme="minorHAnsi" w:hAnsiTheme="minorHAnsi"/>
          <w:snapToGrid w:val="0"/>
          <w:lang w:val="en-GB"/>
        </w:rPr>
      </w:r>
      <w:r w:rsidRPr="0010307B">
        <w:rPr>
          <w:rFonts w:asciiTheme="minorHAnsi" w:hAnsiTheme="minorHAnsi"/>
          <w:snapToGrid w:val="0"/>
          <w:lang w:val="en-GB"/>
        </w:rPr>
        <w:fldChar w:fldCharType="separate"/>
      </w:r>
      <w:r w:rsidR="00A53FF4">
        <w:rPr>
          <w:rFonts w:asciiTheme="minorHAnsi" w:hAnsiTheme="minorHAnsi"/>
          <w:snapToGrid w:val="0"/>
          <w:lang w:val="en-GB"/>
        </w:rPr>
        <w:t>7.9</w:t>
      </w:r>
      <w:r w:rsidRPr="0010307B">
        <w:rPr>
          <w:rFonts w:asciiTheme="minorHAnsi" w:hAnsiTheme="minorHAnsi"/>
          <w:snapToGrid w:val="0"/>
          <w:lang w:val="en-GB"/>
        </w:rPr>
        <w:fldChar w:fldCharType="end"/>
      </w:r>
      <w:r w:rsidRPr="0010307B">
        <w:rPr>
          <w:rFonts w:asciiTheme="minorHAnsi" w:hAnsiTheme="minorHAnsi"/>
          <w:snapToGrid w:val="0"/>
          <w:lang w:val="en-GB"/>
        </w:rPr>
        <w:t xml:space="preserve"> that results in an ICER </w:t>
      </w:r>
      <w:r w:rsidR="0010307B">
        <w:rPr>
          <w:rFonts w:asciiTheme="minorHAnsi" w:hAnsiTheme="minorHAnsi"/>
          <w:snapToGrid w:val="0"/>
          <w:lang w:val="en-GB"/>
        </w:rPr>
        <w:t xml:space="preserve">that is </w:t>
      </w:r>
      <w:r w:rsidR="0010307B" w:rsidRPr="0010307B">
        <w:rPr>
          <w:rFonts w:asciiTheme="minorHAnsi" w:hAnsiTheme="minorHAnsi"/>
          <w:snapToGrid w:val="0"/>
          <w:lang w:val="en-GB"/>
        </w:rPr>
        <w:t>no higher than that presented in the revised base case in the pre-PBAC response</w:t>
      </w:r>
      <w:r w:rsidRPr="0010307B">
        <w:rPr>
          <w:rFonts w:asciiTheme="minorHAnsi" w:hAnsiTheme="minorHAnsi"/>
          <w:snapToGrid w:val="0"/>
          <w:lang w:val="en-GB"/>
        </w:rPr>
        <w:t>;</w:t>
      </w:r>
    </w:p>
    <w:p w14:paraId="20C569F2" w14:textId="37E96B1D" w:rsidR="007673DB" w:rsidRDefault="007673DB" w:rsidP="007673DB">
      <w:pPr>
        <w:widowControl w:val="0"/>
        <w:numPr>
          <w:ilvl w:val="1"/>
          <w:numId w:val="26"/>
        </w:numPr>
        <w:spacing w:after="120"/>
        <w:ind w:left="1080" w:hanging="360"/>
        <w:rPr>
          <w:rFonts w:asciiTheme="minorHAnsi" w:hAnsiTheme="minorHAnsi"/>
          <w:snapToGrid w:val="0"/>
          <w:lang w:val="en-GB"/>
        </w:rPr>
      </w:pPr>
      <w:r>
        <w:rPr>
          <w:rFonts w:asciiTheme="minorHAnsi" w:hAnsiTheme="minorHAnsi"/>
          <w:snapToGrid w:val="0"/>
          <w:lang w:val="en-GB"/>
        </w:rPr>
        <w:t>Provide revised financial impact estimates that incorporate the price of tebentafusp as determined by the revised economic analysis; and</w:t>
      </w:r>
    </w:p>
    <w:p w14:paraId="5A73869F" w14:textId="4D69C64D" w:rsidR="007673DB" w:rsidRDefault="007673DB" w:rsidP="007673DB">
      <w:pPr>
        <w:widowControl w:val="0"/>
        <w:numPr>
          <w:ilvl w:val="1"/>
          <w:numId w:val="26"/>
        </w:numPr>
        <w:spacing w:after="120"/>
        <w:ind w:left="1080" w:hanging="360"/>
        <w:rPr>
          <w:rFonts w:asciiTheme="minorHAnsi" w:hAnsiTheme="minorHAnsi"/>
          <w:snapToGrid w:val="0"/>
          <w:lang w:val="en-GB"/>
        </w:rPr>
      </w:pPr>
      <w:r>
        <w:rPr>
          <w:rFonts w:asciiTheme="minorHAnsi" w:hAnsiTheme="minorHAnsi"/>
          <w:snapToGrid w:val="0"/>
          <w:lang w:val="en-GB"/>
        </w:rPr>
        <w:t>Provide a revised restriction that incorporates the changes proposed by the Secretariat.</w:t>
      </w:r>
    </w:p>
    <w:p w14:paraId="507E2A2D" w14:textId="08FCCA4E" w:rsidR="007673DB" w:rsidRDefault="007673DB" w:rsidP="007673DB">
      <w:pPr>
        <w:pStyle w:val="3-BodyText"/>
        <w:rPr>
          <w:bCs/>
          <w:lang w:val="en-GB"/>
        </w:rPr>
      </w:pPr>
      <w:r>
        <w:rPr>
          <w:lang w:val="en-GB"/>
        </w:rPr>
        <w:t xml:space="preserve">The early </w:t>
      </w:r>
      <w:r w:rsidR="00481D49">
        <w:rPr>
          <w:lang w:val="en-GB"/>
        </w:rPr>
        <w:t xml:space="preserve">resolution </w:t>
      </w:r>
      <w:r>
        <w:rPr>
          <w:lang w:val="en-GB"/>
        </w:rPr>
        <w:t>resubmission must be lodged by week 7 of the current PBAC cycle or the next cycle. If the issues cannot be addressed by the sponsor in a simple resubmission and the early re-entry timing is not acceptable, a standard re-entry pathway is available.</w:t>
      </w:r>
      <w:r>
        <w:rPr>
          <w:bCs/>
          <w:lang w:val="en-GB"/>
        </w:rPr>
        <w:t xml:space="preserve"> </w:t>
      </w:r>
    </w:p>
    <w:p w14:paraId="1324E235" w14:textId="77777777" w:rsidR="007673DB" w:rsidRDefault="007673DB" w:rsidP="007673DB">
      <w:pPr>
        <w:pStyle w:val="3-BodyText"/>
        <w:rPr>
          <w:bCs/>
          <w:lang w:val="en-GB"/>
        </w:rPr>
      </w:pPr>
      <w:r>
        <w:rPr>
          <w:bCs/>
          <w:lang w:val="en-GB"/>
        </w:rPr>
        <w:t xml:space="preserve">The PBAC noted that this submission is eligible for an Independent Review. </w:t>
      </w:r>
    </w:p>
    <w:p w14:paraId="46514D9E" w14:textId="77777777" w:rsidR="00B84048" w:rsidRPr="00525B39" w:rsidRDefault="00B84048" w:rsidP="00B84048">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81B6F14" w14:textId="5B869E28" w:rsidR="00B84048" w:rsidRPr="00525B39" w:rsidRDefault="00B84048" w:rsidP="00B84048">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p>
    <w:p w14:paraId="0F813373" w14:textId="10053CE5" w:rsidR="00B84048" w:rsidRDefault="00B84048" w:rsidP="00B84048">
      <w:pPr>
        <w:widowControl w:val="0"/>
        <w:rPr>
          <w:rFonts w:asciiTheme="minorHAnsi" w:hAnsiTheme="minorHAnsi"/>
          <w:b/>
          <w:bCs/>
          <w:snapToGrid w:val="0"/>
        </w:rPr>
      </w:pPr>
    </w:p>
    <w:p w14:paraId="055F1CC7" w14:textId="2E801655" w:rsidR="006316CB" w:rsidRPr="006316CB" w:rsidRDefault="006316CB" w:rsidP="006316CB">
      <w:pPr>
        <w:pStyle w:val="2-SectionHeading"/>
      </w:pPr>
      <w:r w:rsidRPr="00C07617">
        <w:t>Context for Decision</w:t>
      </w:r>
    </w:p>
    <w:p w14:paraId="2CDFB84B" w14:textId="77777777" w:rsidR="006316CB" w:rsidRPr="007129F2" w:rsidRDefault="006316CB" w:rsidP="006316CB">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DADCFFC" w14:textId="3080683E" w:rsidR="006316CB" w:rsidRPr="006316CB" w:rsidRDefault="006316CB" w:rsidP="006316CB">
      <w:pPr>
        <w:pStyle w:val="2-SectionHeading"/>
      </w:pPr>
      <w:r>
        <w:t>Sponsor’s Comment</w:t>
      </w:r>
    </w:p>
    <w:p w14:paraId="0A646946" w14:textId="2CD99F9F" w:rsidR="00B059F3" w:rsidRDefault="006316CB" w:rsidP="006316CB">
      <w:pPr>
        <w:spacing w:after="120"/>
        <w:ind w:left="426" w:firstLine="294"/>
        <w:rPr>
          <w:rFonts w:asciiTheme="minorHAnsi" w:hAnsiTheme="minorHAnsi"/>
          <w:bCs/>
        </w:rPr>
      </w:pPr>
      <w:r w:rsidRPr="00C07617">
        <w:rPr>
          <w:rFonts w:asciiTheme="minorHAnsi" w:hAnsiTheme="minorHAnsi"/>
          <w:bCs/>
        </w:rPr>
        <w:t>The sponsor had no comment.</w:t>
      </w:r>
    </w:p>
    <w:p w14:paraId="5615156F" w14:textId="0A9C70EB" w:rsidR="004336DB" w:rsidRPr="004336DB" w:rsidRDefault="004336DB" w:rsidP="004336DB">
      <w:pPr>
        <w:pStyle w:val="2-SectionHeading"/>
      </w:pPr>
      <w:r w:rsidRPr="004336DB">
        <w:t xml:space="preserve">Corrigendum </w:t>
      </w:r>
    </w:p>
    <w:p w14:paraId="01E42CC1" w14:textId="77777777" w:rsidR="004336DB" w:rsidRPr="004336DB" w:rsidRDefault="004336DB" w:rsidP="00797B88">
      <w:pPr>
        <w:spacing w:after="120" w:line="276" w:lineRule="auto"/>
        <w:ind w:left="360" w:firstLine="360"/>
        <w:jc w:val="left"/>
        <w:rPr>
          <w:rFonts w:asciiTheme="minorHAnsi" w:eastAsia="Calibri" w:hAnsiTheme="minorHAnsi" w:cstheme="minorHAnsi"/>
          <w:lang w:eastAsia="en-US"/>
        </w:rPr>
      </w:pPr>
      <w:r w:rsidRPr="004336DB">
        <w:rPr>
          <w:rFonts w:asciiTheme="minorHAnsi" w:eastAsia="Calibri" w:hAnsiTheme="minorHAnsi" w:cstheme="minorHAnsi"/>
          <w:lang w:eastAsia="en-US"/>
        </w:rPr>
        <w:t xml:space="preserve">The following changes were made: </w:t>
      </w:r>
    </w:p>
    <w:tbl>
      <w:tblPr>
        <w:tblStyle w:val="TableGrid1"/>
        <w:tblW w:w="0" w:type="auto"/>
        <w:tblInd w:w="425" w:type="dxa"/>
        <w:tblLook w:val="04A0" w:firstRow="1" w:lastRow="0" w:firstColumn="1" w:lastColumn="0" w:noHBand="0" w:noVBand="1"/>
      </w:tblPr>
      <w:tblGrid>
        <w:gridCol w:w="6506"/>
        <w:gridCol w:w="1979"/>
      </w:tblGrid>
      <w:tr w:rsidR="004336DB" w:rsidRPr="004336DB" w14:paraId="4609DE99" w14:textId="77777777" w:rsidTr="00047BC2">
        <w:trPr>
          <w:trHeight w:val="546"/>
        </w:trPr>
        <w:tc>
          <w:tcPr>
            <w:tcW w:w="6506" w:type="dxa"/>
          </w:tcPr>
          <w:p w14:paraId="29958B08" w14:textId="77777777" w:rsidR="004336DB" w:rsidRPr="004336DB" w:rsidRDefault="004336DB" w:rsidP="00047BC2">
            <w:pPr>
              <w:pStyle w:val="ListParagraph"/>
              <w:ind w:hanging="357"/>
              <w:jc w:val="center"/>
              <w:rPr>
                <w:rFonts w:ascii="Arial Narrow" w:eastAsia="Calibri" w:hAnsi="Arial Narrow" w:cstheme="minorHAnsi"/>
                <w:b/>
                <w:sz w:val="20"/>
                <w:szCs w:val="20"/>
                <w:lang w:eastAsia="en-US"/>
              </w:rPr>
            </w:pPr>
            <w:r w:rsidRPr="004336DB">
              <w:rPr>
                <w:rFonts w:ascii="Arial Narrow" w:eastAsia="Calibri" w:hAnsi="Arial Narrow" w:cstheme="minorHAnsi"/>
                <w:b/>
                <w:sz w:val="20"/>
                <w:szCs w:val="20"/>
                <w:lang w:eastAsia="en-US"/>
              </w:rPr>
              <w:lastRenderedPageBreak/>
              <w:t>Change made</w:t>
            </w:r>
          </w:p>
        </w:tc>
        <w:tc>
          <w:tcPr>
            <w:tcW w:w="1979" w:type="dxa"/>
          </w:tcPr>
          <w:p w14:paraId="69037E1C" w14:textId="77777777" w:rsidR="004336DB" w:rsidRPr="004336DB" w:rsidRDefault="004336DB" w:rsidP="00047BC2">
            <w:pPr>
              <w:pStyle w:val="ListParagraph"/>
              <w:ind w:hanging="357"/>
              <w:jc w:val="center"/>
              <w:rPr>
                <w:rFonts w:ascii="Arial Narrow" w:eastAsia="Calibri" w:hAnsi="Arial Narrow" w:cstheme="minorHAnsi"/>
                <w:b/>
                <w:sz w:val="20"/>
                <w:szCs w:val="20"/>
                <w:lang w:eastAsia="en-US"/>
              </w:rPr>
            </w:pPr>
            <w:r w:rsidRPr="004336DB">
              <w:rPr>
                <w:rFonts w:ascii="Arial Narrow" w:eastAsia="Calibri" w:hAnsi="Arial Narrow" w:cstheme="minorHAnsi"/>
                <w:b/>
                <w:sz w:val="20"/>
                <w:szCs w:val="20"/>
                <w:lang w:eastAsia="en-US"/>
              </w:rPr>
              <w:t>Date of revision</w:t>
            </w:r>
          </w:p>
        </w:tc>
      </w:tr>
      <w:tr w:rsidR="004336DB" w:rsidRPr="004336DB" w14:paraId="46FE4FB9" w14:textId="77777777" w:rsidTr="00047BC2">
        <w:trPr>
          <w:trHeight w:val="282"/>
        </w:trPr>
        <w:tc>
          <w:tcPr>
            <w:tcW w:w="6506" w:type="dxa"/>
          </w:tcPr>
          <w:p w14:paraId="03AD790A" w14:textId="4F09172C" w:rsidR="004336DB" w:rsidRPr="00047BC2" w:rsidRDefault="004336DB" w:rsidP="00047BC2">
            <w:pPr>
              <w:spacing w:after="0" w:line="240" w:lineRule="auto"/>
              <w:rPr>
                <w:rFonts w:ascii="Arial Narrow" w:eastAsia="Calibri" w:hAnsi="Arial Narrow" w:cs="Times New Roman"/>
                <w:sz w:val="20"/>
                <w:szCs w:val="20"/>
                <w:lang w:eastAsia="en-US"/>
              </w:rPr>
            </w:pPr>
            <w:r w:rsidRPr="00047BC2">
              <w:rPr>
                <w:rFonts w:ascii="Arial Narrow" w:eastAsia="Calibri" w:hAnsi="Arial Narrow" w:cs="Times New Roman"/>
                <w:sz w:val="20"/>
                <w:szCs w:val="20"/>
                <w:lang w:eastAsia="en-US"/>
              </w:rPr>
              <w:t>Table 16: corrected the pre-PBAC utilisation and financial impact estimates</w:t>
            </w:r>
          </w:p>
        </w:tc>
        <w:tc>
          <w:tcPr>
            <w:tcW w:w="1979" w:type="dxa"/>
          </w:tcPr>
          <w:p w14:paraId="310925DD" w14:textId="509858A3" w:rsidR="004336DB" w:rsidRPr="004336DB" w:rsidRDefault="00047BC2" w:rsidP="00047BC2">
            <w:pPr>
              <w:spacing w:after="0" w:line="240" w:lineRule="auto"/>
              <w:rPr>
                <w:rFonts w:ascii="Arial Narrow" w:hAnsi="Arial Narrow" w:cs="Times New Roman"/>
                <w:sz w:val="20"/>
                <w:szCs w:val="20"/>
                <w:lang w:eastAsia="en-US"/>
              </w:rPr>
            </w:pPr>
            <w:r w:rsidRPr="00047BC2">
              <w:rPr>
                <w:rFonts w:ascii="Arial Narrow" w:eastAsia="Calibri" w:hAnsi="Arial Narrow" w:cs="Times New Roman"/>
                <w:sz w:val="20"/>
                <w:szCs w:val="20"/>
                <w:lang w:eastAsia="en-US"/>
              </w:rPr>
              <w:t>6/09/2023</w:t>
            </w:r>
          </w:p>
        </w:tc>
      </w:tr>
      <w:tr w:rsidR="004336DB" w:rsidRPr="004336DB" w14:paraId="38513C01" w14:textId="77777777" w:rsidTr="00047BC2">
        <w:trPr>
          <w:trHeight w:val="282"/>
        </w:trPr>
        <w:tc>
          <w:tcPr>
            <w:tcW w:w="6506" w:type="dxa"/>
          </w:tcPr>
          <w:p w14:paraId="7A2D412E" w14:textId="39611E55" w:rsidR="004336DB" w:rsidRPr="00047BC2" w:rsidRDefault="004336DB" w:rsidP="00047BC2">
            <w:pPr>
              <w:rPr>
                <w:rFonts w:ascii="Arial Narrow" w:eastAsia="Calibri" w:hAnsi="Arial Narrow" w:cs="Times New Roman"/>
                <w:sz w:val="20"/>
                <w:szCs w:val="20"/>
                <w:lang w:eastAsia="en-US"/>
              </w:rPr>
            </w:pPr>
            <w:r w:rsidRPr="00047BC2">
              <w:rPr>
                <w:rFonts w:ascii="Arial Narrow" w:eastAsia="Calibri" w:hAnsi="Arial Narrow" w:cs="Times New Roman"/>
                <w:sz w:val="20"/>
                <w:szCs w:val="20"/>
                <w:lang w:eastAsia="en-US"/>
              </w:rPr>
              <w:t>Paragraph 6.69: corrected the estimated cost to government.</w:t>
            </w:r>
          </w:p>
        </w:tc>
        <w:tc>
          <w:tcPr>
            <w:tcW w:w="1979" w:type="dxa"/>
          </w:tcPr>
          <w:p w14:paraId="352A7181" w14:textId="5DB7F838" w:rsidR="004336DB" w:rsidRPr="00047BC2" w:rsidRDefault="00047BC2" w:rsidP="00047BC2">
            <w:pPr>
              <w:rPr>
                <w:rFonts w:ascii="Arial Narrow" w:eastAsia="Calibri" w:hAnsi="Arial Narrow" w:cs="Times New Roman"/>
                <w:sz w:val="20"/>
                <w:szCs w:val="20"/>
                <w:lang w:eastAsia="en-US"/>
              </w:rPr>
            </w:pPr>
            <w:r w:rsidRPr="00047BC2">
              <w:rPr>
                <w:rFonts w:ascii="Arial Narrow" w:eastAsia="Calibri" w:hAnsi="Arial Narrow" w:cs="Times New Roman"/>
                <w:sz w:val="20"/>
                <w:szCs w:val="20"/>
                <w:lang w:eastAsia="en-US"/>
              </w:rPr>
              <w:t>6/09/2023</w:t>
            </w:r>
          </w:p>
        </w:tc>
      </w:tr>
    </w:tbl>
    <w:p w14:paraId="4D084E7C" w14:textId="77777777" w:rsidR="004336DB" w:rsidRDefault="004336DB">
      <w:pPr>
        <w:jc w:val="left"/>
        <w:rPr>
          <w:rFonts w:asciiTheme="minorHAnsi" w:hAnsiTheme="minorHAnsi"/>
          <w:bCs/>
        </w:rPr>
      </w:pPr>
    </w:p>
    <w:p w14:paraId="20092DA2" w14:textId="77777777" w:rsidR="001709C1" w:rsidRDefault="001709C1">
      <w:pPr>
        <w:jc w:val="left"/>
        <w:rPr>
          <w:rFonts w:asciiTheme="minorHAnsi" w:hAnsiTheme="minorHAnsi"/>
          <w:bCs/>
        </w:rPr>
      </w:pPr>
      <w:r>
        <w:rPr>
          <w:rFonts w:asciiTheme="minorHAnsi" w:hAnsiTheme="minorHAnsi"/>
          <w:bCs/>
        </w:rPr>
        <w:br w:type="page"/>
      </w:r>
    </w:p>
    <w:p w14:paraId="585B653F" w14:textId="281A9D16" w:rsidR="00B059F3" w:rsidRPr="00B059F3" w:rsidRDefault="00B059F3" w:rsidP="00B059F3">
      <w:pPr>
        <w:pStyle w:val="ListBullet"/>
        <w:numPr>
          <w:ilvl w:val="0"/>
          <w:numId w:val="0"/>
        </w:numPr>
        <w:ind w:left="360" w:hanging="360"/>
        <w:rPr>
          <w:b/>
          <w:bCs/>
          <w:color w:val="FF0000"/>
          <w:sz w:val="28"/>
          <w:szCs w:val="28"/>
        </w:rPr>
      </w:pPr>
      <w:r w:rsidRPr="00B059F3">
        <w:rPr>
          <w:b/>
          <w:bCs/>
          <w:color w:val="FF0000"/>
          <w:sz w:val="28"/>
          <w:szCs w:val="28"/>
        </w:rPr>
        <w:lastRenderedPageBreak/>
        <w:t xml:space="preserve">Addendum to the March 2023 PBAC </w:t>
      </w:r>
      <w:r w:rsidR="00273A02">
        <w:rPr>
          <w:b/>
          <w:bCs/>
          <w:color w:val="FF0000"/>
          <w:sz w:val="28"/>
          <w:szCs w:val="28"/>
        </w:rPr>
        <w:t>PSD</w:t>
      </w:r>
      <w:r w:rsidRPr="00B059F3">
        <w:rPr>
          <w:b/>
          <w:bCs/>
          <w:color w:val="FF0000"/>
          <w:sz w:val="28"/>
          <w:szCs w:val="28"/>
        </w:rPr>
        <w:t xml:space="preserve">: </w:t>
      </w:r>
    </w:p>
    <w:p w14:paraId="1538FF0E" w14:textId="113D3D4F" w:rsidR="00B059F3" w:rsidRPr="000A74B9" w:rsidRDefault="00B059F3" w:rsidP="00B059F3">
      <w:pPr>
        <w:pStyle w:val="1-MainHeading"/>
      </w:pPr>
      <w:r>
        <w:t>7.02</w:t>
      </w:r>
      <w:r>
        <w:tab/>
      </w:r>
      <w:r w:rsidRPr="008D24C7">
        <w:t>TEBENTAFUSP</w:t>
      </w:r>
      <w:r>
        <w:t>,</w:t>
      </w:r>
      <w:r>
        <w:br/>
      </w:r>
      <w:r w:rsidRPr="008D24C7">
        <w:t>Solution concentrate for I.V. infusion</w:t>
      </w:r>
      <w:r>
        <w:t xml:space="preserve"> </w:t>
      </w:r>
      <w:r w:rsidRPr="008D24C7">
        <w:t>100 mcg in 0.5mL vial</w:t>
      </w:r>
      <w:r>
        <w:t>,</w:t>
      </w:r>
      <w:r>
        <w:br/>
      </w:r>
      <w:r w:rsidRPr="008D24C7">
        <w:t>Kimmtrak</w:t>
      </w:r>
      <w:r w:rsidRPr="004A6040">
        <w:rPr>
          <w:vertAlign w:val="superscript"/>
        </w:rPr>
        <w:t>®</w:t>
      </w:r>
      <w:r w:rsidRPr="004A6040">
        <w:t>,</w:t>
      </w:r>
      <w:r w:rsidRPr="004A6040">
        <w:br/>
      </w:r>
      <w:r w:rsidRPr="00732424">
        <w:t>Synevi Pty Limited</w:t>
      </w:r>
    </w:p>
    <w:p w14:paraId="469D727C" w14:textId="77777777" w:rsidR="00B059F3" w:rsidRPr="0090150D" w:rsidRDefault="00B059F3" w:rsidP="00B059F3">
      <w:pPr>
        <w:pStyle w:val="2-SectionHeading"/>
      </w:pPr>
      <w:r>
        <w:t>Background</w:t>
      </w:r>
    </w:p>
    <w:p w14:paraId="213DD3F1" w14:textId="77777777" w:rsidR="00B059F3" w:rsidRPr="007E1264" w:rsidRDefault="00B059F3" w:rsidP="00B059F3">
      <w:pPr>
        <w:widowControl w:val="0"/>
        <w:numPr>
          <w:ilvl w:val="1"/>
          <w:numId w:val="1"/>
        </w:numPr>
        <w:spacing w:after="120"/>
        <w:rPr>
          <w:rFonts w:asciiTheme="minorHAnsi" w:hAnsiTheme="minorHAnsi"/>
          <w:b/>
          <w:bCs/>
          <w:snapToGrid w:val="0"/>
        </w:rPr>
      </w:pPr>
      <w:r w:rsidRPr="00620982">
        <w:t xml:space="preserve">The </w:t>
      </w:r>
      <w:r>
        <w:t>resubmission</w:t>
      </w:r>
      <w:r w:rsidRPr="00620982">
        <w:t xml:space="preserve"> requested Section 100 (Efficient Funding of Chemotherapy), Authority Required (telephone/online) listing for tebentafusp for the treatment of HLA-A*02:01-positive adult patients with advanced (unresectable or metastatic) UM.</w:t>
      </w:r>
    </w:p>
    <w:p w14:paraId="5BF896AC" w14:textId="77777777" w:rsidR="00B059F3" w:rsidRPr="007E1264" w:rsidRDefault="00B059F3" w:rsidP="00B059F3">
      <w:pPr>
        <w:widowControl w:val="0"/>
        <w:numPr>
          <w:ilvl w:val="1"/>
          <w:numId w:val="1"/>
        </w:numPr>
        <w:spacing w:after="120"/>
        <w:rPr>
          <w:rFonts w:asciiTheme="minorHAnsi" w:hAnsiTheme="minorHAnsi"/>
          <w:b/>
          <w:bCs/>
          <w:snapToGrid w:val="0"/>
        </w:rPr>
      </w:pPr>
      <w:r>
        <w:t>The resubmission was made under the early resolution pathway and sought to address the PBAC’s concerns from the March 2023 meeting.</w:t>
      </w:r>
    </w:p>
    <w:p w14:paraId="6AB92151" w14:textId="77777777" w:rsidR="00B059F3" w:rsidRPr="007E1264" w:rsidRDefault="00B059F3" w:rsidP="00B059F3">
      <w:pPr>
        <w:widowControl w:val="0"/>
        <w:numPr>
          <w:ilvl w:val="1"/>
          <w:numId w:val="1"/>
        </w:numPr>
        <w:spacing w:after="120"/>
        <w:rPr>
          <w:rFonts w:asciiTheme="minorHAnsi" w:hAnsiTheme="minorHAnsi"/>
          <w:b/>
          <w:bCs/>
          <w:snapToGrid w:val="0"/>
        </w:rPr>
      </w:pPr>
      <w:r>
        <w:rPr>
          <w:rFonts w:asciiTheme="minorHAnsi" w:hAnsiTheme="minorHAnsi"/>
          <w:snapToGrid w:val="0"/>
        </w:rPr>
        <w:t>In March 2023, the PBAC considered that the outstanding issues could be resolved in a simple resubmission. The PBAC considered that if the following issues were addressed, then the resubmission would not require further re-evaluation:</w:t>
      </w:r>
    </w:p>
    <w:p w14:paraId="5B4022A6" w14:textId="77777777" w:rsidR="00B059F3" w:rsidRPr="007E1264" w:rsidRDefault="00B059F3" w:rsidP="00B059F3">
      <w:pPr>
        <w:pStyle w:val="3-BodyText"/>
        <w:numPr>
          <w:ilvl w:val="1"/>
          <w:numId w:val="31"/>
        </w:numPr>
        <w:ind w:left="1080"/>
        <w:rPr>
          <w:b/>
          <w:bCs/>
        </w:rPr>
      </w:pPr>
      <w:r>
        <w:rPr>
          <w:lang w:val="en-GB"/>
        </w:rPr>
        <w:t>A revised economic analysis based on that presented in the pre-PBAC response and which had a reduced time horizon of 7.5 years and utility weights based on whether patients were or were not receiving treatment. The PBAC advised that a price reduction would be required to result in an ICER that was no higher than that presented in the pre-PBAC response;</w:t>
      </w:r>
    </w:p>
    <w:p w14:paraId="467E2EAB" w14:textId="77777777" w:rsidR="00B059F3" w:rsidRPr="007E1264" w:rsidRDefault="00B059F3" w:rsidP="00B059F3">
      <w:pPr>
        <w:pStyle w:val="3-BodyText"/>
        <w:numPr>
          <w:ilvl w:val="1"/>
          <w:numId w:val="31"/>
        </w:numPr>
        <w:ind w:left="1080"/>
        <w:rPr>
          <w:b/>
          <w:bCs/>
        </w:rPr>
      </w:pPr>
      <w:r>
        <w:rPr>
          <w:lang w:val="en-GB"/>
        </w:rPr>
        <w:t>Revised financial estimates that incorporate the revised price of tebentafusp; and</w:t>
      </w:r>
    </w:p>
    <w:p w14:paraId="71D13354" w14:textId="77777777" w:rsidR="00B059F3" w:rsidRPr="007E1264" w:rsidRDefault="00B059F3" w:rsidP="00B059F3">
      <w:pPr>
        <w:pStyle w:val="3-BodyText"/>
        <w:numPr>
          <w:ilvl w:val="1"/>
          <w:numId w:val="31"/>
        </w:numPr>
        <w:ind w:left="1080"/>
        <w:rPr>
          <w:b/>
          <w:bCs/>
        </w:rPr>
      </w:pPr>
      <w:r w:rsidRPr="007E1264">
        <w:rPr>
          <w:lang w:val="en-GB"/>
        </w:rPr>
        <w:t>A revised restriction that incorporated the changes proposed by the Secretariat.</w:t>
      </w:r>
    </w:p>
    <w:p w14:paraId="01AB1C39" w14:textId="77777777" w:rsidR="00B059F3" w:rsidRPr="007E1264" w:rsidRDefault="00B059F3" w:rsidP="00B059F3">
      <w:pPr>
        <w:widowControl w:val="0"/>
        <w:numPr>
          <w:ilvl w:val="1"/>
          <w:numId w:val="1"/>
        </w:numPr>
        <w:spacing w:after="120"/>
        <w:rPr>
          <w:rFonts w:asciiTheme="minorHAnsi" w:hAnsiTheme="minorHAnsi"/>
          <w:b/>
          <w:bCs/>
          <w:snapToGrid w:val="0"/>
        </w:rPr>
      </w:pPr>
      <w:r>
        <w:rPr>
          <w:rFonts w:asciiTheme="minorHAnsi" w:hAnsiTheme="minorHAnsi"/>
          <w:snapToGrid w:val="0"/>
          <w:lang w:val="en-GB"/>
        </w:rPr>
        <w:fldChar w:fldCharType="begin" w:fldLock="1"/>
      </w:r>
      <w:r>
        <w:rPr>
          <w:rFonts w:asciiTheme="minorHAnsi" w:hAnsiTheme="minorHAnsi"/>
          <w:snapToGrid w:val="0"/>
          <w:lang w:val="en-GB"/>
        </w:rPr>
        <w:instrText xml:space="preserve"> REF _Ref144384281 \h </w:instrText>
      </w:r>
      <w:r>
        <w:rPr>
          <w:rFonts w:asciiTheme="minorHAnsi" w:hAnsiTheme="minorHAnsi"/>
          <w:snapToGrid w:val="0"/>
          <w:lang w:val="en-GB"/>
        </w:rPr>
      </w:r>
      <w:r>
        <w:rPr>
          <w:rFonts w:asciiTheme="minorHAnsi" w:hAnsiTheme="minorHAnsi"/>
          <w:snapToGrid w:val="0"/>
          <w:lang w:val="en-GB"/>
        </w:rPr>
        <w:fldChar w:fldCharType="separate"/>
      </w:r>
      <w:r>
        <w:t xml:space="preserve">Table </w:t>
      </w:r>
      <w:r>
        <w:rPr>
          <w:noProof/>
        </w:rPr>
        <w:t>17</w:t>
      </w:r>
      <w:r>
        <w:rPr>
          <w:rFonts w:asciiTheme="minorHAnsi" w:hAnsiTheme="minorHAnsi"/>
          <w:snapToGrid w:val="0"/>
          <w:lang w:val="en-GB"/>
        </w:rPr>
        <w:fldChar w:fldCharType="end"/>
      </w:r>
      <w:r>
        <w:rPr>
          <w:rFonts w:asciiTheme="minorHAnsi" w:hAnsiTheme="minorHAnsi"/>
          <w:snapToGrid w:val="0"/>
          <w:lang w:val="en-GB"/>
        </w:rPr>
        <w:t xml:space="preserve"> summarises how the resubmission addressed each of these issues.</w:t>
      </w:r>
    </w:p>
    <w:p w14:paraId="1C66702E" w14:textId="77777777" w:rsidR="00B059F3" w:rsidRPr="00E77B5C" w:rsidRDefault="00B059F3" w:rsidP="00B059F3">
      <w:pPr>
        <w:pStyle w:val="TableFigureHeading"/>
      </w:pPr>
      <w:bookmarkStart w:id="88" w:name="_Ref144384281"/>
      <w:r>
        <w:lastRenderedPageBreak/>
        <w:t xml:space="preserve">Table </w:t>
      </w:r>
      <w:fldSimple w:instr=" SEQ Table \* ARABIC " w:fldLock="1">
        <w:r>
          <w:rPr>
            <w:noProof/>
          </w:rPr>
          <w:t>17</w:t>
        </w:r>
      </w:fldSimple>
      <w:bookmarkEnd w:id="88"/>
      <w:r w:rsidRPr="00E77B5C">
        <w:t>:</w:t>
      </w:r>
      <w:r>
        <w:t xml:space="preserve"> </w:t>
      </w:r>
      <w:r w:rsidRPr="00E77B5C">
        <w:t xml:space="preserve">Summary of changes made in the resubmission </w:t>
      </w:r>
    </w:p>
    <w:tbl>
      <w:tblPr>
        <w:tblStyle w:val="TableGrid"/>
        <w:tblW w:w="9261" w:type="dxa"/>
        <w:tblLook w:val="04A0" w:firstRow="1" w:lastRow="0" w:firstColumn="1" w:lastColumn="0" w:noHBand="0" w:noVBand="1"/>
      </w:tblPr>
      <w:tblGrid>
        <w:gridCol w:w="4531"/>
        <w:gridCol w:w="4721"/>
        <w:gridCol w:w="9"/>
      </w:tblGrid>
      <w:tr w:rsidR="00B059F3" w14:paraId="2B2A8F0A" w14:textId="77777777" w:rsidTr="00BE57BE">
        <w:trPr>
          <w:gridAfter w:val="1"/>
          <w:wAfter w:w="9" w:type="dxa"/>
          <w:cantSplit/>
          <w:tblHeader/>
        </w:trPr>
        <w:tc>
          <w:tcPr>
            <w:tcW w:w="4531" w:type="dxa"/>
          </w:tcPr>
          <w:p w14:paraId="20EA5468" w14:textId="7D0D5CA8" w:rsidR="00B059F3" w:rsidRPr="000E0775" w:rsidRDefault="00B059F3" w:rsidP="00BE57BE">
            <w:pPr>
              <w:keepNext/>
              <w:keepLines/>
              <w:jc w:val="center"/>
              <w:rPr>
                <w:rFonts w:ascii="Arial Narrow" w:hAnsi="Arial Narrow"/>
                <w:b/>
                <w:bCs/>
                <w:sz w:val="20"/>
                <w:szCs w:val="20"/>
              </w:rPr>
            </w:pPr>
            <w:r>
              <w:rPr>
                <w:rFonts w:ascii="Arial Narrow" w:hAnsi="Arial Narrow"/>
                <w:b/>
                <w:bCs/>
                <w:sz w:val="20"/>
                <w:szCs w:val="20"/>
              </w:rPr>
              <w:t xml:space="preserve">Outstanding issues from the March 2023 </w:t>
            </w:r>
            <w:r w:rsidRPr="000E0775">
              <w:rPr>
                <w:rFonts w:ascii="Arial Narrow" w:hAnsi="Arial Narrow"/>
                <w:b/>
                <w:bCs/>
                <w:sz w:val="20"/>
                <w:szCs w:val="20"/>
              </w:rPr>
              <w:t xml:space="preserve">PBAC </w:t>
            </w:r>
            <w:r w:rsidR="004B10FD">
              <w:rPr>
                <w:rFonts w:ascii="Arial Narrow" w:hAnsi="Arial Narrow"/>
                <w:b/>
                <w:bCs/>
                <w:sz w:val="20"/>
                <w:szCs w:val="20"/>
              </w:rPr>
              <w:t>PSD</w:t>
            </w:r>
            <w:r w:rsidRPr="000E0775">
              <w:rPr>
                <w:rFonts w:ascii="Arial Narrow" w:hAnsi="Arial Narrow"/>
                <w:b/>
                <w:bCs/>
                <w:sz w:val="20"/>
                <w:szCs w:val="20"/>
              </w:rPr>
              <w:t xml:space="preserve"> </w:t>
            </w:r>
          </w:p>
        </w:tc>
        <w:tc>
          <w:tcPr>
            <w:tcW w:w="4721" w:type="dxa"/>
          </w:tcPr>
          <w:p w14:paraId="58B4CD08" w14:textId="77777777" w:rsidR="00B059F3" w:rsidRPr="000E0775" w:rsidRDefault="00B059F3" w:rsidP="00BE57BE">
            <w:pPr>
              <w:keepNext/>
              <w:keepLines/>
              <w:jc w:val="center"/>
              <w:rPr>
                <w:rFonts w:ascii="Arial Narrow" w:hAnsi="Arial Narrow"/>
                <w:b/>
                <w:bCs/>
                <w:sz w:val="20"/>
                <w:szCs w:val="20"/>
              </w:rPr>
            </w:pPr>
            <w:r>
              <w:rPr>
                <w:rFonts w:ascii="Arial Narrow" w:hAnsi="Arial Narrow"/>
                <w:b/>
                <w:bCs/>
                <w:sz w:val="20"/>
                <w:szCs w:val="20"/>
              </w:rPr>
              <w:t>How the issue was addressed in the e</w:t>
            </w:r>
            <w:r w:rsidRPr="000E0775">
              <w:rPr>
                <w:rFonts w:ascii="Arial Narrow" w:hAnsi="Arial Narrow"/>
                <w:b/>
                <w:bCs/>
                <w:sz w:val="20"/>
                <w:szCs w:val="20"/>
              </w:rPr>
              <w:t>arly resolution resubmission</w:t>
            </w:r>
          </w:p>
        </w:tc>
      </w:tr>
      <w:tr w:rsidR="00B059F3" w14:paraId="0D91DD49" w14:textId="77777777" w:rsidTr="00BE57BE">
        <w:trPr>
          <w:cantSplit/>
        </w:trPr>
        <w:tc>
          <w:tcPr>
            <w:tcW w:w="9261" w:type="dxa"/>
            <w:gridSpan w:val="3"/>
          </w:tcPr>
          <w:p w14:paraId="1ABE3206" w14:textId="77777777" w:rsidR="00B059F3" w:rsidRPr="000E0775" w:rsidRDefault="00B059F3" w:rsidP="00BE57BE">
            <w:pPr>
              <w:keepNext/>
              <w:keepLines/>
              <w:rPr>
                <w:rFonts w:ascii="Arial Narrow" w:hAnsi="Arial Narrow"/>
                <w:b/>
                <w:bCs/>
                <w:sz w:val="20"/>
                <w:szCs w:val="20"/>
              </w:rPr>
            </w:pPr>
            <w:r>
              <w:rPr>
                <w:rFonts w:ascii="Arial Narrow" w:hAnsi="Arial Narrow"/>
                <w:b/>
                <w:bCs/>
                <w:sz w:val="20"/>
                <w:szCs w:val="20"/>
              </w:rPr>
              <w:t>Restriction</w:t>
            </w:r>
          </w:p>
        </w:tc>
      </w:tr>
      <w:tr w:rsidR="00B059F3" w14:paraId="3DED5B0D" w14:textId="77777777" w:rsidTr="00BE57BE">
        <w:trPr>
          <w:gridAfter w:val="1"/>
          <w:wAfter w:w="9" w:type="dxa"/>
          <w:cantSplit/>
        </w:trPr>
        <w:tc>
          <w:tcPr>
            <w:tcW w:w="4531" w:type="dxa"/>
          </w:tcPr>
          <w:p w14:paraId="2FE2E97A" w14:textId="77777777" w:rsidR="00B059F3" w:rsidRPr="006B1A52" w:rsidRDefault="00B059F3" w:rsidP="00BE57BE">
            <w:pPr>
              <w:keepNext/>
              <w:keepLines/>
              <w:rPr>
                <w:rFonts w:ascii="Arial Narrow" w:hAnsi="Arial Narrow"/>
                <w:sz w:val="20"/>
                <w:szCs w:val="20"/>
              </w:rPr>
            </w:pPr>
            <w:r>
              <w:rPr>
                <w:rFonts w:ascii="Arial Narrow" w:hAnsi="Arial Narrow"/>
                <w:sz w:val="20"/>
                <w:szCs w:val="20"/>
              </w:rPr>
              <w:t>The restriction should include the changes proposed by the Secretariat and stipulate that the first three doses of tebentafusp were to be given in the inpatient setting due to the risk of CRS (paragraphs 7.11 and 7.12)</w:t>
            </w:r>
          </w:p>
        </w:tc>
        <w:tc>
          <w:tcPr>
            <w:tcW w:w="4721" w:type="dxa"/>
          </w:tcPr>
          <w:p w14:paraId="2F23AA63" w14:textId="77777777" w:rsidR="00B059F3" w:rsidRPr="00E77B5C" w:rsidRDefault="00B059F3" w:rsidP="00BE57BE">
            <w:pPr>
              <w:keepNext/>
              <w:keepLines/>
              <w:contextualSpacing/>
              <w:jc w:val="left"/>
              <w:rPr>
                <w:rFonts w:ascii="Arial Narrow" w:hAnsi="Arial Narrow"/>
                <w:sz w:val="20"/>
                <w:szCs w:val="20"/>
              </w:rPr>
            </w:pPr>
            <w:r>
              <w:rPr>
                <w:rFonts w:ascii="Arial Narrow" w:hAnsi="Arial Narrow"/>
                <w:sz w:val="20"/>
                <w:szCs w:val="20"/>
              </w:rPr>
              <w:t>The restriction was revised as requested (See Section 9 – Requested listing).</w:t>
            </w:r>
          </w:p>
          <w:p w14:paraId="064C733B" w14:textId="77777777" w:rsidR="00B059F3" w:rsidRPr="006B1A52" w:rsidRDefault="00B059F3" w:rsidP="00BE57BE">
            <w:pPr>
              <w:keepNext/>
              <w:keepLines/>
              <w:rPr>
                <w:rFonts w:ascii="Arial Narrow" w:hAnsi="Arial Narrow"/>
                <w:sz w:val="20"/>
                <w:szCs w:val="20"/>
              </w:rPr>
            </w:pPr>
          </w:p>
        </w:tc>
      </w:tr>
      <w:tr w:rsidR="00B059F3" w14:paraId="62085879" w14:textId="77777777" w:rsidTr="00BE57BE">
        <w:trPr>
          <w:cantSplit/>
        </w:trPr>
        <w:tc>
          <w:tcPr>
            <w:tcW w:w="9261" w:type="dxa"/>
            <w:gridSpan w:val="3"/>
          </w:tcPr>
          <w:p w14:paraId="55CAD98A" w14:textId="77777777" w:rsidR="00B059F3" w:rsidRPr="000E0775" w:rsidRDefault="00B059F3" w:rsidP="00BE57BE">
            <w:pPr>
              <w:keepNext/>
              <w:keepLines/>
              <w:rPr>
                <w:rFonts w:ascii="Arial Narrow" w:hAnsi="Arial Narrow"/>
                <w:b/>
                <w:bCs/>
                <w:sz w:val="20"/>
                <w:szCs w:val="20"/>
              </w:rPr>
            </w:pPr>
            <w:r w:rsidRPr="000E0775">
              <w:rPr>
                <w:rFonts w:ascii="Arial Narrow" w:hAnsi="Arial Narrow"/>
                <w:b/>
                <w:bCs/>
                <w:sz w:val="20"/>
                <w:szCs w:val="20"/>
              </w:rPr>
              <w:t>Economic model</w:t>
            </w:r>
          </w:p>
        </w:tc>
      </w:tr>
      <w:tr w:rsidR="00B059F3" w14:paraId="4256E86A" w14:textId="77777777" w:rsidTr="00BE57BE">
        <w:trPr>
          <w:gridAfter w:val="1"/>
          <w:wAfter w:w="9" w:type="dxa"/>
          <w:cantSplit/>
        </w:trPr>
        <w:tc>
          <w:tcPr>
            <w:tcW w:w="4531" w:type="dxa"/>
          </w:tcPr>
          <w:p w14:paraId="753715E3" w14:textId="77777777" w:rsidR="00B059F3" w:rsidRPr="002F4488" w:rsidRDefault="00B059F3" w:rsidP="00BE57BE">
            <w:pPr>
              <w:keepNext/>
              <w:keepLines/>
              <w:contextualSpacing/>
              <w:jc w:val="left"/>
              <w:rPr>
                <w:rFonts w:ascii="Arial Narrow" w:hAnsi="Arial Narrow"/>
                <w:sz w:val="20"/>
                <w:szCs w:val="20"/>
              </w:rPr>
            </w:pPr>
            <w:r>
              <w:rPr>
                <w:rFonts w:ascii="Arial Narrow" w:hAnsi="Arial Narrow"/>
                <w:sz w:val="20"/>
                <w:szCs w:val="20"/>
              </w:rPr>
              <w:t>The economic model should:</w:t>
            </w:r>
          </w:p>
          <w:p w14:paraId="5D4F8FF0" w14:textId="77777777" w:rsidR="00B059F3" w:rsidRDefault="00B059F3" w:rsidP="00B059F3">
            <w:pPr>
              <w:pStyle w:val="ListParagraph"/>
              <w:keepNext/>
              <w:keepLines/>
              <w:numPr>
                <w:ilvl w:val="0"/>
                <w:numId w:val="32"/>
              </w:numPr>
              <w:spacing w:after="0"/>
              <w:ind w:left="175" w:hanging="142"/>
              <w:contextualSpacing/>
              <w:jc w:val="left"/>
              <w:rPr>
                <w:rFonts w:ascii="Arial Narrow" w:hAnsi="Arial Narrow"/>
                <w:sz w:val="20"/>
                <w:szCs w:val="20"/>
              </w:rPr>
            </w:pPr>
            <w:r>
              <w:rPr>
                <w:rFonts w:ascii="Arial Narrow" w:hAnsi="Arial Narrow"/>
                <w:sz w:val="20"/>
                <w:szCs w:val="20"/>
              </w:rPr>
              <w:t>A</w:t>
            </w:r>
            <w:r w:rsidRPr="004715B2">
              <w:rPr>
                <w:rFonts w:ascii="Arial Narrow" w:hAnsi="Arial Narrow"/>
                <w:sz w:val="20"/>
                <w:szCs w:val="20"/>
              </w:rPr>
              <w:t xml:space="preserve">pply </w:t>
            </w:r>
            <w:r>
              <w:rPr>
                <w:rFonts w:ascii="Arial Narrow" w:hAnsi="Arial Narrow"/>
                <w:sz w:val="20"/>
                <w:szCs w:val="20"/>
              </w:rPr>
              <w:t>a time horizon of 7.5 years (paragraph 7.9).</w:t>
            </w:r>
          </w:p>
          <w:p w14:paraId="5051C85F" w14:textId="77777777" w:rsidR="00B059F3" w:rsidRPr="007E1264" w:rsidRDefault="00B059F3" w:rsidP="00BE57BE">
            <w:pPr>
              <w:pStyle w:val="ListBullet"/>
              <w:keepNext/>
              <w:keepLines/>
              <w:numPr>
                <w:ilvl w:val="0"/>
                <w:numId w:val="0"/>
              </w:numPr>
              <w:ind w:left="360"/>
            </w:pPr>
          </w:p>
          <w:p w14:paraId="6C80CAB6" w14:textId="77777777" w:rsidR="00B059F3" w:rsidRDefault="00B059F3" w:rsidP="00B059F3">
            <w:pPr>
              <w:pStyle w:val="ListParagraph"/>
              <w:keepNext/>
              <w:keepLines/>
              <w:numPr>
                <w:ilvl w:val="0"/>
                <w:numId w:val="32"/>
              </w:numPr>
              <w:spacing w:after="0"/>
              <w:ind w:left="175" w:hanging="142"/>
              <w:contextualSpacing/>
              <w:jc w:val="left"/>
              <w:rPr>
                <w:rFonts w:ascii="Arial Narrow" w:hAnsi="Arial Narrow"/>
                <w:sz w:val="20"/>
                <w:szCs w:val="20"/>
              </w:rPr>
            </w:pPr>
            <w:r>
              <w:rPr>
                <w:rFonts w:ascii="Arial Narrow" w:hAnsi="Arial Narrow"/>
                <w:sz w:val="20"/>
                <w:szCs w:val="20"/>
              </w:rPr>
              <w:t>Apply utility weights based on whether a patient was or was not receiving treatment (paragraph 7.9).</w:t>
            </w:r>
          </w:p>
          <w:p w14:paraId="23ED9F08" w14:textId="77777777" w:rsidR="00B059F3" w:rsidRDefault="00B059F3" w:rsidP="00BE57BE">
            <w:pPr>
              <w:pStyle w:val="ListParagraph"/>
              <w:keepNext/>
              <w:keepLines/>
              <w:spacing w:after="0"/>
              <w:ind w:left="175"/>
              <w:contextualSpacing/>
              <w:jc w:val="left"/>
              <w:rPr>
                <w:rFonts w:ascii="Arial Narrow" w:hAnsi="Arial Narrow"/>
                <w:sz w:val="20"/>
                <w:szCs w:val="20"/>
              </w:rPr>
            </w:pPr>
          </w:p>
          <w:p w14:paraId="6DFAB392" w14:textId="320D10C4" w:rsidR="00B059F3" w:rsidRPr="004715B2" w:rsidRDefault="00B059F3" w:rsidP="00B059F3">
            <w:pPr>
              <w:pStyle w:val="ListParagraph"/>
              <w:keepNext/>
              <w:keepLines/>
              <w:numPr>
                <w:ilvl w:val="0"/>
                <w:numId w:val="32"/>
              </w:numPr>
              <w:spacing w:after="0"/>
              <w:ind w:left="175" w:hanging="142"/>
              <w:contextualSpacing/>
              <w:jc w:val="left"/>
              <w:rPr>
                <w:rFonts w:ascii="Arial Narrow" w:hAnsi="Arial Narrow"/>
                <w:sz w:val="20"/>
                <w:szCs w:val="20"/>
              </w:rPr>
            </w:pPr>
            <w:r>
              <w:rPr>
                <w:rFonts w:ascii="Arial Narrow" w:hAnsi="Arial Narrow"/>
                <w:sz w:val="20"/>
                <w:szCs w:val="20"/>
              </w:rPr>
              <w:t>Reduce the requested price of tebentafusp to result in an ICER that was no higher than that presented in the pre-PBAC response of $</w:t>
            </w:r>
            <w:r w:rsidR="003D4DE8" w:rsidRPr="003D4DE8">
              <w:rPr>
                <w:rFonts w:ascii="Arial Narrow" w:hAnsi="Arial Narrow" w:hint="eastAsia"/>
                <w:color w:val="000000"/>
                <w:w w:val="33"/>
                <w:sz w:val="20"/>
                <w:szCs w:val="20"/>
                <w:shd w:val="solid" w:color="000000" w:fill="000000"/>
                <w:fitText w:val="149" w:id="-1136955136"/>
                <w14:textFill>
                  <w14:solidFill>
                    <w14:srgbClr w14:val="000000">
                      <w14:alpha w14:val="100000"/>
                    </w14:srgbClr>
                  </w14:solidFill>
                </w14:textFill>
              </w:rPr>
              <w:t xml:space="preserve">　</w:t>
            </w:r>
            <w:r w:rsidR="003D4DE8" w:rsidRPr="003D4DE8">
              <w:rPr>
                <w:rFonts w:ascii="Arial Narrow" w:hAnsi="Arial Narrow"/>
                <w:color w:val="000000"/>
                <w:w w:val="33"/>
                <w:sz w:val="20"/>
                <w:szCs w:val="20"/>
                <w:shd w:val="solid" w:color="000000" w:fill="000000"/>
                <w:fitText w:val="149" w:id="-1136955136"/>
                <w14:textFill>
                  <w14:solidFill>
                    <w14:srgbClr w14:val="000000">
                      <w14:alpha w14:val="100000"/>
                    </w14:srgbClr>
                  </w14:solidFill>
                </w14:textFill>
              </w:rPr>
              <w:t>|</w:t>
            </w:r>
            <w:r w:rsidR="003D4DE8" w:rsidRPr="003D4DE8">
              <w:rPr>
                <w:rFonts w:ascii="Arial Narrow" w:hAnsi="Arial Narrow" w:hint="eastAsia"/>
                <w:color w:val="000000"/>
                <w:spacing w:val="3"/>
                <w:w w:val="33"/>
                <w:sz w:val="20"/>
                <w:szCs w:val="20"/>
                <w:shd w:val="solid" w:color="000000" w:fill="000000"/>
                <w:fitText w:val="149" w:id="-1136955136"/>
                <w14:textFill>
                  <w14:solidFill>
                    <w14:srgbClr w14:val="000000">
                      <w14:alpha w14:val="100000"/>
                    </w14:srgbClr>
                  </w14:solidFill>
                </w14:textFill>
              </w:rPr>
              <w:t xml:space="preserve">　</w:t>
            </w:r>
            <w:r w:rsidR="00EE14CE" w:rsidRPr="00EE14CE">
              <w:rPr>
                <w:rFonts w:ascii="Arial Narrow" w:hAnsi="Arial Narrow"/>
                <w:sz w:val="20"/>
                <w:szCs w:val="20"/>
                <w:vertAlign w:val="superscript"/>
              </w:rPr>
              <w:t>1</w:t>
            </w:r>
            <w:r>
              <w:rPr>
                <w:rFonts w:ascii="Arial Narrow" w:hAnsi="Arial Narrow"/>
                <w:sz w:val="20"/>
                <w:szCs w:val="20"/>
              </w:rPr>
              <w:t xml:space="preserve"> per QALY (paragraph 7.9).</w:t>
            </w:r>
          </w:p>
        </w:tc>
        <w:tc>
          <w:tcPr>
            <w:tcW w:w="4721" w:type="dxa"/>
          </w:tcPr>
          <w:p w14:paraId="45C7D4AF" w14:textId="77777777" w:rsidR="00B059F3" w:rsidRDefault="00B059F3" w:rsidP="00BE57BE">
            <w:pPr>
              <w:keepNext/>
              <w:keepLines/>
              <w:rPr>
                <w:rFonts w:ascii="Arial Narrow" w:hAnsi="Arial Narrow" w:cstheme="minorHAnsi"/>
                <w:sz w:val="20"/>
                <w:szCs w:val="20"/>
              </w:rPr>
            </w:pPr>
          </w:p>
          <w:p w14:paraId="1E37261A" w14:textId="77777777" w:rsidR="00B059F3" w:rsidRPr="007E1264" w:rsidRDefault="00B059F3" w:rsidP="00B059F3">
            <w:pPr>
              <w:pStyle w:val="ListParagraph"/>
              <w:keepNext/>
              <w:keepLines/>
              <w:numPr>
                <w:ilvl w:val="0"/>
                <w:numId w:val="32"/>
              </w:numPr>
              <w:spacing w:after="0"/>
              <w:ind w:left="175" w:hanging="142"/>
              <w:rPr>
                <w:rFonts w:ascii="Arial Narrow" w:hAnsi="Arial Narrow" w:cstheme="minorHAnsi"/>
                <w:sz w:val="20"/>
                <w:szCs w:val="20"/>
              </w:rPr>
            </w:pPr>
            <w:r w:rsidRPr="007E1264">
              <w:rPr>
                <w:rFonts w:ascii="Arial Narrow" w:hAnsi="Arial Narrow" w:cstheme="minorHAnsi"/>
                <w:sz w:val="20"/>
                <w:szCs w:val="20"/>
              </w:rPr>
              <w:t>The resubmission reduced the time horizon from 15 years in the pre-PBAC response to 10 years in the resubmission.</w:t>
            </w:r>
          </w:p>
          <w:p w14:paraId="44BD75D5" w14:textId="77777777" w:rsidR="00B059F3" w:rsidRPr="007E1264" w:rsidRDefault="00B059F3" w:rsidP="00B059F3">
            <w:pPr>
              <w:pStyle w:val="ListBullet"/>
              <w:keepNext/>
              <w:keepLines/>
              <w:numPr>
                <w:ilvl w:val="0"/>
                <w:numId w:val="32"/>
              </w:numPr>
              <w:ind w:left="175" w:hanging="142"/>
              <w:rPr>
                <w:rFonts w:ascii="Arial Narrow" w:hAnsi="Arial Narrow"/>
                <w:sz w:val="20"/>
                <w:szCs w:val="20"/>
              </w:rPr>
            </w:pPr>
            <w:r w:rsidRPr="007E1264">
              <w:rPr>
                <w:rFonts w:ascii="Arial Narrow" w:hAnsi="Arial Narrow"/>
                <w:sz w:val="20"/>
                <w:szCs w:val="20"/>
              </w:rPr>
              <w:t>Utility weights remained based on a time-to-death approach, with a sensitivity analysis presented in which the utilities were assigned based on treatment</w:t>
            </w:r>
            <w:r>
              <w:rPr>
                <w:rFonts w:ascii="Arial Narrow" w:hAnsi="Arial Narrow"/>
                <w:sz w:val="20"/>
                <w:szCs w:val="20"/>
              </w:rPr>
              <w:t>.</w:t>
            </w:r>
          </w:p>
          <w:p w14:paraId="335E43AC" w14:textId="197C6FFB" w:rsidR="00B059F3" w:rsidRPr="007E1264" w:rsidRDefault="00B059F3" w:rsidP="00B059F3">
            <w:pPr>
              <w:pStyle w:val="ListBullet"/>
              <w:keepNext/>
              <w:keepLines/>
              <w:numPr>
                <w:ilvl w:val="0"/>
                <w:numId w:val="32"/>
              </w:numPr>
              <w:ind w:left="175" w:hanging="142"/>
            </w:pPr>
            <w:r w:rsidRPr="007E1264">
              <w:rPr>
                <w:rFonts w:ascii="Arial Narrow" w:hAnsi="Arial Narrow"/>
                <w:sz w:val="20"/>
                <w:szCs w:val="20"/>
              </w:rPr>
              <w:t>The resubmission proposed an AEMP of $</w:t>
            </w:r>
            <w:r w:rsidR="003D4DE8" w:rsidRPr="003D4DE8">
              <w:rPr>
                <w:rFonts w:ascii="Arial Narrow" w:hAnsi="Arial Narrow"/>
                <w:color w:val="000000"/>
                <w:spacing w:val="27"/>
                <w:sz w:val="20"/>
                <w:szCs w:val="20"/>
                <w:shd w:val="solid" w:color="000000" w:fill="000000"/>
                <w:fitText w:val="260" w:id="-1136955135"/>
                <w14:textFill>
                  <w14:solidFill>
                    <w14:srgbClr w14:val="000000">
                      <w14:alpha w14:val="100000"/>
                    </w14:srgbClr>
                  </w14:solidFill>
                </w14:textFill>
              </w:rPr>
              <w:t xml:space="preserve">|  </w:t>
            </w:r>
            <w:r w:rsidR="003D4DE8" w:rsidRPr="003D4DE8">
              <w:rPr>
                <w:rFonts w:ascii="Arial Narrow" w:hAnsi="Arial Narrow"/>
                <w:color w:val="000000"/>
                <w:spacing w:val="3"/>
                <w:sz w:val="20"/>
                <w:szCs w:val="20"/>
                <w:shd w:val="solid" w:color="000000" w:fill="000000"/>
                <w:fitText w:val="260" w:id="-1136955135"/>
                <w14:textFill>
                  <w14:solidFill>
                    <w14:srgbClr w14:val="000000">
                      <w14:alpha w14:val="100000"/>
                    </w14:srgbClr>
                  </w14:solidFill>
                </w14:textFill>
              </w:rPr>
              <w:t>|</w:t>
            </w:r>
            <w:r w:rsidRPr="007E1264">
              <w:rPr>
                <w:rFonts w:ascii="Arial Narrow" w:hAnsi="Arial Narrow"/>
                <w:sz w:val="20"/>
                <w:szCs w:val="20"/>
              </w:rPr>
              <w:t xml:space="preserve"> per vial of tebentafusp, which resulted in a revised ICER of </w:t>
            </w:r>
            <w:r w:rsidRPr="00F67000">
              <w:rPr>
                <w:rFonts w:ascii="Arial Narrow" w:hAnsi="Arial Narrow"/>
                <w:sz w:val="20"/>
                <w:szCs w:val="20"/>
              </w:rPr>
              <w:t>$</w:t>
            </w:r>
            <w:r w:rsidR="003D4DE8" w:rsidRPr="003D4DE8">
              <w:rPr>
                <w:rFonts w:ascii="Arial Narrow" w:hAnsi="Arial Narrow"/>
                <w:color w:val="000000"/>
                <w:w w:val="73"/>
                <w:sz w:val="20"/>
                <w:szCs w:val="20"/>
                <w:shd w:val="solid" w:color="000000" w:fill="000000"/>
                <w:fitText w:val="130" w:id="-1136955134"/>
                <w14:textFill>
                  <w14:solidFill>
                    <w14:srgbClr w14:val="000000">
                      <w14:alpha w14:val="100000"/>
                    </w14:srgbClr>
                  </w14:solidFill>
                </w14:textFill>
              </w:rPr>
              <w:t>|  |</w:t>
            </w:r>
            <w:r w:rsidR="00EE14CE" w:rsidRPr="00EE14CE">
              <w:rPr>
                <w:rFonts w:ascii="Arial Narrow" w:hAnsi="Arial Narrow"/>
                <w:sz w:val="20"/>
                <w:szCs w:val="20"/>
                <w:vertAlign w:val="superscript"/>
              </w:rPr>
              <w:t>1</w:t>
            </w:r>
            <w:r w:rsidRPr="007E1264">
              <w:rPr>
                <w:rFonts w:ascii="Arial Narrow" w:hAnsi="Arial Narrow"/>
                <w:sz w:val="20"/>
                <w:szCs w:val="20"/>
              </w:rPr>
              <w:t xml:space="preserve"> per QALY</w:t>
            </w:r>
            <w:r>
              <w:rPr>
                <w:rFonts w:ascii="Arial Narrow" w:hAnsi="Arial Narrow"/>
                <w:sz w:val="20"/>
                <w:szCs w:val="20"/>
              </w:rPr>
              <w:t>.</w:t>
            </w:r>
            <w:r>
              <w:t xml:space="preserve"> </w:t>
            </w:r>
          </w:p>
        </w:tc>
      </w:tr>
      <w:tr w:rsidR="00B059F3" w14:paraId="0DE5B3CE" w14:textId="77777777" w:rsidTr="00BE57BE">
        <w:trPr>
          <w:cantSplit/>
        </w:trPr>
        <w:tc>
          <w:tcPr>
            <w:tcW w:w="9261" w:type="dxa"/>
            <w:gridSpan w:val="3"/>
          </w:tcPr>
          <w:p w14:paraId="1B1EF690" w14:textId="77777777" w:rsidR="00B059F3" w:rsidRPr="000E0775" w:rsidRDefault="00B059F3" w:rsidP="00BE57BE">
            <w:pPr>
              <w:keepNext/>
              <w:keepLines/>
              <w:rPr>
                <w:rFonts w:ascii="Arial Narrow" w:hAnsi="Arial Narrow"/>
                <w:b/>
                <w:bCs/>
                <w:sz w:val="20"/>
                <w:szCs w:val="20"/>
              </w:rPr>
            </w:pPr>
            <w:r>
              <w:rPr>
                <w:rFonts w:ascii="Arial Narrow" w:hAnsi="Arial Narrow"/>
                <w:b/>
                <w:bCs/>
                <w:sz w:val="20"/>
                <w:szCs w:val="20"/>
              </w:rPr>
              <w:t>Financial estimates</w:t>
            </w:r>
          </w:p>
        </w:tc>
      </w:tr>
      <w:tr w:rsidR="00B059F3" w14:paraId="0B6BDE77" w14:textId="77777777" w:rsidTr="00BE57BE">
        <w:trPr>
          <w:gridAfter w:val="1"/>
          <w:wAfter w:w="9" w:type="dxa"/>
          <w:cantSplit/>
        </w:trPr>
        <w:tc>
          <w:tcPr>
            <w:tcW w:w="4531" w:type="dxa"/>
          </w:tcPr>
          <w:p w14:paraId="402F8FDF" w14:textId="77777777" w:rsidR="00B059F3" w:rsidRPr="000E0775" w:rsidRDefault="00B059F3" w:rsidP="00BE57BE">
            <w:pPr>
              <w:keepNext/>
              <w:keepLines/>
              <w:rPr>
                <w:rFonts w:ascii="Arial Narrow" w:hAnsi="Arial Narrow"/>
                <w:sz w:val="20"/>
                <w:szCs w:val="20"/>
              </w:rPr>
            </w:pPr>
            <w:r>
              <w:rPr>
                <w:rFonts w:ascii="Arial Narrow" w:hAnsi="Arial Narrow"/>
                <w:sz w:val="20"/>
                <w:szCs w:val="20"/>
              </w:rPr>
              <w:t>Revised financial estimates should be presented that incorporate the reduced price of tebentafusp (paragraph 7.12).</w:t>
            </w:r>
          </w:p>
        </w:tc>
        <w:tc>
          <w:tcPr>
            <w:tcW w:w="4721" w:type="dxa"/>
          </w:tcPr>
          <w:p w14:paraId="7BAF3407" w14:textId="77777777" w:rsidR="00B059F3" w:rsidRPr="001073E5" w:rsidRDefault="00B059F3" w:rsidP="00BE57BE">
            <w:pPr>
              <w:keepNext/>
              <w:keepLines/>
              <w:rPr>
                <w:rFonts w:ascii="Arial Narrow" w:hAnsi="Arial Narrow" w:cstheme="minorHAnsi"/>
                <w:sz w:val="20"/>
                <w:szCs w:val="20"/>
              </w:rPr>
            </w:pPr>
            <w:r>
              <w:rPr>
                <w:rFonts w:ascii="Arial Narrow" w:hAnsi="Arial Narrow" w:cstheme="minorHAnsi"/>
                <w:sz w:val="20"/>
                <w:szCs w:val="20"/>
              </w:rPr>
              <w:t>The resubmission presented revised financial estimates.</w:t>
            </w:r>
          </w:p>
        </w:tc>
      </w:tr>
    </w:tbl>
    <w:p w14:paraId="444240B0" w14:textId="6366488D" w:rsidR="00B059F3" w:rsidRDefault="00B059F3" w:rsidP="00B059F3">
      <w:pPr>
        <w:pStyle w:val="FooterTableFigure"/>
      </w:pPr>
      <w:r>
        <w:t>AEMP = approved ex-manufacturer price; CRS = cytokine release syndrome; ICER = incremental cost effectiveness ratio; QALY = quality adjusted life year</w:t>
      </w:r>
    </w:p>
    <w:p w14:paraId="0EA5F178" w14:textId="77777777" w:rsidR="00EE14CE" w:rsidRPr="009A6D58" w:rsidRDefault="00EE14CE" w:rsidP="00EE14C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F2D2FEF" w14:textId="5856A977" w:rsidR="00EE14CE" w:rsidRPr="009A6D58" w:rsidRDefault="00EE14CE" w:rsidP="00EE14C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E14CE">
        <w:rPr>
          <w:rFonts w:ascii="Arial Narrow" w:hAnsi="Arial Narrow"/>
          <w:i/>
          <w:sz w:val="18"/>
          <w:szCs w:val="18"/>
        </w:rPr>
        <w:t>$75,000 to &lt; $95,000</w:t>
      </w:r>
    </w:p>
    <w:p w14:paraId="3CB88863" w14:textId="77777777" w:rsidR="00B059F3" w:rsidRPr="0090150D" w:rsidRDefault="00B059F3" w:rsidP="00B059F3">
      <w:pPr>
        <w:pStyle w:val="2-SectionHeading"/>
      </w:pPr>
      <w:r>
        <w:t>Requested listing</w:t>
      </w:r>
    </w:p>
    <w:p w14:paraId="0E551FC0" w14:textId="77777777" w:rsidR="00B059F3" w:rsidRPr="007E1264" w:rsidRDefault="00B059F3" w:rsidP="00B059F3">
      <w:pPr>
        <w:widowControl w:val="0"/>
        <w:numPr>
          <w:ilvl w:val="1"/>
          <w:numId w:val="1"/>
        </w:numPr>
        <w:spacing w:after="120"/>
        <w:rPr>
          <w:rFonts w:asciiTheme="minorHAnsi" w:hAnsiTheme="minorHAnsi"/>
          <w:b/>
          <w:bCs/>
          <w:snapToGrid w:val="0"/>
        </w:rPr>
      </w:pPr>
      <w:r>
        <w:rPr>
          <w:rFonts w:asciiTheme="minorHAnsi" w:hAnsiTheme="minorHAnsi"/>
          <w:snapToGrid w:val="0"/>
          <w:lang w:val="en-GB"/>
        </w:rPr>
        <w:t>The resubmission proposed the following restriction which included the Secretariat proposed changes including the recommendation from the TGA-approved Product Information that the first three doses are to be given in the inpatient setting due to the risk of CRS.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1073"/>
        <w:gridCol w:w="880"/>
        <w:gridCol w:w="1221"/>
        <w:gridCol w:w="1551"/>
      </w:tblGrid>
      <w:tr w:rsidR="00B059F3" w:rsidRPr="00DA45BE" w14:paraId="498AFF03" w14:textId="77777777" w:rsidTr="00771865">
        <w:trPr>
          <w:trHeight w:val="20"/>
        </w:trPr>
        <w:tc>
          <w:tcPr>
            <w:tcW w:w="2380" w:type="pct"/>
            <w:hideMark/>
          </w:tcPr>
          <w:p w14:paraId="72AFBDCC" w14:textId="77777777" w:rsidR="00B059F3" w:rsidRPr="007E1264" w:rsidRDefault="00B059F3" w:rsidP="00BE57BE">
            <w:pPr>
              <w:pStyle w:val="2-SectionHeading"/>
              <w:numPr>
                <w:ilvl w:val="0"/>
                <w:numId w:val="0"/>
              </w:numPr>
              <w:spacing w:before="0" w:after="0"/>
              <w:rPr>
                <w:rFonts w:ascii="Arial Narrow" w:eastAsia="Calibri" w:hAnsi="Arial Narrow"/>
                <w:sz w:val="20"/>
                <w:szCs w:val="20"/>
              </w:rPr>
            </w:pPr>
            <w:r w:rsidRPr="007E1264">
              <w:rPr>
                <w:rFonts w:ascii="Arial Narrow" w:eastAsia="Calibri" w:hAnsi="Arial Narrow"/>
                <w:sz w:val="20"/>
                <w:szCs w:val="20"/>
              </w:rPr>
              <w:t>Name, Restriction,</w:t>
            </w:r>
          </w:p>
          <w:p w14:paraId="5B112C06" w14:textId="77777777" w:rsidR="00B059F3" w:rsidRPr="00DA45BE" w:rsidRDefault="00B059F3" w:rsidP="00BE57BE">
            <w:pPr>
              <w:pStyle w:val="2-SectionHeading"/>
              <w:numPr>
                <w:ilvl w:val="0"/>
                <w:numId w:val="0"/>
              </w:numPr>
              <w:spacing w:before="0" w:after="0"/>
              <w:ind w:left="720" w:hanging="720"/>
              <w:rPr>
                <w:rFonts w:eastAsia="Calibri"/>
              </w:rPr>
            </w:pPr>
            <w:r w:rsidRPr="007E1264">
              <w:rPr>
                <w:rFonts w:ascii="Arial Narrow" w:eastAsia="Calibri" w:hAnsi="Arial Narrow"/>
                <w:sz w:val="20"/>
                <w:szCs w:val="20"/>
              </w:rPr>
              <w:t>Manner of administration and form</w:t>
            </w:r>
          </w:p>
        </w:tc>
        <w:tc>
          <w:tcPr>
            <w:tcW w:w="595" w:type="pct"/>
            <w:hideMark/>
          </w:tcPr>
          <w:p w14:paraId="3CD2D831" w14:textId="77777777" w:rsidR="00B059F3" w:rsidRPr="00DA45BE" w:rsidRDefault="00B059F3" w:rsidP="00BE57BE">
            <w:pPr>
              <w:keepNext/>
              <w:jc w:val="center"/>
              <w:rPr>
                <w:rFonts w:ascii="Arial Narrow" w:eastAsia="Calibri" w:hAnsi="Arial Narrow" w:cs="Times New Roman"/>
                <w:b/>
                <w:sz w:val="20"/>
                <w:szCs w:val="20"/>
              </w:rPr>
            </w:pPr>
            <w:r w:rsidRPr="00DA45BE">
              <w:rPr>
                <w:rFonts w:ascii="Arial Narrow" w:eastAsia="Calibri" w:hAnsi="Arial Narrow" w:cs="Times New Roman"/>
                <w:b/>
                <w:sz w:val="20"/>
                <w:szCs w:val="20"/>
              </w:rPr>
              <w:t>Max.</w:t>
            </w:r>
          </w:p>
          <w:p w14:paraId="7FBCACDC" w14:textId="77777777" w:rsidR="00B059F3" w:rsidRPr="00DA45BE" w:rsidRDefault="00B059F3" w:rsidP="00BE57BE">
            <w:pPr>
              <w:keepNext/>
              <w:jc w:val="center"/>
              <w:rPr>
                <w:rFonts w:ascii="Arial Narrow" w:eastAsia="Calibri" w:hAnsi="Arial Narrow" w:cs="Times New Roman"/>
                <w:b/>
                <w:sz w:val="20"/>
                <w:szCs w:val="20"/>
              </w:rPr>
            </w:pPr>
            <w:r>
              <w:rPr>
                <w:rFonts w:ascii="Arial Narrow" w:eastAsia="Calibri" w:hAnsi="Arial Narrow" w:cs="Times New Roman"/>
                <w:b/>
                <w:sz w:val="20"/>
                <w:szCs w:val="20"/>
              </w:rPr>
              <w:t>Amount</w:t>
            </w:r>
          </w:p>
        </w:tc>
        <w:tc>
          <w:tcPr>
            <w:tcW w:w="488" w:type="pct"/>
            <w:hideMark/>
          </w:tcPr>
          <w:p w14:paraId="044064B1" w14:textId="77777777" w:rsidR="00B059F3" w:rsidRPr="00DA45BE" w:rsidRDefault="00B059F3" w:rsidP="00BE57BE">
            <w:pPr>
              <w:keepNext/>
              <w:jc w:val="center"/>
              <w:rPr>
                <w:rFonts w:ascii="Arial Narrow" w:eastAsia="Calibri" w:hAnsi="Arial Narrow" w:cs="Times New Roman"/>
                <w:b/>
                <w:sz w:val="20"/>
                <w:szCs w:val="20"/>
              </w:rPr>
            </w:pPr>
            <w:r w:rsidRPr="00DA45BE">
              <w:rPr>
                <w:rFonts w:ascii="Arial Narrow" w:eastAsia="Calibri" w:hAnsi="Arial Narrow" w:cs="Times New Roman"/>
                <w:b/>
                <w:sz w:val="20"/>
                <w:szCs w:val="20"/>
              </w:rPr>
              <w:t>№.</w:t>
            </w:r>
            <w:r>
              <w:rPr>
                <w:rFonts w:ascii="Arial Narrow" w:eastAsia="Calibri" w:hAnsi="Arial Narrow" w:cs="Times New Roman"/>
                <w:b/>
                <w:sz w:val="20"/>
                <w:szCs w:val="20"/>
              </w:rPr>
              <w:t xml:space="preserve"> </w:t>
            </w:r>
            <w:r w:rsidRPr="00DA45BE">
              <w:rPr>
                <w:rFonts w:ascii="Arial Narrow" w:eastAsia="Calibri" w:hAnsi="Arial Narrow" w:cs="Times New Roman"/>
                <w:b/>
                <w:sz w:val="20"/>
                <w:szCs w:val="20"/>
              </w:rPr>
              <w:t>of</w:t>
            </w:r>
          </w:p>
          <w:p w14:paraId="35639C04" w14:textId="77777777" w:rsidR="00B059F3" w:rsidRPr="00DA45BE" w:rsidRDefault="00B059F3" w:rsidP="00BE57BE">
            <w:pPr>
              <w:keepNext/>
              <w:jc w:val="center"/>
              <w:rPr>
                <w:rFonts w:ascii="Arial Narrow" w:eastAsia="Calibri" w:hAnsi="Arial Narrow" w:cs="Times New Roman"/>
                <w:b/>
                <w:sz w:val="20"/>
                <w:szCs w:val="20"/>
              </w:rPr>
            </w:pPr>
            <w:r w:rsidRPr="00DA45BE">
              <w:rPr>
                <w:rFonts w:ascii="Arial Narrow" w:eastAsia="Calibri" w:hAnsi="Arial Narrow" w:cs="Times New Roman"/>
                <w:b/>
                <w:sz w:val="20"/>
                <w:szCs w:val="20"/>
              </w:rPr>
              <w:t>Rpts</w:t>
            </w:r>
          </w:p>
        </w:tc>
        <w:tc>
          <w:tcPr>
            <w:tcW w:w="677" w:type="pct"/>
            <w:hideMark/>
          </w:tcPr>
          <w:p w14:paraId="49650465" w14:textId="77777777" w:rsidR="00B059F3" w:rsidRPr="00DA45BE" w:rsidRDefault="00B059F3" w:rsidP="00BE57BE">
            <w:pPr>
              <w:keepNext/>
              <w:jc w:val="center"/>
              <w:rPr>
                <w:rFonts w:ascii="Arial Narrow" w:eastAsia="Calibri" w:hAnsi="Arial Narrow" w:cs="Times New Roman"/>
                <w:b/>
                <w:sz w:val="20"/>
                <w:szCs w:val="20"/>
              </w:rPr>
            </w:pPr>
            <w:r w:rsidRPr="00DA45BE">
              <w:rPr>
                <w:rFonts w:ascii="Arial Narrow" w:eastAsia="Calibri" w:hAnsi="Arial Narrow" w:cs="Times New Roman"/>
                <w:b/>
                <w:sz w:val="20"/>
                <w:szCs w:val="20"/>
              </w:rPr>
              <w:t>Proprietary Name</w:t>
            </w:r>
          </w:p>
        </w:tc>
        <w:tc>
          <w:tcPr>
            <w:tcW w:w="860" w:type="pct"/>
            <w:hideMark/>
          </w:tcPr>
          <w:p w14:paraId="43666059" w14:textId="77777777" w:rsidR="00B059F3" w:rsidRPr="00DA45BE" w:rsidRDefault="00B059F3" w:rsidP="00BE57BE">
            <w:pPr>
              <w:keepNext/>
              <w:jc w:val="center"/>
              <w:rPr>
                <w:rFonts w:ascii="Arial Narrow" w:eastAsia="Calibri" w:hAnsi="Arial Narrow" w:cs="Times New Roman"/>
                <w:b/>
                <w:sz w:val="20"/>
                <w:szCs w:val="20"/>
              </w:rPr>
            </w:pPr>
            <w:r w:rsidRPr="00DA45BE">
              <w:rPr>
                <w:rFonts w:ascii="Arial Narrow" w:eastAsia="Calibri" w:hAnsi="Arial Narrow" w:cs="Times New Roman"/>
                <w:b/>
                <w:sz w:val="20"/>
                <w:szCs w:val="20"/>
              </w:rPr>
              <w:t>Manufacturer</w:t>
            </w:r>
          </w:p>
        </w:tc>
      </w:tr>
      <w:tr w:rsidR="00B059F3" w:rsidRPr="00DA45BE" w14:paraId="34D7793F" w14:textId="77777777" w:rsidTr="00771865">
        <w:trPr>
          <w:trHeight w:val="20"/>
        </w:trPr>
        <w:tc>
          <w:tcPr>
            <w:tcW w:w="2380" w:type="pct"/>
          </w:tcPr>
          <w:p w14:paraId="7465F745" w14:textId="77777777" w:rsidR="00B059F3" w:rsidRPr="00DA45BE" w:rsidRDefault="00B059F3" w:rsidP="00BE57BE">
            <w:pPr>
              <w:keepNext/>
              <w:jc w:val="left"/>
              <w:rPr>
                <w:rFonts w:ascii="Arial Narrow" w:eastAsia="Calibri" w:hAnsi="Arial Narrow" w:cs="Times New Roman"/>
                <w:sz w:val="20"/>
                <w:szCs w:val="20"/>
              </w:rPr>
            </w:pPr>
            <w:r w:rsidRPr="00DA45BE">
              <w:rPr>
                <w:rFonts w:ascii="Arial Narrow" w:eastAsia="Calibri" w:hAnsi="Arial Narrow" w:cs="Times New Roman"/>
                <w:sz w:val="20"/>
                <w:szCs w:val="20"/>
              </w:rPr>
              <w:t xml:space="preserve">Tebentafusp </w:t>
            </w:r>
            <w:r>
              <w:rPr>
                <w:rFonts w:ascii="Arial Narrow" w:eastAsia="Calibri" w:hAnsi="Arial Narrow" w:cs="Times New Roman"/>
                <w:sz w:val="20"/>
                <w:szCs w:val="20"/>
              </w:rPr>
              <w:t>1</w:t>
            </w:r>
            <w:r w:rsidRPr="00DA45BE">
              <w:rPr>
                <w:rFonts w:ascii="Arial Narrow" w:eastAsia="Calibri" w:hAnsi="Arial Narrow" w:cs="Times New Roman"/>
                <w:sz w:val="20"/>
                <w:szCs w:val="20"/>
              </w:rPr>
              <w:t>00 mcg/0.5 mL</w:t>
            </w:r>
            <w:r>
              <w:rPr>
                <w:rFonts w:ascii="Arial Narrow" w:eastAsia="Calibri" w:hAnsi="Arial Narrow" w:cs="Times New Roman"/>
                <w:sz w:val="20"/>
                <w:szCs w:val="20"/>
              </w:rPr>
              <w:t xml:space="preserve"> injection, 0.5 mL vial</w:t>
            </w:r>
          </w:p>
        </w:tc>
        <w:tc>
          <w:tcPr>
            <w:tcW w:w="595" w:type="pct"/>
            <w:hideMark/>
          </w:tcPr>
          <w:p w14:paraId="06CC0276" w14:textId="77777777" w:rsidR="00B059F3" w:rsidRPr="00DA45BE" w:rsidRDefault="00B059F3" w:rsidP="00BE57BE">
            <w:pPr>
              <w:keepNext/>
              <w:jc w:val="center"/>
              <w:rPr>
                <w:rFonts w:ascii="Arial Narrow" w:eastAsia="Calibri" w:hAnsi="Arial Narrow" w:cs="Times New Roman"/>
                <w:sz w:val="20"/>
                <w:szCs w:val="20"/>
              </w:rPr>
            </w:pPr>
            <w:r>
              <w:rPr>
                <w:rFonts w:ascii="Arial Narrow" w:eastAsia="Calibri" w:hAnsi="Arial Narrow" w:cs="Times New Roman"/>
                <w:sz w:val="20"/>
                <w:szCs w:val="20"/>
              </w:rPr>
              <w:t>300 mcg</w:t>
            </w:r>
          </w:p>
        </w:tc>
        <w:tc>
          <w:tcPr>
            <w:tcW w:w="488" w:type="pct"/>
            <w:hideMark/>
          </w:tcPr>
          <w:p w14:paraId="5B872E06" w14:textId="77777777" w:rsidR="00B059F3" w:rsidRPr="00DA45BE" w:rsidRDefault="00B059F3" w:rsidP="00BE57BE">
            <w:pPr>
              <w:keepNext/>
              <w:jc w:val="center"/>
              <w:rPr>
                <w:rFonts w:ascii="Arial Narrow" w:eastAsia="Calibri" w:hAnsi="Arial Narrow" w:cs="Times New Roman"/>
                <w:sz w:val="20"/>
                <w:szCs w:val="20"/>
              </w:rPr>
            </w:pPr>
            <w:r>
              <w:rPr>
                <w:rFonts w:ascii="Arial Narrow" w:eastAsia="Calibri" w:hAnsi="Arial Narrow" w:cs="Times New Roman"/>
                <w:sz w:val="20"/>
                <w:szCs w:val="20"/>
              </w:rPr>
              <w:t>0</w:t>
            </w:r>
          </w:p>
        </w:tc>
        <w:tc>
          <w:tcPr>
            <w:tcW w:w="677" w:type="pct"/>
            <w:hideMark/>
          </w:tcPr>
          <w:p w14:paraId="6BFD8F1E" w14:textId="77777777" w:rsidR="00B059F3" w:rsidRPr="00DA45BE" w:rsidRDefault="00B059F3" w:rsidP="00BE57BE">
            <w:pPr>
              <w:keepNext/>
              <w:jc w:val="center"/>
              <w:rPr>
                <w:rFonts w:ascii="Arial Narrow" w:eastAsia="Calibri" w:hAnsi="Arial Narrow" w:cs="Times New Roman"/>
                <w:sz w:val="20"/>
                <w:szCs w:val="20"/>
              </w:rPr>
            </w:pPr>
            <w:r w:rsidRPr="00DA45BE">
              <w:rPr>
                <w:rFonts w:ascii="Arial Narrow" w:eastAsia="Calibri" w:hAnsi="Arial Narrow" w:cs="Times New Roman"/>
                <w:sz w:val="20"/>
                <w:szCs w:val="20"/>
              </w:rPr>
              <w:t>KIMMTRAK®</w:t>
            </w:r>
          </w:p>
        </w:tc>
        <w:tc>
          <w:tcPr>
            <w:tcW w:w="860" w:type="pct"/>
            <w:hideMark/>
          </w:tcPr>
          <w:p w14:paraId="79686429" w14:textId="77777777" w:rsidR="00B059F3" w:rsidRPr="00DA45BE" w:rsidRDefault="00B059F3" w:rsidP="00BE57BE">
            <w:pPr>
              <w:keepNext/>
              <w:jc w:val="center"/>
              <w:rPr>
                <w:rFonts w:ascii="Arial Narrow" w:eastAsia="Calibri" w:hAnsi="Arial Narrow" w:cs="Times New Roman"/>
                <w:sz w:val="20"/>
                <w:szCs w:val="20"/>
              </w:rPr>
            </w:pPr>
            <w:r>
              <w:rPr>
                <w:rFonts w:ascii="Arial Narrow" w:eastAsia="Calibri" w:hAnsi="Arial Narrow" w:cs="Times New Roman"/>
                <w:sz w:val="20"/>
                <w:szCs w:val="20"/>
              </w:rPr>
              <w:t>Medison</w:t>
            </w:r>
            <w:r w:rsidRPr="00DA45BE">
              <w:rPr>
                <w:rFonts w:ascii="Arial Narrow" w:eastAsia="Calibri" w:hAnsi="Arial Narrow" w:cs="Times New Roman"/>
                <w:sz w:val="20"/>
                <w:szCs w:val="20"/>
              </w:rPr>
              <w:t xml:space="preserve"> Ltd.</w:t>
            </w:r>
          </w:p>
        </w:tc>
      </w:tr>
    </w:tbl>
    <w:p w14:paraId="49534592" w14:textId="77777777" w:rsidR="00B059F3" w:rsidRPr="00DA45BE" w:rsidRDefault="00B059F3" w:rsidP="00B059F3">
      <w:pPr>
        <w:keepNext/>
        <w:rPr>
          <w:rFonts w:ascii="Arial Narrow" w:eastAsia="Calibri" w:hAnsi="Arial Narrow" w:cs="Times New Roman"/>
          <w:b/>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059F3" w:rsidRPr="00DA45BE" w14:paraId="25782B63" w14:textId="77777777" w:rsidTr="00BE57BE">
        <w:tc>
          <w:tcPr>
            <w:tcW w:w="5000" w:type="pct"/>
            <w:tcBorders>
              <w:top w:val="single" w:sz="4" w:space="0" w:color="auto"/>
              <w:left w:val="single" w:sz="4" w:space="0" w:color="auto"/>
              <w:bottom w:val="single" w:sz="4" w:space="0" w:color="auto"/>
              <w:right w:val="single" w:sz="4" w:space="0" w:color="auto"/>
            </w:tcBorders>
          </w:tcPr>
          <w:p w14:paraId="1AA0CA28" w14:textId="77777777" w:rsidR="00B059F3" w:rsidRPr="007E1264" w:rsidRDefault="00B059F3" w:rsidP="00BE57BE">
            <w:pPr>
              <w:keepNext/>
              <w:rPr>
                <w:rFonts w:ascii="Arial Narrow" w:eastAsia="Calibri" w:hAnsi="Arial Narrow"/>
                <w:sz w:val="20"/>
                <w:szCs w:val="20"/>
              </w:rPr>
            </w:pPr>
            <w:r w:rsidRPr="007E1264">
              <w:rPr>
                <w:rFonts w:ascii="Arial Narrow" w:eastAsia="Calibri" w:hAnsi="Arial Narrow"/>
                <w:b/>
                <w:sz w:val="20"/>
                <w:szCs w:val="20"/>
              </w:rPr>
              <w:t>Category / Program:</w:t>
            </w:r>
            <w:r>
              <w:rPr>
                <w:rFonts w:ascii="Arial Narrow" w:eastAsia="Calibri" w:hAnsi="Arial Narrow"/>
                <w:b/>
                <w:sz w:val="20"/>
                <w:szCs w:val="20"/>
              </w:rPr>
              <w:t xml:space="preserve"> </w:t>
            </w:r>
            <w:r w:rsidRPr="007E1264">
              <w:rPr>
                <w:rFonts w:ascii="Arial Narrow" w:eastAsia="Calibri" w:hAnsi="Arial Narrow"/>
                <w:sz w:val="20"/>
                <w:szCs w:val="20"/>
              </w:rPr>
              <w:t xml:space="preserve">Section 100 – Efficient Funding of Chemotherapy Public/Private hospitals </w:t>
            </w:r>
          </w:p>
        </w:tc>
      </w:tr>
      <w:tr w:rsidR="00B059F3" w:rsidRPr="00DA45BE" w14:paraId="4530CA55" w14:textId="77777777" w:rsidTr="00BE57BE">
        <w:trPr>
          <w:trHeight w:val="59"/>
        </w:trPr>
        <w:tc>
          <w:tcPr>
            <w:tcW w:w="5000" w:type="pct"/>
            <w:tcBorders>
              <w:top w:val="single" w:sz="4" w:space="0" w:color="auto"/>
              <w:left w:val="single" w:sz="4" w:space="0" w:color="auto"/>
              <w:bottom w:val="single" w:sz="4" w:space="0" w:color="auto"/>
              <w:right w:val="single" w:sz="4" w:space="0" w:color="auto"/>
            </w:tcBorders>
          </w:tcPr>
          <w:p w14:paraId="0E253A0D" w14:textId="77777777" w:rsidR="00B059F3" w:rsidRPr="007E1264" w:rsidRDefault="00B059F3" w:rsidP="00BE57BE">
            <w:pPr>
              <w:rPr>
                <w:rFonts w:ascii="Arial Narrow" w:eastAsia="Calibri" w:hAnsi="Arial Narrow"/>
                <w:b/>
                <w:sz w:val="20"/>
                <w:szCs w:val="20"/>
              </w:rPr>
            </w:pPr>
            <w:r w:rsidRPr="007E1264">
              <w:rPr>
                <w:rFonts w:ascii="Arial Narrow" w:eastAsia="Calibri" w:hAnsi="Arial Narrow"/>
                <w:b/>
                <w:sz w:val="20"/>
                <w:szCs w:val="20"/>
              </w:rPr>
              <w:t xml:space="preserve">Prescriber type: </w:t>
            </w:r>
            <w:r w:rsidRPr="004D4ABE">
              <w:rPr>
                <w:rFonts w:ascii="Arial Narrow" w:hAnsi="Arial Narrow"/>
                <w:sz w:val="18"/>
                <w:szCs w:val="18"/>
              </w:rPr>
              <w:fldChar w:fldCharType="begin" w:fldLock="1">
                <w:ffData>
                  <w:name w:val=""/>
                  <w:enabled/>
                  <w:calcOnExit w:val="0"/>
                  <w:checkBox>
                    <w:sizeAuto/>
                    <w:default w:val="1"/>
                  </w:checkBox>
                </w:ffData>
              </w:fldChar>
            </w:r>
            <w:r w:rsidRPr="004D4ABE">
              <w:rPr>
                <w:rFonts w:ascii="Arial Narrow" w:hAnsi="Arial Narrow"/>
                <w:sz w:val="18"/>
                <w:szCs w:val="18"/>
              </w:rPr>
              <w:instrText xml:space="preserve"> FORMCHECKBOX </w:instrText>
            </w:r>
            <w:r w:rsidR="00FC715B">
              <w:rPr>
                <w:rFonts w:ascii="Arial Narrow" w:hAnsi="Arial Narrow"/>
                <w:sz w:val="18"/>
                <w:szCs w:val="18"/>
              </w:rPr>
            </w:r>
            <w:r w:rsidR="00FC715B">
              <w:rPr>
                <w:rFonts w:ascii="Arial Narrow" w:hAnsi="Arial Narrow"/>
                <w:sz w:val="18"/>
                <w:szCs w:val="18"/>
              </w:rPr>
              <w:fldChar w:fldCharType="separate"/>
            </w:r>
            <w:r w:rsidRPr="004D4ABE">
              <w:rPr>
                <w:rFonts w:ascii="Arial Narrow" w:hAnsi="Arial Narrow"/>
                <w:sz w:val="18"/>
                <w:szCs w:val="18"/>
              </w:rPr>
              <w:fldChar w:fldCharType="end"/>
            </w:r>
            <w:r w:rsidRPr="007E1264">
              <w:rPr>
                <w:rFonts w:ascii="Arial Narrow" w:eastAsia="Calibri" w:hAnsi="Arial Narrow" w:cs="Times New Roman"/>
                <w:sz w:val="20"/>
                <w:szCs w:val="20"/>
              </w:rPr>
              <w:t xml:space="preserve"> </w:t>
            </w:r>
            <w:r w:rsidRPr="007E1264">
              <w:rPr>
                <w:rFonts w:ascii="Arial Narrow" w:eastAsia="Calibri" w:hAnsi="Arial Narrow"/>
                <w:sz w:val="20"/>
                <w:szCs w:val="20"/>
              </w:rPr>
              <w:t>Medical Practitioners</w:t>
            </w:r>
          </w:p>
        </w:tc>
      </w:tr>
      <w:tr w:rsidR="00B059F3" w:rsidRPr="00DA45BE" w14:paraId="4CAFED75" w14:textId="77777777" w:rsidTr="00BE57BE">
        <w:trPr>
          <w:trHeight w:val="45"/>
        </w:trPr>
        <w:tc>
          <w:tcPr>
            <w:tcW w:w="5000" w:type="pct"/>
            <w:tcBorders>
              <w:top w:val="single" w:sz="4" w:space="0" w:color="auto"/>
              <w:left w:val="single" w:sz="4" w:space="0" w:color="auto"/>
              <w:bottom w:val="single" w:sz="4" w:space="0" w:color="auto"/>
              <w:right w:val="single" w:sz="4" w:space="0" w:color="auto"/>
            </w:tcBorders>
          </w:tcPr>
          <w:p w14:paraId="7BCEEEE6" w14:textId="77777777" w:rsidR="00B059F3" w:rsidRPr="007E1264" w:rsidRDefault="00B059F3" w:rsidP="00BE57BE">
            <w:pPr>
              <w:rPr>
                <w:rFonts w:ascii="Arial Narrow" w:eastAsia="Calibri" w:hAnsi="Arial Narrow"/>
                <w:sz w:val="20"/>
                <w:szCs w:val="20"/>
              </w:rPr>
            </w:pPr>
            <w:r w:rsidRPr="007E1264">
              <w:rPr>
                <w:rFonts w:ascii="Arial Narrow" w:eastAsia="Calibri" w:hAnsi="Arial Narrow"/>
                <w:b/>
                <w:sz w:val="20"/>
                <w:szCs w:val="20"/>
              </w:rPr>
              <w:t xml:space="preserve">Restriction Type: </w:t>
            </w:r>
            <w:r w:rsidRPr="00952B90">
              <w:rPr>
                <w:rFonts w:ascii="Arial Narrow" w:eastAsia="Calibri" w:hAnsi="Arial Narrow"/>
                <w:sz w:val="20"/>
                <w:szCs w:val="20"/>
              </w:rPr>
              <w:fldChar w:fldCharType="begin" w:fldLock="1">
                <w:ffData>
                  <w:name w:val=""/>
                  <w:enabled/>
                  <w:calcOnExit w:val="0"/>
                  <w:checkBox>
                    <w:sizeAuto/>
                    <w:default w:val="1"/>
                  </w:checkBox>
                </w:ffData>
              </w:fldChar>
            </w:r>
            <w:r w:rsidRPr="00952B90">
              <w:rPr>
                <w:rFonts w:ascii="Arial Narrow" w:eastAsia="Calibri" w:hAnsi="Arial Narrow"/>
                <w:sz w:val="20"/>
                <w:szCs w:val="20"/>
              </w:rPr>
              <w:instrText xml:space="preserve"> FORMCHECKBOX </w:instrText>
            </w:r>
            <w:r w:rsidR="00FC715B">
              <w:rPr>
                <w:rFonts w:ascii="Arial Narrow" w:eastAsia="Calibri" w:hAnsi="Arial Narrow"/>
                <w:sz w:val="20"/>
                <w:szCs w:val="20"/>
              </w:rPr>
            </w:r>
            <w:r w:rsidR="00FC715B">
              <w:rPr>
                <w:rFonts w:ascii="Arial Narrow" w:eastAsia="Calibri" w:hAnsi="Arial Narrow"/>
                <w:sz w:val="20"/>
                <w:szCs w:val="20"/>
              </w:rPr>
              <w:fldChar w:fldCharType="separate"/>
            </w:r>
            <w:r w:rsidRPr="00952B90">
              <w:rPr>
                <w:rFonts w:ascii="Arial Narrow" w:eastAsia="Calibri" w:hAnsi="Arial Narrow"/>
                <w:sz w:val="20"/>
                <w:szCs w:val="20"/>
              </w:rPr>
              <w:fldChar w:fldCharType="end"/>
            </w:r>
            <w:r w:rsidRPr="00952B90">
              <w:rPr>
                <w:rFonts w:ascii="Arial Narrow" w:eastAsia="Calibri" w:hAnsi="Arial Narrow"/>
                <w:sz w:val="18"/>
                <w:szCs w:val="18"/>
              </w:rPr>
              <w:t xml:space="preserve"> </w:t>
            </w:r>
            <w:r w:rsidRPr="00952B90">
              <w:rPr>
                <w:rFonts w:ascii="Arial Narrow" w:eastAsia="Calibri" w:hAnsi="Arial Narrow"/>
                <w:sz w:val="20"/>
                <w:szCs w:val="20"/>
              </w:rPr>
              <w:t>Authority Required – immediate/real time assessment by Services Australia (telephone/online application avenues)</w:t>
            </w:r>
          </w:p>
        </w:tc>
      </w:tr>
      <w:tr w:rsidR="00B059F3" w14:paraId="6325AC80" w14:textId="77777777" w:rsidTr="00BE57BE">
        <w:trPr>
          <w:trHeight w:val="45"/>
        </w:trPr>
        <w:tc>
          <w:tcPr>
            <w:tcW w:w="5000" w:type="pct"/>
            <w:vAlign w:val="center"/>
          </w:tcPr>
          <w:p w14:paraId="14357DBE" w14:textId="77777777" w:rsidR="00B059F3" w:rsidRPr="007E1264" w:rsidRDefault="00B059F3" w:rsidP="00BE57BE">
            <w:pPr>
              <w:rPr>
                <w:rFonts w:ascii="Arial Narrow" w:hAnsi="Arial Narrow" w:cs="Times New Roman"/>
                <w:sz w:val="20"/>
                <w:szCs w:val="20"/>
              </w:rPr>
            </w:pPr>
            <w:r w:rsidRPr="007E1264">
              <w:rPr>
                <w:rFonts w:ascii="Arial Narrow" w:hAnsi="Arial Narrow" w:cs="Times New Roman"/>
                <w:b/>
                <w:bCs/>
                <w:sz w:val="20"/>
                <w:szCs w:val="20"/>
              </w:rPr>
              <w:t>Administrative Advice:</w:t>
            </w:r>
            <w:r w:rsidRPr="007E1264">
              <w:rPr>
                <w:rFonts w:ascii="Arial Narrow" w:hAnsi="Arial Narrow" w:cs="Times New Roman"/>
                <w:sz w:val="20"/>
                <w:szCs w:val="20"/>
              </w:rPr>
              <w:t xml:space="preserve"> No increase in the maximum number of repeats may be authorised.</w:t>
            </w:r>
          </w:p>
        </w:tc>
      </w:tr>
      <w:tr w:rsidR="00B059F3" w14:paraId="36A76ACF" w14:textId="77777777" w:rsidTr="00BE57BE">
        <w:trPr>
          <w:trHeight w:val="45"/>
        </w:trPr>
        <w:tc>
          <w:tcPr>
            <w:tcW w:w="5000" w:type="pct"/>
            <w:vAlign w:val="center"/>
          </w:tcPr>
          <w:p w14:paraId="37579978" w14:textId="77777777" w:rsidR="00B059F3" w:rsidRPr="007E1264" w:rsidRDefault="00B059F3" w:rsidP="00BE57BE">
            <w:pPr>
              <w:rPr>
                <w:rFonts w:ascii="Arial Narrow" w:hAnsi="Arial Narrow" w:cs="Times New Roman"/>
                <w:sz w:val="20"/>
                <w:szCs w:val="20"/>
              </w:rPr>
            </w:pPr>
            <w:r w:rsidRPr="007E1264">
              <w:rPr>
                <w:rFonts w:ascii="Arial Narrow" w:hAnsi="Arial Narrow" w:cs="Times New Roman"/>
                <w:b/>
                <w:bCs/>
                <w:sz w:val="20"/>
                <w:szCs w:val="20"/>
              </w:rPr>
              <w:t>Administrative Advice:</w:t>
            </w:r>
            <w:r w:rsidRPr="007E1264">
              <w:rPr>
                <w:rFonts w:ascii="Arial Narrow" w:hAnsi="Arial Narrow" w:cs="Times New Roman"/>
                <w:sz w:val="20"/>
                <w:szCs w:val="20"/>
              </w:rPr>
              <w:t xml:space="preserve"> Special Pricing Arrangements apply.</w:t>
            </w:r>
          </w:p>
        </w:tc>
      </w:tr>
      <w:tr w:rsidR="00B059F3" w14:paraId="140C227C" w14:textId="77777777" w:rsidTr="00BE57BE">
        <w:trPr>
          <w:trHeight w:val="45"/>
        </w:trPr>
        <w:tc>
          <w:tcPr>
            <w:tcW w:w="5000" w:type="pct"/>
            <w:vAlign w:val="center"/>
          </w:tcPr>
          <w:p w14:paraId="4FB95559" w14:textId="77777777" w:rsidR="00B059F3" w:rsidRPr="007E1264" w:rsidRDefault="00B059F3" w:rsidP="00BE57BE">
            <w:pPr>
              <w:rPr>
                <w:rFonts w:ascii="Arial Narrow" w:hAnsi="Arial Narrow" w:cs="Times New Roman"/>
                <w:sz w:val="20"/>
                <w:szCs w:val="20"/>
              </w:rPr>
            </w:pPr>
            <w:r w:rsidRPr="007E1264">
              <w:rPr>
                <w:rFonts w:ascii="Arial Narrow" w:hAnsi="Arial Narrow" w:cs="Times New Roman"/>
                <w:b/>
                <w:bCs/>
                <w:sz w:val="20"/>
                <w:szCs w:val="20"/>
              </w:rPr>
              <w:t>Administrative Advice:</w:t>
            </w:r>
            <w:r w:rsidRPr="007E1264">
              <w:rPr>
                <w:rFonts w:ascii="Arial Narrow" w:hAnsi="Arial Narrow" w:cs="Times New Roman"/>
                <w:sz w:val="20"/>
                <w:szCs w:val="20"/>
              </w:rPr>
              <w:t xml:space="preserve"> No increase in the maximum amount or number of units may be authorised</w:t>
            </w:r>
          </w:p>
        </w:tc>
      </w:tr>
      <w:tr w:rsidR="00B059F3" w14:paraId="2959112A" w14:textId="77777777" w:rsidTr="00BE57BE">
        <w:trPr>
          <w:trHeight w:val="300"/>
        </w:trPr>
        <w:tc>
          <w:tcPr>
            <w:tcW w:w="5000" w:type="pct"/>
            <w:vAlign w:val="center"/>
          </w:tcPr>
          <w:p w14:paraId="309398C9" w14:textId="77777777" w:rsidR="00B059F3" w:rsidRPr="007E1264" w:rsidRDefault="00B059F3" w:rsidP="00BE57BE">
            <w:pPr>
              <w:rPr>
                <w:rFonts w:ascii="Arial Narrow" w:hAnsi="Arial Narrow" w:cs="Times New Roman"/>
                <w:sz w:val="20"/>
                <w:szCs w:val="20"/>
              </w:rPr>
            </w:pPr>
            <w:r w:rsidRPr="007E1264">
              <w:rPr>
                <w:rFonts w:ascii="Arial Narrow" w:hAnsi="Arial Narrow" w:cs="Times New Roman"/>
                <w:b/>
                <w:bCs/>
                <w:sz w:val="20"/>
                <w:szCs w:val="20"/>
              </w:rPr>
              <w:t>Administrative Advice:</w:t>
            </w:r>
            <w:r w:rsidRPr="007E1264">
              <w:rPr>
                <w:rFonts w:ascii="Arial Narrow" w:hAnsi="Arial Narrow" w:cs="Times New Roman"/>
                <w:sz w:val="20"/>
                <w:szCs w:val="20"/>
              </w:rPr>
              <w:t xml:space="preserve"> Applications for authorisation under this restriction may be made in real time using the Online PBS Authorities system (see </w:t>
            </w:r>
            <w:hyperlink>
              <w:r w:rsidRPr="007E1264">
                <w:rPr>
                  <w:rFonts w:ascii="Arial Narrow" w:hAnsi="Arial Narrow" w:cs="Times New Roman"/>
                  <w:sz w:val="20"/>
                  <w:szCs w:val="20"/>
                </w:rPr>
                <w:t>www.servicesaustralia.gov.au/HPOS</w:t>
              </w:r>
            </w:hyperlink>
            <w:r w:rsidRPr="007E1264">
              <w:rPr>
                <w:rFonts w:ascii="Arial Narrow" w:hAnsi="Arial Narrow" w:cs="Times New Roman"/>
                <w:sz w:val="20"/>
                <w:szCs w:val="20"/>
              </w:rPr>
              <w:t xml:space="preserve">) or by telephone by contacting Services Australia on 1800 700 270 </w:t>
            </w:r>
            <w:r w:rsidRPr="00F67000">
              <w:rPr>
                <w:rFonts w:ascii="Arial Narrow" w:hAnsi="Arial Narrow" w:cs="Times New Roman"/>
                <w:strike/>
                <w:sz w:val="20"/>
                <w:szCs w:val="20"/>
              </w:rPr>
              <w:t>(hours of operation 8 a.m. to 5 p.m. Monday to Friday)</w:t>
            </w:r>
            <w:r w:rsidRPr="007E1264">
              <w:rPr>
                <w:rFonts w:ascii="Arial Narrow" w:hAnsi="Arial Narrow" w:cs="Times New Roman"/>
                <w:sz w:val="20"/>
                <w:szCs w:val="20"/>
              </w:rPr>
              <w:t>.</w:t>
            </w:r>
          </w:p>
        </w:tc>
      </w:tr>
      <w:tr w:rsidR="00B059F3" w:rsidRPr="00DA45BE" w14:paraId="2FB95DDC" w14:textId="77777777" w:rsidTr="00BE57BE">
        <w:tc>
          <w:tcPr>
            <w:tcW w:w="5000" w:type="pct"/>
            <w:vAlign w:val="center"/>
          </w:tcPr>
          <w:p w14:paraId="58F4504C" w14:textId="77777777" w:rsidR="00B059F3" w:rsidRPr="007E1264" w:rsidRDefault="00B059F3" w:rsidP="00BE57BE">
            <w:pPr>
              <w:rPr>
                <w:rFonts w:ascii="Arial Narrow" w:hAnsi="Arial Narrow" w:cs="Times New Roman"/>
                <w:bCs/>
                <w:sz w:val="20"/>
                <w:szCs w:val="20"/>
              </w:rPr>
            </w:pPr>
            <w:r w:rsidRPr="007E1264">
              <w:rPr>
                <w:rFonts w:ascii="Arial Narrow" w:hAnsi="Arial Narrow" w:cs="Times New Roman"/>
                <w:b/>
                <w:bCs/>
                <w:sz w:val="20"/>
                <w:szCs w:val="20"/>
              </w:rPr>
              <w:t xml:space="preserve">Episodicity: </w:t>
            </w:r>
            <w:r w:rsidRPr="007E1264">
              <w:rPr>
                <w:rFonts w:ascii="Arial Narrow" w:hAnsi="Arial Narrow" w:cs="Times New Roman"/>
                <w:sz w:val="20"/>
                <w:szCs w:val="20"/>
              </w:rPr>
              <w:t>[blank]</w:t>
            </w:r>
          </w:p>
        </w:tc>
      </w:tr>
      <w:tr w:rsidR="00B059F3" w:rsidRPr="00DA45BE" w14:paraId="7A89D938" w14:textId="77777777" w:rsidTr="00BE57BE">
        <w:tc>
          <w:tcPr>
            <w:tcW w:w="5000" w:type="pct"/>
            <w:vAlign w:val="center"/>
          </w:tcPr>
          <w:p w14:paraId="75528A20" w14:textId="77777777" w:rsidR="00B059F3" w:rsidRPr="007E1264" w:rsidRDefault="00B059F3" w:rsidP="00BE57BE">
            <w:pPr>
              <w:rPr>
                <w:rFonts w:ascii="Arial Narrow" w:hAnsi="Arial Narrow" w:cs="Times New Roman"/>
                <w:b/>
                <w:bCs/>
                <w:sz w:val="20"/>
                <w:szCs w:val="20"/>
              </w:rPr>
            </w:pPr>
            <w:r w:rsidRPr="007E1264">
              <w:rPr>
                <w:rFonts w:ascii="Arial Narrow" w:hAnsi="Arial Narrow" w:cs="Times New Roman"/>
                <w:b/>
                <w:bCs/>
                <w:sz w:val="20"/>
                <w:szCs w:val="20"/>
              </w:rPr>
              <w:t xml:space="preserve">Severity: </w:t>
            </w:r>
            <w:r w:rsidRPr="007E1264">
              <w:rPr>
                <w:rFonts w:ascii="Arial Narrow" w:hAnsi="Arial Narrow" w:cs="Times New Roman"/>
                <w:sz w:val="20"/>
                <w:szCs w:val="20"/>
              </w:rPr>
              <w:t>Advanced</w:t>
            </w:r>
            <w:r w:rsidRPr="007E1264">
              <w:rPr>
                <w:rFonts w:ascii="Arial Narrow" w:hAnsi="Arial Narrow" w:cs="Times New Roman"/>
                <w:b/>
                <w:bCs/>
                <w:sz w:val="20"/>
                <w:szCs w:val="20"/>
              </w:rPr>
              <w:t xml:space="preserve"> </w:t>
            </w:r>
            <w:r w:rsidRPr="007E1264">
              <w:rPr>
                <w:rFonts w:ascii="Arial Narrow" w:hAnsi="Arial Narrow" w:cs="Times New Roman"/>
                <w:sz w:val="20"/>
                <w:szCs w:val="20"/>
              </w:rPr>
              <w:t>(unresectable or metastatic)</w:t>
            </w:r>
          </w:p>
        </w:tc>
      </w:tr>
      <w:tr w:rsidR="00B059F3" w:rsidRPr="00DA45BE" w14:paraId="003E0C79" w14:textId="77777777" w:rsidTr="00BE57BE">
        <w:tc>
          <w:tcPr>
            <w:tcW w:w="5000" w:type="pct"/>
            <w:vAlign w:val="center"/>
          </w:tcPr>
          <w:p w14:paraId="155F3341" w14:textId="77777777" w:rsidR="00B059F3" w:rsidRPr="007E1264" w:rsidRDefault="00B059F3" w:rsidP="00BE57BE">
            <w:pPr>
              <w:rPr>
                <w:rFonts w:ascii="Arial Narrow" w:hAnsi="Arial Narrow" w:cs="Times New Roman"/>
                <w:b/>
                <w:bCs/>
                <w:sz w:val="20"/>
                <w:szCs w:val="20"/>
              </w:rPr>
            </w:pPr>
            <w:r w:rsidRPr="007E1264">
              <w:rPr>
                <w:rFonts w:ascii="Arial Narrow" w:hAnsi="Arial Narrow" w:cs="Times New Roman"/>
                <w:b/>
                <w:bCs/>
                <w:sz w:val="20"/>
                <w:szCs w:val="20"/>
              </w:rPr>
              <w:lastRenderedPageBreak/>
              <w:t xml:space="preserve">Condition: </w:t>
            </w:r>
            <w:r w:rsidRPr="007E1264">
              <w:rPr>
                <w:rFonts w:ascii="Arial Narrow" w:hAnsi="Arial Narrow" w:cs="Times New Roman"/>
                <w:bCs/>
                <w:sz w:val="20"/>
                <w:szCs w:val="20"/>
              </w:rPr>
              <w:t xml:space="preserve">Uveal melanoma </w:t>
            </w:r>
          </w:p>
        </w:tc>
      </w:tr>
      <w:tr w:rsidR="00B059F3" w:rsidRPr="00DA45BE" w14:paraId="7D9ED431" w14:textId="77777777" w:rsidTr="00BE57BE">
        <w:tc>
          <w:tcPr>
            <w:tcW w:w="5000" w:type="pct"/>
            <w:vAlign w:val="center"/>
            <w:hideMark/>
          </w:tcPr>
          <w:p w14:paraId="677138D9" w14:textId="77777777" w:rsidR="00B059F3" w:rsidRPr="007E1264" w:rsidRDefault="00B059F3" w:rsidP="00BE57BE">
            <w:pPr>
              <w:rPr>
                <w:rFonts w:ascii="Arial Narrow" w:hAnsi="Arial Narrow" w:cs="Times New Roman"/>
                <w:sz w:val="20"/>
                <w:szCs w:val="20"/>
              </w:rPr>
            </w:pPr>
            <w:r w:rsidRPr="007E1264">
              <w:rPr>
                <w:rFonts w:ascii="Arial Narrow" w:hAnsi="Arial Narrow" w:cs="Times New Roman"/>
                <w:b/>
                <w:bCs/>
                <w:sz w:val="20"/>
                <w:szCs w:val="20"/>
              </w:rPr>
              <w:t>Indication:</w:t>
            </w:r>
            <w:r w:rsidRPr="007E1264">
              <w:rPr>
                <w:rFonts w:ascii="Arial Narrow" w:hAnsi="Arial Narrow" w:cs="Times New Roman"/>
                <w:sz w:val="20"/>
                <w:szCs w:val="20"/>
              </w:rPr>
              <w:t xml:space="preserve"> Advanced (unresectable or metastatic) uveal melanoma </w:t>
            </w:r>
          </w:p>
        </w:tc>
      </w:tr>
      <w:tr w:rsidR="00B059F3" w:rsidRPr="00DA45BE" w14:paraId="0529D604" w14:textId="77777777" w:rsidTr="00BE57BE">
        <w:tc>
          <w:tcPr>
            <w:tcW w:w="5000" w:type="pct"/>
            <w:shd w:val="clear" w:color="auto" w:fill="D9D9D9" w:themeFill="background1" w:themeFillShade="D9"/>
            <w:vAlign w:val="center"/>
            <w:hideMark/>
          </w:tcPr>
          <w:p w14:paraId="513F5196" w14:textId="77777777" w:rsidR="00B059F3" w:rsidRPr="007E1264" w:rsidRDefault="00B059F3" w:rsidP="00BE57BE">
            <w:pPr>
              <w:rPr>
                <w:rFonts w:ascii="Arial Narrow" w:hAnsi="Arial Narrow" w:cs="Times New Roman"/>
                <w:sz w:val="20"/>
                <w:szCs w:val="20"/>
              </w:rPr>
            </w:pPr>
            <w:r w:rsidRPr="007E1264">
              <w:rPr>
                <w:rFonts w:ascii="Arial Narrow" w:hAnsi="Arial Narrow" w:cs="Times New Roman"/>
                <w:b/>
                <w:bCs/>
                <w:sz w:val="20"/>
                <w:szCs w:val="20"/>
              </w:rPr>
              <w:t>Treatment Phase:</w:t>
            </w:r>
            <w:r w:rsidRPr="007E1264">
              <w:rPr>
                <w:rFonts w:ascii="Arial Narrow" w:hAnsi="Arial Narrow" w:cs="Times New Roman"/>
                <w:sz w:val="20"/>
                <w:szCs w:val="20"/>
              </w:rPr>
              <w:t xml:space="preserve"> Initial treatment</w:t>
            </w:r>
          </w:p>
        </w:tc>
      </w:tr>
      <w:tr w:rsidR="00B059F3" w:rsidRPr="00DA45BE" w14:paraId="5590CC8B" w14:textId="77777777" w:rsidTr="00BE57BE">
        <w:trPr>
          <w:trHeight w:val="1337"/>
        </w:trPr>
        <w:tc>
          <w:tcPr>
            <w:tcW w:w="5000" w:type="pct"/>
            <w:vAlign w:val="center"/>
            <w:hideMark/>
          </w:tcPr>
          <w:p w14:paraId="310407DC"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b/>
                <w:bCs/>
                <w:color w:val="333333"/>
                <w:sz w:val="20"/>
                <w:szCs w:val="20"/>
              </w:rPr>
              <w:t>Clinical criteria:</w:t>
            </w:r>
          </w:p>
          <w:p w14:paraId="02AE4370" w14:textId="77777777" w:rsidR="00B059F3" w:rsidRPr="007E1264" w:rsidRDefault="00B059F3" w:rsidP="00BE57BE">
            <w:pPr>
              <w:rPr>
                <w:rFonts w:ascii="Arial Narrow" w:hAnsi="Arial Narrow" w:cs="Times New Roman"/>
                <w:color w:val="333333"/>
                <w:sz w:val="20"/>
                <w:szCs w:val="20"/>
              </w:rPr>
            </w:pPr>
            <w:r w:rsidRPr="007E1264">
              <w:rPr>
                <w:rFonts w:ascii="Arial Narrow" w:eastAsia="Calibri" w:hAnsi="Arial Narrow" w:cs="Arial Narrow"/>
                <w:sz w:val="20"/>
                <w:szCs w:val="20"/>
              </w:rPr>
              <w:t xml:space="preserve">The patient must have </w:t>
            </w:r>
            <w:r w:rsidRPr="007E1264">
              <w:rPr>
                <w:rFonts w:ascii="Arial Narrow" w:hAnsi="Arial Narrow" w:cs="Times New Roman"/>
                <w:color w:val="333333"/>
                <w:sz w:val="20"/>
                <w:szCs w:val="20"/>
              </w:rPr>
              <w:t>HLA-A*02:01-positive disease</w:t>
            </w:r>
          </w:p>
          <w:p w14:paraId="725DE239"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b/>
                <w:bCs/>
                <w:color w:val="333333"/>
                <w:sz w:val="20"/>
                <w:szCs w:val="20"/>
              </w:rPr>
              <w:t>AND</w:t>
            </w:r>
          </w:p>
          <w:p w14:paraId="16BC89F1" w14:textId="77777777" w:rsidR="00B059F3" w:rsidRPr="007E1264" w:rsidRDefault="00B059F3" w:rsidP="00BE57BE">
            <w:pPr>
              <w:rPr>
                <w:rFonts w:ascii="Arial Narrow" w:eastAsia="Calibri" w:hAnsi="Arial Narrow" w:cs="Arial Narrow"/>
                <w:b/>
                <w:bCs/>
                <w:sz w:val="20"/>
                <w:szCs w:val="20"/>
              </w:rPr>
            </w:pPr>
            <w:r w:rsidRPr="007E1264">
              <w:rPr>
                <w:rFonts w:ascii="Arial Narrow" w:eastAsia="Calibri" w:hAnsi="Arial Narrow" w:cs="Arial Narrow"/>
                <w:sz w:val="20"/>
                <w:szCs w:val="20"/>
              </w:rPr>
              <w:t xml:space="preserve">The patient must have uveal melanoma that has been confirmed either (i) histologically, </w:t>
            </w:r>
            <w:r w:rsidRPr="00F67000">
              <w:rPr>
                <w:rFonts w:ascii="Arial Narrow" w:eastAsia="Calibri" w:hAnsi="Arial Narrow" w:cs="Arial Narrow"/>
                <w:strike/>
                <w:sz w:val="20"/>
                <w:szCs w:val="20"/>
              </w:rPr>
              <w:t>or</w:t>
            </w:r>
            <w:r>
              <w:rPr>
                <w:rFonts w:ascii="Arial Narrow" w:eastAsia="Calibri" w:hAnsi="Arial Narrow" w:cs="Arial Narrow"/>
                <w:sz w:val="20"/>
                <w:szCs w:val="20"/>
              </w:rPr>
              <w:t xml:space="preserve"> </w:t>
            </w:r>
            <w:r w:rsidRPr="007E1264">
              <w:rPr>
                <w:rFonts w:ascii="Arial Narrow" w:eastAsia="Calibri" w:hAnsi="Arial Narrow" w:cs="Arial Narrow"/>
                <w:sz w:val="20"/>
                <w:szCs w:val="20"/>
              </w:rPr>
              <w:t xml:space="preserve">(ii) cytologically </w:t>
            </w:r>
          </w:p>
          <w:p w14:paraId="5A0495E0"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b/>
                <w:bCs/>
                <w:color w:val="333333"/>
                <w:sz w:val="20"/>
                <w:szCs w:val="20"/>
              </w:rPr>
              <w:t>AND</w:t>
            </w:r>
          </w:p>
          <w:p w14:paraId="7CF69C78"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color w:val="333333"/>
                <w:sz w:val="20"/>
                <w:szCs w:val="20"/>
              </w:rPr>
              <w:t>The treatment must be the sole PBS subsidised therapy for this condition</w:t>
            </w:r>
          </w:p>
          <w:p w14:paraId="1BDDAF97"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b/>
                <w:bCs/>
                <w:color w:val="333333"/>
                <w:sz w:val="20"/>
                <w:szCs w:val="20"/>
              </w:rPr>
              <w:t>AND</w:t>
            </w:r>
          </w:p>
          <w:p w14:paraId="22A60169"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color w:val="333333"/>
                <w:sz w:val="20"/>
                <w:szCs w:val="20"/>
              </w:rPr>
              <w:t>The patient must not have received prior systemic therapy for metastatic disease</w:t>
            </w:r>
          </w:p>
        </w:tc>
      </w:tr>
      <w:tr w:rsidR="00B059F3" w:rsidRPr="00DA45BE" w14:paraId="1559E54D" w14:textId="77777777" w:rsidTr="00BE57BE">
        <w:trPr>
          <w:trHeight w:val="1259"/>
        </w:trPr>
        <w:tc>
          <w:tcPr>
            <w:tcW w:w="5000" w:type="pct"/>
            <w:vAlign w:val="center"/>
            <w:hideMark/>
          </w:tcPr>
          <w:p w14:paraId="2F03E190" w14:textId="77777777" w:rsidR="00B059F3" w:rsidRPr="007E1264" w:rsidRDefault="00B059F3" w:rsidP="00BE57BE">
            <w:pPr>
              <w:rPr>
                <w:rFonts w:ascii="Arial Narrow" w:hAnsi="Arial Narrow" w:cs="Times New Roman"/>
                <w:color w:val="333333"/>
                <w:sz w:val="20"/>
                <w:szCs w:val="20"/>
              </w:rPr>
            </w:pPr>
            <w:r w:rsidRPr="00F67000">
              <w:rPr>
                <w:rFonts w:ascii="Arial Narrow" w:hAnsi="Arial Narrow" w:cs="Times New Roman"/>
                <w:b/>
                <w:bCs/>
                <w:strike/>
                <w:color w:val="333333"/>
                <w:sz w:val="20"/>
                <w:szCs w:val="20"/>
              </w:rPr>
              <w:t>Treatment criteria</w:t>
            </w:r>
            <w:r>
              <w:rPr>
                <w:rFonts w:ascii="Arial Narrow" w:hAnsi="Arial Narrow" w:cs="Times New Roman"/>
                <w:b/>
                <w:bCs/>
                <w:color w:val="333333"/>
                <w:sz w:val="20"/>
                <w:szCs w:val="20"/>
              </w:rPr>
              <w:t xml:space="preserve"> </w:t>
            </w:r>
            <w:r w:rsidRPr="00F67000">
              <w:rPr>
                <w:rFonts w:ascii="Arial Narrow" w:hAnsi="Arial Narrow" w:cs="Times New Roman"/>
                <w:b/>
                <w:bCs/>
                <w:i/>
                <w:iCs/>
                <w:color w:val="333333"/>
                <w:sz w:val="20"/>
                <w:szCs w:val="20"/>
              </w:rPr>
              <w:t>Prescribing instruction</w:t>
            </w:r>
            <w:r w:rsidRPr="007E1264">
              <w:rPr>
                <w:rFonts w:ascii="Arial Narrow" w:hAnsi="Arial Narrow" w:cs="Times New Roman"/>
                <w:b/>
                <w:bCs/>
                <w:color w:val="333333"/>
                <w:sz w:val="20"/>
                <w:szCs w:val="20"/>
              </w:rPr>
              <w:t>:</w:t>
            </w:r>
          </w:p>
          <w:p w14:paraId="42F12ED3" w14:textId="77777777" w:rsidR="00B059F3" w:rsidRPr="007E1264" w:rsidRDefault="00B059F3" w:rsidP="00BE57BE">
            <w:pPr>
              <w:autoSpaceDE w:val="0"/>
              <w:autoSpaceDN w:val="0"/>
              <w:adjustRightInd w:val="0"/>
              <w:rPr>
                <w:rFonts w:ascii="Arial Narrow" w:hAnsi="Arial Narrow" w:cs="Times New Roman"/>
                <w:color w:val="333333"/>
                <w:sz w:val="20"/>
                <w:szCs w:val="20"/>
              </w:rPr>
            </w:pPr>
            <w:r w:rsidRPr="007E1264">
              <w:rPr>
                <w:rFonts w:ascii="Arial Narrow" w:hAnsi="Arial Narrow" w:cs="Times New Roman"/>
                <w:color w:val="333333"/>
                <w:sz w:val="20"/>
                <w:szCs w:val="20"/>
              </w:rPr>
              <w:t>According to the TGA-approved Product Information, hospitalisation is recommended at minimum for the first 3 doses (on Days 1, 8 and 15) and for at least 16 hours after each infusion is completed. If the patient does not experience hypotension that is Grade 2 or worse (requiring medical intervention) with the third dose, subsequent doses can be administered in an appropriate outpatient/ambulatory care setting. Supervision by a health care professional is recommended for a minimum of 30 minutes following each infusion.</w:t>
            </w:r>
          </w:p>
          <w:p w14:paraId="399E2281" w14:textId="77777777" w:rsidR="00B059F3" w:rsidRPr="007E1264" w:rsidRDefault="00B059F3" w:rsidP="00BE57BE">
            <w:pPr>
              <w:autoSpaceDE w:val="0"/>
              <w:autoSpaceDN w:val="0"/>
              <w:adjustRightInd w:val="0"/>
              <w:rPr>
                <w:rFonts w:ascii="Arial Narrow" w:hAnsi="Arial Narrow" w:cs="Times New Roman"/>
                <w:color w:val="333333"/>
                <w:sz w:val="20"/>
                <w:szCs w:val="20"/>
              </w:rPr>
            </w:pPr>
            <w:r w:rsidRPr="007E1264">
              <w:rPr>
                <w:rFonts w:ascii="Arial Narrow" w:hAnsi="Arial Narrow" w:cs="Times New Roman"/>
                <w:b/>
                <w:bCs/>
                <w:i/>
                <w:iCs/>
                <w:color w:val="333333"/>
                <w:sz w:val="20"/>
                <w:szCs w:val="20"/>
              </w:rPr>
              <w:t>AND</w:t>
            </w:r>
          </w:p>
          <w:p w14:paraId="029E7E24" w14:textId="77777777" w:rsidR="00B059F3" w:rsidRPr="007E1264" w:rsidRDefault="00B059F3" w:rsidP="00BE57BE">
            <w:pPr>
              <w:autoSpaceDE w:val="0"/>
              <w:autoSpaceDN w:val="0"/>
              <w:adjustRightInd w:val="0"/>
              <w:rPr>
                <w:rFonts w:ascii="Arial Narrow" w:hAnsi="Arial Narrow" w:cs="Times New Roman"/>
                <w:color w:val="333333"/>
                <w:sz w:val="20"/>
                <w:szCs w:val="20"/>
              </w:rPr>
            </w:pPr>
            <w:r w:rsidRPr="007E1264">
              <w:rPr>
                <w:rFonts w:ascii="Arial Narrow" w:hAnsi="Arial Narrow" w:cs="Times New Roman"/>
                <w:color w:val="333333"/>
                <w:sz w:val="20"/>
                <w:szCs w:val="20"/>
              </w:rPr>
              <w:t>Tebentafusp is not PBS-subsidised if it is administered to an in-patient in a public hospital setting.</w:t>
            </w:r>
          </w:p>
        </w:tc>
      </w:tr>
      <w:tr w:rsidR="00B059F3" w:rsidRPr="00DA45BE" w14:paraId="3A1E2EEC" w14:textId="77777777" w:rsidTr="00BE57BE">
        <w:trPr>
          <w:trHeight w:val="375"/>
        </w:trPr>
        <w:tc>
          <w:tcPr>
            <w:tcW w:w="5000" w:type="pct"/>
            <w:vAlign w:val="center"/>
            <w:hideMark/>
          </w:tcPr>
          <w:p w14:paraId="34BE739F"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b/>
                <w:bCs/>
                <w:color w:val="333333"/>
                <w:sz w:val="20"/>
                <w:szCs w:val="20"/>
              </w:rPr>
              <w:t>Population criteria:</w:t>
            </w:r>
          </w:p>
          <w:p w14:paraId="09667188"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color w:val="333333"/>
                <w:sz w:val="20"/>
                <w:szCs w:val="20"/>
              </w:rPr>
              <w:t>Patients must be aged at least 18 years</w:t>
            </w:r>
          </w:p>
        </w:tc>
      </w:tr>
      <w:tr w:rsidR="00B059F3" w:rsidRPr="00DA45BE" w14:paraId="4660F84C" w14:textId="77777777" w:rsidTr="00BE57BE">
        <w:tc>
          <w:tcPr>
            <w:tcW w:w="5000" w:type="pct"/>
            <w:vAlign w:val="center"/>
            <w:hideMark/>
          </w:tcPr>
          <w:p w14:paraId="32FAD646"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b/>
                <w:bCs/>
                <w:color w:val="333333"/>
                <w:sz w:val="20"/>
                <w:szCs w:val="20"/>
              </w:rPr>
              <w:t>Prescribing Instructions:</w:t>
            </w:r>
            <w:r w:rsidRPr="007E1264">
              <w:rPr>
                <w:rFonts w:ascii="Arial Narrow" w:hAnsi="Arial Narrow" w:cs="Times New Roman"/>
                <w:color w:val="333333"/>
                <w:sz w:val="20"/>
                <w:szCs w:val="20"/>
              </w:rPr>
              <w:t xml:space="preserve"> </w:t>
            </w:r>
          </w:p>
          <w:p w14:paraId="5BFAFA4B"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color w:val="333333"/>
                <w:sz w:val="20"/>
                <w:szCs w:val="20"/>
              </w:rPr>
              <w:t xml:space="preserve">Positive HLA-A*02:01- assessment must be documented in the patient’s medical records </w:t>
            </w:r>
          </w:p>
        </w:tc>
      </w:tr>
      <w:tr w:rsidR="00B059F3" w:rsidRPr="00DA45BE" w14:paraId="2ED09231" w14:textId="77777777" w:rsidTr="00BE57BE">
        <w:tc>
          <w:tcPr>
            <w:tcW w:w="5000" w:type="pct"/>
            <w:vAlign w:val="center"/>
            <w:hideMark/>
          </w:tcPr>
          <w:p w14:paraId="1122486A"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b/>
                <w:bCs/>
                <w:color w:val="333333"/>
                <w:sz w:val="20"/>
                <w:szCs w:val="20"/>
              </w:rPr>
              <w:t>Caution:</w:t>
            </w:r>
            <w:r w:rsidRPr="007E1264">
              <w:rPr>
                <w:rFonts w:ascii="Arial Narrow" w:hAnsi="Arial Narrow" w:cs="Times New Roman"/>
                <w:color w:val="333333"/>
                <w:sz w:val="20"/>
                <w:szCs w:val="20"/>
              </w:rPr>
              <w:t xml:space="preserve"> </w:t>
            </w:r>
          </w:p>
          <w:p w14:paraId="6B40C4F3" w14:textId="77777777" w:rsidR="00B059F3" w:rsidRPr="007E1264" w:rsidRDefault="00B059F3" w:rsidP="00BE57BE">
            <w:pPr>
              <w:rPr>
                <w:rFonts w:ascii="Arial Narrow" w:hAnsi="Arial Narrow" w:cs="Times New Roman"/>
                <w:color w:val="333333"/>
                <w:sz w:val="20"/>
                <w:szCs w:val="20"/>
              </w:rPr>
            </w:pPr>
            <w:r w:rsidRPr="007E1264">
              <w:rPr>
                <w:rFonts w:ascii="Arial Narrow" w:hAnsi="Arial Narrow" w:cs="Times New Roman"/>
                <w:color w:val="333333"/>
                <w:sz w:val="20"/>
                <w:szCs w:val="20"/>
              </w:rPr>
              <w:t>Careful monitoring of patients is required due to risk of developing life-threatening Cytokine Release Syndrome.</w:t>
            </w:r>
          </w:p>
        </w:tc>
      </w:tr>
    </w:tbl>
    <w:p w14:paraId="12853BA5" w14:textId="77777777" w:rsidR="00B059F3" w:rsidRPr="003875EE" w:rsidRDefault="00B059F3" w:rsidP="00B059F3">
      <w:pPr>
        <w:pStyle w:val="Cap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1073"/>
        <w:gridCol w:w="880"/>
        <w:gridCol w:w="1221"/>
        <w:gridCol w:w="1551"/>
      </w:tblGrid>
      <w:tr w:rsidR="00B059F3" w:rsidRPr="00DA45BE" w14:paraId="42D8E209" w14:textId="77777777" w:rsidTr="00771865">
        <w:trPr>
          <w:trHeight w:val="20"/>
        </w:trPr>
        <w:tc>
          <w:tcPr>
            <w:tcW w:w="2380" w:type="pct"/>
            <w:hideMark/>
          </w:tcPr>
          <w:p w14:paraId="1C4DD441" w14:textId="77777777" w:rsidR="00B059F3" w:rsidRPr="007E1264" w:rsidRDefault="00B059F3" w:rsidP="00BE57BE">
            <w:pPr>
              <w:pStyle w:val="2-SectionHeading"/>
              <w:numPr>
                <w:ilvl w:val="0"/>
                <w:numId w:val="0"/>
              </w:numPr>
              <w:spacing w:before="0" w:after="0"/>
              <w:rPr>
                <w:rFonts w:ascii="Arial Narrow" w:eastAsia="Calibri" w:hAnsi="Arial Narrow"/>
                <w:sz w:val="20"/>
                <w:szCs w:val="20"/>
              </w:rPr>
            </w:pPr>
            <w:r w:rsidRPr="007E1264">
              <w:rPr>
                <w:rFonts w:ascii="Arial Narrow" w:eastAsia="Calibri" w:hAnsi="Arial Narrow"/>
                <w:sz w:val="20"/>
                <w:szCs w:val="20"/>
              </w:rPr>
              <w:t>Name, Restriction,</w:t>
            </w:r>
          </w:p>
          <w:p w14:paraId="70D474A3" w14:textId="77777777" w:rsidR="00B059F3" w:rsidRPr="00DA45BE" w:rsidRDefault="00B059F3" w:rsidP="00BE57BE">
            <w:pPr>
              <w:pStyle w:val="2-SectionHeading"/>
              <w:numPr>
                <w:ilvl w:val="0"/>
                <w:numId w:val="0"/>
              </w:numPr>
              <w:spacing w:before="0" w:after="0"/>
              <w:ind w:left="720" w:hanging="720"/>
              <w:rPr>
                <w:rFonts w:eastAsia="Calibri"/>
              </w:rPr>
            </w:pPr>
            <w:r w:rsidRPr="007E1264">
              <w:rPr>
                <w:rFonts w:ascii="Arial Narrow" w:eastAsia="Calibri" w:hAnsi="Arial Narrow"/>
                <w:sz w:val="20"/>
                <w:szCs w:val="20"/>
              </w:rPr>
              <w:t>Manner of administration and form</w:t>
            </w:r>
          </w:p>
        </w:tc>
        <w:tc>
          <w:tcPr>
            <w:tcW w:w="595" w:type="pct"/>
            <w:hideMark/>
          </w:tcPr>
          <w:p w14:paraId="218B85CE" w14:textId="77777777" w:rsidR="00B059F3" w:rsidRPr="00DA45BE" w:rsidRDefault="00B059F3" w:rsidP="00BE57BE">
            <w:pPr>
              <w:keepNext/>
              <w:jc w:val="center"/>
              <w:rPr>
                <w:rFonts w:ascii="Arial Narrow" w:eastAsia="Calibri" w:hAnsi="Arial Narrow" w:cs="Times New Roman"/>
                <w:b/>
                <w:sz w:val="20"/>
                <w:szCs w:val="20"/>
              </w:rPr>
            </w:pPr>
            <w:r w:rsidRPr="00DA45BE">
              <w:rPr>
                <w:rFonts w:ascii="Arial Narrow" w:eastAsia="Calibri" w:hAnsi="Arial Narrow" w:cs="Times New Roman"/>
                <w:b/>
                <w:sz w:val="20"/>
                <w:szCs w:val="20"/>
              </w:rPr>
              <w:t>Max.</w:t>
            </w:r>
          </w:p>
          <w:p w14:paraId="0098FB98" w14:textId="77777777" w:rsidR="00B059F3" w:rsidRPr="00DA45BE" w:rsidRDefault="00B059F3" w:rsidP="00BE57BE">
            <w:pPr>
              <w:keepNext/>
              <w:jc w:val="center"/>
              <w:rPr>
                <w:rFonts w:ascii="Arial Narrow" w:eastAsia="Calibri" w:hAnsi="Arial Narrow" w:cs="Times New Roman"/>
                <w:b/>
                <w:sz w:val="20"/>
                <w:szCs w:val="20"/>
              </w:rPr>
            </w:pPr>
            <w:r>
              <w:rPr>
                <w:rFonts w:ascii="Arial Narrow" w:eastAsia="Calibri" w:hAnsi="Arial Narrow" w:cs="Times New Roman"/>
                <w:b/>
                <w:sz w:val="20"/>
                <w:szCs w:val="20"/>
              </w:rPr>
              <w:t>Amount</w:t>
            </w:r>
          </w:p>
        </w:tc>
        <w:tc>
          <w:tcPr>
            <w:tcW w:w="488" w:type="pct"/>
            <w:hideMark/>
          </w:tcPr>
          <w:p w14:paraId="07F89BD6" w14:textId="77777777" w:rsidR="00B059F3" w:rsidRPr="00DA45BE" w:rsidRDefault="00B059F3" w:rsidP="00BE57BE">
            <w:pPr>
              <w:keepNext/>
              <w:jc w:val="center"/>
              <w:rPr>
                <w:rFonts w:ascii="Arial Narrow" w:eastAsia="Calibri" w:hAnsi="Arial Narrow" w:cs="Times New Roman"/>
                <w:b/>
                <w:sz w:val="20"/>
                <w:szCs w:val="20"/>
              </w:rPr>
            </w:pPr>
            <w:r w:rsidRPr="00DA45BE">
              <w:rPr>
                <w:rFonts w:ascii="Arial Narrow" w:eastAsia="Calibri" w:hAnsi="Arial Narrow" w:cs="Times New Roman"/>
                <w:b/>
                <w:sz w:val="20"/>
                <w:szCs w:val="20"/>
              </w:rPr>
              <w:t>№.of</w:t>
            </w:r>
          </w:p>
          <w:p w14:paraId="677F1B43" w14:textId="77777777" w:rsidR="00B059F3" w:rsidRPr="00DA45BE" w:rsidRDefault="00B059F3" w:rsidP="00BE57BE">
            <w:pPr>
              <w:keepNext/>
              <w:jc w:val="center"/>
              <w:rPr>
                <w:rFonts w:ascii="Arial Narrow" w:eastAsia="Calibri" w:hAnsi="Arial Narrow" w:cs="Times New Roman"/>
                <w:b/>
                <w:sz w:val="20"/>
                <w:szCs w:val="20"/>
              </w:rPr>
            </w:pPr>
            <w:r w:rsidRPr="00DA45BE">
              <w:rPr>
                <w:rFonts w:ascii="Arial Narrow" w:eastAsia="Calibri" w:hAnsi="Arial Narrow" w:cs="Times New Roman"/>
                <w:b/>
                <w:sz w:val="20"/>
                <w:szCs w:val="20"/>
              </w:rPr>
              <w:t>Rpts</w:t>
            </w:r>
          </w:p>
        </w:tc>
        <w:tc>
          <w:tcPr>
            <w:tcW w:w="677" w:type="pct"/>
            <w:hideMark/>
          </w:tcPr>
          <w:p w14:paraId="1245B95D" w14:textId="77777777" w:rsidR="00B059F3" w:rsidRPr="00DA45BE" w:rsidRDefault="00B059F3" w:rsidP="00BE57BE">
            <w:pPr>
              <w:keepNext/>
              <w:jc w:val="center"/>
              <w:rPr>
                <w:rFonts w:ascii="Arial Narrow" w:eastAsia="Calibri" w:hAnsi="Arial Narrow" w:cs="Times New Roman"/>
                <w:b/>
                <w:sz w:val="20"/>
                <w:szCs w:val="20"/>
              </w:rPr>
            </w:pPr>
            <w:r w:rsidRPr="00DA45BE">
              <w:rPr>
                <w:rFonts w:ascii="Arial Narrow" w:eastAsia="Calibri" w:hAnsi="Arial Narrow" w:cs="Times New Roman"/>
                <w:b/>
                <w:sz w:val="20"/>
                <w:szCs w:val="20"/>
              </w:rPr>
              <w:t>Proprietary Name</w:t>
            </w:r>
          </w:p>
        </w:tc>
        <w:tc>
          <w:tcPr>
            <w:tcW w:w="860" w:type="pct"/>
            <w:hideMark/>
          </w:tcPr>
          <w:p w14:paraId="17E4E2AE" w14:textId="77777777" w:rsidR="00B059F3" w:rsidRPr="00DA45BE" w:rsidRDefault="00B059F3" w:rsidP="00BE57BE">
            <w:pPr>
              <w:keepNext/>
              <w:jc w:val="center"/>
              <w:rPr>
                <w:rFonts w:ascii="Arial Narrow" w:eastAsia="Calibri" w:hAnsi="Arial Narrow" w:cs="Times New Roman"/>
                <w:b/>
                <w:sz w:val="20"/>
                <w:szCs w:val="20"/>
              </w:rPr>
            </w:pPr>
            <w:r w:rsidRPr="00DA45BE">
              <w:rPr>
                <w:rFonts w:ascii="Arial Narrow" w:eastAsia="Calibri" w:hAnsi="Arial Narrow" w:cs="Times New Roman"/>
                <w:b/>
                <w:sz w:val="20"/>
                <w:szCs w:val="20"/>
              </w:rPr>
              <w:t>Manufacturer</w:t>
            </w:r>
          </w:p>
        </w:tc>
      </w:tr>
      <w:tr w:rsidR="00B059F3" w:rsidRPr="00DA45BE" w14:paraId="0C757C37" w14:textId="77777777" w:rsidTr="00771865">
        <w:trPr>
          <w:trHeight w:val="20"/>
        </w:trPr>
        <w:tc>
          <w:tcPr>
            <w:tcW w:w="2380" w:type="pct"/>
          </w:tcPr>
          <w:p w14:paraId="15644F49" w14:textId="77777777" w:rsidR="00B059F3" w:rsidRPr="00DA45BE" w:rsidRDefault="00B059F3" w:rsidP="00BE57BE">
            <w:pPr>
              <w:keepNext/>
              <w:jc w:val="left"/>
              <w:rPr>
                <w:rFonts w:ascii="Arial Narrow" w:eastAsia="Calibri" w:hAnsi="Arial Narrow" w:cs="Times New Roman"/>
                <w:sz w:val="20"/>
                <w:szCs w:val="20"/>
              </w:rPr>
            </w:pPr>
            <w:r w:rsidRPr="00DA45BE">
              <w:rPr>
                <w:rFonts w:ascii="Arial Narrow" w:eastAsia="Calibri" w:hAnsi="Arial Narrow" w:cs="Times New Roman"/>
                <w:sz w:val="20"/>
                <w:szCs w:val="20"/>
              </w:rPr>
              <w:t xml:space="preserve">Tebentafusp </w:t>
            </w:r>
            <w:r>
              <w:rPr>
                <w:rFonts w:ascii="Arial Narrow" w:eastAsia="Calibri" w:hAnsi="Arial Narrow" w:cs="Times New Roman"/>
                <w:sz w:val="20"/>
                <w:szCs w:val="20"/>
              </w:rPr>
              <w:t>1</w:t>
            </w:r>
            <w:r w:rsidRPr="00DA45BE">
              <w:rPr>
                <w:rFonts w:ascii="Arial Narrow" w:eastAsia="Calibri" w:hAnsi="Arial Narrow" w:cs="Times New Roman"/>
                <w:sz w:val="20"/>
                <w:szCs w:val="20"/>
              </w:rPr>
              <w:t>00 mcg/0.5 mL</w:t>
            </w:r>
            <w:r>
              <w:rPr>
                <w:rFonts w:ascii="Arial Narrow" w:eastAsia="Calibri" w:hAnsi="Arial Narrow" w:cs="Times New Roman"/>
                <w:sz w:val="20"/>
                <w:szCs w:val="20"/>
              </w:rPr>
              <w:t xml:space="preserve"> injection, 0.5 mL vial</w:t>
            </w:r>
          </w:p>
        </w:tc>
        <w:tc>
          <w:tcPr>
            <w:tcW w:w="595" w:type="pct"/>
            <w:hideMark/>
          </w:tcPr>
          <w:p w14:paraId="44425918" w14:textId="77777777" w:rsidR="00B059F3" w:rsidRPr="00DA45BE" w:rsidRDefault="00B059F3" w:rsidP="00BE57BE">
            <w:pPr>
              <w:keepNext/>
              <w:jc w:val="center"/>
              <w:rPr>
                <w:rFonts w:ascii="Arial Narrow" w:eastAsia="Calibri" w:hAnsi="Arial Narrow" w:cs="Times New Roman"/>
                <w:sz w:val="20"/>
                <w:szCs w:val="20"/>
              </w:rPr>
            </w:pPr>
            <w:r>
              <w:rPr>
                <w:rFonts w:ascii="Arial Narrow" w:eastAsia="Calibri" w:hAnsi="Arial Narrow" w:cs="Times New Roman"/>
                <w:sz w:val="20"/>
                <w:szCs w:val="20"/>
              </w:rPr>
              <w:t>400 mcg</w:t>
            </w:r>
          </w:p>
        </w:tc>
        <w:tc>
          <w:tcPr>
            <w:tcW w:w="488" w:type="pct"/>
            <w:hideMark/>
          </w:tcPr>
          <w:p w14:paraId="4060C2B0" w14:textId="77777777" w:rsidR="00B059F3" w:rsidRPr="00DA45BE" w:rsidRDefault="00B059F3" w:rsidP="00BE57BE">
            <w:pPr>
              <w:keepNext/>
              <w:jc w:val="center"/>
              <w:rPr>
                <w:rFonts w:ascii="Arial Narrow" w:eastAsia="Calibri" w:hAnsi="Arial Narrow" w:cs="Times New Roman"/>
                <w:sz w:val="20"/>
                <w:szCs w:val="20"/>
              </w:rPr>
            </w:pPr>
            <w:r>
              <w:rPr>
                <w:rFonts w:ascii="Arial Narrow" w:eastAsia="Calibri" w:hAnsi="Arial Narrow" w:cs="Times New Roman"/>
                <w:sz w:val="20"/>
                <w:szCs w:val="20"/>
              </w:rPr>
              <w:t>3</w:t>
            </w:r>
          </w:p>
        </w:tc>
        <w:tc>
          <w:tcPr>
            <w:tcW w:w="677" w:type="pct"/>
            <w:hideMark/>
          </w:tcPr>
          <w:p w14:paraId="5B19B307" w14:textId="77777777" w:rsidR="00B059F3" w:rsidRPr="00DA45BE" w:rsidRDefault="00B059F3" w:rsidP="00BE57BE">
            <w:pPr>
              <w:keepNext/>
              <w:jc w:val="center"/>
              <w:rPr>
                <w:rFonts w:ascii="Arial Narrow" w:eastAsia="Calibri" w:hAnsi="Arial Narrow" w:cs="Times New Roman"/>
                <w:sz w:val="20"/>
                <w:szCs w:val="20"/>
              </w:rPr>
            </w:pPr>
            <w:r w:rsidRPr="00DA45BE">
              <w:rPr>
                <w:rFonts w:ascii="Arial Narrow" w:eastAsia="Calibri" w:hAnsi="Arial Narrow" w:cs="Times New Roman"/>
                <w:sz w:val="20"/>
                <w:szCs w:val="20"/>
              </w:rPr>
              <w:t>KIMMTRAK®</w:t>
            </w:r>
          </w:p>
        </w:tc>
        <w:tc>
          <w:tcPr>
            <w:tcW w:w="860" w:type="pct"/>
            <w:hideMark/>
          </w:tcPr>
          <w:p w14:paraId="03F5EC43" w14:textId="77777777" w:rsidR="00B059F3" w:rsidRPr="00DA45BE" w:rsidRDefault="00B059F3" w:rsidP="00BE57BE">
            <w:pPr>
              <w:keepNext/>
              <w:jc w:val="center"/>
              <w:rPr>
                <w:rFonts w:ascii="Arial Narrow" w:eastAsia="Calibri" w:hAnsi="Arial Narrow" w:cs="Times New Roman"/>
                <w:sz w:val="20"/>
                <w:szCs w:val="20"/>
              </w:rPr>
            </w:pPr>
            <w:r>
              <w:rPr>
                <w:rFonts w:ascii="Arial Narrow" w:eastAsia="Calibri" w:hAnsi="Arial Narrow" w:cs="Times New Roman"/>
                <w:sz w:val="20"/>
                <w:szCs w:val="20"/>
              </w:rPr>
              <w:t>Medison</w:t>
            </w:r>
            <w:r w:rsidRPr="00DA45BE">
              <w:rPr>
                <w:rFonts w:ascii="Arial Narrow" w:eastAsia="Calibri" w:hAnsi="Arial Narrow" w:cs="Times New Roman"/>
                <w:sz w:val="20"/>
                <w:szCs w:val="20"/>
              </w:rPr>
              <w:t xml:space="preserve"> Ltd.</w:t>
            </w:r>
          </w:p>
        </w:tc>
      </w:tr>
    </w:tbl>
    <w:p w14:paraId="122B1476" w14:textId="77777777" w:rsidR="00B059F3" w:rsidRPr="002363D8" w:rsidRDefault="00B059F3" w:rsidP="00B059F3"/>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95"/>
      </w:tblGrid>
      <w:tr w:rsidR="00B059F3" w:rsidRPr="005E0DDD" w14:paraId="7870EB2B" w14:textId="77777777" w:rsidTr="00BE57BE">
        <w:tc>
          <w:tcPr>
            <w:tcW w:w="5000" w:type="pct"/>
            <w:tcBorders>
              <w:top w:val="single" w:sz="4" w:space="0" w:color="auto"/>
              <w:left w:val="single" w:sz="4" w:space="0" w:color="auto"/>
              <w:bottom w:val="single" w:sz="4" w:space="0" w:color="auto"/>
              <w:right w:val="single" w:sz="4" w:space="0" w:color="auto"/>
            </w:tcBorders>
          </w:tcPr>
          <w:p w14:paraId="19BCBB7A" w14:textId="77777777" w:rsidR="00B059F3" w:rsidRPr="004D4ABE" w:rsidRDefault="00B059F3" w:rsidP="00BE57BE">
            <w:pPr>
              <w:rPr>
                <w:rFonts w:ascii="Arial Narrow" w:hAnsi="Arial Narrow"/>
                <w:sz w:val="18"/>
                <w:szCs w:val="18"/>
              </w:rPr>
            </w:pPr>
            <w:r w:rsidRPr="004D4ABE">
              <w:rPr>
                <w:rFonts w:ascii="Arial Narrow" w:hAnsi="Arial Narrow"/>
                <w:b/>
                <w:sz w:val="18"/>
                <w:szCs w:val="18"/>
              </w:rPr>
              <w:t xml:space="preserve">Category / Program: </w:t>
            </w:r>
            <w:r w:rsidRPr="004D4ABE">
              <w:rPr>
                <w:rFonts w:ascii="Arial Narrow" w:hAnsi="Arial Narrow"/>
                <w:sz w:val="18"/>
                <w:szCs w:val="18"/>
              </w:rPr>
              <w:t xml:space="preserve">Section 100 </w:t>
            </w:r>
            <w:r>
              <w:rPr>
                <w:rFonts w:ascii="Arial Narrow" w:hAnsi="Arial Narrow"/>
                <w:sz w:val="18"/>
                <w:szCs w:val="18"/>
              </w:rPr>
              <w:t>–</w:t>
            </w:r>
            <w:r w:rsidRPr="004D4ABE">
              <w:rPr>
                <w:rFonts w:ascii="Arial Narrow" w:hAnsi="Arial Narrow"/>
                <w:sz w:val="18"/>
                <w:szCs w:val="18"/>
              </w:rPr>
              <w:t xml:space="preserve"> Efficient Funding of Chemotherapy Public/Private hospitals </w:t>
            </w:r>
          </w:p>
        </w:tc>
      </w:tr>
      <w:tr w:rsidR="00B059F3" w:rsidRPr="005E0DDD" w14:paraId="15699494" w14:textId="77777777" w:rsidTr="00BE57BE">
        <w:trPr>
          <w:trHeight w:val="240"/>
        </w:trPr>
        <w:tc>
          <w:tcPr>
            <w:tcW w:w="5000" w:type="pct"/>
            <w:tcBorders>
              <w:top w:val="single" w:sz="4" w:space="0" w:color="auto"/>
              <w:left w:val="single" w:sz="4" w:space="0" w:color="auto"/>
              <w:bottom w:val="single" w:sz="4" w:space="0" w:color="auto"/>
              <w:right w:val="single" w:sz="4" w:space="0" w:color="auto"/>
            </w:tcBorders>
          </w:tcPr>
          <w:p w14:paraId="1EFAC523" w14:textId="77777777" w:rsidR="00B059F3" w:rsidRPr="004D4ABE" w:rsidRDefault="00B059F3" w:rsidP="00BE57BE">
            <w:pPr>
              <w:rPr>
                <w:rFonts w:ascii="Arial Narrow" w:hAnsi="Arial Narrow"/>
                <w:b/>
                <w:sz w:val="18"/>
                <w:szCs w:val="18"/>
              </w:rPr>
            </w:pPr>
            <w:r w:rsidRPr="004D4ABE">
              <w:rPr>
                <w:rFonts w:ascii="Arial Narrow" w:hAnsi="Arial Narrow"/>
                <w:b/>
                <w:sz w:val="18"/>
                <w:szCs w:val="18"/>
              </w:rPr>
              <w:t>Prescriber type:</w:t>
            </w:r>
            <w:r w:rsidRPr="004D4ABE">
              <w:rPr>
                <w:rFonts w:ascii="Arial Narrow" w:hAnsi="Arial Narrow"/>
                <w:sz w:val="18"/>
                <w:szCs w:val="18"/>
              </w:rPr>
              <w:t xml:space="preserve"> </w:t>
            </w:r>
            <w:r w:rsidRPr="004D4ABE">
              <w:rPr>
                <w:rFonts w:ascii="Arial Narrow" w:hAnsi="Arial Narrow"/>
                <w:sz w:val="18"/>
                <w:szCs w:val="18"/>
              </w:rPr>
              <w:fldChar w:fldCharType="begin" w:fldLock="1">
                <w:ffData>
                  <w:name w:val=""/>
                  <w:enabled/>
                  <w:calcOnExit w:val="0"/>
                  <w:checkBox>
                    <w:sizeAuto/>
                    <w:default w:val="1"/>
                  </w:checkBox>
                </w:ffData>
              </w:fldChar>
            </w:r>
            <w:r w:rsidRPr="004D4ABE">
              <w:rPr>
                <w:rFonts w:ascii="Arial Narrow" w:hAnsi="Arial Narrow"/>
                <w:sz w:val="18"/>
                <w:szCs w:val="18"/>
              </w:rPr>
              <w:instrText xml:space="preserve"> FORMCHECKBOX </w:instrText>
            </w:r>
            <w:r w:rsidR="00FC715B">
              <w:rPr>
                <w:rFonts w:ascii="Arial Narrow" w:hAnsi="Arial Narrow"/>
                <w:sz w:val="18"/>
                <w:szCs w:val="18"/>
              </w:rPr>
            </w:r>
            <w:r w:rsidR="00FC715B">
              <w:rPr>
                <w:rFonts w:ascii="Arial Narrow" w:hAnsi="Arial Narrow"/>
                <w:sz w:val="18"/>
                <w:szCs w:val="18"/>
              </w:rPr>
              <w:fldChar w:fldCharType="separate"/>
            </w:r>
            <w:r w:rsidRPr="004D4ABE">
              <w:rPr>
                <w:rFonts w:ascii="Arial Narrow" w:hAnsi="Arial Narrow"/>
                <w:sz w:val="18"/>
                <w:szCs w:val="18"/>
              </w:rPr>
              <w:fldChar w:fldCharType="end"/>
            </w:r>
            <w:r>
              <w:rPr>
                <w:rFonts w:ascii="Arial Narrow" w:hAnsi="Arial Narrow"/>
                <w:sz w:val="18"/>
                <w:szCs w:val="18"/>
              </w:rPr>
              <w:t xml:space="preserve"> </w:t>
            </w:r>
            <w:r w:rsidRPr="004D4ABE">
              <w:rPr>
                <w:rFonts w:ascii="Arial Narrow" w:hAnsi="Arial Narrow"/>
                <w:sz w:val="18"/>
                <w:szCs w:val="18"/>
              </w:rPr>
              <w:t xml:space="preserve">Medical Practitioners </w:t>
            </w:r>
          </w:p>
        </w:tc>
      </w:tr>
      <w:tr w:rsidR="00B059F3" w:rsidRPr="005E0DDD" w14:paraId="51E6B1FB" w14:textId="77777777" w:rsidTr="00BE57BE">
        <w:tc>
          <w:tcPr>
            <w:tcW w:w="5000" w:type="pct"/>
            <w:tcBorders>
              <w:top w:val="single" w:sz="4" w:space="0" w:color="auto"/>
              <w:left w:val="single" w:sz="4" w:space="0" w:color="auto"/>
              <w:bottom w:val="single" w:sz="4" w:space="0" w:color="auto"/>
              <w:right w:val="single" w:sz="4" w:space="0" w:color="auto"/>
            </w:tcBorders>
          </w:tcPr>
          <w:p w14:paraId="0E75A279" w14:textId="77777777" w:rsidR="00B059F3" w:rsidRPr="004D4ABE" w:rsidRDefault="00B059F3" w:rsidP="00BE57BE">
            <w:pPr>
              <w:rPr>
                <w:rFonts w:ascii="Arial Narrow" w:eastAsia="Calibri" w:hAnsi="Arial Narrow"/>
                <w:sz w:val="18"/>
                <w:szCs w:val="18"/>
              </w:rPr>
            </w:pPr>
            <w:r w:rsidRPr="004D4ABE">
              <w:rPr>
                <w:rFonts w:ascii="Arial Narrow" w:hAnsi="Arial Narrow"/>
                <w:b/>
                <w:sz w:val="18"/>
                <w:szCs w:val="18"/>
              </w:rPr>
              <w:t>Restriction Type</w:t>
            </w:r>
            <w:r>
              <w:rPr>
                <w:rFonts w:ascii="Arial Narrow" w:hAnsi="Arial Narrow"/>
                <w:b/>
                <w:sz w:val="18"/>
                <w:szCs w:val="18"/>
              </w:rPr>
              <w:t>:</w:t>
            </w:r>
            <w:r w:rsidRPr="004D4ABE">
              <w:rPr>
                <w:rFonts w:ascii="Arial Narrow" w:hAnsi="Arial Narrow"/>
                <w:b/>
                <w:sz w:val="18"/>
                <w:szCs w:val="18"/>
              </w:rPr>
              <w:t xml:space="preserve"> </w:t>
            </w:r>
            <w:r w:rsidRPr="004D4ABE">
              <w:rPr>
                <w:rFonts w:ascii="Arial Narrow" w:eastAsia="Calibri" w:hAnsi="Arial Narrow"/>
                <w:sz w:val="18"/>
                <w:szCs w:val="18"/>
              </w:rPr>
              <w:fldChar w:fldCharType="begin" w:fldLock="1">
                <w:ffData>
                  <w:name w:val=""/>
                  <w:enabled/>
                  <w:calcOnExit w:val="0"/>
                  <w:checkBox>
                    <w:sizeAuto/>
                    <w:default w:val="1"/>
                  </w:checkBox>
                </w:ffData>
              </w:fldChar>
            </w:r>
            <w:r w:rsidRPr="004D4ABE">
              <w:rPr>
                <w:rFonts w:ascii="Arial Narrow" w:eastAsia="Calibri" w:hAnsi="Arial Narrow"/>
                <w:sz w:val="18"/>
                <w:szCs w:val="18"/>
              </w:rPr>
              <w:instrText xml:space="preserve"> FORMCHECKBOX </w:instrText>
            </w:r>
            <w:r w:rsidR="00FC715B">
              <w:rPr>
                <w:rFonts w:ascii="Arial Narrow" w:eastAsia="Calibri" w:hAnsi="Arial Narrow"/>
                <w:sz w:val="18"/>
                <w:szCs w:val="18"/>
              </w:rPr>
            </w:r>
            <w:r w:rsidR="00FC715B">
              <w:rPr>
                <w:rFonts w:ascii="Arial Narrow" w:eastAsia="Calibri" w:hAnsi="Arial Narrow"/>
                <w:sz w:val="18"/>
                <w:szCs w:val="18"/>
              </w:rPr>
              <w:fldChar w:fldCharType="separate"/>
            </w:r>
            <w:r w:rsidRPr="004D4ABE">
              <w:rPr>
                <w:rFonts w:ascii="Arial Narrow" w:eastAsia="Calibri" w:hAnsi="Arial Narrow"/>
                <w:sz w:val="18"/>
                <w:szCs w:val="18"/>
              </w:rPr>
              <w:fldChar w:fldCharType="end"/>
            </w:r>
            <w:r>
              <w:rPr>
                <w:rFonts w:ascii="Arial Narrow" w:eastAsia="Calibri" w:hAnsi="Arial Narrow"/>
                <w:sz w:val="18"/>
                <w:szCs w:val="18"/>
              </w:rPr>
              <w:t xml:space="preserve"> </w:t>
            </w:r>
            <w:r w:rsidRPr="004D4ABE">
              <w:rPr>
                <w:rFonts w:ascii="Arial Narrow" w:eastAsia="Calibri" w:hAnsi="Arial Narrow"/>
                <w:sz w:val="18"/>
                <w:szCs w:val="18"/>
              </w:rPr>
              <w:t xml:space="preserve">Authority Required </w:t>
            </w:r>
            <w:r>
              <w:rPr>
                <w:rFonts w:ascii="Arial Narrow" w:eastAsia="Calibri" w:hAnsi="Arial Narrow"/>
                <w:sz w:val="18"/>
                <w:szCs w:val="18"/>
              </w:rPr>
              <w:t>–</w:t>
            </w:r>
            <w:r w:rsidRPr="004D4ABE">
              <w:rPr>
                <w:rFonts w:ascii="Arial Narrow" w:eastAsia="Calibri" w:hAnsi="Arial Narrow"/>
                <w:sz w:val="18"/>
                <w:szCs w:val="18"/>
              </w:rPr>
              <w:t xml:space="preserve"> Streamlined [new code]</w:t>
            </w:r>
            <w:r>
              <w:rPr>
                <w:rFonts w:ascii="Arial Narrow" w:eastAsia="Calibri" w:hAnsi="Arial Narrow"/>
                <w:sz w:val="18"/>
                <w:szCs w:val="18"/>
              </w:rPr>
              <w:t xml:space="preserve"> </w:t>
            </w:r>
          </w:p>
        </w:tc>
      </w:tr>
      <w:tr w:rsidR="00B059F3" w:rsidRPr="005E0DDD" w14:paraId="27A44E4F" w14:textId="77777777" w:rsidTr="00BE57BE">
        <w:tc>
          <w:tcPr>
            <w:tcW w:w="5000" w:type="pct"/>
            <w:tcBorders>
              <w:top w:val="single" w:sz="4" w:space="0" w:color="auto"/>
              <w:left w:val="single" w:sz="4" w:space="0" w:color="auto"/>
              <w:bottom w:val="single" w:sz="4" w:space="0" w:color="auto"/>
              <w:right w:val="single" w:sz="4" w:space="0" w:color="auto"/>
            </w:tcBorders>
          </w:tcPr>
          <w:p w14:paraId="1A46C29A" w14:textId="77777777" w:rsidR="00B059F3" w:rsidRPr="004D4ABE" w:rsidRDefault="00B059F3" w:rsidP="00BE57BE">
            <w:pPr>
              <w:rPr>
                <w:rFonts w:ascii="Arial Narrow" w:hAnsi="Arial Narrow"/>
                <w:b/>
                <w:sz w:val="18"/>
                <w:szCs w:val="18"/>
              </w:rPr>
            </w:pPr>
            <w:r w:rsidRPr="004C0141">
              <w:rPr>
                <w:rFonts w:ascii="Arial Narrow" w:hAnsi="Arial Narrow"/>
                <w:b/>
                <w:sz w:val="18"/>
                <w:szCs w:val="18"/>
              </w:rPr>
              <w:t xml:space="preserve">Administrative Advice: </w:t>
            </w:r>
            <w:r w:rsidRPr="00572E26">
              <w:rPr>
                <w:rFonts w:ascii="Arial Narrow" w:hAnsi="Arial Narrow"/>
                <w:sz w:val="18"/>
                <w:szCs w:val="18"/>
              </w:rPr>
              <w:t>No increase in the maximum number of repeats may be authorised.</w:t>
            </w:r>
          </w:p>
        </w:tc>
      </w:tr>
      <w:tr w:rsidR="00B059F3" w:rsidRPr="005E0DDD" w14:paraId="3CFBCBDE" w14:textId="77777777" w:rsidTr="00BE57BE">
        <w:tc>
          <w:tcPr>
            <w:tcW w:w="5000" w:type="pct"/>
            <w:tcBorders>
              <w:top w:val="single" w:sz="4" w:space="0" w:color="auto"/>
              <w:left w:val="single" w:sz="4" w:space="0" w:color="auto"/>
              <w:bottom w:val="single" w:sz="4" w:space="0" w:color="auto"/>
              <w:right w:val="single" w:sz="4" w:space="0" w:color="auto"/>
            </w:tcBorders>
          </w:tcPr>
          <w:p w14:paraId="655D07A9" w14:textId="77777777" w:rsidR="00B059F3" w:rsidRPr="004D4ABE" w:rsidRDefault="00B059F3" w:rsidP="00BE57BE">
            <w:pPr>
              <w:rPr>
                <w:rFonts w:ascii="Arial Narrow" w:hAnsi="Arial Narrow"/>
                <w:b/>
                <w:sz w:val="18"/>
                <w:szCs w:val="18"/>
              </w:rPr>
            </w:pPr>
            <w:r w:rsidRPr="0059132A">
              <w:rPr>
                <w:rFonts w:ascii="Arial Narrow" w:hAnsi="Arial Narrow"/>
                <w:b/>
                <w:sz w:val="18"/>
                <w:szCs w:val="18"/>
              </w:rPr>
              <w:t xml:space="preserve">Administrative Advice: </w:t>
            </w:r>
            <w:r w:rsidRPr="00572E26">
              <w:rPr>
                <w:rFonts w:ascii="Arial Narrow" w:hAnsi="Arial Narrow"/>
                <w:sz w:val="18"/>
                <w:szCs w:val="18"/>
              </w:rPr>
              <w:t>Special Pricing Arrangements apply.</w:t>
            </w:r>
          </w:p>
        </w:tc>
      </w:tr>
      <w:tr w:rsidR="00B059F3" w:rsidRPr="005E0DDD" w14:paraId="0B50DF57" w14:textId="77777777" w:rsidTr="00BE57BE">
        <w:tc>
          <w:tcPr>
            <w:tcW w:w="5000" w:type="pct"/>
            <w:tcBorders>
              <w:top w:val="single" w:sz="4" w:space="0" w:color="auto"/>
              <w:left w:val="single" w:sz="4" w:space="0" w:color="auto"/>
              <w:bottom w:val="single" w:sz="4" w:space="0" w:color="auto"/>
              <w:right w:val="single" w:sz="4" w:space="0" w:color="auto"/>
            </w:tcBorders>
          </w:tcPr>
          <w:p w14:paraId="22C8C596" w14:textId="77777777" w:rsidR="00B059F3" w:rsidRPr="004D4ABE" w:rsidRDefault="00B059F3" w:rsidP="00BE57BE">
            <w:pPr>
              <w:rPr>
                <w:rFonts w:ascii="Arial Narrow" w:hAnsi="Arial Narrow"/>
                <w:b/>
                <w:sz w:val="18"/>
                <w:szCs w:val="18"/>
              </w:rPr>
            </w:pPr>
            <w:r w:rsidRPr="007B13CC">
              <w:rPr>
                <w:rFonts w:ascii="Arial Narrow" w:hAnsi="Arial Narrow"/>
                <w:b/>
                <w:sz w:val="18"/>
                <w:szCs w:val="18"/>
              </w:rPr>
              <w:t xml:space="preserve">Administrative Advice: </w:t>
            </w:r>
            <w:r w:rsidRPr="00572E26">
              <w:rPr>
                <w:rFonts w:ascii="Arial Narrow" w:hAnsi="Arial Narrow"/>
                <w:sz w:val="18"/>
                <w:szCs w:val="18"/>
              </w:rPr>
              <w:t>No increase in the maximum amount or number of units may be authorised</w:t>
            </w:r>
          </w:p>
        </w:tc>
      </w:tr>
      <w:tr w:rsidR="00B059F3" w:rsidRPr="005E0DDD" w14:paraId="3F12465C" w14:textId="77777777" w:rsidTr="00BE57BE">
        <w:tc>
          <w:tcPr>
            <w:tcW w:w="5000" w:type="pct"/>
            <w:vAlign w:val="center"/>
          </w:tcPr>
          <w:p w14:paraId="3894C9E6" w14:textId="77777777" w:rsidR="00B059F3" w:rsidRPr="004D4ABE" w:rsidRDefault="00B059F3" w:rsidP="00BE57BE">
            <w:pPr>
              <w:rPr>
                <w:rFonts w:ascii="Arial Narrow" w:hAnsi="Arial Narrow"/>
                <w:b/>
                <w:bCs/>
                <w:color w:val="333333"/>
                <w:sz w:val="18"/>
                <w:szCs w:val="18"/>
              </w:rPr>
            </w:pPr>
            <w:r>
              <w:rPr>
                <w:rFonts w:ascii="Arial Narrow" w:hAnsi="Arial Narrow"/>
                <w:b/>
                <w:bCs/>
                <w:color w:val="333333"/>
                <w:sz w:val="18"/>
                <w:szCs w:val="18"/>
              </w:rPr>
              <w:t xml:space="preserve">Episodicity: </w:t>
            </w:r>
            <w:r>
              <w:rPr>
                <w:rFonts w:ascii="Arial Narrow" w:hAnsi="Arial Narrow"/>
                <w:color w:val="333333"/>
                <w:sz w:val="18"/>
                <w:szCs w:val="18"/>
              </w:rPr>
              <w:t>[blank]</w:t>
            </w:r>
          </w:p>
        </w:tc>
      </w:tr>
      <w:tr w:rsidR="00B059F3" w:rsidRPr="005E0DDD" w14:paraId="24816E93" w14:textId="77777777" w:rsidTr="00BE57BE">
        <w:tc>
          <w:tcPr>
            <w:tcW w:w="5000" w:type="pct"/>
            <w:vAlign w:val="center"/>
          </w:tcPr>
          <w:p w14:paraId="3B220E0A" w14:textId="77777777" w:rsidR="00B059F3" w:rsidRPr="004D4ABE" w:rsidRDefault="00B059F3" w:rsidP="00BE57BE">
            <w:pPr>
              <w:rPr>
                <w:rFonts w:ascii="Arial Narrow" w:hAnsi="Arial Narrow"/>
                <w:b/>
                <w:bCs/>
                <w:color w:val="333333"/>
                <w:sz w:val="18"/>
                <w:szCs w:val="18"/>
              </w:rPr>
            </w:pPr>
            <w:r w:rsidRPr="004D4ABE">
              <w:rPr>
                <w:rFonts w:ascii="Arial Narrow" w:hAnsi="Arial Narrow"/>
                <w:b/>
                <w:bCs/>
                <w:color w:val="333333"/>
                <w:sz w:val="18"/>
                <w:szCs w:val="18"/>
              </w:rPr>
              <w:t xml:space="preserve">Severity: </w:t>
            </w:r>
            <w:r w:rsidRPr="004D4ABE">
              <w:rPr>
                <w:rFonts w:ascii="Arial Narrow" w:hAnsi="Arial Narrow"/>
                <w:bCs/>
                <w:color w:val="333333"/>
                <w:sz w:val="18"/>
                <w:szCs w:val="18"/>
              </w:rPr>
              <w:t>Advanced disease (unresectable or metastatic)</w:t>
            </w:r>
          </w:p>
        </w:tc>
      </w:tr>
      <w:tr w:rsidR="00B059F3" w:rsidRPr="005E0DDD" w14:paraId="6BBB7130" w14:textId="77777777" w:rsidTr="00BE57BE">
        <w:tc>
          <w:tcPr>
            <w:tcW w:w="5000" w:type="pct"/>
            <w:vAlign w:val="center"/>
          </w:tcPr>
          <w:p w14:paraId="147BC82F" w14:textId="77777777" w:rsidR="00B059F3" w:rsidRPr="004D4ABE" w:rsidRDefault="00B059F3" w:rsidP="00BE57BE">
            <w:pPr>
              <w:rPr>
                <w:rFonts w:ascii="Arial Narrow" w:hAnsi="Arial Narrow"/>
                <w:b/>
                <w:bCs/>
                <w:color w:val="333333"/>
                <w:sz w:val="18"/>
                <w:szCs w:val="18"/>
              </w:rPr>
            </w:pPr>
            <w:r w:rsidRPr="004D4ABE">
              <w:rPr>
                <w:rFonts w:ascii="Arial Narrow" w:hAnsi="Arial Narrow"/>
                <w:b/>
                <w:bCs/>
                <w:color w:val="333333"/>
                <w:sz w:val="18"/>
                <w:szCs w:val="18"/>
              </w:rPr>
              <w:t xml:space="preserve">Condition: </w:t>
            </w:r>
            <w:r w:rsidRPr="004D4ABE">
              <w:rPr>
                <w:rFonts w:ascii="Arial Narrow" w:hAnsi="Arial Narrow"/>
                <w:bCs/>
                <w:color w:val="333333"/>
                <w:sz w:val="18"/>
                <w:szCs w:val="18"/>
              </w:rPr>
              <w:t>Uveal melanoma</w:t>
            </w:r>
          </w:p>
        </w:tc>
      </w:tr>
      <w:tr w:rsidR="00B059F3" w:rsidRPr="005E0DDD" w14:paraId="35EFE70E" w14:textId="77777777" w:rsidTr="00BE57BE">
        <w:tc>
          <w:tcPr>
            <w:tcW w:w="5000" w:type="pct"/>
            <w:vAlign w:val="center"/>
            <w:hideMark/>
          </w:tcPr>
          <w:p w14:paraId="10F22E89" w14:textId="77777777" w:rsidR="00B059F3" w:rsidRPr="004D4ABE" w:rsidRDefault="00B059F3" w:rsidP="00BE57BE">
            <w:pPr>
              <w:rPr>
                <w:rFonts w:ascii="Arial Narrow" w:hAnsi="Arial Narrow"/>
                <w:color w:val="333333"/>
                <w:sz w:val="18"/>
                <w:szCs w:val="18"/>
              </w:rPr>
            </w:pPr>
            <w:r w:rsidRPr="004D4ABE">
              <w:rPr>
                <w:rFonts w:ascii="Arial Narrow" w:hAnsi="Arial Narrow"/>
                <w:b/>
                <w:bCs/>
                <w:color w:val="333333"/>
                <w:sz w:val="18"/>
                <w:szCs w:val="18"/>
              </w:rPr>
              <w:t>Indication:</w:t>
            </w:r>
            <w:r w:rsidRPr="004D4ABE">
              <w:rPr>
                <w:rFonts w:ascii="Arial Narrow" w:hAnsi="Arial Narrow"/>
                <w:color w:val="333333"/>
                <w:sz w:val="18"/>
                <w:szCs w:val="18"/>
              </w:rPr>
              <w:t xml:space="preserve"> Advanced (unresectable or metastatic) uveal melanoma</w:t>
            </w:r>
          </w:p>
        </w:tc>
      </w:tr>
      <w:tr w:rsidR="00B059F3" w:rsidRPr="005E0DDD" w14:paraId="77ED3935" w14:textId="77777777" w:rsidTr="00BE57BE">
        <w:tc>
          <w:tcPr>
            <w:tcW w:w="5000" w:type="pct"/>
            <w:shd w:val="clear" w:color="auto" w:fill="D9D9D9" w:themeFill="background1" w:themeFillShade="D9"/>
            <w:vAlign w:val="center"/>
            <w:hideMark/>
          </w:tcPr>
          <w:p w14:paraId="4F7FE125" w14:textId="77777777" w:rsidR="00B059F3" w:rsidRPr="004D4ABE" w:rsidRDefault="00B059F3" w:rsidP="00BE57BE">
            <w:pPr>
              <w:rPr>
                <w:rFonts w:ascii="Arial Narrow" w:hAnsi="Arial Narrow"/>
                <w:color w:val="333333"/>
                <w:sz w:val="18"/>
                <w:szCs w:val="18"/>
              </w:rPr>
            </w:pPr>
            <w:r w:rsidRPr="004D4ABE">
              <w:rPr>
                <w:rFonts w:ascii="Arial Narrow" w:hAnsi="Arial Narrow"/>
                <w:b/>
                <w:bCs/>
                <w:color w:val="333333"/>
                <w:sz w:val="18"/>
                <w:szCs w:val="18"/>
              </w:rPr>
              <w:t>Treatment Phase:</w:t>
            </w:r>
            <w:r w:rsidRPr="004D4ABE">
              <w:rPr>
                <w:rFonts w:ascii="Arial Narrow" w:hAnsi="Arial Narrow"/>
                <w:color w:val="333333"/>
                <w:sz w:val="18"/>
                <w:szCs w:val="18"/>
              </w:rPr>
              <w:t xml:space="preserve"> Continuing treatment</w:t>
            </w:r>
          </w:p>
        </w:tc>
      </w:tr>
      <w:tr w:rsidR="00B059F3" w:rsidRPr="005E0DDD" w14:paraId="5D3631F2" w14:textId="77777777" w:rsidTr="00BE57BE">
        <w:tc>
          <w:tcPr>
            <w:tcW w:w="5000" w:type="pct"/>
            <w:shd w:val="clear" w:color="auto" w:fill="FFFFFF" w:themeFill="background1"/>
            <w:vAlign w:val="center"/>
          </w:tcPr>
          <w:p w14:paraId="62B88E41" w14:textId="77777777" w:rsidR="00B059F3" w:rsidRPr="004D4ABE" w:rsidRDefault="00B059F3" w:rsidP="00BE57BE">
            <w:pPr>
              <w:rPr>
                <w:rFonts w:ascii="Arial Narrow" w:hAnsi="Arial Narrow"/>
                <w:b/>
                <w:bCs/>
                <w:color w:val="333333"/>
                <w:sz w:val="18"/>
                <w:szCs w:val="18"/>
              </w:rPr>
            </w:pPr>
            <w:r>
              <w:rPr>
                <w:rFonts w:ascii="Arial Narrow" w:hAnsi="Arial Narrow"/>
                <w:b/>
                <w:bCs/>
                <w:color w:val="333333"/>
                <w:sz w:val="18"/>
                <w:szCs w:val="18"/>
              </w:rPr>
              <w:t>Clinical criteria</w:t>
            </w:r>
          </w:p>
        </w:tc>
      </w:tr>
      <w:tr w:rsidR="00B059F3" w:rsidRPr="005E0DDD" w14:paraId="61D54CFC" w14:textId="77777777" w:rsidTr="00BE57BE">
        <w:tc>
          <w:tcPr>
            <w:tcW w:w="5000" w:type="pct"/>
            <w:shd w:val="clear" w:color="auto" w:fill="FFFFFF" w:themeFill="background1"/>
            <w:vAlign w:val="center"/>
          </w:tcPr>
          <w:p w14:paraId="0327050F" w14:textId="77777777" w:rsidR="00B059F3" w:rsidRDefault="00B059F3" w:rsidP="00BE57BE">
            <w:pPr>
              <w:rPr>
                <w:rFonts w:ascii="Arial Narrow" w:hAnsi="Arial Narrow"/>
                <w:sz w:val="18"/>
                <w:szCs w:val="18"/>
              </w:rPr>
            </w:pPr>
            <w:r w:rsidRPr="008D53D8">
              <w:rPr>
                <w:rFonts w:ascii="Arial Narrow" w:hAnsi="Arial Narrow"/>
                <w:sz w:val="18"/>
                <w:szCs w:val="18"/>
              </w:rPr>
              <w:t xml:space="preserve">The treatment must be the sole PBS-subsidised therapy for this condition </w:t>
            </w:r>
          </w:p>
          <w:p w14:paraId="0AF9B265" w14:textId="77777777" w:rsidR="00B059F3" w:rsidRPr="00F67000" w:rsidRDefault="00B059F3" w:rsidP="00BE57BE">
            <w:pPr>
              <w:rPr>
                <w:rFonts w:ascii="Arial Narrow" w:hAnsi="Arial Narrow"/>
                <w:b/>
                <w:bCs/>
                <w:sz w:val="18"/>
                <w:szCs w:val="18"/>
              </w:rPr>
            </w:pPr>
            <w:r w:rsidRPr="00F67000">
              <w:rPr>
                <w:rFonts w:ascii="Arial Narrow" w:hAnsi="Arial Narrow"/>
                <w:b/>
                <w:bCs/>
                <w:sz w:val="18"/>
                <w:szCs w:val="18"/>
              </w:rPr>
              <w:t>AND</w:t>
            </w:r>
          </w:p>
          <w:p w14:paraId="283D8B09" w14:textId="77777777" w:rsidR="00B059F3" w:rsidRDefault="00B059F3" w:rsidP="00BE57BE">
            <w:pPr>
              <w:rPr>
                <w:rFonts w:ascii="Arial Narrow" w:hAnsi="Arial Narrow"/>
                <w:sz w:val="18"/>
                <w:szCs w:val="18"/>
              </w:rPr>
            </w:pPr>
            <w:r w:rsidRPr="0034200D">
              <w:rPr>
                <w:rFonts w:ascii="Arial Narrow" w:hAnsi="Arial Narrow"/>
                <w:sz w:val="18"/>
                <w:szCs w:val="18"/>
              </w:rPr>
              <w:t xml:space="preserve">Patient must have previously received PBS-subsidised </w:t>
            </w:r>
            <w:r>
              <w:rPr>
                <w:rFonts w:ascii="Arial Narrow" w:hAnsi="Arial Narrow"/>
                <w:sz w:val="18"/>
                <w:szCs w:val="18"/>
              </w:rPr>
              <w:t>treatment</w:t>
            </w:r>
            <w:r w:rsidRPr="00572E26">
              <w:rPr>
                <w:rFonts w:ascii="Arial Narrow" w:hAnsi="Arial Narrow"/>
                <w:sz w:val="18"/>
                <w:szCs w:val="18"/>
              </w:rPr>
              <w:t xml:space="preserve"> with this drug</w:t>
            </w:r>
            <w:r w:rsidRPr="0034200D">
              <w:rPr>
                <w:rFonts w:ascii="Arial Narrow" w:hAnsi="Arial Narrow"/>
                <w:sz w:val="18"/>
                <w:szCs w:val="18"/>
              </w:rPr>
              <w:t xml:space="preserve"> for this condition</w:t>
            </w:r>
          </w:p>
          <w:p w14:paraId="5C0BA788" w14:textId="77777777" w:rsidR="00B059F3" w:rsidRPr="00F67000" w:rsidRDefault="00B059F3" w:rsidP="00BE57BE">
            <w:pPr>
              <w:rPr>
                <w:rFonts w:ascii="Arial Narrow" w:hAnsi="Arial Narrow"/>
                <w:b/>
                <w:bCs/>
                <w:sz w:val="18"/>
                <w:szCs w:val="18"/>
              </w:rPr>
            </w:pPr>
            <w:r w:rsidRPr="00F67000">
              <w:rPr>
                <w:rFonts w:ascii="Arial Narrow" w:hAnsi="Arial Narrow"/>
                <w:b/>
                <w:bCs/>
                <w:sz w:val="18"/>
                <w:szCs w:val="18"/>
              </w:rPr>
              <w:t>AND</w:t>
            </w:r>
          </w:p>
          <w:p w14:paraId="4627041B" w14:textId="77777777" w:rsidR="00B059F3" w:rsidRPr="00367A30" w:rsidRDefault="00B059F3" w:rsidP="00BE57BE">
            <w:pPr>
              <w:rPr>
                <w:rFonts w:ascii="Arial Narrow" w:hAnsi="Arial Narrow"/>
                <w:sz w:val="18"/>
                <w:szCs w:val="18"/>
              </w:rPr>
            </w:pPr>
            <w:r w:rsidRPr="00E15479">
              <w:rPr>
                <w:rFonts w:ascii="Arial Narrow" w:hAnsi="Arial Narrow"/>
                <w:color w:val="333333"/>
                <w:sz w:val="18"/>
                <w:szCs w:val="18"/>
              </w:rPr>
              <w:t>Patient must not develop disease progression as determined by the treating clinician while receiving PBS subsidised treatment with this drug for this condition</w:t>
            </w:r>
          </w:p>
        </w:tc>
      </w:tr>
      <w:tr w:rsidR="00B059F3" w:rsidRPr="002A4556" w14:paraId="6BD2B993" w14:textId="77777777" w:rsidTr="00BE57BE">
        <w:trPr>
          <w:trHeight w:val="1073"/>
        </w:trPr>
        <w:tc>
          <w:tcPr>
            <w:tcW w:w="5000" w:type="pct"/>
            <w:tcBorders>
              <w:top w:val="single" w:sz="4" w:space="0" w:color="auto"/>
              <w:left w:val="single" w:sz="4" w:space="0" w:color="auto"/>
              <w:right w:val="single" w:sz="4" w:space="0" w:color="auto"/>
            </w:tcBorders>
            <w:vAlign w:val="center"/>
            <w:hideMark/>
          </w:tcPr>
          <w:p w14:paraId="4EF73CD5" w14:textId="77777777" w:rsidR="00B059F3" w:rsidRPr="00FE3BCD" w:rsidRDefault="00B059F3" w:rsidP="00BE57BE">
            <w:pPr>
              <w:autoSpaceDE w:val="0"/>
              <w:autoSpaceDN w:val="0"/>
              <w:adjustRightInd w:val="0"/>
              <w:rPr>
                <w:rFonts w:ascii="Arial Narrow" w:hAnsi="Arial Narrow"/>
                <w:b/>
                <w:bCs/>
                <w:sz w:val="18"/>
                <w:szCs w:val="18"/>
              </w:rPr>
            </w:pPr>
            <w:r w:rsidRPr="00F67000">
              <w:rPr>
                <w:rFonts w:ascii="Arial Narrow" w:hAnsi="Arial Narrow"/>
                <w:b/>
                <w:bCs/>
                <w:strike/>
                <w:sz w:val="18"/>
                <w:szCs w:val="18"/>
              </w:rPr>
              <w:lastRenderedPageBreak/>
              <w:t>Treatment criteria</w:t>
            </w:r>
            <w:r>
              <w:rPr>
                <w:rFonts w:ascii="Arial Narrow" w:hAnsi="Arial Narrow"/>
                <w:b/>
                <w:bCs/>
                <w:sz w:val="18"/>
                <w:szCs w:val="18"/>
              </w:rPr>
              <w:t xml:space="preserve"> </w:t>
            </w:r>
            <w:r w:rsidRPr="00F67000">
              <w:rPr>
                <w:rFonts w:ascii="Arial Narrow" w:hAnsi="Arial Narrow"/>
                <w:b/>
                <w:bCs/>
                <w:i/>
                <w:iCs/>
                <w:sz w:val="18"/>
                <w:szCs w:val="18"/>
              </w:rPr>
              <w:t>Prescribing instruction</w:t>
            </w:r>
            <w:r w:rsidRPr="00FE3BCD">
              <w:rPr>
                <w:rFonts w:ascii="Arial Narrow" w:hAnsi="Arial Narrow"/>
                <w:b/>
                <w:bCs/>
                <w:sz w:val="18"/>
                <w:szCs w:val="18"/>
              </w:rPr>
              <w:t>:</w:t>
            </w:r>
          </w:p>
          <w:p w14:paraId="7DE596AF" w14:textId="77777777" w:rsidR="00B059F3" w:rsidRPr="00FE3BCD" w:rsidRDefault="00B059F3" w:rsidP="00BE57BE">
            <w:pPr>
              <w:autoSpaceDE w:val="0"/>
              <w:autoSpaceDN w:val="0"/>
              <w:adjustRightInd w:val="0"/>
              <w:rPr>
                <w:rFonts w:ascii="Arial Narrow" w:hAnsi="Arial Narrow"/>
                <w:b/>
                <w:bCs/>
                <w:sz w:val="18"/>
                <w:szCs w:val="18"/>
              </w:rPr>
            </w:pPr>
            <w:r w:rsidRPr="00572E26">
              <w:rPr>
                <w:rFonts w:ascii="Arial Narrow" w:hAnsi="Arial Narrow"/>
                <w:sz w:val="18"/>
                <w:szCs w:val="18"/>
              </w:rPr>
              <w:t>According to the TGA-approved Product Information, hospitalisation is recommended at minimum for the first 3 doses (on Days 1, 8 and 15) and for at least 16 hours after each infusion is completed. If the patient does not experience hypotension that is Grade 2 or worse (requiring medical intervention) with the third dose, subsequent doses can be administered in an appropriate outpatient/ambulatory care setting. Supervision by a health care professional is recommended for a minimum of 30 minutes following each infusion</w:t>
            </w:r>
            <w:r w:rsidRPr="00FE3BCD">
              <w:rPr>
                <w:rFonts w:ascii="Arial Narrow" w:hAnsi="Arial Narrow"/>
                <w:b/>
                <w:bCs/>
                <w:sz w:val="18"/>
                <w:szCs w:val="18"/>
              </w:rPr>
              <w:t>.</w:t>
            </w:r>
          </w:p>
        </w:tc>
      </w:tr>
      <w:tr w:rsidR="00B059F3" w:rsidRPr="00AE3DAD" w14:paraId="1B54191E" w14:textId="77777777" w:rsidTr="00BE57BE">
        <w:tc>
          <w:tcPr>
            <w:tcW w:w="5000" w:type="pct"/>
            <w:tcBorders>
              <w:top w:val="single" w:sz="4" w:space="0" w:color="auto"/>
              <w:left w:val="single" w:sz="4" w:space="0" w:color="auto"/>
              <w:bottom w:val="single" w:sz="4" w:space="0" w:color="auto"/>
              <w:right w:val="single" w:sz="4" w:space="0" w:color="auto"/>
            </w:tcBorders>
            <w:vAlign w:val="center"/>
          </w:tcPr>
          <w:p w14:paraId="0E261BF0" w14:textId="77777777" w:rsidR="00B059F3" w:rsidRPr="000D21D3" w:rsidRDefault="00B059F3" w:rsidP="00BE57BE">
            <w:pPr>
              <w:autoSpaceDE w:val="0"/>
              <w:autoSpaceDN w:val="0"/>
              <w:adjustRightInd w:val="0"/>
              <w:rPr>
                <w:rFonts w:ascii="Arial Narrow" w:hAnsi="Arial Narrow"/>
                <w:b/>
                <w:bCs/>
                <w:sz w:val="18"/>
                <w:szCs w:val="18"/>
              </w:rPr>
            </w:pPr>
            <w:r w:rsidRPr="000D21D3">
              <w:rPr>
                <w:rFonts w:ascii="Arial Narrow" w:hAnsi="Arial Narrow"/>
                <w:b/>
                <w:bCs/>
                <w:sz w:val="18"/>
                <w:szCs w:val="18"/>
              </w:rPr>
              <w:t>Caution:</w:t>
            </w:r>
          </w:p>
          <w:p w14:paraId="670A9070" w14:textId="77777777" w:rsidR="00B059F3" w:rsidRPr="004236C2" w:rsidRDefault="00B059F3" w:rsidP="00BE57BE">
            <w:pPr>
              <w:autoSpaceDE w:val="0"/>
              <w:autoSpaceDN w:val="0"/>
              <w:adjustRightInd w:val="0"/>
              <w:rPr>
                <w:rFonts w:ascii="Arial Narrow" w:hAnsi="Arial Narrow"/>
                <w:sz w:val="18"/>
                <w:szCs w:val="18"/>
              </w:rPr>
            </w:pPr>
            <w:r w:rsidRPr="000D21D3">
              <w:rPr>
                <w:rFonts w:ascii="Arial Narrow" w:hAnsi="Arial Narrow"/>
                <w:sz w:val="18"/>
                <w:szCs w:val="18"/>
              </w:rPr>
              <w:t>Careful monitoring of patients is required due to risk of developing life-threatening Cytokine Release Syndrome (CRS).</w:t>
            </w:r>
          </w:p>
        </w:tc>
      </w:tr>
    </w:tbl>
    <w:p w14:paraId="0454541E" w14:textId="77777777" w:rsidR="00B059F3" w:rsidRDefault="00B059F3" w:rsidP="00B059F3">
      <w:pPr>
        <w:pStyle w:val="2-SectionHeading"/>
      </w:pPr>
      <w:r>
        <w:t>Consideration of the evidence</w:t>
      </w:r>
    </w:p>
    <w:p w14:paraId="322BA990" w14:textId="77777777" w:rsidR="00B059F3" w:rsidRDefault="00B059F3" w:rsidP="00B059F3">
      <w:pPr>
        <w:pStyle w:val="4-SubsectionHeading"/>
      </w:pPr>
      <w:r w:rsidRPr="00C9624D">
        <w:t xml:space="preserve">Economic analysis </w:t>
      </w:r>
    </w:p>
    <w:p w14:paraId="5014C8A9" w14:textId="77777777" w:rsidR="00B059F3" w:rsidRDefault="00B059F3" w:rsidP="00B059F3">
      <w:pPr>
        <w:widowControl w:val="0"/>
        <w:numPr>
          <w:ilvl w:val="1"/>
          <w:numId w:val="1"/>
        </w:numPr>
        <w:spacing w:after="120"/>
        <w:rPr>
          <w:rFonts w:asciiTheme="minorHAnsi" w:hAnsiTheme="minorHAnsi"/>
          <w:snapToGrid w:val="0"/>
        </w:rPr>
      </w:pPr>
      <w:r w:rsidRPr="007E1264">
        <w:rPr>
          <w:rFonts w:asciiTheme="minorHAnsi" w:hAnsiTheme="minorHAnsi"/>
          <w:snapToGrid w:val="0"/>
        </w:rPr>
        <w:t xml:space="preserve">The </w:t>
      </w:r>
      <w:r>
        <w:rPr>
          <w:rFonts w:asciiTheme="minorHAnsi" w:hAnsiTheme="minorHAnsi"/>
          <w:snapToGrid w:val="0"/>
        </w:rPr>
        <w:t>resubmission stated that the following inputs were changed in the economic model:</w:t>
      </w:r>
    </w:p>
    <w:p w14:paraId="4862E2F2" w14:textId="77777777" w:rsidR="00B059F3" w:rsidRDefault="00B059F3" w:rsidP="00B059F3">
      <w:pPr>
        <w:widowControl w:val="0"/>
        <w:numPr>
          <w:ilvl w:val="1"/>
          <w:numId w:val="34"/>
        </w:numPr>
        <w:spacing w:after="120"/>
        <w:ind w:left="1080"/>
        <w:rPr>
          <w:rFonts w:asciiTheme="minorHAnsi" w:hAnsiTheme="minorHAnsi"/>
          <w:snapToGrid w:val="0"/>
        </w:rPr>
      </w:pPr>
      <w:r>
        <w:rPr>
          <w:rFonts w:asciiTheme="minorHAnsi" w:hAnsiTheme="minorHAnsi"/>
          <w:snapToGrid w:val="0"/>
        </w:rPr>
        <w:t>The time horizon was reduced to 10 years (from 20 years in the original submission and 15 years in the pre-PBAC response).</w:t>
      </w:r>
    </w:p>
    <w:p w14:paraId="14A938CE" w14:textId="1389C7D8" w:rsidR="00B059F3" w:rsidRDefault="00B059F3" w:rsidP="00B059F3">
      <w:pPr>
        <w:widowControl w:val="0"/>
        <w:numPr>
          <w:ilvl w:val="1"/>
          <w:numId w:val="34"/>
        </w:numPr>
        <w:spacing w:after="120"/>
        <w:ind w:left="1080"/>
        <w:rPr>
          <w:rFonts w:asciiTheme="minorHAnsi" w:hAnsiTheme="minorHAnsi"/>
          <w:snapToGrid w:val="0"/>
        </w:rPr>
      </w:pPr>
      <w:r>
        <w:rPr>
          <w:rFonts w:asciiTheme="minorHAnsi" w:hAnsiTheme="minorHAnsi"/>
          <w:snapToGrid w:val="0"/>
        </w:rPr>
        <w:t>The effective approved ex-manufacturer price (AEMP) of tebentafusp was reduced to $</w:t>
      </w:r>
      <w:r w:rsidR="003D4DE8" w:rsidRPr="00FC715B">
        <w:rPr>
          <w:rFonts w:asciiTheme="minorHAnsi" w:hAnsiTheme="minorHAnsi"/>
          <w:snapToGrid w:val="0"/>
          <w:color w:val="000000"/>
          <w:w w:val="15"/>
          <w:shd w:val="solid" w:color="000000" w:fill="000000"/>
          <w:fitText w:val="-20" w:id="-1136955133"/>
          <w14:textFill>
            <w14:solidFill>
              <w14:srgbClr w14:val="000000">
                <w14:alpha w14:val="100000"/>
              </w14:srgbClr>
            </w14:solidFill>
          </w14:textFill>
        </w:rPr>
        <w:t xml:space="preserve">|  </w:t>
      </w:r>
      <w:r w:rsidR="003D4DE8" w:rsidRPr="00FC715B">
        <w:rPr>
          <w:rFonts w:asciiTheme="minorHAnsi" w:hAnsiTheme="minorHAnsi"/>
          <w:snapToGrid w:val="0"/>
          <w:color w:val="000000"/>
          <w:spacing w:val="-69"/>
          <w:w w:val="15"/>
          <w:shd w:val="solid" w:color="000000" w:fill="000000"/>
          <w:fitText w:val="-20" w:id="-1136955133"/>
          <w14:textFill>
            <w14:solidFill>
              <w14:srgbClr w14:val="000000">
                <w14:alpha w14:val="100000"/>
              </w14:srgbClr>
            </w14:solidFill>
          </w14:textFill>
        </w:rPr>
        <w:t>|</w:t>
      </w:r>
      <w:r>
        <w:rPr>
          <w:rFonts w:asciiTheme="minorHAnsi" w:hAnsiTheme="minorHAnsi"/>
          <w:snapToGrid w:val="0"/>
        </w:rPr>
        <w:t xml:space="preserve"> per vial (from $</w:t>
      </w:r>
      <w:r w:rsidR="003D4DE8" w:rsidRPr="00FC715B">
        <w:rPr>
          <w:rFonts w:asciiTheme="minorHAnsi" w:hAnsiTheme="minorHAnsi"/>
          <w:snapToGrid w:val="0"/>
          <w:color w:val="000000"/>
          <w:w w:val="15"/>
          <w:shd w:val="solid" w:color="000000" w:fill="000000"/>
          <w:fitText w:val="-20" w:id="-1136955132"/>
          <w14:textFill>
            <w14:solidFill>
              <w14:srgbClr w14:val="000000">
                <w14:alpha w14:val="100000"/>
              </w14:srgbClr>
            </w14:solidFill>
          </w14:textFill>
        </w:rPr>
        <w:t xml:space="preserve">|  </w:t>
      </w:r>
      <w:r w:rsidR="003D4DE8" w:rsidRPr="00FC715B">
        <w:rPr>
          <w:rFonts w:asciiTheme="minorHAnsi" w:hAnsiTheme="minorHAnsi"/>
          <w:snapToGrid w:val="0"/>
          <w:color w:val="000000"/>
          <w:spacing w:val="-69"/>
          <w:w w:val="15"/>
          <w:shd w:val="solid" w:color="000000" w:fill="000000"/>
          <w:fitText w:val="-20" w:id="-1136955132"/>
          <w14:textFill>
            <w14:solidFill>
              <w14:srgbClr w14:val="000000">
                <w14:alpha w14:val="100000"/>
              </w14:srgbClr>
            </w14:solidFill>
          </w14:textFill>
        </w:rPr>
        <w:t>|</w:t>
      </w:r>
      <w:r>
        <w:rPr>
          <w:rFonts w:asciiTheme="minorHAnsi" w:hAnsiTheme="minorHAnsi"/>
          <w:snapToGrid w:val="0"/>
        </w:rPr>
        <w:t xml:space="preserve"> in the original submission and $</w:t>
      </w:r>
      <w:r w:rsidR="003D4DE8" w:rsidRPr="00FC715B">
        <w:rPr>
          <w:rFonts w:asciiTheme="minorHAnsi" w:hAnsiTheme="minorHAnsi"/>
          <w:snapToGrid w:val="0"/>
          <w:color w:val="000000"/>
          <w:w w:val="15"/>
          <w:shd w:val="solid" w:color="000000" w:fill="000000"/>
          <w:fitText w:val="-20" w:id="-1136955131"/>
          <w14:textFill>
            <w14:solidFill>
              <w14:srgbClr w14:val="000000">
                <w14:alpha w14:val="100000"/>
              </w14:srgbClr>
            </w14:solidFill>
          </w14:textFill>
        </w:rPr>
        <w:t xml:space="preserve">|  </w:t>
      </w:r>
      <w:r w:rsidR="003D4DE8" w:rsidRPr="00FC715B">
        <w:rPr>
          <w:rFonts w:asciiTheme="minorHAnsi" w:hAnsiTheme="minorHAnsi"/>
          <w:snapToGrid w:val="0"/>
          <w:color w:val="000000"/>
          <w:spacing w:val="-69"/>
          <w:w w:val="15"/>
          <w:shd w:val="solid" w:color="000000" w:fill="000000"/>
          <w:fitText w:val="-20" w:id="-1136955131"/>
          <w14:textFill>
            <w14:solidFill>
              <w14:srgbClr w14:val="000000">
                <w14:alpha w14:val="100000"/>
              </w14:srgbClr>
            </w14:solidFill>
          </w14:textFill>
        </w:rPr>
        <w:t>|</w:t>
      </w:r>
      <w:r>
        <w:rPr>
          <w:rFonts w:asciiTheme="minorHAnsi" w:hAnsiTheme="minorHAnsi"/>
          <w:snapToGrid w:val="0"/>
        </w:rPr>
        <w:t xml:space="preserve"> in the pre-PBAC response).</w:t>
      </w:r>
    </w:p>
    <w:p w14:paraId="3AF4F6FA" w14:textId="77777777" w:rsidR="00B059F3" w:rsidRDefault="00B059F3" w:rsidP="00B059F3">
      <w:pPr>
        <w:widowControl w:val="0"/>
        <w:numPr>
          <w:ilvl w:val="1"/>
          <w:numId w:val="1"/>
        </w:numPr>
        <w:spacing w:after="120"/>
        <w:rPr>
          <w:rFonts w:asciiTheme="minorHAnsi" w:hAnsiTheme="minorHAnsi"/>
          <w:snapToGrid w:val="0"/>
        </w:rPr>
      </w:pPr>
      <w:r w:rsidRPr="007E1264">
        <w:rPr>
          <w:rFonts w:asciiTheme="minorHAnsi" w:hAnsiTheme="minorHAnsi"/>
          <w:snapToGrid w:val="0"/>
        </w:rPr>
        <w:t>In March 2023, the PBAC requested that the time horizon be reduced to 7.5 years on the basis that patients with metastatic disease have a poor prognosis and that the maximum duration of follow up in the IMCgp100-202 trial was 50 months. The resubmission acknowledged that the prognosis of patients with metastatic disease was historically poor but considered that a 10</w:t>
      </w:r>
      <w:r>
        <w:rPr>
          <w:rFonts w:asciiTheme="minorHAnsi" w:hAnsiTheme="minorHAnsi"/>
          <w:snapToGrid w:val="0"/>
        </w:rPr>
        <w:t>-</w:t>
      </w:r>
      <w:r w:rsidRPr="007E1264">
        <w:rPr>
          <w:rFonts w:asciiTheme="minorHAnsi" w:hAnsiTheme="minorHAnsi"/>
          <w:snapToGrid w:val="0"/>
        </w:rPr>
        <w:t xml:space="preserve">year time horizon better captured the clinical and economic consequences of treatment with tebentafusp. The resubmission presented an updated Kaplan-Meier </w:t>
      </w:r>
      <w:r>
        <w:rPr>
          <w:rFonts w:asciiTheme="minorHAnsi" w:hAnsiTheme="minorHAnsi"/>
          <w:snapToGrid w:val="0"/>
        </w:rPr>
        <w:t>analysis</w:t>
      </w:r>
      <w:r w:rsidRPr="007E1264">
        <w:rPr>
          <w:rFonts w:asciiTheme="minorHAnsi" w:hAnsiTheme="minorHAnsi"/>
          <w:snapToGrid w:val="0"/>
        </w:rPr>
        <w:t xml:space="preserve"> of overall survival based on the most recent data cut (June 2023, 3-year follow-up)</w:t>
      </w:r>
      <w:r>
        <w:rPr>
          <w:rFonts w:asciiTheme="minorHAnsi" w:hAnsiTheme="minorHAnsi"/>
          <w:snapToGrid w:val="0"/>
        </w:rPr>
        <w:t xml:space="preserve"> to support the application of a 10-year time horizon (</w:t>
      </w:r>
      <w:r>
        <w:rPr>
          <w:rFonts w:asciiTheme="minorHAnsi" w:hAnsiTheme="minorHAnsi"/>
          <w:snapToGrid w:val="0"/>
        </w:rPr>
        <w:fldChar w:fldCharType="begin" w:fldLock="1"/>
      </w:r>
      <w:r>
        <w:rPr>
          <w:rFonts w:asciiTheme="minorHAnsi" w:hAnsiTheme="minorHAnsi"/>
          <w:snapToGrid w:val="0"/>
        </w:rPr>
        <w:instrText xml:space="preserve"> REF _Ref144386936 \h </w:instrText>
      </w:r>
      <w:r>
        <w:rPr>
          <w:rFonts w:asciiTheme="minorHAnsi" w:hAnsiTheme="minorHAnsi"/>
          <w:snapToGrid w:val="0"/>
        </w:rPr>
      </w:r>
      <w:r>
        <w:rPr>
          <w:rFonts w:asciiTheme="minorHAnsi" w:hAnsiTheme="minorHAnsi"/>
          <w:snapToGrid w:val="0"/>
        </w:rPr>
        <w:fldChar w:fldCharType="separate"/>
      </w:r>
      <w:r>
        <w:t xml:space="preserve">Figure </w:t>
      </w:r>
      <w:r>
        <w:rPr>
          <w:noProof/>
        </w:rPr>
        <w:t>6</w:t>
      </w:r>
      <w:r>
        <w:rPr>
          <w:rFonts w:asciiTheme="minorHAnsi" w:hAnsiTheme="minorHAnsi"/>
          <w:snapToGrid w:val="0"/>
        </w:rPr>
        <w:fldChar w:fldCharType="end"/>
      </w:r>
      <w:r>
        <w:rPr>
          <w:rFonts w:asciiTheme="minorHAnsi" w:hAnsiTheme="minorHAnsi"/>
          <w:snapToGrid w:val="0"/>
        </w:rPr>
        <w:fldChar w:fldCharType="begin" w:fldLock="1"/>
      </w:r>
      <w:r>
        <w:rPr>
          <w:rFonts w:asciiTheme="minorHAnsi" w:hAnsiTheme="minorHAnsi"/>
          <w:snapToGrid w:val="0"/>
        </w:rPr>
        <w:instrText xml:space="preserve"> REF _Ref144386936 \h </w:instrText>
      </w:r>
      <w:r>
        <w:rPr>
          <w:rFonts w:asciiTheme="minorHAnsi" w:hAnsiTheme="minorHAnsi"/>
          <w:snapToGrid w:val="0"/>
        </w:rPr>
      </w:r>
      <w:r w:rsidR="00FC715B">
        <w:rPr>
          <w:rFonts w:asciiTheme="minorHAnsi" w:hAnsiTheme="minorHAnsi"/>
          <w:snapToGrid w:val="0"/>
        </w:rPr>
        <w:fldChar w:fldCharType="separate"/>
      </w:r>
      <w:r>
        <w:rPr>
          <w:rFonts w:asciiTheme="minorHAnsi" w:hAnsiTheme="minorHAnsi"/>
          <w:snapToGrid w:val="0"/>
        </w:rPr>
        <w:fldChar w:fldCharType="end"/>
      </w:r>
      <w:r>
        <w:rPr>
          <w:rFonts w:asciiTheme="minorHAnsi" w:hAnsiTheme="minorHAnsi"/>
          <w:snapToGrid w:val="0"/>
        </w:rPr>
        <w:t>).</w:t>
      </w:r>
    </w:p>
    <w:p w14:paraId="62B39AE0" w14:textId="77777777" w:rsidR="00B059F3" w:rsidRDefault="00B059F3" w:rsidP="00B059F3">
      <w:pPr>
        <w:pStyle w:val="Caption"/>
        <w:rPr>
          <w:rFonts w:asciiTheme="minorHAnsi" w:hAnsiTheme="minorHAnsi"/>
          <w:snapToGrid w:val="0"/>
        </w:rPr>
      </w:pPr>
      <w:bookmarkStart w:id="89" w:name="_Ref144386936"/>
      <w:r>
        <w:lastRenderedPageBreak/>
        <w:t xml:space="preserve">Figure </w:t>
      </w:r>
      <w:fldSimple w:instr=" SEQ Figure \* ARABIC " w:fldLock="1">
        <w:r>
          <w:rPr>
            <w:noProof/>
          </w:rPr>
          <w:t>6</w:t>
        </w:r>
      </w:fldSimple>
      <w:bookmarkEnd w:id="89"/>
      <w:r>
        <w:t xml:space="preserve">: Updated KM analysis of OS in IMCgp100-202 trial (July 2023 data-cut) </w:t>
      </w:r>
    </w:p>
    <w:p w14:paraId="1F497D36" w14:textId="77777777" w:rsidR="00B059F3" w:rsidRPr="007E1264" w:rsidRDefault="00B059F3" w:rsidP="00B059F3">
      <w:pPr>
        <w:widowControl w:val="0"/>
        <w:spacing w:after="120"/>
        <w:rPr>
          <w:rFonts w:asciiTheme="minorHAnsi" w:hAnsiTheme="minorHAnsi"/>
          <w:snapToGrid w:val="0"/>
        </w:rPr>
      </w:pPr>
      <w:r w:rsidRPr="00D75F5D">
        <w:rPr>
          <w:rFonts w:eastAsia="Calibri" w:cs="Calibri"/>
          <w:i/>
          <w:iCs/>
          <w:noProof/>
          <w:lang w:val="en-GB"/>
        </w:rPr>
        <w:drawing>
          <wp:inline distT="0" distB="0" distL="0" distR="0" wp14:anchorId="7A129780" wp14:editId="06119156">
            <wp:extent cx="5732145" cy="2945221"/>
            <wp:effectExtent l="0" t="0" r="1905" b="7620"/>
            <wp:docPr id="1" name="Picture 1" descr="Figure 6: Updated KM analysis of OS in IMCgp100-202 trial (July 2023 data-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6: Updated KM analysis of OS in IMCgp100-202 trial (July 2023 data-cu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2145" cy="2945221"/>
                    </a:xfrm>
                    <a:prstGeom prst="rect">
                      <a:avLst/>
                    </a:prstGeom>
                    <a:noFill/>
                  </pic:spPr>
                </pic:pic>
              </a:graphicData>
            </a:graphic>
          </wp:inline>
        </w:drawing>
      </w:r>
    </w:p>
    <w:p w14:paraId="6155416E" w14:textId="77777777" w:rsidR="00B059F3" w:rsidRDefault="00B059F3" w:rsidP="00B059F3">
      <w:pPr>
        <w:pStyle w:val="FooterTableFigure"/>
      </w:pPr>
      <w:r>
        <w:t>Source: Figure 1, p7 of the resubmission</w:t>
      </w:r>
    </w:p>
    <w:p w14:paraId="1EBBF75F" w14:textId="77777777" w:rsidR="00B059F3" w:rsidRPr="007E1264" w:rsidRDefault="00B059F3" w:rsidP="00B059F3">
      <w:pPr>
        <w:pStyle w:val="FooterTableFigure"/>
      </w:pPr>
      <w:r>
        <w:t>KM = Kaplan-Meier; OS = overall survival</w:t>
      </w:r>
    </w:p>
    <w:p w14:paraId="2C0DCC42" w14:textId="77777777" w:rsidR="00B059F3" w:rsidRPr="007E1264" w:rsidRDefault="00B059F3" w:rsidP="00B059F3">
      <w:pPr>
        <w:widowControl w:val="0"/>
        <w:numPr>
          <w:ilvl w:val="1"/>
          <w:numId w:val="1"/>
        </w:numPr>
        <w:spacing w:after="120"/>
        <w:rPr>
          <w:rFonts w:asciiTheme="minorHAnsi" w:hAnsiTheme="minorHAnsi"/>
          <w:b/>
          <w:bCs/>
          <w:snapToGrid w:val="0"/>
        </w:rPr>
      </w:pPr>
      <w:r>
        <w:rPr>
          <w:rFonts w:asciiTheme="minorHAnsi" w:hAnsiTheme="minorHAnsi"/>
          <w:snapToGrid w:val="0"/>
          <w:lang w:val="en-GB"/>
        </w:rPr>
        <w:t>In March 2023, the PBAC also requested that the economic model apply utility values based on whether a patient was or was not receiving treatment, rather than the time-to-death approach that was applied in the base case. The resubmission stated that the time-to-death approach was justified on the basis that both the TTD and PFS measured by the RECIST criteria are not appropriate outcomes for measuring quality of life outcomes for immunotherapies that mediate T-cell antitumour activity. The resubmission stated that instances of tumour ‘growth’ due to tumour inflammation following treatment (pseudo-progression) followed by tumour shrinkage is commonly reported with immunotherapies and was observed in the IMCgp100-202 trial. Hence, it was clinically plausible for patients to show disease progression whilst receiving treatment with tebentafusp yet maintain quality of life and that quality of life is maintained until 3-6 months prior to death. The resubmission presented a sensitivity analysis in which utilities were assigned based on whether patients were receiving or not receiving treatment.</w:t>
      </w:r>
    </w:p>
    <w:p w14:paraId="2861C42A" w14:textId="7451797E" w:rsidR="00B059F3" w:rsidRPr="007E1264" w:rsidRDefault="00B059F3" w:rsidP="00B059F3">
      <w:pPr>
        <w:widowControl w:val="0"/>
        <w:numPr>
          <w:ilvl w:val="1"/>
          <w:numId w:val="1"/>
        </w:numPr>
        <w:spacing w:after="120"/>
        <w:rPr>
          <w:rFonts w:asciiTheme="minorHAnsi" w:hAnsiTheme="minorHAnsi"/>
          <w:b/>
          <w:bCs/>
          <w:snapToGrid w:val="0"/>
        </w:rPr>
      </w:pPr>
      <w:r>
        <w:rPr>
          <w:rFonts w:asciiTheme="minorHAnsi" w:hAnsiTheme="minorHAnsi"/>
          <w:snapToGrid w:val="0"/>
          <w:lang w:val="en-GB"/>
        </w:rPr>
        <w:t xml:space="preserve">In March 2023, the PBAC requested that the revised base case ICER should be no more than that presented in the pre-PBAC response </w:t>
      </w:r>
      <w:r w:rsidR="00EE14CE" w:rsidRPr="00EE14CE">
        <w:rPr>
          <w:rFonts w:asciiTheme="minorHAnsi" w:hAnsiTheme="minorHAnsi"/>
          <w:snapToGrid w:val="0"/>
          <w:lang w:val="en-GB"/>
        </w:rPr>
        <w:t>$75,000</w:t>
      </w:r>
      <w:r w:rsidR="00EE14CE">
        <w:rPr>
          <w:rFonts w:asciiTheme="minorHAnsi" w:hAnsiTheme="minorHAnsi"/>
          <w:snapToGrid w:val="0"/>
          <w:lang w:val="en-GB"/>
        </w:rPr>
        <w:t> </w:t>
      </w:r>
      <w:r w:rsidR="00EE14CE" w:rsidRPr="00EE14CE">
        <w:rPr>
          <w:rFonts w:asciiTheme="minorHAnsi" w:hAnsiTheme="minorHAnsi"/>
          <w:snapToGrid w:val="0"/>
          <w:lang w:val="en-GB"/>
        </w:rPr>
        <w:t>to</w:t>
      </w:r>
      <w:r w:rsidR="00EE14CE">
        <w:rPr>
          <w:rFonts w:asciiTheme="minorHAnsi" w:hAnsiTheme="minorHAnsi"/>
          <w:snapToGrid w:val="0"/>
          <w:lang w:val="en-GB"/>
        </w:rPr>
        <w:t> </w:t>
      </w:r>
      <w:r w:rsidR="00EE14CE" w:rsidRPr="00EE14CE">
        <w:rPr>
          <w:rFonts w:asciiTheme="minorHAnsi" w:hAnsiTheme="minorHAnsi"/>
          <w:snapToGrid w:val="0"/>
          <w:lang w:val="en-GB"/>
        </w:rPr>
        <w:t>&lt;</w:t>
      </w:r>
      <w:r w:rsidR="00EE14CE">
        <w:rPr>
          <w:rFonts w:asciiTheme="minorHAnsi" w:hAnsiTheme="minorHAnsi"/>
          <w:snapToGrid w:val="0"/>
          <w:lang w:val="en-GB"/>
        </w:rPr>
        <w:t> </w:t>
      </w:r>
      <w:r w:rsidR="00EE14CE" w:rsidRPr="00EE14CE">
        <w:rPr>
          <w:rFonts w:asciiTheme="minorHAnsi" w:hAnsiTheme="minorHAnsi"/>
          <w:snapToGrid w:val="0"/>
          <w:lang w:val="en-GB"/>
        </w:rPr>
        <w:t>$95,000</w:t>
      </w:r>
      <w:r w:rsidR="00451A32">
        <w:rPr>
          <w:rFonts w:asciiTheme="minorHAnsi" w:hAnsiTheme="minorHAnsi"/>
          <w:snapToGrid w:val="0"/>
          <w:lang w:val="en-GB"/>
        </w:rPr>
        <w:t xml:space="preserve"> </w:t>
      </w:r>
      <w:r>
        <w:rPr>
          <w:rFonts w:asciiTheme="minorHAnsi" w:hAnsiTheme="minorHAnsi"/>
          <w:snapToGrid w:val="0"/>
          <w:lang w:val="en-GB"/>
        </w:rPr>
        <w:t xml:space="preserve">per QALY). The revised base case and the sensitivity analysis are presented in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_Ref144388952 \h </w:instrText>
      </w:r>
      <w:r>
        <w:rPr>
          <w:rFonts w:asciiTheme="minorHAnsi" w:hAnsiTheme="minorHAnsi"/>
          <w:snapToGrid w:val="0"/>
          <w:lang w:val="en-GB"/>
        </w:rPr>
      </w:r>
      <w:r>
        <w:rPr>
          <w:rFonts w:asciiTheme="minorHAnsi" w:hAnsiTheme="minorHAnsi"/>
          <w:snapToGrid w:val="0"/>
          <w:lang w:val="en-GB"/>
        </w:rPr>
        <w:fldChar w:fldCharType="separate"/>
      </w:r>
      <w:r>
        <w:t xml:space="preserve">Table </w:t>
      </w:r>
      <w:r>
        <w:rPr>
          <w:noProof/>
        </w:rPr>
        <w:t>18</w:t>
      </w:r>
      <w:r>
        <w:rPr>
          <w:rFonts w:asciiTheme="minorHAnsi" w:hAnsiTheme="minorHAnsi"/>
          <w:snapToGrid w:val="0"/>
          <w:lang w:val="en-GB"/>
        </w:rPr>
        <w:fldChar w:fldCharType="end"/>
      </w:r>
      <w:r>
        <w:rPr>
          <w:rFonts w:asciiTheme="minorHAnsi" w:hAnsiTheme="minorHAnsi"/>
          <w:snapToGrid w:val="0"/>
          <w:lang w:val="en-GB"/>
        </w:rPr>
        <w:t>.</w:t>
      </w:r>
    </w:p>
    <w:p w14:paraId="49AF3DF9" w14:textId="77777777" w:rsidR="00B059F3" w:rsidRPr="007E1264" w:rsidRDefault="00B059F3" w:rsidP="00B059F3">
      <w:pPr>
        <w:pStyle w:val="Caption"/>
        <w:rPr>
          <w:rFonts w:asciiTheme="minorHAnsi" w:hAnsiTheme="minorHAnsi"/>
          <w:snapToGrid w:val="0"/>
        </w:rPr>
      </w:pPr>
      <w:bookmarkStart w:id="90" w:name="_Ref144388952"/>
      <w:r>
        <w:lastRenderedPageBreak/>
        <w:t xml:space="preserve">Table </w:t>
      </w:r>
      <w:fldSimple w:instr=" SEQ Table \* ARABIC " w:fldLock="1">
        <w:r>
          <w:rPr>
            <w:noProof/>
          </w:rPr>
          <w:t>18</w:t>
        </w:r>
      </w:fldSimple>
      <w:bookmarkEnd w:id="90"/>
      <w:r>
        <w:t>: Revised base case and sensitivity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B059F3" w:rsidRPr="00B515FF" w14:paraId="61833104" w14:textId="77777777" w:rsidTr="00BE57BE">
        <w:trPr>
          <w:cantSplit/>
          <w:tblHeader/>
        </w:trPr>
        <w:tc>
          <w:tcPr>
            <w:tcW w:w="1529" w:type="pct"/>
            <w:vAlign w:val="center"/>
          </w:tcPr>
          <w:p w14:paraId="62E95491" w14:textId="77777777" w:rsidR="00B059F3" w:rsidRPr="00B515FF" w:rsidRDefault="00B059F3" w:rsidP="00BE57BE">
            <w:pPr>
              <w:pStyle w:val="In-tableHeading"/>
            </w:pPr>
          </w:p>
        </w:tc>
        <w:tc>
          <w:tcPr>
            <w:tcW w:w="1359" w:type="pct"/>
            <w:vAlign w:val="center"/>
          </w:tcPr>
          <w:p w14:paraId="2C5E3A16" w14:textId="77777777" w:rsidR="00B059F3" w:rsidRPr="00B515FF" w:rsidRDefault="00B059F3" w:rsidP="00BE57BE">
            <w:pPr>
              <w:pStyle w:val="In-tableHeading"/>
              <w:jc w:val="center"/>
            </w:pPr>
            <w:r w:rsidRPr="00CF1ADD">
              <w:rPr>
                <w:lang w:val="en-AU"/>
              </w:rPr>
              <w:t>Tebentafusp</w:t>
            </w:r>
          </w:p>
        </w:tc>
        <w:tc>
          <w:tcPr>
            <w:tcW w:w="1274" w:type="pct"/>
            <w:vAlign w:val="center"/>
          </w:tcPr>
          <w:p w14:paraId="35E717B0" w14:textId="77777777" w:rsidR="00B059F3" w:rsidRPr="00B515FF" w:rsidRDefault="00B059F3" w:rsidP="00BE57BE">
            <w:pPr>
              <w:pStyle w:val="In-tableHeading"/>
              <w:jc w:val="center"/>
            </w:pPr>
            <w:r w:rsidRPr="00CF1ADD">
              <w:rPr>
                <w:lang w:val="en-AU"/>
              </w:rPr>
              <w:t>Pembrolizumab</w:t>
            </w:r>
          </w:p>
        </w:tc>
        <w:tc>
          <w:tcPr>
            <w:tcW w:w="838" w:type="pct"/>
            <w:vAlign w:val="center"/>
          </w:tcPr>
          <w:p w14:paraId="7D848F87" w14:textId="77777777" w:rsidR="00B059F3" w:rsidRPr="00CF1ADD" w:rsidRDefault="00B059F3" w:rsidP="00BE57BE">
            <w:pPr>
              <w:pStyle w:val="In-tableHeading"/>
              <w:jc w:val="center"/>
              <w:rPr>
                <w:lang w:val="en-AU"/>
              </w:rPr>
            </w:pPr>
            <w:r w:rsidRPr="00CF1ADD">
              <w:rPr>
                <w:lang w:val="en-AU"/>
              </w:rPr>
              <w:t>Increment</w:t>
            </w:r>
          </w:p>
        </w:tc>
      </w:tr>
      <w:tr w:rsidR="00B059F3" w:rsidRPr="00AF3847" w14:paraId="6B26AD4A" w14:textId="77777777" w:rsidTr="00BE57BE">
        <w:trPr>
          <w:cantSplit/>
        </w:trPr>
        <w:tc>
          <w:tcPr>
            <w:tcW w:w="5000" w:type="pct"/>
            <w:gridSpan w:val="4"/>
            <w:shd w:val="clear" w:color="auto" w:fill="DBE5F1" w:themeFill="accent1" w:themeFillTint="33"/>
          </w:tcPr>
          <w:p w14:paraId="00FC53C7" w14:textId="77777777" w:rsidR="00B059F3" w:rsidRPr="00CF1ADD" w:rsidRDefault="00B059F3" w:rsidP="00BE57BE">
            <w:pPr>
              <w:pStyle w:val="In-tableHeading"/>
              <w:rPr>
                <w:lang w:val="en-AU"/>
              </w:rPr>
            </w:pPr>
            <w:r w:rsidRPr="00CF1ADD">
              <w:rPr>
                <w:lang w:val="en-AU"/>
              </w:rPr>
              <w:t>March 2023 Pre-PBAC base case</w:t>
            </w:r>
          </w:p>
        </w:tc>
      </w:tr>
      <w:tr w:rsidR="00B059F3" w:rsidRPr="00AF3847" w14:paraId="63F0F728" w14:textId="77777777" w:rsidTr="00BE57BE">
        <w:trPr>
          <w:cantSplit/>
        </w:trPr>
        <w:tc>
          <w:tcPr>
            <w:tcW w:w="1529" w:type="pct"/>
            <w:shd w:val="clear" w:color="auto" w:fill="DBE5F1" w:themeFill="accent1" w:themeFillTint="33"/>
          </w:tcPr>
          <w:p w14:paraId="45D2F256" w14:textId="77777777" w:rsidR="00B059F3" w:rsidRPr="00AF3847" w:rsidRDefault="00B059F3" w:rsidP="00BE57BE">
            <w:pPr>
              <w:pStyle w:val="TableText0"/>
              <w:rPr>
                <w:rFonts w:ascii="Times" w:hAnsi="Times"/>
              </w:rPr>
            </w:pPr>
            <w:r w:rsidRPr="00AF3847">
              <w:t>Costs</w:t>
            </w:r>
            <w:r w:rsidRPr="007E1264">
              <w:rPr>
                <w:vertAlign w:val="superscript"/>
              </w:rPr>
              <w:t>a</w:t>
            </w:r>
          </w:p>
        </w:tc>
        <w:tc>
          <w:tcPr>
            <w:tcW w:w="1359" w:type="pct"/>
            <w:shd w:val="clear" w:color="auto" w:fill="DBE5F1" w:themeFill="accent1" w:themeFillTint="33"/>
          </w:tcPr>
          <w:p w14:paraId="48A79566" w14:textId="3B253E28" w:rsidR="00B059F3" w:rsidRPr="00AF3847" w:rsidRDefault="00B059F3" w:rsidP="00BE57BE">
            <w:pPr>
              <w:pStyle w:val="TableText0"/>
              <w:jc w:val="center"/>
              <w:rPr>
                <w:rFonts w:ascii="Times" w:hAnsi="Times"/>
              </w:rPr>
            </w:pPr>
            <w:r w:rsidRPr="00AF3847">
              <w:t>$</w:t>
            </w:r>
            <w:r w:rsidR="003D4DE8" w:rsidRPr="003D4DE8">
              <w:rPr>
                <w:color w:val="000000"/>
                <w:shd w:val="solid" w:color="000000" w:fill="000000"/>
                <w14:textFill>
                  <w14:solidFill>
                    <w14:srgbClr w14:val="000000">
                      <w14:alpha w14:val="100000"/>
                    </w14:srgbClr>
                  </w14:solidFill>
                </w14:textFill>
              </w:rPr>
              <w:t>|</w:t>
            </w:r>
          </w:p>
        </w:tc>
        <w:tc>
          <w:tcPr>
            <w:tcW w:w="1274" w:type="pct"/>
            <w:shd w:val="clear" w:color="auto" w:fill="DBE5F1" w:themeFill="accent1" w:themeFillTint="33"/>
          </w:tcPr>
          <w:p w14:paraId="601B40D2" w14:textId="77777777" w:rsidR="00B059F3" w:rsidRPr="00AF3847" w:rsidRDefault="00B059F3" w:rsidP="00BE57BE">
            <w:pPr>
              <w:pStyle w:val="TableText0"/>
              <w:jc w:val="center"/>
              <w:rPr>
                <w:rFonts w:ascii="Times" w:hAnsi="Times"/>
              </w:rPr>
            </w:pPr>
            <w:r w:rsidRPr="00AF3847">
              <w:t>$140,50</w:t>
            </w:r>
            <w:r>
              <w:t>2</w:t>
            </w:r>
          </w:p>
        </w:tc>
        <w:tc>
          <w:tcPr>
            <w:tcW w:w="838" w:type="pct"/>
            <w:shd w:val="clear" w:color="auto" w:fill="DBE5F1" w:themeFill="accent1" w:themeFillTint="33"/>
          </w:tcPr>
          <w:p w14:paraId="10929F2B" w14:textId="04B6809E" w:rsidR="00B059F3" w:rsidRPr="00AF3847" w:rsidRDefault="00B059F3" w:rsidP="00BE57BE">
            <w:pPr>
              <w:pStyle w:val="TableText0"/>
              <w:jc w:val="center"/>
              <w:rPr>
                <w:rFonts w:ascii="Times" w:hAnsi="Times"/>
              </w:rPr>
            </w:pPr>
            <w:r w:rsidRPr="00AF3847">
              <w:t>$</w:t>
            </w:r>
            <w:r w:rsidR="003D4DE8" w:rsidRPr="003D4DE8">
              <w:rPr>
                <w:color w:val="000000"/>
                <w:shd w:val="solid" w:color="000000" w:fill="000000"/>
                <w14:textFill>
                  <w14:solidFill>
                    <w14:srgbClr w14:val="000000">
                      <w14:alpha w14:val="100000"/>
                    </w14:srgbClr>
                  </w14:solidFill>
                </w14:textFill>
              </w:rPr>
              <w:t>|</w:t>
            </w:r>
          </w:p>
        </w:tc>
      </w:tr>
      <w:tr w:rsidR="00B059F3" w:rsidRPr="00AF3847" w14:paraId="401DB858" w14:textId="77777777" w:rsidTr="00BE57BE">
        <w:trPr>
          <w:cantSplit/>
        </w:trPr>
        <w:tc>
          <w:tcPr>
            <w:tcW w:w="1529" w:type="pct"/>
            <w:shd w:val="clear" w:color="auto" w:fill="DBE5F1" w:themeFill="accent1" w:themeFillTint="33"/>
          </w:tcPr>
          <w:p w14:paraId="2E469EC3" w14:textId="77777777" w:rsidR="00B059F3" w:rsidRPr="00AF3847" w:rsidRDefault="00B059F3" w:rsidP="00BE57BE">
            <w:pPr>
              <w:pStyle w:val="TableText0"/>
              <w:rPr>
                <w:rFonts w:ascii="Times" w:hAnsi="Times"/>
              </w:rPr>
            </w:pPr>
            <w:r w:rsidRPr="00AF3847">
              <w:t>QALYs</w:t>
            </w:r>
          </w:p>
        </w:tc>
        <w:tc>
          <w:tcPr>
            <w:tcW w:w="1359" w:type="pct"/>
            <w:shd w:val="clear" w:color="auto" w:fill="DBE5F1" w:themeFill="accent1" w:themeFillTint="33"/>
          </w:tcPr>
          <w:p w14:paraId="66456186" w14:textId="77777777" w:rsidR="00B059F3" w:rsidRPr="00AF3847" w:rsidRDefault="00B059F3" w:rsidP="00BE57BE">
            <w:pPr>
              <w:pStyle w:val="TableText0"/>
              <w:jc w:val="center"/>
              <w:rPr>
                <w:rFonts w:ascii="Times" w:hAnsi="Times"/>
              </w:rPr>
            </w:pPr>
            <w:r w:rsidRPr="00AF3847">
              <w:t>2.</w:t>
            </w:r>
            <w:r>
              <w:t>66</w:t>
            </w:r>
          </w:p>
        </w:tc>
        <w:tc>
          <w:tcPr>
            <w:tcW w:w="1274" w:type="pct"/>
            <w:shd w:val="clear" w:color="auto" w:fill="DBE5F1" w:themeFill="accent1" w:themeFillTint="33"/>
          </w:tcPr>
          <w:p w14:paraId="0EBB44D9" w14:textId="77777777" w:rsidR="00B059F3" w:rsidRPr="00AF3847" w:rsidRDefault="00B059F3" w:rsidP="00BE57BE">
            <w:pPr>
              <w:pStyle w:val="TableText0"/>
              <w:jc w:val="center"/>
              <w:rPr>
                <w:rFonts w:ascii="Times" w:hAnsi="Times"/>
              </w:rPr>
            </w:pPr>
            <w:r w:rsidRPr="00AF3847">
              <w:t>1.24</w:t>
            </w:r>
          </w:p>
        </w:tc>
        <w:tc>
          <w:tcPr>
            <w:tcW w:w="838" w:type="pct"/>
            <w:shd w:val="clear" w:color="auto" w:fill="DBE5F1" w:themeFill="accent1" w:themeFillTint="33"/>
          </w:tcPr>
          <w:p w14:paraId="414CF347" w14:textId="77777777" w:rsidR="00B059F3" w:rsidRPr="00AF3847" w:rsidRDefault="00B059F3" w:rsidP="00BE57BE">
            <w:pPr>
              <w:pStyle w:val="TableText0"/>
              <w:jc w:val="center"/>
            </w:pPr>
            <w:r w:rsidRPr="00AF3847">
              <w:t>1.</w:t>
            </w:r>
            <w:r>
              <w:t>43</w:t>
            </w:r>
          </w:p>
        </w:tc>
      </w:tr>
      <w:tr w:rsidR="00B059F3" w:rsidRPr="00AF3847" w14:paraId="65034182" w14:textId="77777777" w:rsidTr="00BE57BE">
        <w:trPr>
          <w:cantSplit/>
        </w:trPr>
        <w:tc>
          <w:tcPr>
            <w:tcW w:w="4162" w:type="pct"/>
            <w:gridSpan w:val="3"/>
            <w:shd w:val="clear" w:color="auto" w:fill="DBE5F1" w:themeFill="accent1" w:themeFillTint="33"/>
          </w:tcPr>
          <w:p w14:paraId="4F35E1BB" w14:textId="77777777" w:rsidR="00B059F3" w:rsidRPr="00AF3847" w:rsidRDefault="00B059F3" w:rsidP="00BE57BE">
            <w:pPr>
              <w:pStyle w:val="TableText0"/>
              <w:rPr>
                <w:rFonts w:ascii="Times" w:hAnsi="Times"/>
                <w:b/>
                <w:bCs w:val="0"/>
              </w:rPr>
            </w:pPr>
            <w:r w:rsidRPr="00AF3847">
              <w:rPr>
                <w:b/>
                <w:bCs w:val="0"/>
              </w:rPr>
              <w:t xml:space="preserve">Incremental cost/extra QALY gained </w:t>
            </w:r>
          </w:p>
        </w:tc>
        <w:tc>
          <w:tcPr>
            <w:tcW w:w="838" w:type="pct"/>
            <w:shd w:val="clear" w:color="auto" w:fill="DBE5F1" w:themeFill="accent1" w:themeFillTint="33"/>
          </w:tcPr>
          <w:p w14:paraId="6121B400" w14:textId="2364B0B5" w:rsidR="00B059F3" w:rsidRPr="00AF3847" w:rsidRDefault="00B059F3" w:rsidP="00BE57BE">
            <w:pPr>
              <w:pStyle w:val="TableText0"/>
              <w:jc w:val="center"/>
              <w:rPr>
                <w:rFonts w:ascii="Times" w:hAnsi="Times"/>
                <w:b/>
                <w:bCs w:val="0"/>
              </w:rPr>
            </w:pPr>
            <w:r w:rsidRPr="00AF3847">
              <w:rPr>
                <w:b/>
                <w:bCs w:val="0"/>
              </w:rPr>
              <w:t>$</w:t>
            </w:r>
            <w:r w:rsidR="003D4DE8" w:rsidRPr="003D4DE8">
              <w:rPr>
                <w:b/>
                <w:bCs w:val="0"/>
                <w:color w:val="000000"/>
                <w:shd w:val="solid" w:color="000000" w:fill="000000"/>
                <w14:textFill>
                  <w14:solidFill>
                    <w14:srgbClr w14:val="000000">
                      <w14:alpha w14:val="100000"/>
                    </w14:srgbClr>
                  </w14:solidFill>
                </w14:textFill>
              </w:rPr>
              <w:t>|</w:t>
            </w:r>
            <w:r w:rsidR="00471EB7" w:rsidRPr="00471EB7">
              <w:rPr>
                <w:b/>
                <w:bCs w:val="0"/>
                <w:vertAlign w:val="superscript"/>
              </w:rPr>
              <w:t>1</w:t>
            </w:r>
          </w:p>
        </w:tc>
      </w:tr>
      <w:tr w:rsidR="00B059F3" w:rsidRPr="00AF3847" w14:paraId="7BEB1A52" w14:textId="77777777" w:rsidTr="00BE57BE">
        <w:trPr>
          <w:cantSplit/>
        </w:trPr>
        <w:tc>
          <w:tcPr>
            <w:tcW w:w="5000" w:type="pct"/>
            <w:gridSpan w:val="4"/>
          </w:tcPr>
          <w:p w14:paraId="48F50C71" w14:textId="77777777" w:rsidR="00B059F3" w:rsidRPr="00CF1ADD" w:rsidRDefault="00B059F3" w:rsidP="00BE57BE">
            <w:pPr>
              <w:pStyle w:val="In-tableHeading"/>
              <w:rPr>
                <w:lang w:val="en-AU"/>
              </w:rPr>
            </w:pPr>
            <w:r w:rsidRPr="00CF1ADD">
              <w:rPr>
                <w:lang w:val="en-AU"/>
              </w:rPr>
              <w:t>September 2023 revised base case (using time-to-death utility values)</w:t>
            </w:r>
          </w:p>
        </w:tc>
      </w:tr>
      <w:tr w:rsidR="00B059F3" w:rsidRPr="00AF3847" w14:paraId="5F16027A" w14:textId="77777777" w:rsidTr="00BE57BE">
        <w:trPr>
          <w:cantSplit/>
        </w:trPr>
        <w:tc>
          <w:tcPr>
            <w:tcW w:w="1529" w:type="pct"/>
          </w:tcPr>
          <w:p w14:paraId="055DC2BD" w14:textId="77777777" w:rsidR="00B059F3" w:rsidRPr="00AF3847" w:rsidRDefault="00B059F3" w:rsidP="00BE57BE">
            <w:pPr>
              <w:pStyle w:val="TableText0"/>
              <w:rPr>
                <w:rFonts w:ascii="Times" w:hAnsi="Times"/>
              </w:rPr>
            </w:pPr>
            <w:r w:rsidRPr="00AF3847">
              <w:t>Costs</w:t>
            </w:r>
            <w:r w:rsidRPr="007E1264">
              <w:rPr>
                <w:vertAlign w:val="superscript"/>
              </w:rPr>
              <w:t>a</w:t>
            </w:r>
          </w:p>
        </w:tc>
        <w:tc>
          <w:tcPr>
            <w:tcW w:w="1359" w:type="pct"/>
          </w:tcPr>
          <w:p w14:paraId="79048561" w14:textId="2DA89154" w:rsidR="00B059F3" w:rsidRPr="00AF3847" w:rsidRDefault="00B059F3" w:rsidP="00BE57BE">
            <w:pPr>
              <w:pStyle w:val="TableText0"/>
              <w:jc w:val="center"/>
              <w:rPr>
                <w:rFonts w:ascii="Times" w:hAnsi="Times"/>
              </w:rPr>
            </w:pPr>
            <w:r w:rsidRPr="00AF3847">
              <w:t>$</w:t>
            </w:r>
            <w:r w:rsidR="007A7C65" w:rsidRPr="007A7C65">
              <w:rPr>
                <w:shd w:val="solid" w:color="000000" w:fill="000000"/>
                <w14:textFill>
                  <w14:solidFill>
                    <w14:srgbClr w14:val="000000">
                      <w14:alpha w14:val="100000"/>
                    </w14:srgbClr>
                  </w14:solidFill>
                </w14:textFill>
              </w:rPr>
              <w:t>|</w:t>
            </w:r>
          </w:p>
        </w:tc>
        <w:tc>
          <w:tcPr>
            <w:tcW w:w="1274" w:type="pct"/>
          </w:tcPr>
          <w:p w14:paraId="3D7DC756" w14:textId="77777777" w:rsidR="00B059F3" w:rsidRPr="00AF3847" w:rsidRDefault="00B059F3" w:rsidP="00BE57BE">
            <w:pPr>
              <w:pStyle w:val="TableText0"/>
              <w:jc w:val="center"/>
              <w:rPr>
                <w:rFonts w:ascii="Times" w:hAnsi="Times"/>
              </w:rPr>
            </w:pPr>
            <w:r w:rsidRPr="00AF3847">
              <w:t>$140,</w:t>
            </w:r>
            <w:r>
              <w:t>440</w:t>
            </w:r>
          </w:p>
        </w:tc>
        <w:tc>
          <w:tcPr>
            <w:tcW w:w="838" w:type="pct"/>
          </w:tcPr>
          <w:p w14:paraId="1D54F3B4" w14:textId="35265D50" w:rsidR="00B059F3" w:rsidRPr="00AF3847" w:rsidRDefault="00B059F3" w:rsidP="00BE57BE">
            <w:pPr>
              <w:pStyle w:val="TableText0"/>
              <w:jc w:val="center"/>
              <w:rPr>
                <w:rFonts w:ascii="Times" w:hAnsi="Times"/>
              </w:rPr>
            </w:pPr>
            <w:r w:rsidRPr="00AF3847">
              <w:t>$</w:t>
            </w:r>
            <w:r w:rsidR="003D4DE8" w:rsidRPr="003D4DE8">
              <w:rPr>
                <w:color w:val="000000"/>
                <w:shd w:val="solid" w:color="000000" w:fill="000000"/>
                <w14:textFill>
                  <w14:solidFill>
                    <w14:srgbClr w14:val="000000">
                      <w14:alpha w14:val="100000"/>
                    </w14:srgbClr>
                  </w14:solidFill>
                </w14:textFill>
              </w:rPr>
              <w:t>|</w:t>
            </w:r>
          </w:p>
        </w:tc>
      </w:tr>
      <w:tr w:rsidR="00B059F3" w:rsidRPr="00AF3847" w14:paraId="48919828" w14:textId="77777777" w:rsidTr="00BE57BE">
        <w:trPr>
          <w:cantSplit/>
        </w:trPr>
        <w:tc>
          <w:tcPr>
            <w:tcW w:w="1529" w:type="pct"/>
          </w:tcPr>
          <w:p w14:paraId="6A69E419" w14:textId="77777777" w:rsidR="00B059F3" w:rsidRPr="00AF3847" w:rsidRDefault="00B059F3" w:rsidP="00BE57BE">
            <w:pPr>
              <w:pStyle w:val="TableText0"/>
              <w:rPr>
                <w:rFonts w:ascii="Times" w:hAnsi="Times"/>
              </w:rPr>
            </w:pPr>
            <w:r w:rsidRPr="00AF3847">
              <w:t>QALYs</w:t>
            </w:r>
          </w:p>
        </w:tc>
        <w:tc>
          <w:tcPr>
            <w:tcW w:w="1359" w:type="pct"/>
          </w:tcPr>
          <w:p w14:paraId="7B6094DB" w14:textId="77777777" w:rsidR="00B059F3" w:rsidRPr="00AF3847" w:rsidRDefault="00B059F3" w:rsidP="00BE57BE">
            <w:pPr>
              <w:pStyle w:val="TableText0"/>
              <w:jc w:val="center"/>
              <w:rPr>
                <w:rFonts w:ascii="Times" w:hAnsi="Times"/>
              </w:rPr>
            </w:pPr>
            <w:r w:rsidRPr="00AF3847">
              <w:t>2.</w:t>
            </w:r>
            <w:r>
              <w:t>27</w:t>
            </w:r>
          </w:p>
        </w:tc>
        <w:tc>
          <w:tcPr>
            <w:tcW w:w="1274" w:type="pct"/>
          </w:tcPr>
          <w:p w14:paraId="433B867A" w14:textId="77777777" w:rsidR="00B059F3" w:rsidRPr="00AF3847" w:rsidRDefault="00B059F3" w:rsidP="00BE57BE">
            <w:pPr>
              <w:pStyle w:val="TableText0"/>
              <w:jc w:val="center"/>
              <w:rPr>
                <w:rFonts w:ascii="Times" w:hAnsi="Times"/>
              </w:rPr>
            </w:pPr>
            <w:r w:rsidRPr="00AF3847">
              <w:t>1.24</w:t>
            </w:r>
          </w:p>
        </w:tc>
        <w:tc>
          <w:tcPr>
            <w:tcW w:w="838" w:type="pct"/>
          </w:tcPr>
          <w:p w14:paraId="5DA2C5F8" w14:textId="77777777" w:rsidR="00B059F3" w:rsidRPr="00AF3847" w:rsidRDefault="00B059F3" w:rsidP="00BE57BE">
            <w:pPr>
              <w:pStyle w:val="TableText0"/>
              <w:jc w:val="center"/>
            </w:pPr>
            <w:r>
              <w:t>1.03</w:t>
            </w:r>
          </w:p>
        </w:tc>
      </w:tr>
      <w:tr w:rsidR="00B059F3" w:rsidRPr="00AF3847" w14:paraId="002E54FE" w14:textId="77777777" w:rsidTr="00BE57BE">
        <w:trPr>
          <w:cantSplit/>
        </w:trPr>
        <w:tc>
          <w:tcPr>
            <w:tcW w:w="4162" w:type="pct"/>
            <w:gridSpan w:val="3"/>
          </w:tcPr>
          <w:p w14:paraId="148700F0" w14:textId="77777777" w:rsidR="00B059F3" w:rsidRPr="00AF3847" w:rsidRDefault="00B059F3" w:rsidP="00BE57BE">
            <w:pPr>
              <w:pStyle w:val="TableText0"/>
              <w:rPr>
                <w:rFonts w:ascii="Times" w:hAnsi="Times"/>
                <w:b/>
                <w:bCs w:val="0"/>
              </w:rPr>
            </w:pPr>
            <w:r w:rsidRPr="00AF3847">
              <w:rPr>
                <w:b/>
                <w:bCs w:val="0"/>
              </w:rPr>
              <w:t xml:space="preserve">Incremental cost/extra QALY gained </w:t>
            </w:r>
          </w:p>
        </w:tc>
        <w:tc>
          <w:tcPr>
            <w:tcW w:w="838" w:type="pct"/>
          </w:tcPr>
          <w:p w14:paraId="1A3BB8D4" w14:textId="2702655A" w:rsidR="00B059F3" w:rsidRPr="00AF3847" w:rsidRDefault="00B059F3" w:rsidP="00BE57BE">
            <w:pPr>
              <w:pStyle w:val="TableText0"/>
              <w:jc w:val="center"/>
              <w:rPr>
                <w:rFonts w:ascii="Times" w:hAnsi="Times"/>
                <w:b/>
                <w:bCs w:val="0"/>
              </w:rPr>
            </w:pPr>
            <w:r w:rsidRPr="00AF3847">
              <w:rPr>
                <w:b/>
                <w:bCs w:val="0"/>
              </w:rPr>
              <w:t>$</w:t>
            </w:r>
            <w:r w:rsidR="003D4DE8" w:rsidRPr="003D4DE8">
              <w:rPr>
                <w:b/>
                <w:bCs w:val="0"/>
                <w:color w:val="000000"/>
                <w:shd w:val="solid" w:color="000000" w:fill="000000"/>
                <w14:textFill>
                  <w14:solidFill>
                    <w14:srgbClr w14:val="000000">
                      <w14:alpha w14:val="100000"/>
                    </w14:srgbClr>
                  </w14:solidFill>
                </w14:textFill>
              </w:rPr>
              <w:t>|</w:t>
            </w:r>
            <w:r w:rsidR="00471EB7" w:rsidRPr="00471EB7">
              <w:rPr>
                <w:b/>
                <w:bCs w:val="0"/>
                <w:vertAlign w:val="superscript"/>
              </w:rPr>
              <w:t>1</w:t>
            </w:r>
          </w:p>
        </w:tc>
      </w:tr>
      <w:tr w:rsidR="00B059F3" w:rsidRPr="00AF3847" w14:paraId="08219740" w14:textId="77777777" w:rsidTr="00BE57BE">
        <w:trPr>
          <w:cantSplit/>
        </w:trPr>
        <w:tc>
          <w:tcPr>
            <w:tcW w:w="5000" w:type="pct"/>
            <w:gridSpan w:val="4"/>
          </w:tcPr>
          <w:p w14:paraId="0C7F3BB0" w14:textId="77777777" w:rsidR="00B059F3" w:rsidRPr="00CF1ADD" w:rsidRDefault="00B059F3" w:rsidP="00BE57BE">
            <w:pPr>
              <w:pStyle w:val="In-tableHeading"/>
              <w:rPr>
                <w:lang w:val="en-AU"/>
              </w:rPr>
            </w:pPr>
            <w:r w:rsidRPr="00CF1ADD">
              <w:rPr>
                <w:lang w:val="en-AU"/>
              </w:rPr>
              <w:t>September 2023 sensitivity analysis (using on/off treatment utility values)</w:t>
            </w:r>
          </w:p>
        </w:tc>
      </w:tr>
      <w:tr w:rsidR="00B059F3" w:rsidRPr="00AF3847" w14:paraId="450DF913" w14:textId="77777777" w:rsidTr="00BE57BE">
        <w:trPr>
          <w:cantSplit/>
        </w:trPr>
        <w:tc>
          <w:tcPr>
            <w:tcW w:w="1529" w:type="pct"/>
          </w:tcPr>
          <w:p w14:paraId="0BB4189C" w14:textId="77777777" w:rsidR="00B059F3" w:rsidRPr="00AF3847" w:rsidRDefault="00B059F3" w:rsidP="00BE57BE">
            <w:pPr>
              <w:pStyle w:val="TableText0"/>
              <w:rPr>
                <w:rFonts w:ascii="Times" w:hAnsi="Times"/>
              </w:rPr>
            </w:pPr>
            <w:r w:rsidRPr="00AF3847">
              <w:t>Costs</w:t>
            </w:r>
            <w:r w:rsidRPr="007E1264">
              <w:rPr>
                <w:vertAlign w:val="superscript"/>
              </w:rPr>
              <w:t>a</w:t>
            </w:r>
          </w:p>
        </w:tc>
        <w:tc>
          <w:tcPr>
            <w:tcW w:w="1359" w:type="pct"/>
          </w:tcPr>
          <w:p w14:paraId="1720BCE5" w14:textId="50725441" w:rsidR="00B059F3" w:rsidRPr="00AF3847" w:rsidRDefault="00B059F3" w:rsidP="00BE57BE">
            <w:pPr>
              <w:pStyle w:val="TableText0"/>
              <w:jc w:val="center"/>
              <w:rPr>
                <w:rFonts w:ascii="Times" w:hAnsi="Times"/>
              </w:rPr>
            </w:pPr>
            <w:r w:rsidRPr="00AF3847">
              <w:t>$</w:t>
            </w:r>
            <w:r w:rsidR="003D4DE8" w:rsidRPr="003D4DE8">
              <w:rPr>
                <w:color w:val="000000"/>
                <w:shd w:val="solid" w:color="000000" w:fill="000000"/>
                <w14:textFill>
                  <w14:solidFill>
                    <w14:srgbClr w14:val="000000">
                      <w14:alpha w14:val="100000"/>
                    </w14:srgbClr>
                  </w14:solidFill>
                </w14:textFill>
              </w:rPr>
              <w:t>|</w:t>
            </w:r>
          </w:p>
        </w:tc>
        <w:tc>
          <w:tcPr>
            <w:tcW w:w="1274" w:type="pct"/>
          </w:tcPr>
          <w:p w14:paraId="5DFB4DCF" w14:textId="77777777" w:rsidR="00B059F3" w:rsidRPr="00AF3847" w:rsidRDefault="00B059F3" w:rsidP="00BE57BE">
            <w:pPr>
              <w:pStyle w:val="TableText0"/>
              <w:jc w:val="center"/>
              <w:rPr>
                <w:rFonts w:ascii="Times" w:hAnsi="Times"/>
              </w:rPr>
            </w:pPr>
            <w:r w:rsidRPr="00AF3847">
              <w:t>$140,</w:t>
            </w:r>
            <w:r>
              <w:t>440</w:t>
            </w:r>
          </w:p>
        </w:tc>
        <w:tc>
          <w:tcPr>
            <w:tcW w:w="838" w:type="pct"/>
          </w:tcPr>
          <w:p w14:paraId="0CE4EABC" w14:textId="72A25D57" w:rsidR="00B059F3" w:rsidRPr="00AF3847" w:rsidRDefault="00B059F3" w:rsidP="00BE57BE">
            <w:pPr>
              <w:pStyle w:val="TableText0"/>
              <w:jc w:val="center"/>
              <w:rPr>
                <w:rFonts w:ascii="Times" w:hAnsi="Times"/>
              </w:rPr>
            </w:pPr>
            <w:r w:rsidRPr="00AF3847">
              <w:t>$</w:t>
            </w:r>
            <w:r w:rsidR="003D4DE8" w:rsidRPr="003D4DE8">
              <w:rPr>
                <w:color w:val="000000"/>
                <w:shd w:val="solid" w:color="000000" w:fill="000000"/>
                <w14:textFill>
                  <w14:solidFill>
                    <w14:srgbClr w14:val="000000">
                      <w14:alpha w14:val="100000"/>
                    </w14:srgbClr>
                  </w14:solidFill>
                </w14:textFill>
              </w:rPr>
              <w:t>|</w:t>
            </w:r>
          </w:p>
        </w:tc>
      </w:tr>
      <w:tr w:rsidR="00B059F3" w:rsidRPr="00AF3847" w14:paraId="2BD2A937" w14:textId="77777777" w:rsidTr="00BE57BE">
        <w:trPr>
          <w:cantSplit/>
        </w:trPr>
        <w:tc>
          <w:tcPr>
            <w:tcW w:w="1529" w:type="pct"/>
          </w:tcPr>
          <w:p w14:paraId="44193262" w14:textId="77777777" w:rsidR="00B059F3" w:rsidRPr="00AF3847" w:rsidRDefault="00B059F3" w:rsidP="00BE57BE">
            <w:pPr>
              <w:pStyle w:val="TableText0"/>
              <w:rPr>
                <w:rFonts w:ascii="Times" w:hAnsi="Times"/>
              </w:rPr>
            </w:pPr>
            <w:r w:rsidRPr="00AF3847">
              <w:t>QALYs</w:t>
            </w:r>
          </w:p>
        </w:tc>
        <w:tc>
          <w:tcPr>
            <w:tcW w:w="1359" w:type="pct"/>
          </w:tcPr>
          <w:p w14:paraId="15AEA355" w14:textId="77777777" w:rsidR="00B059F3" w:rsidRPr="00AF3847" w:rsidRDefault="00B059F3" w:rsidP="00BE57BE">
            <w:pPr>
              <w:pStyle w:val="TableText0"/>
              <w:jc w:val="center"/>
              <w:rPr>
                <w:rFonts w:ascii="Times" w:hAnsi="Times"/>
              </w:rPr>
            </w:pPr>
            <w:r>
              <w:t>2.24</w:t>
            </w:r>
          </w:p>
        </w:tc>
        <w:tc>
          <w:tcPr>
            <w:tcW w:w="1274" w:type="pct"/>
          </w:tcPr>
          <w:p w14:paraId="67BCC387" w14:textId="77777777" w:rsidR="00B059F3" w:rsidRPr="00AF3847" w:rsidRDefault="00B059F3" w:rsidP="00BE57BE">
            <w:pPr>
              <w:pStyle w:val="TableText0"/>
              <w:jc w:val="center"/>
              <w:rPr>
                <w:rFonts w:ascii="Times" w:hAnsi="Times"/>
              </w:rPr>
            </w:pPr>
            <w:r>
              <w:t>1.28</w:t>
            </w:r>
          </w:p>
        </w:tc>
        <w:tc>
          <w:tcPr>
            <w:tcW w:w="838" w:type="pct"/>
          </w:tcPr>
          <w:p w14:paraId="4FA5EF1A" w14:textId="77777777" w:rsidR="00B059F3" w:rsidRPr="00AF3847" w:rsidRDefault="00B059F3" w:rsidP="00BE57BE">
            <w:pPr>
              <w:pStyle w:val="TableText0"/>
              <w:jc w:val="center"/>
            </w:pPr>
            <w:r>
              <w:t>0.96</w:t>
            </w:r>
          </w:p>
        </w:tc>
      </w:tr>
      <w:tr w:rsidR="00B059F3" w:rsidRPr="00AF3847" w14:paraId="22F5FD13" w14:textId="77777777" w:rsidTr="00BE57BE">
        <w:trPr>
          <w:cantSplit/>
        </w:trPr>
        <w:tc>
          <w:tcPr>
            <w:tcW w:w="4162" w:type="pct"/>
            <w:gridSpan w:val="3"/>
          </w:tcPr>
          <w:p w14:paraId="4BB2649E" w14:textId="77777777" w:rsidR="00B059F3" w:rsidRPr="00AF3847" w:rsidRDefault="00B059F3" w:rsidP="00BE57BE">
            <w:pPr>
              <w:pStyle w:val="TableText0"/>
              <w:rPr>
                <w:rFonts w:ascii="Times" w:hAnsi="Times"/>
                <w:b/>
                <w:bCs w:val="0"/>
              </w:rPr>
            </w:pPr>
            <w:r w:rsidRPr="00AF3847">
              <w:rPr>
                <w:b/>
                <w:bCs w:val="0"/>
              </w:rPr>
              <w:t xml:space="preserve">Incremental cost/extra QALY gained </w:t>
            </w:r>
          </w:p>
        </w:tc>
        <w:tc>
          <w:tcPr>
            <w:tcW w:w="838" w:type="pct"/>
          </w:tcPr>
          <w:p w14:paraId="15CADFBC" w14:textId="63CA8E3D" w:rsidR="00B059F3" w:rsidRPr="00AF3847" w:rsidRDefault="00B059F3" w:rsidP="00BE57BE">
            <w:pPr>
              <w:pStyle w:val="TableText0"/>
              <w:jc w:val="center"/>
              <w:rPr>
                <w:rFonts w:ascii="Times" w:hAnsi="Times"/>
                <w:b/>
                <w:bCs w:val="0"/>
              </w:rPr>
            </w:pPr>
            <w:r w:rsidRPr="00AF3847">
              <w:rPr>
                <w:b/>
                <w:bCs w:val="0"/>
              </w:rPr>
              <w:t>$</w:t>
            </w:r>
            <w:r w:rsidR="003D4DE8" w:rsidRPr="003D4DE8">
              <w:rPr>
                <w:b/>
                <w:bCs w:val="0"/>
                <w:color w:val="000000"/>
                <w:shd w:val="solid" w:color="000000" w:fill="000000"/>
                <w14:textFill>
                  <w14:solidFill>
                    <w14:srgbClr w14:val="000000">
                      <w14:alpha w14:val="100000"/>
                    </w14:srgbClr>
                  </w14:solidFill>
                </w14:textFill>
              </w:rPr>
              <w:t>|</w:t>
            </w:r>
            <w:r w:rsidR="00471EB7" w:rsidRPr="00471EB7">
              <w:rPr>
                <w:b/>
                <w:bCs w:val="0"/>
                <w:vertAlign w:val="superscript"/>
              </w:rPr>
              <w:t>1</w:t>
            </w:r>
          </w:p>
        </w:tc>
      </w:tr>
    </w:tbl>
    <w:p w14:paraId="51FA8A35" w14:textId="77777777" w:rsidR="00B059F3" w:rsidRPr="007E1264" w:rsidRDefault="00B059F3" w:rsidP="00B059F3">
      <w:pPr>
        <w:pStyle w:val="FooterTableFigure"/>
      </w:pPr>
      <w:r w:rsidRPr="007E1264">
        <w:t>Source:</w:t>
      </w:r>
      <w:r w:rsidRPr="007E1264">
        <w:rPr>
          <w:b/>
          <w:bCs/>
        </w:rPr>
        <w:t xml:space="preserve"> </w:t>
      </w:r>
      <w:r w:rsidRPr="007E1264">
        <w:t>‘Immunocore_tebentafusp UM_CEMv1’ workbook.</w:t>
      </w:r>
    </w:p>
    <w:p w14:paraId="1394F7F6" w14:textId="77777777" w:rsidR="00B059F3" w:rsidRPr="00AF3847" w:rsidRDefault="00B059F3" w:rsidP="00B059F3">
      <w:pPr>
        <w:pStyle w:val="FooterTableFigure"/>
      </w:pPr>
      <w:r w:rsidRPr="00AF3847">
        <w:t>ICER = incremental cost-effectiveness ratio, QALY = quality-adjusted life-years</w:t>
      </w:r>
    </w:p>
    <w:p w14:paraId="1DD2333D" w14:textId="77777777" w:rsidR="000E12EF" w:rsidRDefault="00B059F3" w:rsidP="000E12EF">
      <w:pPr>
        <w:pStyle w:val="FooterTableFigure"/>
      </w:pPr>
      <w:r w:rsidRPr="0006184D">
        <w:rPr>
          <w:vertAlign w:val="superscript"/>
        </w:rPr>
        <w:t>a</w:t>
      </w:r>
      <w:r>
        <w:t xml:space="preserve"> C</w:t>
      </w:r>
      <w:r w:rsidRPr="00AF3847">
        <w:t xml:space="preserve">orrected </w:t>
      </w:r>
      <w:r>
        <w:t xml:space="preserve">to </w:t>
      </w:r>
      <w:r w:rsidRPr="00AF3847">
        <w:t>us</w:t>
      </w:r>
      <w:r>
        <w:t>e</w:t>
      </w:r>
      <w:r w:rsidRPr="00AF3847">
        <w:t xml:space="preserve"> the correct MBS fee of $114.20 by changing cell D95 in the ‘Cost data’ worksheet in the</w:t>
      </w:r>
      <w:r>
        <w:t xml:space="preserve"> ’Immunocore_tebentafusp UM_CEM v1’ workbook.</w:t>
      </w:r>
    </w:p>
    <w:p w14:paraId="37151308" w14:textId="7884E856" w:rsidR="00471EB7" w:rsidRPr="000E12EF" w:rsidRDefault="00471EB7" w:rsidP="000E12EF">
      <w:pPr>
        <w:pStyle w:val="FooterTableFigure"/>
      </w:pPr>
      <w:r w:rsidRPr="009A6D58">
        <w:rPr>
          <w:i/>
          <w:szCs w:val="18"/>
        </w:rPr>
        <w:t xml:space="preserve">The redacted values correspond to the following ranges: </w:t>
      </w:r>
    </w:p>
    <w:p w14:paraId="07F501C0" w14:textId="74AEBC60" w:rsidR="00471EB7" w:rsidRPr="000A0CD2" w:rsidRDefault="00471EB7" w:rsidP="00451A32">
      <w:pPr>
        <w:rPr>
          <w:rStyle w:val="TableFigureHeadingChar"/>
        </w:rPr>
      </w:pPr>
      <w:r w:rsidRPr="009A6D58">
        <w:rPr>
          <w:rFonts w:ascii="Arial Narrow" w:hAnsi="Arial Narrow"/>
          <w:i/>
          <w:sz w:val="18"/>
          <w:szCs w:val="18"/>
          <w:vertAlign w:val="superscript"/>
        </w:rPr>
        <w:t>1</w:t>
      </w:r>
      <w:r>
        <w:rPr>
          <w:rFonts w:ascii="Arial Narrow" w:hAnsi="Arial Narrow"/>
          <w:i/>
          <w:sz w:val="18"/>
          <w:szCs w:val="18"/>
        </w:rPr>
        <w:t xml:space="preserve"> </w:t>
      </w:r>
      <w:r w:rsidRPr="00471EB7">
        <w:rPr>
          <w:rFonts w:ascii="Arial Narrow" w:hAnsi="Arial Narrow"/>
          <w:i/>
          <w:sz w:val="18"/>
          <w:szCs w:val="18"/>
        </w:rPr>
        <w:t>$75,000 to &lt; $95,000</w:t>
      </w:r>
    </w:p>
    <w:p w14:paraId="7B9766DC" w14:textId="77777777" w:rsidR="00B059F3" w:rsidRPr="00C9624D" w:rsidRDefault="00B059F3" w:rsidP="00B059F3">
      <w:pPr>
        <w:pStyle w:val="4-SubsectionHeading"/>
      </w:pPr>
      <w:r w:rsidRPr="00C9624D">
        <w:t>Estimated PBS usage &amp; financial implications</w:t>
      </w:r>
    </w:p>
    <w:p w14:paraId="7A520A77" w14:textId="17CE1D2A" w:rsidR="00B059F3" w:rsidRDefault="00B059F3" w:rsidP="00B059F3">
      <w:pPr>
        <w:widowControl w:val="0"/>
        <w:numPr>
          <w:ilvl w:val="1"/>
          <w:numId w:val="1"/>
        </w:numPr>
        <w:spacing w:after="120"/>
        <w:rPr>
          <w:rFonts w:asciiTheme="minorHAnsi" w:hAnsiTheme="minorHAnsi"/>
          <w:snapToGrid w:val="0"/>
        </w:rPr>
      </w:pPr>
      <w:r>
        <w:rPr>
          <w:rFonts w:asciiTheme="minorHAnsi" w:hAnsiTheme="minorHAnsi"/>
          <w:snapToGrid w:val="0"/>
        </w:rPr>
        <w:t>The resubmission presented revised financial impact estimates that incorporated the revised AEMP of $</w:t>
      </w:r>
      <w:r w:rsidR="003D4DE8" w:rsidRPr="00FC715B">
        <w:rPr>
          <w:rFonts w:asciiTheme="minorHAnsi" w:hAnsiTheme="minorHAnsi"/>
          <w:snapToGrid w:val="0"/>
          <w:color w:val="000000"/>
          <w:w w:val="15"/>
          <w:shd w:val="solid" w:color="000000" w:fill="000000"/>
          <w:fitText w:val="-20" w:id="-1136955130"/>
          <w14:textFill>
            <w14:solidFill>
              <w14:srgbClr w14:val="000000">
                <w14:alpha w14:val="100000"/>
              </w14:srgbClr>
            </w14:solidFill>
          </w14:textFill>
        </w:rPr>
        <w:t xml:space="preserve">|  </w:t>
      </w:r>
      <w:r w:rsidR="003D4DE8" w:rsidRPr="00FC715B">
        <w:rPr>
          <w:rFonts w:asciiTheme="minorHAnsi" w:hAnsiTheme="minorHAnsi"/>
          <w:snapToGrid w:val="0"/>
          <w:color w:val="000000"/>
          <w:spacing w:val="-69"/>
          <w:w w:val="15"/>
          <w:shd w:val="solid" w:color="000000" w:fill="000000"/>
          <w:fitText w:val="-20" w:id="-1136955130"/>
          <w14:textFill>
            <w14:solidFill>
              <w14:srgbClr w14:val="000000">
                <w14:alpha w14:val="100000"/>
              </w14:srgbClr>
            </w14:solidFill>
          </w14:textFill>
        </w:rPr>
        <w:t>|</w:t>
      </w:r>
      <w:r>
        <w:rPr>
          <w:rFonts w:asciiTheme="minorHAnsi" w:hAnsiTheme="minorHAnsi"/>
          <w:snapToGrid w:val="0"/>
        </w:rPr>
        <w:t xml:space="preserve"> per vial for tebentafusp and which removed the costs associated with public hospital patients receiving the first three doses in the inpatient setting. These are presented in </w:t>
      </w:r>
      <w:r>
        <w:rPr>
          <w:rFonts w:asciiTheme="minorHAnsi" w:hAnsiTheme="minorHAnsi"/>
          <w:snapToGrid w:val="0"/>
        </w:rPr>
        <w:fldChar w:fldCharType="begin" w:fldLock="1"/>
      </w:r>
      <w:r>
        <w:rPr>
          <w:rFonts w:asciiTheme="minorHAnsi" w:hAnsiTheme="minorHAnsi"/>
          <w:snapToGrid w:val="0"/>
        </w:rPr>
        <w:instrText xml:space="preserve"> REF _Ref144389398 \h </w:instrText>
      </w:r>
      <w:r>
        <w:rPr>
          <w:rFonts w:asciiTheme="minorHAnsi" w:hAnsiTheme="minorHAnsi"/>
          <w:snapToGrid w:val="0"/>
        </w:rPr>
      </w:r>
      <w:r>
        <w:rPr>
          <w:rFonts w:asciiTheme="minorHAnsi" w:hAnsiTheme="minorHAnsi"/>
          <w:snapToGrid w:val="0"/>
        </w:rPr>
        <w:fldChar w:fldCharType="separate"/>
      </w:r>
      <w:r>
        <w:t xml:space="preserve">Table </w:t>
      </w:r>
      <w:r>
        <w:rPr>
          <w:noProof/>
        </w:rPr>
        <w:t>19</w:t>
      </w:r>
      <w:r>
        <w:rPr>
          <w:rFonts w:asciiTheme="minorHAnsi" w:hAnsiTheme="minorHAnsi"/>
          <w:snapToGrid w:val="0"/>
        </w:rPr>
        <w:fldChar w:fldCharType="end"/>
      </w:r>
      <w:r>
        <w:rPr>
          <w:rFonts w:asciiTheme="minorHAnsi" w:hAnsiTheme="minorHAnsi"/>
          <w:snapToGrid w:val="0"/>
        </w:rPr>
        <w:t>.</w:t>
      </w:r>
    </w:p>
    <w:p w14:paraId="386883DF" w14:textId="77777777" w:rsidR="00B059F3" w:rsidRPr="00B515FF" w:rsidRDefault="00B059F3" w:rsidP="00B059F3">
      <w:pPr>
        <w:pStyle w:val="Caption"/>
      </w:pPr>
      <w:bookmarkStart w:id="91" w:name="_Ref144389398"/>
      <w:r>
        <w:t xml:space="preserve">Table </w:t>
      </w:r>
      <w:fldSimple w:instr=" SEQ Table \* ARABIC " w:fldLock="1">
        <w:r>
          <w:rPr>
            <w:noProof/>
          </w:rPr>
          <w:t>19</w:t>
        </w:r>
      </w:fldSimple>
      <w:bookmarkEnd w:id="91"/>
      <w:r w:rsidRPr="00B515FF">
        <w:t>:</w:t>
      </w:r>
      <w:r w:rsidRPr="00B515FF">
        <w:rPr>
          <w:rStyle w:val="TableFigureHeadingChar"/>
        </w:rPr>
        <w:t xml:space="preserve"> </w:t>
      </w:r>
      <w:r w:rsidRPr="00B515FF">
        <w:rPr>
          <w:rStyle w:val="TableFigureHeadingChar"/>
          <w:b/>
          <w:bCs/>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B059F3" w:rsidRPr="00B515FF" w14:paraId="1A673899" w14:textId="77777777" w:rsidTr="00BE57BE">
        <w:trPr>
          <w:tblHeader/>
        </w:trPr>
        <w:tc>
          <w:tcPr>
            <w:tcW w:w="1334" w:type="pct"/>
            <w:shd w:val="clear" w:color="auto" w:fill="auto"/>
            <w:vAlign w:val="center"/>
          </w:tcPr>
          <w:p w14:paraId="1C97D99B" w14:textId="77777777" w:rsidR="00B059F3" w:rsidRPr="00B515FF" w:rsidRDefault="00B059F3" w:rsidP="00BE57BE">
            <w:pPr>
              <w:pStyle w:val="In-tableHeading"/>
              <w:jc w:val="center"/>
            </w:pPr>
          </w:p>
        </w:tc>
        <w:tc>
          <w:tcPr>
            <w:tcW w:w="611" w:type="pct"/>
            <w:shd w:val="clear" w:color="auto" w:fill="auto"/>
            <w:vAlign w:val="center"/>
          </w:tcPr>
          <w:p w14:paraId="0883CFC0" w14:textId="77777777" w:rsidR="00B059F3" w:rsidRPr="00B515FF" w:rsidRDefault="00B059F3" w:rsidP="00BE57BE">
            <w:pPr>
              <w:pStyle w:val="In-tableHeading"/>
              <w:jc w:val="center"/>
            </w:pPr>
            <w:r w:rsidRPr="00CF1ADD">
              <w:rPr>
                <w:lang w:val="en-AU"/>
              </w:rPr>
              <w:t>Year 1</w:t>
            </w:r>
          </w:p>
        </w:tc>
        <w:tc>
          <w:tcPr>
            <w:tcW w:w="611" w:type="pct"/>
            <w:shd w:val="clear" w:color="auto" w:fill="auto"/>
            <w:vAlign w:val="center"/>
          </w:tcPr>
          <w:p w14:paraId="43C5B451" w14:textId="77777777" w:rsidR="00B059F3" w:rsidRPr="00B515FF" w:rsidRDefault="00B059F3" w:rsidP="00BE57BE">
            <w:pPr>
              <w:pStyle w:val="In-tableHeading"/>
              <w:jc w:val="center"/>
            </w:pPr>
            <w:r w:rsidRPr="00CF1ADD">
              <w:rPr>
                <w:lang w:val="en-AU"/>
              </w:rPr>
              <w:t>Year 2</w:t>
            </w:r>
          </w:p>
        </w:tc>
        <w:tc>
          <w:tcPr>
            <w:tcW w:w="611" w:type="pct"/>
            <w:shd w:val="clear" w:color="auto" w:fill="auto"/>
            <w:vAlign w:val="center"/>
          </w:tcPr>
          <w:p w14:paraId="12A370C7" w14:textId="77777777" w:rsidR="00B059F3" w:rsidRPr="00B515FF" w:rsidRDefault="00B059F3" w:rsidP="00BE57BE">
            <w:pPr>
              <w:pStyle w:val="In-tableHeading"/>
              <w:jc w:val="center"/>
            </w:pPr>
            <w:r w:rsidRPr="00CF1ADD">
              <w:rPr>
                <w:lang w:val="en-AU"/>
              </w:rPr>
              <w:t>Year 3</w:t>
            </w:r>
          </w:p>
        </w:tc>
        <w:tc>
          <w:tcPr>
            <w:tcW w:w="611" w:type="pct"/>
            <w:shd w:val="clear" w:color="auto" w:fill="auto"/>
            <w:vAlign w:val="center"/>
          </w:tcPr>
          <w:p w14:paraId="232A449B" w14:textId="77777777" w:rsidR="00B059F3" w:rsidRPr="00B515FF" w:rsidRDefault="00B059F3" w:rsidP="00BE57BE">
            <w:pPr>
              <w:pStyle w:val="In-tableHeading"/>
              <w:jc w:val="center"/>
            </w:pPr>
            <w:r w:rsidRPr="00CF1ADD">
              <w:rPr>
                <w:lang w:val="en-AU"/>
              </w:rPr>
              <w:t>Year 4</w:t>
            </w:r>
          </w:p>
        </w:tc>
        <w:tc>
          <w:tcPr>
            <w:tcW w:w="611" w:type="pct"/>
            <w:shd w:val="clear" w:color="auto" w:fill="auto"/>
            <w:vAlign w:val="center"/>
          </w:tcPr>
          <w:p w14:paraId="2796BEA2" w14:textId="77777777" w:rsidR="00B059F3" w:rsidRPr="00B515FF" w:rsidRDefault="00B059F3" w:rsidP="00BE57BE">
            <w:pPr>
              <w:pStyle w:val="In-tableHeading"/>
              <w:jc w:val="center"/>
            </w:pPr>
            <w:r w:rsidRPr="00CF1ADD">
              <w:rPr>
                <w:lang w:val="en-AU"/>
              </w:rPr>
              <w:t>Year 5</w:t>
            </w:r>
          </w:p>
        </w:tc>
        <w:tc>
          <w:tcPr>
            <w:tcW w:w="611" w:type="pct"/>
          </w:tcPr>
          <w:p w14:paraId="5D1C1BE6" w14:textId="77777777" w:rsidR="00B059F3" w:rsidRPr="00CF1ADD" w:rsidRDefault="00B059F3" w:rsidP="00BE57BE">
            <w:pPr>
              <w:pStyle w:val="In-tableHeading"/>
              <w:jc w:val="center"/>
              <w:rPr>
                <w:lang w:val="en-AU"/>
              </w:rPr>
            </w:pPr>
            <w:r w:rsidRPr="00CF1ADD">
              <w:rPr>
                <w:lang w:val="en-AU"/>
              </w:rPr>
              <w:t>Year 6</w:t>
            </w:r>
          </w:p>
        </w:tc>
      </w:tr>
      <w:tr w:rsidR="00B059F3" w:rsidRPr="00B515FF" w14:paraId="7AEA27DB" w14:textId="77777777" w:rsidTr="00BE57BE">
        <w:tc>
          <w:tcPr>
            <w:tcW w:w="5000" w:type="pct"/>
            <w:gridSpan w:val="7"/>
            <w:shd w:val="clear" w:color="auto" w:fill="auto"/>
            <w:vAlign w:val="center"/>
          </w:tcPr>
          <w:p w14:paraId="04F30A98" w14:textId="77777777" w:rsidR="00B059F3" w:rsidRPr="00CF1ADD" w:rsidRDefault="00B059F3" w:rsidP="00BE57BE">
            <w:pPr>
              <w:pStyle w:val="In-tableHeading"/>
              <w:rPr>
                <w:bCs/>
                <w:color w:val="000000"/>
                <w:lang w:val="en-AU"/>
              </w:rPr>
            </w:pPr>
            <w:r w:rsidRPr="00CF1ADD">
              <w:rPr>
                <w:bCs/>
                <w:color w:val="000000"/>
                <w:lang w:val="en-AU"/>
              </w:rPr>
              <w:t>Estimated extent of use</w:t>
            </w:r>
          </w:p>
        </w:tc>
      </w:tr>
      <w:tr w:rsidR="00B059F3" w:rsidRPr="00B515FF" w14:paraId="74886045" w14:textId="77777777" w:rsidTr="00BE57BE">
        <w:tc>
          <w:tcPr>
            <w:tcW w:w="1334" w:type="pct"/>
            <w:shd w:val="clear" w:color="auto" w:fill="auto"/>
            <w:vAlign w:val="center"/>
          </w:tcPr>
          <w:p w14:paraId="0407F712" w14:textId="77777777" w:rsidR="00B059F3" w:rsidRPr="00B515FF" w:rsidRDefault="00B059F3" w:rsidP="00BE57BE">
            <w:pPr>
              <w:pStyle w:val="TableText0"/>
              <w:rPr>
                <w:rFonts w:ascii="Times" w:hAnsi="Times"/>
              </w:rPr>
            </w:pPr>
            <w:r w:rsidRPr="00B515FF">
              <w:t>Number of patients treated</w:t>
            </w:r>
          </w:p>
        </w:tc>
        <w:tc>
          <w:tcPr>
            <w:tcW w:w="611" w:type="pct"/>
            <w:shd w:val="clear" w:color="auto" w:fill="auto"/>
          </w:tcPr>
          <w:p w14:paraId="409E206A" w14:textId="3EC09A9A" w:rsidR="00B059F3" w:rsidRPr="00B515FF" w:rsidRDefault="003D4DE8" w:rsidP="00BE57BE">
            <w:pPr>
              <w:pStyle w:val="TableText0"/>
              <w:jc w:val="center"/>
              <w:rPr>
                <w:color w:val="000000"/>
              </w:rPr>
            </w:pPr>
            <w:r w:rsidRPr="00DC6720">
              <w:rPr>
                <w:rFonts w:hint="eastAsia"/>
                <w:color w:val="000000"/>
                <w:w w:val="15"/>
                <w:shd w:val="solid" w:color="000000" w:fill="000000"/>
                <w:fitText w:val="37" w:id="-1136955129"/>
                <w14:textFill>
                  <w14:solidFill>
                    <w14:srgbClr w14:val="000000">
                      <w14:alpha w14:val="100000"/>
                    </w14:srgbClr>
                  </w14:solidFill>
                </w14:textFill>
              </w:rPr>
              <w:t xml:space="preserve">　</w:t>
            </w:r>
            <w:r w:rsidRPr="00DC6720">
              <w:rPr>
                <w:color w:val="000000"/>
                <w:w w:val="15"/>
                <w:shd w:val="solid" w:color="000000" w:fill="000000"/>
                <w:fitText w:val="37" w:id="-1136955129"/>
                <w14:textFill>
                  <w14:solidFill>
                    <w14:srgbClr w14:val="000000">
                      <w14:alpha w14:val="100000"/>
                    </w14:srgbClr>
                  </w14:solidFill>
                </w14:textFill>
              </w:rPr>
              <w:t>|</w:t>
            </w:r>
            <w:r w:rsidRPr="00DC6720">
              <w:rPr>
                <w:rFonts w:hint="eastAsia"/>
                <w:color w:val="000000"/>
                <w:spacing w:val="-45"/>
                <w:w w:val="15"/>
                <w:shd w:val="solid" w:color="000000" w:fill="000000"/>
                <w:fitText w:val="37" w:id="-1136955129"/>
                <w14:textFill>
                  <w14:solidFill>
                    <w14:srgbClr w14:val="000000">
                      <w14:alpha w14:val="100000"/>
                    </w14:srgbClr>
                  </w14:solidFill>
                </w14:textFill>
              </w:rPr>
              <w:t xml:space="preserve">　</w:t>
            </w:r>
            <w:r w:rsidR="004C425D" w:rsidRPr="004C425D">
              <w:rPr>
                <w:vertAlign w:val="superscript"/>
              </w:rPr>
              <w:t>1</w:t>
            </w:r>
            <w:r w:rsidR="00B059F3" w:rsidRPr="00B515FF">
              <w:t xml:space="preserve"> </w:t>
            </w:r>
          </w:p>
        </w:tc>
        <w:tc>
          <w:tcPr>
            <w:tcW w:w="611" w:type="pct"/>
            <w:shd w:val="clear" w:color="auto" w:fill="auto"/>
          </w:tcPr>
          <w:p w14:paraId="0D4E692A" w14:textId="0DB7BC07" w:rsidR="00B059F3" w:rsidRPr="004C425D" w:rsidRDefault="003D4DE8" w:rsidP="00BE57BE">
            <w:pPr>
              <w:pStyle w:val="TableText0"/>
              <w:jc w:val="center"/>
              <w:rPr>
                <w:color w:val="000000"/>
                <w:highlight w:val="darkGray"/>
              </w:rPr>
            </w:pPr>
            <w:r w:rsidRPr="00DC6720">
              <w:rPr>
                <w:rFonts w:hint="eastAsia"/>
                <w:color w:val="000000"/>
                <w:w w:val="15"/>
                <w:shd w:val="solid" w:color="000000" w:fill="000000"/>
                <w:fitText w:val="38" w:id="-1136955128"/>
                <w14:textFill>
                  <w14:solidFill>
                    <w14:srgbClr w14:val="000000">
                      <w14:alpha w14:val="100000"/>
                    </w14:srgbClr>
                  </w14:solidFill>
                </w14:textFill>
              </w:rPr>
              <w:t xml:space="preserve">　</w:t>
            </w:r>
            <w:r w:rsidRPr="00DC6720">
              <w:rPr>
                <w:color w:val="000000"/>
                <w:w w:val="15"/>
                <w:shd w:val="solid" w:color="000000" w:fill="000000"/>
                <w:fitText w:val="38" w:id="-1136955128"/>
                <w14:textFill>
                  <w14:solidFill>
                    <w14:srgbClr w14:val="000000">
                      <w14:alpha w14:val="100000"/>
                    </w14:srgbClr>
                  </w14:solidFill>
                </w14:textFill>
              </w:rPr>
              <w:t>|</w:t>
            </w:r>
            <w:r w:rsidRPr="00DC6720">
              <w:rPr>
                <w:rFonts w:hint="eastAsia"/>
                <w:color w:val="000000"/>
                <w:spacing w:val="-45"/>
                <w:w w:val="15"/>
                <w:shd w:val="solid" w:color="000000" w:fill="000000"/>
                <w:fitText w:val="38" w:id="-1136955128"/>
                <w14:textFill>
                  <w14:solidFill>
                    <w14:srgbClr w14:val="000000">
                      <w14:alpha w14:val="100000"/>
                    </w14:srgbClr>
                  </w14:solidFill>
                </w14:textFill>
              </w:rPr>
              <w:t xml:space="preserve">　</w:t>
            </w:r>
            <w:r w:rsidR="004C425D" w:rsidRPr="004C425D">
              <w:rPr>
                <w:vertAlign w:val="superscript"/>
              </w:rPr>
              <w:t>1</w:t>
            </w:r>
          </w:p>
        </w:tc>
        <w:tc>
          <w:tcPr>
            <w:tcW w:w="611" w:type="pct"/>
            <w:shd w:val="clear" w:color="auto" w:fill="auto"/>
          </w:tcPr>
          <w:p w14:paraId="14251DE4" w14:textId="3A415268" w:rsidR="00B059F3" w:rsidRPr="004C425D" w:rsidRDefault="003D4DE8" w:rsidP="00BE57BE">
            <w:pPr>
              <w:pStyle w:val="TableText0"/>
              <w:jc w:val="center"/>
              <w:rPr>
                <w:color w:val="000000"/>
                <w:highlight w:val="darkGray"/>
              </w:rPr>
            </w:pPr>
            <w:r w:rsidRPr="00DC6720">
              <w:rPr>
                <w:rFonts w:hint="eastAsia"/>
                <w:color w:val="000000"/>
                <w:w w:val="15"/>
                <w:shd w:val="solid" w:color="000000" w:fill="000000"/>
                <w:fitText w:val="37" w:id="-1136955127"/>
                <w14:textFill>
                  <w14:solidFill>
                    <w14:srgbClr w14:val="000000">
                      <w14:alpha w14:val="100000"/>
                    </w14:srgbClr>
                  </w14:solidFill>
                </w14:textFill>
              </w:rPr>
              <w:t xml:space="preserve">　</w:t>
            </w:r>
            <w:r w:rsidRPr="00DC6720">
              <w:rPr>
                <w:color w:val="000000"/>
                <w:w w:val="15"/>
                <w:shd w:val="solid" w:color="000000" w:fill="000000"/>
                <w:fitText w:val="37" w:id="-1136955127"/>
                <w14:textFill>
                  <w14:solidFill>
                    <w14:srgbClr w14:val="000000">
                      <w14:alpha w14:val="100000"/>
                    </w14:srgbClr>
                  </w14:solidFill>
                </w14:textFill>
              </w:rPr>
              <w:t>|</w:t>
            </w:r>
            <w:r w:rsidRPr="00DC6720">
              <w:rPr>
                <w:rFonts w:hint="eastAsia"/>
                <w:color w:val="000000"/>
                <w:spacing w:val="-45"/>
                <w:w w:val="15"/>
                <w:shd w:val="solid" w:color="000000" w:fill="000000"/>
                <w:fitText w:val="37" w:id="-1136955127"/>
                <w14:textFill>
                  <w14:solidFill>
                    <w14:srgbClr w14:val="000000">
                      <w14:alpha w14:val="100000"/>
                    </w14:srgbClr>
                  </w14:solidFill>
                </w14:textFill>
              </w:rPr>
              <w:t xml:space="preserve">　</w:t>
            </w:r>
            <w:r w:rsidR="004C425D" w:rsidRPr="004C425D">
              <w:rPr>
                <w:vertAlign w:val="superscript"/>
              </w:rPr>
              <w:t>1</w:t>
            </w:r>
            <w:r w:rsidRPr="003D4DE8">
              <w:t xml:space="preserve"> </w:t>
            </w:r>
          </w:p>
        </w:tc>
        <w:tc>
          <w:tcPr>
            <w:tcW w:w="611" w:type="pct"/>
            <w:shd w:val="clear" w:color="auto" w:fill="auto"/>
          </w:tcPr>
          <w:p w14:paraId="6EF87F0E" w14:textId="4AE40385" w:rsidR="00B059F3" w:rsidRPr="004C425D" w:rsidRDefault="003D4DE8" w:rsidP="00BE57BE">
            <w:pPr>
              <w:pStyle w:val="TableText0"/>
              <w:jc w:val="center"/>
              <w:rPr>
                <w:color w:val="000000"/>
                <w:highlight w:val="darkGray"/>
              </w:rPr>
            </w:pPr>
            <w:r w:rsidRPr="00DC6720">
              <w:rPr>
                <w:rFonts w:hint="eastAsia"/>
                <w:color w:val="000000"/>
                <w:w w:val="15"/>
                <w:shd w:val="solid" w:color="000000" w:fill="000000"/>
                <w:fitText w:val="37" w:id="-1136955126"/>
                <w14:textFill>
                  <w14:solidFill>
                    <w14:srgbClr w14:val="000000">
                      <w14:alpha w14:val="100000"/>
                    </w14:srgbClr>
                  </w14:solidFill>
                </w14:textFill>
              </w:rPr>
              <w:t xml:space="preserve">　</w:t>
            </w:r>
            <w:r w:rsidRPr="00DC6720">
              <w:rPr>
                <w:color w:val="000000"/>
                <w:w w:val="15"/>
                <w:shd w:val="solid" w:color="000000" w:fill="000000"/>
                <w:fitText w:val="37" w:id="-1136955126"/>
                <w14:textFill>
                  <w14:solidFill>
                    <w14:srgbClr w14:val="000000">
                      <w14:alpha w14:val="100000"/>
                    </w14:srgbClr>
                  </w14:solidFill>
                </w14:textFill>
              </w:rPr>
              <w:t>|</w:t>
            </w:r>
            <w:r w:rsidRPr="00DC6720">
              <w:rPr>
                <w:rFonts w:hint="eastAsia"/>
                <w:color w:val="000000"/>
                <w:spacing w:val="-45"/>
                <w:w w:val="15"/>
                <w:shd w:val="solid" w:color="000000" w:fill="000000"/>
                <w:fitText w:val="37" w:id="-1136955126"/>
                <w14:textFill>
                  <w14:solidFill>
                    <w14:srgbClr w14:val="000000">
                      <w14:alpha w14:val="100000"/>
                    </w14:srgbClr>
                  </w14:solidFill>
                </w14:textFill>
              </w:rPr>
              <w:t xml:space="preserve">　</w:t>
            </w:r>
            <w:r w:rsidR="004C425D" w:rsidRPr="004C425D">
              <w:rPr>
                <w:vertAlign w:val="superscript"/>
              </w:rPr>
              <w:t>1</w:t>
            </w:r>
            <w:r w:rsidRPr="003D4DE8">
              <w:t xml:space="preserve"> </w:t>
            </w:r>
          </w:p>
        </w:tc>
        <w:tc>
          <w:tcPr>
            <w:tcW w:w="611" w:type="pct"/>
            <w:shd w:val="clear" w:color="auto" w:fill="auto"/>
          </w:tcPr>
          <w:p w14:paraId="4E2F2403" w14:textId="04E53276" w:rsidR="00B059F3" w:rsidRPr="004C425D" w:rsidRDefault="003D4DE8" w:rsidP="00BE57BE">
            <w:pPr>
              <w:pStyle w:val="TableText0"/>
              <w:jc w:val="center"/>
              <w:rPr>
                <w:color w:val="000000"/>
                <w:highlight w:val="darkGray"/>
              </w:rPr>
            </w:pPr>
            <w:r w:rsidRPr="00DC6720">
              <w:rPr>
                <w:rFonts w:hint="eastAsia"/>
                <w:color w:val="000000"/>
                <w:w w:val="15"/>
                <w:shd w:val="solid" w:color="000000" w:fill="000000"/>
                <w:fitText w:val="38" w:id="-1136954880"/>
                <w14:textFill>
                  <w14:solidFill>
                    <w14:srgbClr w14:val="000000">
                      <w14:alpha w14:val="100000"/>
                    </w14:srgbClr>
                  </w14:solidFill>
                </w14:textFill>
              </w:rPr>
              <w:t xml:space="preserve">　</w:t>
            </w:r>
            <w:r w:rsidRPr="00DC6720">
              <w:rPr>
                <w:color w:val="000000"/>
                <w:w w:val="15"/>
                <w:shd w:val="solid" w:color="000000" w:fill="000000"/>
                <w:fitText w:val="38" w:id="-1136954880"/>
                <w14:textFill>
                  <w14:solidFill>
                    <w14:srgbClr w14:val="000000">
                      <w14:alpha w14:val="100000"/>
                    </w14:srgbClr>
                  </w14:solidFill>
                </w14:textFill>
              </w:rPr>
              <w:t>|</w:t>
            </w:r>
            <w:r w:rsidRPr="00DC6720">
              <w:rPr>
                <w:rFonts w:hint="eastAsia"/>
                <w:color w:val="000000"/>
                <w:spacing w:val="-45"/>
                <w:w w:val="15"/>
                <w:shd w:val="solid" w:color="000000" w:fill="000000"/>
                <w:fitText w:val="38" w:id="-1136954880"/>
                <w14:textFill>
                  <w14:solidFill>
                    <w14:srgbClr w14:val="000000">
                      <w14:alpha w14:val="100000"/>
                    </w14:srgbClr>
                  </w14:solidFill>
                </w14:textFill>
              </w:rPr>
              <w:t xml:space="preserve">　</w:t>
            </w:r>
            <w:r w:rsidR="004C425D" w:rsidRPr="004C425D">
              <w:rPr>
                <w:vertAlign w:val="superscript"/>
              </w:rPr>
              <w:t>1</w:t>
            </w:r>
            <w:r w:rsidRPr="003D4DE8">
              <w:t xml:space="preserve"> </w:t>
            </w:r>
          </w:p>
        </w:tc>
        <w:tc>
          <w:tcPr>
            <w:tcW w:w="611" w:type="pct"/>
          </w:tcPr>
          <w:p w14:paraId="01855E89" w14:textId="392B9EC8" w:rsidR="00B059F3" w:rsidRPr="004C425D" w:rsidRDefault="003D4DE8" w:rsidP="00BE57BE">
            <w:pPr>
              <w:pStyle w:val="TableText0"/>
              <w:jc w:val="center"/>
              <w:rPr>
                <w:color w:val="000000"/>
                <w:highlight w:val="darkGray"/>
              </w:rPr>
            </w:pPr>
            <w:r w:rsidRPr="00DC6720">
              <w:rPr>
                <w:rFonts w:hint="eastAsia"/>
                <w:color w:val="000000"/>
                <w:w w:val="15"/>
                <w:shd w:val="solid" w:color="000000" w:fill="000000"/>
                <w:fitText w:val="37" w:id="-1136954879"/>
                <w14:textFill>
                  <w14:solidFill>
                    <w14:srgbClr w14:val="000000">
                      <w14:alpha w14:val="100000"/>
                    </w14:srgbClr>
                  </w14:solidFill>
                </w14:textFill>
              </w:rPr>
              <w:t xml:space="preserve">　</w:t>
            </w:r>
            <w:r w:rsidRPr="00DC6720">
              <w:rPr>
                <w:color w:val="000000"/>
                <w:w w:val="15"/>
                <w:shd w:val="solid" w:color="000000" w:fill="000000"/>
                <w:fitText w:val="37" w:id="-1136954879"/>
                <w14:textFill>
                  <w14:solidFill>
                    <w14:srgbClr w14:val="000000">
                      <w14:alpha w14:val="100000"/>
                    </w14:srgbClr>
                  </w14:solidFill>
                </w14:textFill>
              </w:rPr>
              <w:t>|</w:t>
            </w:r>
            <w:r w:rsidRPr="00DC6720">
              <w:rPr>
                <w:rFonts w:hint="eastAsia"/>
                <w:color w:val="000000"/>
                <w:spacing w:val="-45"/>
                <w:w w:val="15"/>
                <w:shd w:val="solid" w:color="000000" w:fill="000000"/>
                <w:fitText w:val="37" w:id="-1136954879"/>
                <w14:textFill>
                  <w14:solidFill>
                    <w14:srgbClr w14:val="000000">
                      <w14:alpha w14:val="100000"/>
                    </w14:srgbClr>
                  </w14:solidFill>
                </w14:textFill>
              </w:rPr>
              <w:t xml:space="preserve">　</w:t>
            </w:r>
            <w:r w:rsidR="004C425D" w:rsidRPr="004C425D">
              <w:rPr>
                <w:vertAlign w:val="superscript"/>
              </w:rPr>
              <w:t>1</w:t>
            </w:r>
            <w:r w:rsidRPr="003D4DE8">
              <w:t xml:space="preserve"> </w:t>
            </w:r>
          </w:p>
        </w:tc>
      </w:tr>
      <w:tr w:rsidR="00B059F3" w:rsidRPr="00B515FF" w14:paraId="029CC19E" w14:textId="77777777" w:rsidTr="00BE57BE">
        <w:tc>
          <w:tcPr>
            <w:tcW w:w="1334" w:type="pct"/>
            <w:shd w:val="clear" w:color="auto" w:fill="auto"/>
            <w:vAlign w:val="center"/>
          </w:tcPr>
          <w:p w14:paraId="2EE2213E" w14:textId="77777777" w:rsidR="00B059F3" w:rsidRPr="00B515FF" w:rsidRDefault="00B059F3" w:rsidP="00BE57BE">
            <w:pPr>
              <w:pStyle w:val="TableText0"/>
              <w:rPr>
                <w:rFonts w:ascii="Times" w:hAnsi="Times"/>
              </w:rPr>
            </w:pPr>
            <w:r w:rsidRPr="00B515FF">
              <w:t>Number of scripts dispensed</w:t>
            </w:r>
            <w:r w:rsidRPr="00B515FF">
              <w:rPr>
                <w:vertAlign w:val="superscript"/>
              </w:rPr>
              <w:t>a</w:t>
            </w:r>
          </w:p>
        </w:tc>
        <w:tc>
          <w:tcPr>
            <w:tcW w:w="611" w:type="pct"/>
            <w:shd w:val="clear" w:color="auto" w:fill="auto"/>
          </w:tcPr>
          <w:p w14:paraId="34221560" w14:textId="0A1FE275" w:rsidR="00B059F3" w:rsidRPr="004C425D" w:rsidRDefault="003D4DE8" w:rsidP="00BE57BE">
            <w:pPr>
              <w:pStyle w:val="TableText0"/>
              <w:jc w:val="center"/>
              <w:rPr>
                <w:color w:val="000000"/>
                <w:highlight w:val="darkGray"/>
              </w:rPr>
            </w:pPr>
            <w:r w:rsidRPr="00DC6720">
              <w:rPr>
                <w:rFonts w:hint="eastAsia"/>
                <w:color w:val="000000"/>
                <w:w w:val="15"/>
                <w:shd w:val="solid" w:color="000000" w:fill="000000"/>
                <w:fitText w:val="37" w:id="-1136954878"/>
                <w14:textFill>
                  <w14:solidFill>
                    <w14:srgbClr w14:val="000000">
                      <w14:alpha w14:val="100000"/>
                    </w14:srgbClr>
                  </w14:solidFill>
                </w14:textFill>
              </w:rPr>
              <w:t xml:space="preserve">　</w:t>
            </w:r>
            <w:r w:rsidRPr="00DC6720">
              <w:rPr>
                <w:color w:val="000000"/>
                <w:w w:val="15"/>
                <w:shd w:val="solid" w:color="000000" w:fill="000000"/>
                <w:fitText w:val="37" w:id="-1136954878"/>
                <w14:textFill>
                  <w14:solidFill>
                    <w14:srgbClr w14:val="000000">
                      <w14:alpha w14:val="100000"/>
                    </w14:srgbClr>
                  </w14:solidFill>
                </w14:textFill>
              </w:rPr>
              <w:t>|</w:t>
            </w:r>
            <w:r w:rsidRPr="00DC6720">
              <w:rPr>
                <w:rFonts w:hint="eastAsia"/>
                <w:color w:val="000000"/>
                <w:spacing w:val="-45"/>
                <w:w w:val="15"/>
                <w:shd w:val="solid" w:color="000000" w:fill="000000"/>
                <w:fitText w:val="37" w:id="-1136954878"/>
                <w14:textFill>
                  <w14:solidFill>
                    <w14:srgbClr w14:val="000000">
                      <w14:alpha w14:val="100000"/>
                    </w14:srgbClr>
                  </w14:solidFill>
                </w14:textFill>
              </w:rPr>
              <w:t xml:space="preserve">　</w:t>
            </w:r>
            <w:r w:rsidR="004C425D">
              <w:rPr>
                <w:vertAlign w:val="superscript"/>
              </w:rPr>
              <w:t>2</w:t>
            </w:r>
          </w:p>
        </w:tc>
        <w:tc>
          <w:tcPr>
            <w:tcW w:w="611" w:type="pct"/>
            <w:shd w:val="clear" w:color="auto" w:fill="auto"/>
          </w:tcPr>
          <w:p w14:paraId="1A9AD327" w14:textId="37671C81" w:rsidR="00B059F3" w:rsidRPr="004C425D" w:rsidRDefault="003D4DE8" w:rsidP="00BE57BE">
            <w:pPr>
              <w:pStyle w:val="TableText0"/>
              <w:jc w:val="center"/>
              <w:rPr>
                <w:color w:val="000000"/>
                <w:highlight w:val="darkGray"/>
              </w:rPr>
            </w:pPr>
            <w:r w:rsidRPr="00DC6720">
              <w:rPr>
                <w:rFonts w:hint="eastAsia"/>
                <w:color w:val="000000"/>
                <w:w w:val="15"/>
                <w:shd w:val="solid" w:color="000000" w:fill="000000"/>
                <w:fitText w:val="38" w:id="-1136954877"/>
                <w14:textFill>
                  <w14:solidFill>
                    <w14:srgbClr w14:val="000000">
                      <w14:alpha w14:val="100000"/>
                    </w14:srgbClr>
                  </w14:solidFill>
                </w14:textFill>
              </w:rPr>
              <w:t xml:space="preserve">　</w:t>
            </w:r>
            <w:r w:rsidRPr="00DC6720">
              <w:rPr>
                <w:color w:val="000000"/>
                <w:w w:val="15"/>
                <w:shd w:val="solid" w:color="000000" w:fill="000000"/>
                <w:fitText w:val="38" w:id="-1136954877"/>
                <w14:textFill>
                  <w14:solidFill>
                    <w14:srgbClr w14:val="000000">
                      <w14:alpha w14:val="100000"/>
                    </w14:srgbClr>
                  </w14:solidFill>
                </w14:textFill>
              </w:rPr>
              <w:t>|</w:t>
            </w:r>
            <w:r w:rsidRPr="00DC6720">
              <w:rPr>
                <w:rFonts w:hint="eastAsia"/>
                <w:color w:val="000000"/>
                <w:spacing w:val="-45"/>
                <w:w w:val="15"/>
                <w:shd w:val="solid" w:color="000000" w:fill="000000"/>
                <w:fitText w:val="38" w:id="-1136954877"/>
                <w14:textFill>
                  <w14:solidFill>
                    <w14:srgbClr w14:val="000000">
                      <w14:alpha w14:val="100000"/>
                    </w14:srgbClr>
                  </w14:solidFill>
                </w14:textFill>
              </w:rPr>
              <w:t xml:space="preserve">　</w:t>
            </w:r>
            <w:r w:rsidR="004C425D">
              <w:rPr>
                <w:vertAlign w:val="superscript"/>
              </w:rPr>
              <w:t>2</w:t>
            </w:r>
          </w:p>
        </w:tc>
        <w:tc>
          <w:tcPr>
            <w:tcW w:w="611" w:type="pct"/>
            <w:shd w:val="clear" w:color="auto" w:fill="auto"/>
          </w:tcPr>
          <w:p w14:paraId="40A33963" w14:textId="1E794AFE" w:rsidR="00B059F3" w:rsidRPr="004C425D" w:rsidRDefault="003D4DE8" w:rsidP="00BE57BE">
            <w:pPr>
              <w:pStyle w:val="TableText0"/>
              <w:jc w:val="center"/>
              <w:rPr>
                <w:color w:val="000000"/>
                <w:highlight w:val="darkGray"/>
              </w:rPr>
            </w:pPr>
            <w:r w:rsidRPr="00DC6720">
              <w:rPr>
                <w:rFonts w:hint="eastAsia"/>
                <w:color w:val="000000"/>
                <w:w w:val="15"/>
                <w:shd w:val="solid" w:color="000000" w:fill="000000"/>
                <w:fitText w:val="37" w:id="-1136954876"/>
                <w14:textFill>
                  <w14:solidFill>
                    <w14:srgbClr w14:val="000000">
                      <w14:alpha w14:val="100000"/>
                    </w14:srgbClr>
                  </w14:solidFill>
                </w14:textFill>
              </w:rPr>
              <w:t xml:space="preserve">　</w:t>
            </w:r>
            <w:r w:rsidRPr="00DC6720">
              <w:rPr>
                <w:color w:val="000000"/>
                <w:w w:val="15"/>
                <w:shd w:val="solid" w:color="000000" w:fill="000000"/>
                <w:fitText w:val="37" w:id="-1136954876"/>
                <w14:textFill>
                  <w14:solidFill>
                    <w14:srgbClr w14:val="000000">
                      <w14:alpha w14:val="100000"/>
                    </w14:srgbClr>
                  </w14:solidFill>
                </w14:textFill>
              </w:rPr>
              <w:t>|</w:t>
            </w:r>
            <w:r w:rsidRPr="00DC6720">
              <w:rPr>
                <w:rFonts w:hint="eastAsia"/>
                <w:color w:val="000000"/>
                <w:spacing w:val="-45"/>
                <w:w w:val="15"/>
                <w:shd w:val="solid" w:color="000000" w:fill="000000"/>
                <w:fitText w:val="37" w:id="-1136954876"/>
                <w14:textFill>
                  <w14:solidFill>
                    <w14:srgbClr w14:val="000000">
                      <w14:alpha w14:val="100000"/>
                    </w14:srgbClr>
                  </w14:solidFill>
                </w14:textFill>
              </w:rPr>
              <w:t xml:space="preserve">　</w:t>
            </w:r>
            <w:r w:rsidR="004C425D">
              <w:rPr>
                <w:vertAlign w:val="superscript"/>
              </w:rPr>
              <w:t>2</w:t>
            </w:r>
          </w:p>
        </w:tc>
        <w:tc>
          <w:tcPr>
            <w:tcW w:w="611" w:type="pct"/>
            <w:shd w:val="clear" w:color="auto" w:fill="auto"/>
          </w:tcPr>
          <w:p w14:paraId="50DD69F9" w14:textId="6C599277" w:rsidR="00B059F3" w:rsidRPr="004C425D" w:rsidRDefault="003D4DE8" w:rsidP="00BE57BE">
            <w:pPr>
              <w:pStyle w:val="TableText0"/>
              <w:jc w:val="center"/>
              <w:rPr>
                <w:color w:val="000000"/>
                <w:highlight w:val="darkGray"/>
              </w:rPr>
            </w:pPr>
            <w:r w:rsidRPr="00DC6720">
              <w:rPr>
                <w:rFonts w:hint="eastAsia"/>
                <w:color w:val="000000"/>
                <w:w w:val="15"/>
                <w:shd w:val="solid" w:color="000000" w:fill="000000"/>
                <w:fitText w:val="37" w:id="-1136954875"/>
                <w14:textFill>
                  <w14:solidFill>
                    <w14:srgbClr w14:val="000000">
                      <w14:alpha w14:val="100000"/>
                    </w14:srgbClr>
                  </w14:solidFill>
                </w14:textFill>
              </w:rPr>
              <w:t xml:space="preserve">　</w:t>
            </w:r>
            <w:r w:rsidRPr="00DC6720">
              <w:rPr>
                <w:color w:val="000000"/>
                <w:w w:val="15"/>
                <w:shd w:val="solid" w:color="000000" w:fill="000000"/>
                <w:fitText w:val="37" w:id="-1136954875"/>
                <w14:textFill>
                  <w14:solidFill>
                    <w14:srgbClr w14:val="000000">
                      <w14:alpha w14:val="100000"/>
                    </w14:srgbClr>
                  </w14:solidFill>
                </w14:textFill>
              </w:rPr>
              <w:t>|</w:t>
            </w:r>
            <w:r w:rsidRPr="00DC6720">
              <w:rPr>
                <w:rFonts w:hint="eastAsia"/>
                <w:color w:val="000000"/>
                <w:spacing w:val="-45"/>
                <w:w w:val="15"/>
                <w:shd w:val="solid" w:color="000000" w:fill="000000"/>
                <w:fitText w:val="37" w:id="-1136954875"/>
                <w14:textFill>
                  <w14:solidFill>
                    <w14:srgbClr w14:val="000000">
                      <w14:alpha w14:val="100000"/>
                    </w14:srgbClr>
                  </w14:solidFill>
                </w14:textFill>
              </w:rPr>
              <w:t xml:space="preserve">　</w:t>
            </w:r>
            <w:r w:rsidR="004C425D">
              <w:rPr>
                <w:vertAlign w:val="superscript"/>
              </w:rPr>
              <w:t>2</w:t>
            </w:r>
          </w:p>
        </w:tc>
        <w:tc>
          <w:tcPr>
            <w:tcW w:w="611" w:type="pct"/>
            <w:shd w:val="clear" w:color="auto" w:fill="auto"/>
          </w:tcPr>
          <w:p w14:paraId="59375B95" w14:textId="599CE459" w:rsidR="00B059F3" w:rsidRPr="004C425D" w:rsidRDefault="003D4DE8" w:rsidP="00BE57BE">
            <w:pPr>
              <w:pStyle w:val="TableText0"/>
              <w:jc w:val="center"/>
              <w:rPr>
                <w:color w:val="000000"/>
                <w:highlight w:val="darkGray"/>
              </w:rPr>
            </w:pPr>
            <w:r w:rsidRPr="00DC6720">
              <w:rPr>
                <w:rFonts w:hint="eastAsia"/>
                <w:color w:val="000000"/>
                <w:w w:val="15"/>
                <w:shd w:val="solid" w:color="000000" w:fill="000000"/>
                <w:fitText w:val="38" w:id="-1136954874"/>
                <w14:textFill>
                  <w14:solidFill>
                    <w14:srgbClr w14:val="000000">
                      <w14:alpha w14:val="100000"/>
                    </w14:srgbClr>
                  </w14:solidFill>
                </w14:textFill>
              </w:rPr>
              <w:t xml:space="preserve">　</w:t>
            </w:r>
            <w:r w:rsidRPr="00DC6720">
              <w:rPr>
                <w:color w:val="000000"/>
                <w:w w:val="15"/>
                <w:shd w:val="solid" w:color="000000" w:fill="000000"/>
                <w:fitText w:val="38" w:id="-1136954874"/>
                <w14:textFill>
                  <w14:solidFill>
                    <w14:srgbClr w14:val="000000">
                      <w14:alpha w14:val="100000"/>
                    </w14:srgbClr>
                  </w14:solidFill>
                </w14:textFill>
              </w:rPr>
              <w:t>|</w:t>
            </w:r>
            <w:r w:rsidRPr="00DC6720">
              <w:rPr>
                <w:rFonts w:hint="eastAsia"/>
                <w:color w:val="000000"/>
                <w:spacing w:val="-45"/>
                <w:w w:val="15"/>
                <w:shd w:val="solid" w:color="000000" w:fill="000000"/>
                <w:fitText w:val="38" w:id="-1136954874"/>
                <w14:textFill>
                  <w14:solidFill>
                    <w14:srgbClr w14:val="000000">
                      <w14:alpha w14:val="100000"/>
                    </w14:srgbClr>
                  </w14:solidFill>
                </w14:textFill>
              </w:rPr>
              <w:t xml:space="preserve">　</w:t>
            </w:r>
            <w:r w:rsidR="004C425D">
              <w:rPr>
                <w:vertAlign w:val="superscript"/>
              </w:rPr>
              <w:t>2</w:t>
            </w:r>
          </w:p>
        </w:tc>
        <w:tc>
          <w:tcPr>
            <w:tcW w:w="611" w:type="pct"/>
          </w:tcPr>
          <w:p w14:paraId="3BC15313" w14:textId="2AC3E79F" w:rsidR="00B059F3" w:rsidRPr="004C425D" w:rsidRDefault="003D4DE8" w:rsidP="00BE57BE">
            <w:pPr>
              <w:pStyle w:val="TableText0"/>
              <w:jc w:val="center"/>
              <w:rPr>
                <w:color w:val="000000"/>
                <w:highlight w:val="darkGray"/>
              </w:rPr>
            </w:pPr>
            <w:r w:rsidRPr="00DC6720">
              <w:rPr>
                <w:rFonts w:hint="eastAsia"/>
                <w:color w:val="000000"/>
                <w:w w:val="15"/>
                <w:shd w:val="solid" w:color="000000" w:fill="000000"/>
                <w:fitText w:val="37" w:id="-1136954873"/>
                <w14:textFill>
                  <w14:solidFill>
                    <w14:srgbClr w14:val="000000">
                      <w14:alpha w14:val="100000"/>
                    </w14:srgbClr>
                  </w14:solidFill>
                </w14:textFill>
              </w:rPr>
              <w:t xml:space="preserve">　</w:t>
            </w:r>
            <w:r w:rsidRPr="00DC6720">
              <w:rPr>
                <w:color w:val="000000"/>
                <w:w w:val="15"/>
                <w:shd w:val="solid" w:color="000000" w:fill="000000"/>
                <w:fitText w:val="37" w:id="-1136954873"/>
                <w14:textFill>
                  <w14:solidFill>
                    <w14:srgbClr w14:val="000000">
                      <w14:alpha w14:val="100000"/>
                    </w14:srgbClr>
                  </w14:solidFill>
                </w14:textFill>
              </w:rPr>
              <w:t>|</w:t>
            </w:r>
            <w:r w:rsidRPr="00DC6720">
              <w:rPr>
                <w:rFonts w:hint="eastAsia"/>
                <w:color w:val="000000"/>
                <w:spacing w:val="-45"/>
                <w:w w:val="15"/>
                <w:shd w:val="solid" w:color="000000" w:fill="000000"/>
                <w:fitText w:val="37" w:id="-1136954873"/>
                <w14:textFill>
                  <w14:solidFill>
                    <w14:srgbClr w14:val="000000">
                      <w14:alpha w14:val="100000"/>
                    </w14:srgbClr>
                  </w14:solidFill>
                </w14:textFill>
              </w:rPr>
              <w:t xml:space="preserve">　</w:t>
            </w:r>
            <w:r w:rsidR="004C425D">
              <w:rPr>
                <w:vertAlign w:val="superscript"/>
              </w:rPr>
              <w:t>2</w:t>
            </w:r>
          </w:p>
        </w:tc>
      </w:tr>
      <w:tr w:rsidR="00B059F3" w:rsidRPr="00B515FF" w14:paraId="25ED9844" w14:textId="77777777" w:rsidTr="00BE57BE">
        <w:tc>
          <w:tcPr>
            <w:tcW w:w="5000" w:type="pct"/>
            <w:gridSpan w:val="7"/>
            <w:shd w:val="clear" w:color="auto" w:fill="auto"/>
            <w:vAlign w:val="center"/>
          </w:tcPr>
          <w:p w14:paraId="52BC8956" w14:textId="77777777" w:rsidR="00B059F3" w:rsidRPr="00CF1ADD" w:rsidRDefault="00B059F3" w:rsidP="00BE57BE">
            <w:pPr>
              <w:pStyle w:val="In-tableHeading"/>
              <w:rPr>
                <w:lang w:val="en-AU"/>
              </w:rPr>
            </w:pPr>
            <w:r w:rsidRPr="00CF1ADD">
              <w:rPr>
                <w:lang w:val="en-AU"/>
              </w:rPr>
              <w:t>Estimated financial implications of tebentafusp</w:t>
            </w:r>
          </w:p>
        </w:tc>
      </w:tr>
      <w:tr w:rsidR="00B059F3" w:rsidRPr="00B515FF" w14:paraId="284F368D" w14:textId="77777777" w:rsidTr="00BE57BE">
        <w:tc>
          <w:tcPr>
            <w:tcW w:w="1334" w:type="pct"/>
            <w:shd w:val="clear" w:color="auto" w:fill="auto"/>
            <w:vAlign w:val="center"/>
          </w:tcPr>
          <w:p w14:paraId="26F72206" w14:textId="0434D86F" w:rsidR="00B059F3" w:rsidRPr="00B515FF" w:rsidRDefault="00B059F3" w:rsidP="00BE57BE">
            <w:pPr>
              <w:pStyle w:val="TableText0"/>
              <w:rPr>
                <w:sz w:val="19"/>
                <w:szCs w:val="19"/>
              </w:rPr>
            </w:pPr>
            <w:r w:rsidRPr="00B515FF">
              <w:rPr>
                <w:sz w:val="19"/>
                <w:szCs w:val="19"/>
              </w:rPr>
              <w:t>Cost to PBS/RPBS less co-payments</w:t>
            </w:r>
            <w:r w:rsidR="00AF0544">
              <w:rPr>
                <w:sz w:val="19"/>
                <w:szCs w:val="19"/>
              </w:rPr>
              <w:t xml:space="preserve"> ($)</w:t>
            </w:r>
          </w:p>
        </w:tc>
        <w:tc>
          <w:tcPr>
            <w:tcW w:w="611" w:type="pct"/>
            <w:shd w:val="clear" w:color="auto" w:fill="auto"/>
            <w:vAlign w:val="center"/>
          </w:tcPr>
          <w:p w14:paraId="71E1184B" w14:textId="721820A2"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7" w:id="-1136954872"/>
                <w14:textFill>
                  <w14:solidFill>
                    <w14:srgbClr w14:val="000000">
                      <w14:alpha w14:val="100000"/>
                    </w14:srgbClr>
                  </w14:solidFill>
                </w14:textFill>
              </w:rPr>
              <w:t xml:space="preserve">　</w:t>
            </w:r>
            <w:r w:rsidRPr="00DC6720">
              <w:rPr>
                <w:color w:val="000000"/>
                <w:w w:val="15"/>
                <w:shd w:val="solid" w:color="000000" w:fill="000000"/>
                <w:fitText w:val="37" w:id="-1136954872"/>
                <w14:textFill>
                  <w14:solidFill>
                    <w14:srgbClr w14:val="000000">
                      <w14:alpha w14:val="100000"/>
                    </w14:srgbClr>
                  </w14:solidFill>
                </w14:textFill>
              </w:rPr>
              <w:t>|</w:t>
            </w:r>
            <w:r w:rsidRPr="00DC6720">
              <w:rPr>
                <w:rFonts w:hint="eastAsia"/>
                <w:color w:val="000000"/>
                <w:spacing w:val="-45"/>
                <w:w w:val="15"/>
                <w:shd w:val="solid" w:color="000000" w:fill="000000"/>
                <w:fitText w:val="37" w:id="-1136954872"/>
                <w14:textFill>
                  <w14:solidFill>
                    <w14:srgbClr w14:val="000000">
                      <w14:alpha w14:val="100000"/>
                    </w14:srgbClr>
                  </w14:solidFill>
                </w14:textFill>
              </w:rPr>
              <w:t xml:space="preserve">　</w:t>
            </w:r>
            <w:r w:rsidR="004C425D">
              <w:rPr>
                <w:vertAlign w:val="superscript"/>
              </w:rPr>
              <w:t>3</w:t>
            </w:r>
          </w:p>
        </w:tc>
        <w:tc>
          <w:tcPr>
            <w:tcW w:w="611" w:type="pct"/>
            <w:shd w:val="clear" w:color="auto" w:fill="auto"/>
            <w:vAlign w:val="center"/>
          </w:tcPr>
          <w:p w14:paraId="636DE676" w14:textId="3379A1E9"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8" w:id="-1136954871"/>
                <w14:textFill>
                  <w14:solidFill>
                    <w14:srgbClr w14:val="000000">
                      <w14:alpha w14:val="100000"/>
                    </w14:srgbClr>
                  </w14:solidFill>
                </w14:textFill>
              </w:rPr>
              <w:t xml:space="preserve">　</w:t>
            </w:r>
            <w:r w:rsidRPr="00DC6720">
              <w:rPr>
                <w:color w:val="000000"/>
                <w:w w:val="15"/>
                <w:shd w:val="solid" w:color="000000" w:fill="000000"/>
                <w:fitText w:val="38" w:id="-1136954871"/>
                <w14:textFill>
                  <w14:solidFill>
                    <w14:srgbClr w14:val="000000">
                      <w14:alpha w14:val="100000"/>
                    </w14:srgbClr>
                  </w14:solidFill>
                </w14:textFill>
              </w:rPr>
              <w:t>|</w:t>
            </w:r>
            <w:r w:rsidRPr="00DC6720">
              <w:rPr>
                <w:rFonts w:hint="eastAsia"/>
                <w:color w:val="000000"/>
                <w:spacing w:val="-45"/>
                <w:w w:val="15"/>
                <w:shd w:val="solid" w:color="000000" w:fill="000000"/>
                <w:fitText w:val="38" w:id="-1136954871"/>
                <w14:textFill>
                  <w14:solidFill>
                    <w14:srgbClr w14:val="000000">
                      <w14:alpha w14:val="100000"/>
                    </w14:srgbClr>
                  </w14:solidFill>
                </w14:textFill>
              </w:rPr>
              <w:t xml:space="preserve">　</w:t>
            </w:r>
            <w:r w:rsidR="004C425D">
              <w:rPr>
                <w:vertAlign w:val="superscript"/>
              </w:rPr>
              <w:t>3</w:t>
            </w:r>
          </w:p>
        </w:tc>
        <w:tc>
          <w:tcPr>
            <w:tcW w:w="611" w:type="pct"/>
            <w:shd w:val="clear" w:color="auto" w:fill="auto"/>
            <w:vAlign w:val="center"/>
          </w:tcPr>
          <w:p w14:paraId="0A2F2865" w14:textId="35662F59"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7" w:id="-1136954870"/>
                <w14:textFill>
                  <w14:solidFill>
                    <w14:srgbClr w14:val="000000">
                      <w14:alpha w14:val="100000"/>
                    </w14:srgbClr>
                  </w14:solidFill>
                </w14:textFill>
              </w:rPr>
              <w:t xml:space="preserve">　</w:t>
            </w:r>
            <w:r w:rsidRPr="00DC6720">
              <w:rPr>
                <w:color w:val="000000"/>
                <w:w w:val="15"/>
                <w:shd w:val="solid" w:color="000000" w:fill="000000"/>
                <w:fitText w:val="37" w:id="-1136954870"/>
                <w14:textFill>
                  <w14:solidFill>
                    <w14:srgbClr w14:val="000000">
                      <w14:alpha w14:val="100000"/>
                    </w14:srgbClr>
                  </w14:solidFill>
                </w14:textFill>
              </w:rPr>
              <w:t>|</w:t>
            </w:r>
            <w:r w:rsidRPr="00DC6720">
              <w:rPr>
                <w:rFonts w:hint="eastAsia"/>
                <w:color w:val="000000"/>
                <w:spacing w:val="-45"/>
                <w:w w:val="15"/>
                <w:shd w:val="solid" w:color="000000" w:fill="000000"/>
                <w:fitText w:val="37" w:id="-1136954870"/>
                <w14:textFill>
                  <w14:solidFill>
                    <w14:srgbClr w14:val="000000">
                      <w14:alpha w14:val="100000"/>
                    </w14:srgbClr>
                  </w14:solidFill>
                </w14:textFill>
              </w:rPr>
              <w:t xml:space="preserve">　</w:t>
            </w:r>
            <w:r w:rsidR="004C425D">
              <w:rPr>
                <w:vertAlign w:val="superscript"/>
              </w:rPr>
              <w:t>3</w:t>
            </w:r>
          </w:p>
        </w:tc>
        <w:tc>
          <w:tcPr>
            <w:tcW w:w="611" w:type="pct"/>
            <w:shd w:val="clear" w:color="auto" w:fill="auto"/>
            <w:vAlign w:val="center"/>
          </w:tcPr>
          <w:p w14:paraId="4E2D50E8" w14:textId="2D0E6418"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7" w:id="-1136954869"/>
                <w14:textFill>
                  <w14:solidFill>
                    <w14:srgbClr w14:val="000000">
                      <w14:alpha w14:val="100000"/>
                    </w14:srgbClr>
                  </w14:solidFill>
                </w14:textFill>
              </w:rPr>
              <w:t xml:space="preserve">　</w:t>
            </w:r>
            <w:r w:rsidRPr="00DC6720">
              <w:rPr>
                <w:color w:val="000000"/>
                <w:w w:val="15"/>
                <w:shd w:val="solid" w:color="000000" w:fill="000000"/>
                <w:fitText w:val="37" w:id="-1136954869"/>
                <w14:textFill>
                  <w14:solidFill>
                    <w14:srgbClr w14:val="000000">
                      <w14:alpha w14:val="100000"/>
                    </w14:srgbClr>
                  </w14:solidFill>
                </w14:textFill>
              </w:rPr>
              <w:t>|</w:t>
            </w:r>
            <w:r w:rsidRPr="00DC6720">
              <w:rPr>
                <w:rFonts w:hint="eastAsia"/>
                <w:color w:val="000000"/>
                <w:spacing w:val="-45"/>
                <w:w w:val="15"/>
                <w:shd w:val="solid" w:color="000000" w:fill="000000"/>
                <w:fitText w:val="37" w:id="-1136954869"/>
                <w14:textFill>
                  <w14:solidFill>
                    <w14:srgbClr w14:val="000000">
                      <w14:alpha w14:val="100000"/>
                    </w14:srgbClr>
                  </w14:solidFill>
                </w14:textFill>
              </w:rPr>
              <w:t xml:space="preserve">　</w:t>
            </w:r>
            <w:r w:rsidR="004C425D">
              <w:rPr>
                <w:vertAlign w:val="superscript"/>
              </w:rPr>
              <w:t>3</w:t>
            </w:r>
          </w:p>
        </w:tc>
        <w:tc>
          <w:tcPr>
            <w:tcW w:w="611" w:type="pct"/>
            <w:shd w:val="clear" w:color="auto" w:fill="auto"/>
            <w:vAlign w:val="center"/>
          </w:tcPr>
          <w:p w14:paraId="3B85A02F" w14:textId="24141281"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8" w:id="-1136954868"/>
                <w14:textFill>
                  <w14:solidFill>
                    <w14:srgbClr w14:val="000000">
                      <w14:alpha w14:val="100000"/>
                    </w14:srgbClr>
                  </w14:solidFill>
                </w14:textFill>
              </w:rPr>
              <w:t xml:space="preserve">　</w:t>
            </w:r>
            <w:r w:rsidRPr="00DC6720">
              <w:rPr>
                <w:color w:val="000000"/>
                <w:w w:val="15"/>
                <w:shd w:val="solid" w:color="000000" w:fill="000000"/>
                <w:fitText w:val="38" w:id="-1136954868"/>
                <w14:textFill>
                  <w14:solidFill>
                    <w14:srgbClr w14:val="000000">
                      <w14:alpha w14:val="100000"/>
                    </w14:srgbClr>
                  </w14:solidFill>
                </w14:textFill>
              </w:rPr>
              <w:t>|</w:t>
            </w:r>
            <w:r w:rsidRPr="00DC6720">
              <w:rPr>
                <w:rFonts w:hint="eastAsia"/>
                <w:color w:val="000000"/>
                <w:spacing w:val="-45"/>
                <w:w w:val="15"/>
                <w:shd w:val="solid" w:color="000000" w:fill="000000"/>
                <w:fitText w:val="38" w:id="-1136954868"/>
                <w14:textFill>
                  <w14:solidFill>
                    <w14:srgbClr w14:val="000000">
                      <w14:alpha w14:val="100000"/>
                    </w14:srgbClr>
                  </w14:solidFill>
                </w14:textFill>
              </w:rPr>
              <w:t xml:space="preserve">　</w:t>
            </w:r>
            <w:r w:rsidR="004C425D">
              <w:rPr>
                <w:vertAlign w:val="superscript"/>
              </w:rPr>
              <w:t>3</w:t>
            </w:r>
          </w:p>
        </w:tc>
        <w:tc>
          <w:tcPr>
            <w:tcW w:w="611" w:type="pct"/>
            <w:vAlign w:val="center"/>
          </w:tcPr>
          <w:p w14:paraId="105F04FE" w14:textId="7A6FB0A5"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7" w:id="-1136954867"/>
                <w14:textFill>
                  <w14:solidFill>
                    <w14:srgbClr w14:val="000000">
                      <w14:alpha w14:val="100000"/>
                    </w14:srgbClr>
                  </w14:solidFill>
                </w14:textFill>
              </w:rPr>
              <w:t xml:space="preserve">　</w:t>
            </w:r>
            <w:r w:rsidRPr="00DC6720">
              <w:rPr>
                <w:color w:val="000000"/>
                <w:w w:val="15"/>
                <w:shd w:val="solid" w:color="000000" w:fill="000000"/>
                <w:fitText w:val="37" w:id="-1136954867"/>
                <w14:textFill>
                  <w14:solidFill>
                    <w14:srgbClr w14:val="000000">
                      <w14:alpha w14:val="100000"/>
                    </w14:srgbClr>
                  </w14:solidFill>
                </w14:textFill>
              </w:rPr>
              <w:t>|</w:t>
            </w:r>
            <w:r w:rsidRPr="00DC6720">
              <w:rPr>
                <w:rFonts w:hint="eastAsia"/>
                <w:color w:val="000000"/>
                <w:spacing w:val="-45"/>
                <w:w w:val="15"/>
                <w:shd w:val="solid" w:color="000000" w:fill="000000"/>
                <w:fitText w:val="37" w:id="-1136954867"/>
                <w14:textFill>
                  <w14:solidFill>
                    <w14:srgbClr w14:val="000000">
                      <w14:alpha w14:val="100000"/>
                    </w14:srgbClr>
                  </w14:solidFill>
                </w14:textFill>
              </w:rPr>
              <w:t xml:space="preserve">　</w:t>
            </w:r>
            <w:r w:rsidR="004C425D">
              <w:rPr>
                <w:vertAlign w:val="superscript"/>
              </w:rPr>
              <w:t>3</w:t>
            </w:r>
          </w:p>
        </w:tc>
      </w:tr>
      <w:tr w:rsidR="00B059F3" w:rsidRPr="00B515FF" w14:paraId="6C09745F" w14:textId="77777777" w:rsidTr="00BE57BE">
        <w:tc>
          <w:tcPr>
            <w:tcW w:w="5000" w:type="pct"/>
            <w:gridSpan w:val="7"/>
            <w:shd w:val="clear" w:color="auto" w:fill="auto"/>
            <w:vAlign w:val="center"/>
          </w:tcPr>
          <w:p w14:paraId="01EC947F" w14:textId="77777777" w:rsidR="00B059F3" w:rsidRPr="00B515FF" w:rsidRDefault="00B059F3" w:rsidP="00BE57BE">
            <w:pPr>
              <w:pStyle w:val="TableText0"/>
              <w:rPr>
                <w:b/>
                <w:bCs w:val="0"/>
              </w:rPr>
            </w:pPr>
            <w:r w:rsidRPr="00B515FF">
              <w:rPr>
                <w:b/>
                <w:bCs w:val="0"/>
              </w:rPr>
              <w:t>Estimated financial implications for pembrolizumab</w:t>
            </w:r>
          </w:p>
        </w:tc>
      </w:tr>
      <w:tr w:rsidR="00B059F3" w:rsidRPr="00B515FF" w14:paraId="0460CDA9" w14:textId="77777777" w:rsidTr="00BE57BE">
        <w:tc>
          <w:tcPr>
            <w:tcW w:w="1334" w:type="pct"/>
            <w:shd w:val="clear" w:color="auto" w:fill="auto"/>
            <w:vAlign w:val="center"/>
          </w:tcPr>
          <w:p w14:paraId="41C24F1C" w14:textId="6A88A6C2" w:rsidR="00B059F3" w:rsidRPr="00B515FF" w:rsidRDefault="00B059F3" w:rsidP="00BE57BE">
            <w:pPr>
              <w:pStyle w:val="TableText0"/>
              <w:rPr>
                <w:sz w:val="19"/>
                <w:szCs w:val="19"/>
              </w:rPr>
            </w:pPr>
            <w:r w:rsidRPr="00B515FF">
              <w:rPr>
                <w:sz w:val="19"/>
                <w:szCs w:val="19"/>
              </w:rPr>
              <w:t>Cost to PBS/RPBS less co-payments</w:t>
            </w:r>
            <w:r w:rsidR="00AF0544">
              <w:rPr>
                <w:sz w:val="19"/>
                <w:szCs w:val="19"/>
              </w:rPr>
              <w:t xml:space="preserve"> ($)</w:t>
            </w:r>
          </w:p>
        </w:tc>
        <w:tc>
          <w:tcPr>
            <w:tcW w:w="611" w:type="pct"/>
            <w:shd w:val="clear" w:color="auto" w:fill="auto"/>
            <w:vAlign w:val="center"/>
          </w:tcPr>
          <w:p w14:paraId="5661B39F" w14:textId="1ADA56E4" w:rsidR="00B059F3" w:rsidRPr="00471EB7" w:rsidRDefault="003D4DE8" w:rsidP="00BE57BE">
            <w:pPr>
              <w:pStyle w:val="TableText0"/>
              <w:jc w:val="center"/>
              <w:rPr>
                <w:highlight w:val="darkGray"/>
              </w:rPr>
            </w:pPr>
            <w:r w:rsidRPr="00DC6720">
              <w:rPr>
                <w:rFonts w:hint="eastAsia"/>
                <w:color w:val="000000"/>
                <w:w w:val="15"/>
                <w:shd w:val="solid" w:color="000000" w:fill="000000"/>
                <w:fitText w:val="37" w:id="-1136954866"/>
                <w14:textFill>
                  <w14:solidFill>
                    <w14:srgbClr w14:val="000000">
                      <w14:alpha w14:val="100000"/>
                    </w14:srgbClr>
                  </w14:solidFill>
                </w14:textFill>
              </w:rPr>
              <w:t xml:space="preserve">　</w:t>
            </w:r>
            <w:r w:rsidRPr="00DC6720">
              <w:rPr>
                <w:color w:val="000000"/>
                <w:w w:val="15"/>
                <w:shd w:val="solid" w:color="000000" w:fill="000000"/>
                <w:fitText w:val="37" w:id="-1136954866"/>
                <w14:textFill>
                  <w14:solidFill>
                    <w14:srgbClr w14:val="000000">
                      <w14:alpha w14:val="100000"/>
                    </w14:srgbClr>
                  </w14:solidFill>
                </w14:textFill>
              </w:rPr>
              <w:t>|</w:t>
            </w:r>
            <w:r w:rsidRPr="00DC6720">
              <w:rPr>
                <w:rFonts w:hint="eastAsia"/>
                <w:color w:val="000000"/>
                <w:spacing w:val="-45"/>
                <w:w w:val="15"/>
                <w:shd w:val="solid" w:color="000000" w:fill="000000"/>
                <w:fitText w:val="37" w:id="-1136954866"/>
                <w14:textFill>
                  <w14:solidFill>
                    <w14:srgbClr w14:val="000000">
                      <w14:alpha w14:val="100000"/>
                    </w14:srgbClr>
                  </w14:solidFill>
                </w14:textFill>
              </w:rPr>
              <w:t xml:space="preserve">　</w:t>
            </w:r>
            <w:r w:rsidR="00471EB7">
              <w:rPr>
                <w:vertAlign w:val="superscript"/>
              </w:rPr>
              <w:t>3</w:t>
            </w:r>
          </w:p>
        </w:tc>
        <w:tc>
          <w:tcPr>
            <w:tcW w:w="611" w:type="pct"/>
            <w:shd w:val="clear" w:color="auto" w:fill="auto"/>
            <w:vAlign w:val="center"/>
          </w:tcPr>
          <w:p w14:paraId="7D34BB6A" w14:textId="3ADF9EE2" w:rsidR="00B059F3" w:rsidRPr="00471EB7" w:rsidRDefault="003D4DE8" w:rsidP="00BE57BE">
            <w:pPr>
              <w:pStyle w:val="TableText0"/>
              <w:jc w:val="center"/>
              <w:rPr>
                <w:highlight w:val="darkGray"/>
              </w:rPr>
            </w:pPr>
            <w:r w:rsidRPr="00DC6720">
              <w:rPr>
                <w:rFonts w:hint="eastAsia"/>
                <w:color w:val="000000"/>
                <w:w w:val="15"/>
                <w:shd w:val="solid" w:color="000000" w:fill="000000"/>
                <w:fitText w:val="38" w:id="-1136954865"/>
                <w14:textFill>
                  <w14:solidFill>
                    <w14:srgbClr w14:val="000000">
                      <w14:alpha w14:val="100000"/>
                    </w14:srgbClr>
                  </w14:solidFill>
                </w14:textFill>
              </w:rPr>
              <w:t xml:space="preserve">　</w:t>
            </w:r>
            <w:r w:rsidRPr="00DC6720">
              <w:rPr>
                <w:color w:val="000000"/>
                <w:w w:val="15"/>
                <w:shd w:val="solid" w:color="000000" w:fill="000000"/>
                <w:fitText w:val="38" w:id="-1136954865"/>
                <w14:textFill>
                  <w14:solidFill>
                    <w14:srgbClr w14:val="000000">
                      <w14:alpha w14:val="100000"/>
                    </w14:srgbClr>
                  </w14:solidFill>
                </w14:textFill>
              </w:rPr>
              <w:t>|</w:t>
            </w:r>
            <w:r w:rsidRPr="00DC6720">
              <w:rPr>
                <w:rFonts w:hint="eastAsia"/>
                <w:color w:val="000000"/>
                <w:spacing w:val="-45"/>
                <w:w w:val="15"/>
                <w:shd w:val="solid" w:color="000000" w:fill="000000"/>
                <w:fitText w:val="38" w:id="-1136954865"/>
                <w14:textFill>
                  <w14:solidFill>
                    <w14:srgbClr w14:val="000000">
                      <w14:alpha w14:val="100000"/>
                    </w14:srgbClr>
                  </w14:solidFill>
                </w14:textFill>
              </w:rPr>
              <w:t xml:space="preserve">　</w:t>
            </w:r>
            <w:r w:rsidR="00471EB7">
              <w:rPr>
                <w:vertAlign w:val="superscript"/>
              </w:rPr>
              <w:t>3</w:t>
            </w:r>
          </w:p>
        </w:tc>
        <w:tc>
          <w:tcPr>
            <w:tcW w:w="611" w:type="pct"/>
            <w:shd w:val="clear" w:color="auto" w:fill="auto"/>
            <w:vAlign w:val="center"/>
          </w:tcPr>
          <w:p w14:paraId="6B06DDD9" w14:textId="1C29A305" w:rsidR="00B059F3" w:rsidRPr="00471EB7" w:rsidRDefault="003D4DE8" w:rsidP="00BE57BE">
            <w:pPr>
              <w:pStyle w:val="TableText0"/>
              <w:jc w:val="center"/>
              <w:rPr>
                <w:highlight w:val="darkGray"/>
              </w:rPr>
            </w:pPr>
            <w:r w:rsidRPr="00DC6720">
              <w:rPr>
                <w:rFonts w:hint="eastAsia"/>
                <w:color w:val="000000"/>
                <w:w w:val="15"/>
                <w:shd w:val="solid" w:color="000000" w:fill="000000"/>
                <w:fitText w:val="37" w:id="-1136954864"/>
                <w14:textFill>
                  <w14:solidFill>
                    <w14:srgbClr w14:val="000000">
                      <w14:alpha w14:val="100000"/>
                    </w14:srgbClr>
                  </w14:solidFill>
                </w14:textFill>
              </w:rPr>
              <w:t xml:space="preserve">　</w:t>
            </w:r>
            <w:r w:rsidRPr="00DC6720">
              <w:rPr>
                <w:color w:val="000000"/>
                <w:w w:val="15"/>
                <w:shd w:val="solid" w:color="000000" w:fill="000000"/>
                <w:fitText w:val="37" w:id="-1136954864"/>
                <w14:textFill>
                  <w14:solidFill>
                    <w14:srgbClr w14:val="000000">
                      <w14:alpha w14:val="100000"/>
                    </w14:srgbClr>
                  </w14:solidFill>
                </w14:textFill>
              </w:rPr>
              <w:t>|</w:t>
            </w:r>
            <w:r w:rsidRPr="00DC6720">
              <w:rPr>
                <w:rFonts w:hint="eastAsia"/>
                <w:color w:val="000000"/>
                <w:spacing w:val="-45"/>
                <w:w w:val="15"/>
                <w:shd w:val="solid" w:color="000000" w:fill="000000"/>
                <w:fitText w:val="37" w:id="-1136954864"/>
                <w14:textFill>
                  <w14:solidFill>
                    <w14:srgbClr w14:val="000000">
                      <w14:alpha w14:val="100000"/>
                    </w14:srgbClr>
                  </w14:solidFill>
                </w14:textFill>
              </w:rPr>
              <w:t xml:space="preserve">　</w:t>
            </w:r>
            <w:r w:rsidR="00471EB7">
              <w:rPr>
                <w:vertAlign w:val="superscript"/>
              </w:rPr>
              <w:t>3</w:t>
            </w:r>
          </w:p>
        </w:tc>
        <w:tc>
          <w:tcPr>
            <w:tcW w:w="611" w:type="pct"/>
            <w:shd w:val="clear" w:color="auto" w:fill="auto"/>
            <w:vAlign w:val="center"/>
          </w:tcPr>
          <w:p w14:paraId="0179AFEB" w14:textId="62348A8F" w:rsidR="00B059F3" w:rsidRPr="00471EB7" w:rsidRDefault="003D4DE8" w:rsidP="00BE57BE">
            <w:pPr>
              <w:pStyle w:val="TableText0"/>
              <w:jc w:val="center"/>
              <w:rPr>
                <w:highlight w:val="darkGray"/>
              </w:rPr>
            </w:pPr>
            <w:r w:rsidRPr="00DC6720">
              <w:rPr>
                <w:rFonts w:hint="eastAsia"/>
                <w:color w:val="000000"/>
                <w:w w:val="15"/>
                <w:shd w:val="solid" w:color="000000" w:fill="000000"/>
                <w:fitText w:val="37" w:id="-1136954880"/>
                <w14:textFill>
                  <w14:solidFill>
                    <w14:srgbClr w14:val="000000">
                      <w14:alpha w14:val="100000"/>
                    </w14:srgbClr>
                  </w14:solidFill>
                </w14:textFill>
              </w:rPr>
              <w:t xml:space="preserve">　</w:t>
            </w:r>
            <w:r w:rsidRPr="00DC6720">
              <w:rPr>
                <w:color w:val="000000"/>
                <w:w w:val="15"/>
                <w:shd w:val="solid" w:color="000000" w:fill="000000"/>
                <w:fitText w:val="37" w:id="-1136954880"/>
                <w14:textFill>
                  <w14:solidFill>
                    <w14:srgbClr w14:val="000000">
                      <w14:alpha w14:val="100000"/>
                    </w14:srgbClr>
                  </w14:solidFill>
                </w14:textFill>
              </w:rPr>
              <w:t>|</w:t>
            </w:r>
            <w:r w:rsidRPr="00DC6720">
              <w:rPr>
                <w:rFonts w:hint="eastAsia"/>
                <w:color w:val="000000"/>
                <w:spacing w:val="-45"/>
                <w:w w:val="15"/>
                <w:shd w:val="solid" w:color="000000" w:fill="000000"/>
                <w:fitText w:val="37" w:id="-1136954880"/>
                <w14:textFill>
                  <w14:solidFill>
                    <w14:srgbClr w14:val="000000">
                      <w14:alpha w14:val="100000"/>
                    </w14:srgbClr>
                  </w14:solidFill>
                </w14:textFill>
              </w:rPr>
              <w:t xml:space="preserve">　</w:t>
            </w:r>
            <w:r w:rsidR="00471EB7">
              <w:rPr>
                <w:vertAlign w:val="superscript"/>
              </w:rPr>
              <w:t>3</w:t>
            </w:r>
          </w:p>
        </w:tc>
        <w:tc>
          <w:tcPr>
            <w:tcW w:w="611" w:type="pct"/>
            <w:shd w:val="clear" w:color="auto" w:fill="auto"/>
            <w:vAlign w:val="center"/>
          </w:tcPr>
          <w:p w14:paraId="345E7502" w14:textId="21A060F9" w:rsidR="00B059F3" w:rsidRPr="00471EB7" w:rsidRDefault="003D4DE8" w:rsidP="00BE57BE">
            <w:pPr>
              <w:pStyle w:val="TableText0"/>
              <w:jc w:val="center"/>
              <w:rPr>
                <w:highlight w:val="darkGray"/>
              </w:rPr>
            </w:pPr>
            <w:r w:rsidRPr="00DC6720">
              <w:rPr>
                <w:rFonts w:hint="eastAsia"/>
                <w:color w:val="000000"/>
                <w:w w:val="15"/>
                <w:shd w:val="solid" w:color="000000" w:fill="000000"/>
                <w:fitText w:val="38" w:id="-1136954879"/>
                <w14:textFill>
                  <w14:solidFill>
                    <w14:srgbClr w14:val="000000">
                      <w14:alpha w14:val="100000"/>
                    </w14:srgbClr>
                  </w14:solidFill>
                </w14:textFill>
              </w:rPr>
              <w:t xml:space="preserve">　</w:t>
            </w:r>
            <w:r w:rsidRPr="00DC6720">
              <w:rPr>
                <w:color w:val="000000"/>
                <w:w w:val="15"/>
                <w:shd w:val="solid" w:color="000000" w:fill="000000"/>
                <w:fitText w:val="38" w:id="-1136954879"/>
                <w14:textFill>
                  <w14:solidFill>
                    <w14:srgbClr w14:val="000000">
                      <w14:alpha w14:val="100000"/>
                    </w14:srgbClr>
                  </w14:solidFill>
                </w14:textFill>
              </w:rPr>
              <w:t>|</w:t>
            </w:r>
            <w:r w:rsidRPr="00DC6720">
              <w:rPr>
                <w:rFonts w:hint="eastAsia"/>
                <w:color w:val="000000"/>
                <w:spacing w:val="-45"/>
                <w:w w:val="15"/>
                <w:shd w:val="solid" w:color="000000" w:fill="000000"/>
                <w:fitText w:val="38" w:id="-1136954879"/>
                <w14:textFill>
                  <w14:solidFill>
                    <w14:srgbClr w14:val="000000">
                      <w14:alpha w14:val="100000"/>
                    </w14:srgbClr>
                  </w14:solidFill>
                </w14:textFill>
              </w:rPr>
              <w:t xml:space="preserve">　</w:t>
            </w:r>
            <w:r w:rsidR="00471EB7">
              <w:rPr>
                <w:vertAlign w:val="superscript"/>
              </w:rPr>
              <w:t>3</w:t>
            </w:r>
          </w:p>
        </w:tc>
        <w:tc>
          <w:tcPr>
            <w:tcW w:w="611" w:type="pct"/>
            <w:vAlign w:val="center"/>
          </w:tcPr>
          <w:p w14:paraId="26BB8EC4" w14:textId="2EF6643D" w:rsidR="00B059F3" w:rsidRPr="00471EB7" w:rsidRDefault="003D4DE8" w:rsidP="00BE57BE">
            <w:pPr>
              <w:pStyle w:val="TableText0"/>
              <w:jc w:val="center"/>
              <w:rPr>
                <w:highlight w:val="darkGray"/>
              </w:rPr>
            </w:pPr>
            <w:r w:rsidRPr="00DC6720">
              <w:rPr>
                <w:rFonts w:hint="eastAsia"/>
                <w:color w:val="000000"/>
                <w:w w:val="15"/>
                <w:shd w:val="solid" w:color="000000" w:fill="000000"/>
                <w:fitText w:val="37" w:id="-1136954878"/>
                <w14:textFill>
                  <w14:solidFill>
                    <w14:srgbClr w14:val="000000">
                      <w14:alpha w14:val="100000"/>
                    </w14:srgbClr>
                  </w14:solidFill>
                </w14:textFill>
              </w:rPr>
              <w:t xml:space="preserve">　</w:t>
            </w:r>
            <w:r w:rsidRPr="00DC6720">
              <w:rPr>
                <w:color w:val="000000"/>
                <w:w w:val="15"/>
                <w:shd w:val="solid" w:color="000000" w:fill="000000"/>
                <w:fitText w:val="37" w:id="-1136954878"/>
                <w14:textFill>
                  <w14:solidFill>
                    <w14:srgbClr w14:val="000000">
                      <w14:alpha w14:val="100000"/>
                    </w14:srgbClr>
                  </w14:solidFill>
                </w14:textFill>
              </w:rPr>
              <w:t>|</w:t>
            </w:r>
            <w:r w:rsidRPr="00DC6720">
              <w:rPr>
                <w:rFonts w:hint="eastAsia"/>
                <w:color w:val="000000"/>
                <w:spacing w:val="-45"/>
                <w:w w:val="15"/>
                <w:shd w:val="solid" w:color="000000" w:fill="000000"/>
                <w:fitText w:val="37" w:id="-1136954878"/>
                <w14:textFill>
                  <w14:solidFill>
                    <w14:srgbClr w14:val="000000">
                      <w14:alpha w14:val="100000"/>
                    </w14:srgbClr>
                  </w14:solidFill>
                </w14:textFill>
              </w:rPr>
              <w:t xml:space="preserve">　</w:t>
            </w:r>
            <w:r w:rsidR="00471EB7">
              <w:rPr>
                <w:vertAlign w:val="superscript"/>
              </w:rPr>
              <w:t>3</w:t>
            </w:r>
          </w:p>
        </w:tc>
      </w:tr>
      <w:tr w:rsidR="00B059F3" w:rsidRPr="00B515FF" w14:paraId="76D09488" w14:textId="77777777" w:rsidTr="00BE57BE">
        <w:tc>
          <w:tcPr>
            <w:tcW w:w="5000" w:type="pct"/>
            <w:gridSpan w:val="7"/>
            <w:shd w:val="clear" w:color="auto" w:fill="auto"/>
            <w:vAlign w:val="center"/>
          </w:tcPr>
          <w:p w14:paraId="10BE7D10" w14:textId="77777777" w:rsidR="00B059F3" w:rsidRPr="00CF1ADD" w:rsidRDefault="00B059F3" w:rsidP="00BE57BE">
            <w:pPr>
              <w:pStyle w:val="In-tableHeading"/>
              <w:rPr>
                <w:lang w:val="en-AU"/>
              </w:rPr>
            </w:pPr>
            <w:r w:rsidRPr="00CF1ADD">
              <w:rPr>
                <w:lang w:val="en-AU"/>
              </w:rPr>
              <w:t>Net financial implications</w:t>
            </w:r>
          </w:p>
        </w:tc>
      </w:tr>
      <w:tr w:rsidR="00B059F3" w:rsidRPr="00B515FF" w14:paraId="40BEF8C2" w14:textId="77777777" w:rsidTr="00BE57BE">
        <w:tc>
          <w:tcPr>
            <w:tcW w:w="1334" w:type="pct"/>
            <w:shd w:val="clear" w:color="auto" w:fill="auto"/>
            <w:vAlign w:val="center"/>
          </w:tcPr>
          <w:p w14:paraId="3ADF1310" w14:textId="6B2D6651" w:rsidR="00B059F3" w:rsidRPr="00B515FF" w:rsidRDefault="00B059F3" w:rsidP="00BE57BE">
            <w:pPr>
              <w:pStyle w:val="TableText0"/>
              <w:rPr>
                <w:b/>
                <w:bCs w:val="0"/>
                <w:sz w:val="19"/>
                <w:szCs w:val="19"/>
              </w:rPr>
            </w:pPr>
            <w:r w:rsidRPr="00B515FF">
              <w:rPr>
                <w:b/>
                <w:bCs w:val="0"/>
                <w:sz w:val="19"/>
                <w:szCs w:val="19"/>
              </w:rPr>
              <w:t>Net cost to PBS/RPBS</w:t>
            </w:r>
            <w:r w:rsidR="00AF0544">
              <w:rPr>
                <w:b/>
                <w:bCs w:val="0"/>
                <w:sz w:val="19"/>
                <w:szCs w:val="19"/>
              </w:rPr>
              <w:t xml:space="preserve"> ($)</w:t>
            </w:r>
          </w:p>
        </w:tc>
        <w:tc>
          <w:tcPr>
            <w:tcW w:w="611" w:type="pct"/>
            <w:shd w:val="clear" w:color="auto" w:fill="auto"/>
            <w:vAlign w:val="center"/>
          </w:tcPr>
          <w:p w14:paraId="1AEB3364" w14:textId="130C2BB7"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4" w:id="-1136954877"/>
                <w14:textFill>
                  <w14:solidFill>
                    <w14:srgbClr w14:val="000000">
                      <w14:alpha w14:val="100000"/>
                    </w14:srgbClr>
                  </w14:solidFill>
                </w14:textFill>
              </w:rPr>
              <w:t xml:space="preserve">　</w:t>
            </w:r>
            <w:r w:rsidRPr="00DC6720">
              <w:rPr>
                <w:b/>
                <w:bCs w:val="0"/>
                <w:color w:val="000000"/>
                <w:w w:val="20"/>
                <w:shd w:val="solid" w:color="000000" w:fill="000000"/>
                <w:fitText w:val="94" w:id="-1136954877"/>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4" w:id="-1136954877"/>
                <w14:textFill>
                  <w14:solidFill>
                    <w14:srgbClr w14:val="000000">
                      <w14:alpha w14:val="100000"/>
                    </w14:srgbClr>
                  </w14:solidFill>
                </w14:textFill>
              </w:rPr>
              <w:t xml:space="preserve">　</w:t>
            </w:r>
            <w:r w:rsidR="004C425D">
              <w:rPr>
                <w:vertAlign w:val="superscript"/>
              </w:rPr>
              <w:t>3</w:t>
            </w:r>
          </w:p>
        </w:tc>
        <w:tc>
          <w:tcPr>
            <w:tcW w:w="611" w:type="pct"/>
            <w:shd w:val="clear" w:color="auto" w:fill="auto"/>
            <w:vAlign w:val="center"/>
          </w:tcPr>
          <w:p w14:paraId="4C1F505B" w14:textId="1F90BBBC"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3" w:id="-1136954876"/>
                <w14:textFill>
                  <w14:solidFill>
                    <w14:srgbClr w14:val="000000">
                      <w14:alpha w14:val="100000"/>
                    </w14:srgbClr>
                  </w14:solidFill>
                </w14:textFill>
              </w:rPr>
              <w:t xml:space="preserve">　</w:t>
            </w:r>
            <w:r w:rsidRPr="00DC6720">
              <w:rPr>
                <w:b/>
                <w:bCs w:val="0"/>
                <w:color w:val="000000"/>
                <w:w w:val="20"/>
                <w:shd w:val="solid" w:color="000000" w:fill="000000"/>
                <w:fitText w:val="93" w:id="-1136954876"/>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3" w:id="-1136954876"/>
                <w14:textFill>
                  <w14:solidFill>
                    <w14:srgbClr w14:val="000000">
                      <w14:alpha w14:val="100000"/>
                    </w14:srgbClr>
                  </w14:solidFill>
                </w14:textFill>
              </w:rPr>
              <w:t xml:space="preserve">　</w:t>
            </w:r>
            <w:r w:rsidR="004C425D">
              <w:rPr>
                <w:vertAlign w:val="superscript"/>
              </w:rPr>
              <w:t>3</w:t>
            </w:r>
          </w:p>
        </w:tc>
        <w:tc>
          <w:tcPr>
            <w:tcW w:w="611" w:type="pct"/>
            <w:shd w:val="clear" w:color="auto" w:fill="auto"/>
            <w:vAlign w:val="center"/>
          </w:tcPr>
          <w:p w14:paraId="685A8268" w14:textId="4F50781D"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3" w:id="-1136954875"/>
                <w14:textFill>
                  <w14:solidFill>
                    <w14:srgbClr w14:val="000000">
                      <w14:alpha w14:val="100000"/>
                    </w14:srgbClr>
                  </w14:solidFill>
                </w14:textFill>
              </w:rPr>
              <w:t xml:space="preserve">　</w:t>
            </w:r>
            <w:r w:rsidRPr="00DC6720">
              <w:rPr>
                <w:b/>
                <w:bCs w:val="0"/>
                <w:color w:val="000000"/>
                <w:w w:val="20"/>
                <w:shd w:val="solid" w:color="000000" w:fill="000000"/>
                <w:fitText w:val="93" w:id="-1136954875"/>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3" w:id="-1136954875"/>
                <w14:textFill>
                  <w14:solidFill>
                    <w14:srgbClr w14:val="000000">
                      <w14:alpha w14:val="100000"/>
                    </w14:srgbClr>
                  </w14:solidFill>
                </w14:textFill>
              </w:rPr>
              <w:t xml:space="preserve">　</w:t>
            </w:r>
            <w:r w:rsidR="004C425D">
              <w:rPr>
                <w:vertAlign w:val="superscript"/>
              </w:rPr>
              <w:t>3</w:t>
            </w:r>
          </w:p>
        </w:tc>
        <w:tc>
          <w:tcPr>
            <w:tcW w:w="611" w:type="pct"/>
            <w:shd w:val="clear" w:color="auto" w:fill="auto"/>
            <w:vAlign w:val="center"/>
          </w:tcPr>
          <w:p w14:paraId="7349B754" w14:textId="345DA6AC"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4" w:id="-1136954874"/>
                <w14:textFill>
                  <w14:solidFill>
                    <w14:srgbClr w14:val="000000">
                      <w14:alpha w14:val="100000"/>
                    </w14:srgbClr>
                  </w14:solidFill>
                </w14:textFill>
              </w:rPr>
              <w:t xml:space="preserve">　</w:t>
            </w:r>
            <w:r w:rsidRPr="00DC6720">
              <w:rPr>
                <w:b/>
                <w:bCs w:val="0"/>
                <w:color w:val="000000"/>
                <w:w w:val="20"/>
                <w:shd w:val="solid" w:color="000000" w:fill="000000"/>
                <w:fitText w:val="94" w:id="-1136954874"/>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4" w:id="-1136954874"/>
                <w14:textFill>
                  <w14:solidFill>
                    <w14:srgbClr w14:val="000000">
                      <w14:alpha w14:val="100000"/>
                    </w14:srgbClr>
                  </w14:solidFill>
                </w14:textFill>
              </w:rPr>
              <w:t xml:space="preserve">　</w:t>
            </w:r>
            <w:r w:rsidR="004C425D">
              <w:rPr>
                <w:vertAlign w:val="superscript"/>
              </w:rPr>
              <w:t>3</w:t>
            </w:r>
          </w:p>
        </w:tc>
        <w:tc>
          <w:tcPr>
            <w:tcW w:w="611" w:type="pct"/>
            <w:shd w:val="clear" w:color="auto" w:fill="auto"/>
            <w:vAlign w:val="center"/>
          </w:tcPr>
          <w:p w14:paraId="6E0B12C4" w14:textId="0C6DAF38"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3" w:id="-1136954873"/>
                <w14:textFill>
                  <w14:solidFill>
                    <w14:srgbClr w14:val="000000">
                      <w14:alpha w14:val="100000"/>
                    </w14:srgbClr>
                  </w14:solidFill>
                </w14:textFill>
              </w:rPr>
              <w:t xml:space="preserve">　</w:t>
            </w:r>
            <w:r w:rsidRPr="00DC6720">
              <w:rPr>
                <w:b/>
                <w:bCs w:val="0"/>
                <w:color w:val="000000"/>
                <w:w w:val="20"/>
                <w:shd w:val="solid" w:color="000000" w:fill="000000"/>
                <w:fitText w:val="93" w:id="-1136954873"/>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3" w:id="-1136954873"/>
                <w14:textFill>
                  <w14:solidFill>
                    <w14:srgbClr w14:val="000000">
                      <w14:alpha w14:val="100000"/>
                    </w14:srgbClr>
                  </w14:solidFill>
                </w14:textFill>
              </w:rPr>
              <w:t xml:space="preserve">　</w:t>
            </w:r>
            <w:r w:rsidR="004C425D">
              <w:rPr>
                <w:vertAlign w:val="superscript"/>
              </w:rPr>
              <w:t>3</w:t>
            </w:r>
          </w:p>
        </w:tc>
        <w:tc>
          <w:tcPr>
            <w:tcW w:w="611" w:type="pct"/>
            <w:vAlign w:val="center"/>
          </w:tcPr>
          <w:p w14:paraId="39DBCFC8" w14:textId="5A0B2F56"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4" w:id="-1136954872"/>
                <w14:textFill>
                  <w14:solidFill>
                    <w14:srgbClr w14:val="000000">
                      <w14:alpha w14:val="100000"/>
                    </w14:srgbClr>
                  </w14:solidFill>
                </w14:textFill>
              </w:rPr>
              <w:t xml:space="preserve">　</w:t>
            </w:r>
            <w:r w:rsidRPr="00DC6720">
              <w:rPr>
                <w:b/>
                <w:bCs w:val="0"/>
                <w:color w:val="000000"/>
                <w:w w:val="20"/>
                <w:shd w:val="solid" w:color="000000" w:fill="000000"/>
                <w:fitText w:val="94" w:id="-1136954872"/>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4" w:id="-1136954872"/>
                <w14:textFill>
                  <w14:solidFill>
                    <w14:srgbClr w14:val="000000">
                      <w14:alpha w14:val="100000"/>
                    </w14:srgbClr>
                  </w14:solidFill>
                </w14:textFill>
              </w:rPr>
              <w:t xml:space="preserve">　</w:t>
            </w:r>
            <w:r w:rsidR="00EE14CE">
              <w:rPr>
                <w:vertAlign w:val="superscript"/>
              </w:rPr>
              <w:t>3</w:t>
            </w:r>
          </w:p>
        </w:tc>
      </w:tr>
      <w:tr w:rsidR="00B059F3" w:rsidRPr="00AF3847" w14:paraId="37AD0A92" w14:textId="77777777" w:rsidTr="00BE57BE">
        <w:tc>
          <w:tcPr>
            <w:tcW w:w="1334" w:type="pct"/>
            <w:shd w:val="clear" w:color="auto" w:fill="auto"/>
            <w:vAlign w:val="center"/>
          </w:tcPr>
          <w:p w14:paraId="795A00CA" w14:textId="74F6351D" w:rsidR="00B059F3" w:rsidRPr="00B515FF" w:rsidRDefault="00B059F3" w:rsidP="00BE57BE">
            <w:pPr>
              <w:pStyle w:val="TableText0"/>
              <w:rPr>
                <w:rFonts w:ascii="Times" w:hAnsi="Times"/>
              </w:rPr>
            </w:pPr>
            <w:r w:rsidRPr="00B515FF">
              <w:rPr>
                <w:sz w:val="19"/>
                <w:szCs w:val="19"/>
              </w:rPr>
              <w:t>Increased cost to MBS</w:t>
            </w:r>
            <w:r w:rsidRPr="00B515FF">
              <w:rPr>
                <w:sz w:val="19"/>
                <w:szCs w:val="19"/>
                <w:vertAlign w:val="superscript"/>
              </w:rPr>
              <w:t>b</w:t>
            </w:r>
            <w:r w:rsidR="00AF0544">
              <w:rPr>
                <w:sz w:val="19"/>
                <w:szCs w:val="19"/>
                <w:vertAlign w:val="superscript"/>
              </w:rPr>
              <w:t xml:space="preserve"> </w:t>
            </w:r>
            <w:r w:rsidR="00AF0544" w:rsidRPr="00AF0544">
              <w:rPr>
                <w:sz w:val="19"/>
                <w:szCs w:val="19"/>
              </w:rPr>
              <w:t>($)</w:t>
            </w:r>
          </w:p>
        </w:tc>
        <w:tc>
          <w:tcPr>
            <w:tcW w:w="611" w:type="pct"/>
            <w:shd w:val="clear" w:color="auto" w:fill="auto"/>
          </w:tcPr>
          <w:p w14:paraId="0CDD4F2E" w14:textId="7E900C6D"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7" w:id="-1136954871"/>
                <w14:textFill>
                  <w14:solidFill>
                    <w14:srgbClr w14:val="000000">
                      <w14:alpha w14:val="100000"/>
                    </w14:srgbClr>
                  </w14:solidFill>
                </w14:textFill>
              </w:rPr>
              <w:t xml:space="preserve">　</w:t>
            </w:r>
            <w:r w:rsidRPr="00DC6720">
              <w:rPr>
                <w:color w:val="000000"/>
                <w:w w:val="15"/>
                <w:shd w:val="solid" w:color="000000" w:fill="000000"/>
                <w:fitText w:val="37" w:id="-1136954871"/>
                <w14:textFill>
                  <w14:solidFill>
                    <w14:srgbClr w14:val="000000">
                      <w14:alpha w14:val="100000"/>
                    </w14:srgbClr>
                  </w14:solidFill>
                </w14:textFill>
              </w:rPr>
              <w:t>|</w:t>
            </w:r>
            <w:r w:rsidRPr="00DC6720">
              <w:rPr>
                <w:rFonts w:hint="eastAsia"/>
                <w:color w:val="000000"/>
                <w:spacing w:val="-45"/>
                <w:w w:val="15"/>
                <w:shd w:val="solid" w:color="000000" w:fill="000000"/>
                <w:fitText w:val="37" w:id="-1136954871"/>
                <w14:textFill>
                  <w14:solidFill>
                    <w14:srgbClr w14:val="000000">
                      <w14:alpha w14:val="100000"/>
                    </w14:srgbClr>
                  </w14:solidFill>
                </w14:textFill>
              </w:rPr>
              <w:t xml:space="preserve">　</w:t>
            </w:r>
            <w:r w:rsidR="004C425D">
              <w:rPr>
                <w:vertAlign w:val="superscript"/>
              </w:rPr>
              <w:t>3</w:t>
            </w:r>
          </w:p>
        </w:tc>
        <w:tc>
          <w:tcPr>
            <w:tcW w:w="611" w:type="pct"/>
            <w:shd w:val="clear" w:color="auto" w:fill="auto"/>
          </w:tcPr>
          <w:p w14:paraId="21334CB0" w14:textId="0B453A80"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8" w:id="-1136954870"/>
                <w14:textFill>
                  <w14:solidFill>
                    <w14:srgbClr w14:val="000000">
                      <w14:alpha w14:val="100000"/>
                    </w14:srgbClr>
                  </w14:solidFill>
                </w14:textFill>
              </w:rPr>
              <w:t xml:space="preserve">　</w:t>
            </w:r>
            <w:r w:rsidRPr="00DC6720">
              <w:rPr>
                <w:color w:val="000000"/>
                <w:w w:val="15"/>
                <w:shd w:val="solid" w:color="000000" w:fill="000000"/>
                <w:fitText w:val="38" w:id="-1136954870"/>
                <w14:textFill>
                  <w14:solidFill>
                    <w14:srgbClr w14:val="000000">
                      <w14:alpha w14:val="100000"/>
                    </w14:srgbClr>
                  </w14:solidFill>
                </w14:textFill>
              </w:rPr>
              <w:t>|</w:t>
            </w:r>
            <w:r w:rsidRPr="00DC6720">
              <w:rPr>
                <w:rFonts w:hint="eastAsia"/>
                <w:color w:val="000000"/>
                <w:spacing w:val="-45"/>
                <w:w w:val="15"/>
                <w:shd w:val="solid" w:color="000000" w:fill="000000"/>
                <w:fitText w:val="38" w:id="-1136954870"/>
                <w14:textFill>
                  <w14:solidFill>
                    <w14:srgbClr w14:val="000000">
                      <w14:alpha w14:val="100000"/>
                    </w14:srgbClr>
                  </w14:solidFill>
                </w14:textFill>
              </w:rPr>
              <w:t xml:space="preserve">　</w:t>
            </w:r>
            <w:r w:rsidR="004C425D">
              <w:rPr>
                <w:vertAlign w:val="superscript"/>
              </w:rPr>
              <w:t>3</w:t>
            </w:r>
          </w:p>
        </w:tc>
        <w:tc>
          <w:tcPr>
            <w:tcW w:w="611" w:type="pct"/>
            <w:shd w:val="clear" w:color="auto" w:fill="auto"/>
          </w:tcPr>
          <w:p w14:paraId="4811BF86" w14:textId="560D6B9A"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7" w:id="-1136954869"/>
                <w14:textFill>
                  <w14:solidFill>
                    <w14:srgbClr w14:val="000000">
                      <w14:alpha w14:val="100000"/>
                    </w14:srgbClr>
                  </w14:solidFill>
                </w14:textFill>
              </w:rPr>
              <w:t xml:space="preserve">　</w:t>
            </w:r>
            <w:r w:rsidRPr="00DC6720">
              <w:rPr>
                <w:color w:val="000000"/>
                <w:w w:val="15"/>
                <w:shd w:val="solid" w:color="000000" w:fill="000000"/>
                <w:fitText w:val="37" w:id="-1136954869"/>
                <w14:textFill>
                  <w14:solidFill>
                    <w14:srgbClr w14:val="000000">
                      <w14:alpha w14:val="100000"/>
                    </w14:srgbClr>
                  </w14:solidFill>
                </w14:textFill>
              </w:rPr>
              <w:t>|</w:t>
            </w:r>
            <w:r w:rsidRPr="00DC6720">
              <w:rPr>
                <w:rFonts w:hint="eastAsia"/>
                <w:color w:val="000000"/>
                <w:spacing w:val="-45"/>
                <w:w w:val="15"/>
                <w:shd w:val="solid" w:color="000000" w:fill="000000"/>
                <w:fitText w:val="37" w:id="-1136954869"/>
                <w14:textFill>
                  <w14:solidFill>
                    <w14:srgbClr w14:val="000000">
                      <w14:alpha w14:val="100000"/>
                    </w14:srgbClr>
                  </w14:solidFill>
                </w14:textFill>
              </w:rPr>
              <w:t xml:space="preserve">　</w:t>
            </w:r>
            <w:r w:rsidR="004C425D">
              <w:rPr>
                <w:vertAlign w:val="superscript"/>
              </w:rPr>
              <w:t>3</w:t>
            </w:r>
          </w:p>
        </w:tc>
        <w:tc>
          <w:tcPr>
            <w:tcW w:w="611" w:type="pct"/>
            <w:shd w:val="clear" w:color="auto" w:fill="auto"/>
          </w:tcPr>
          <w:p w14:paraId="6BED4B5F" w14:textId="011B7990"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7" w:id="-1136954868"/>
                <w14:textFill>
                  <w14:solidFill>
                    <w14:srgbClr w14:val="000000">
                      <w14:alpha w14:val="100000"/>
                    </w14:srgbClr>
                  </w14:solidFill>
                </w14:textFill>
              </w:rPr>
              <w:t xml:space="preserve">　</w:t>
            </w:r>
            <w:r w:rsidRPr="00DC6720">
              <w:rPr>
                <w:color w:val="000000"/>
                <w:w w:val="15"/>
                <w:shd w:val="solid" w:color="000000" w:fill="000000"/>
                <w:fitText w:val="37" w:id="-1136954868"/>
                <w14:textFill>
                  <w14:solidFill>
                    <w14:srgbClr w14:val="000000">
                      <w14:alpha w14:val="100000"/>
                    </w14:srgbClr>
                  </w14:solidFill>
                </w14:textFill>
              </w:rPr>
              <w:t>|</w:t>
            </w:r>
            <w:r w:rsidRPr="00DC6720">
              <w:rPr>
                <w:rFonts w:hint="eastAsia"/>
                <w:color w:val="000000"/>
                <w:spacing w:val="-45"/>
                <w:w w:val="15"/>
                <w:shd w:val="solid" w:color="000000" w:fill="000000"/>
                <w:fitText w:val="37" w:id="-1136954868"/>
                <w14:textFill>
                  <w14:solidFill>
                    <w14:srgbClr w14:val="000000">
                      <w14:alpha w14:val="100000"/>
                    </w14:srgbClr>
                  </w14:solidFill>
                </w14:textFill>
              </w:rPr>
              <w:t xml:space="preserve">　</w:t>
            </w:r>
            <w:r w:rsidR="004C425D">
              <w:rPr>
                <w:vertAlign w:val="superscript"/>
              </w:rPr>
              <w:t>3</w:t>
            </w:r>
          </w:p>
        </w:tc>
        <w:tc>
          <w:tcPr>
            <w:tcW w:w="611" w:type="pct"/>
            <w:shd w:val="clear" w:color="auto" w:fill="auto"/>
          </w:tcPr>
          <w:p w14:paraId="09717799" w14:textId="7074B92D"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8" w:id="-1136954867"/>
                <w14:textFill>
                  <w14:solidFill>
                    <w14:srgbClr w14:val="000000">
                      <w14:alpha w14:val="100000"/>
                    </w14:srgbClr>
                  </w14:solidFill>
                </w14:textFill>
              </w:rPr>
              <w:t xml:space="preserve">　</w:t>
            </w:r>
            <w:r w:rsidRPr="00DC6720">
              <w:rPr>
                <w:color w:val="000000"/>
                <w:w w:val="15"/>
                <w:shd w:val="solid" w:color="000000" w:fill="000000"/>
                <w:fitText w:val="38" w:id="-1136954867"/>
                <w14:textFill>
                  <w14:solidFill>
                    <w14:srgbClr w14:val="000000">
                      <w14:alpha w14:val="100000"/>
                    </w14:srgbClr>
                  </w14:solidFill>
                </w14:textFill>
              </w:rPr>
              <w:t>|</w:t>
            </w:r>
            <w:r w:rsidRPr="00DC6720">
              <w:rPr>
                <w:rFonts w:hint="eastAsia"/>
                <w:color w:val="000000"/>
                <w:spacing w:val="-45"/>
                <w:w w:val="15"/>
                <w:shd w:val="solid" w:color="000000" w:fill="000000"/>
                <w:fitText w:val="38" w:id="-1136954867"/>
                <w14:textFill>
                  <w14:solidFill>
                    <w14:srgbClr w14:val="000000">
                      <w14:alpha w14:val="100000"/>
                    </w14:srgbClr>
                  </w14:solidFill>
                </w14:textFill>
              </w:rPr>
              <w:t xml:space="preserve">　</w:t>
            </w:r>
            <w:r w:rsidR="004C425D">
              <w:rPr>
                <w:vertAlign w:val="superscript"/>
              </w:rPr>
              <w:t>3</w:t>
            </w:r>
          </w:p>
        </w:tc>
        <w:tc>
          <w:tcPr>
            <w:tcW w:w="611" w:type="pct"/>
          </w:tcPr>
          <w:p w14:paraId="6105D443" w14:textId="318B7F47" w:rsidR="00B059F3" w:rsidRPr="004C425D" w:rsidRDefault="003D4DE8" w:rsidP="00BE57BE">
            <w:pPr>
              <w:pStyle w:val="TableText0"/>
              <w:jc w:val="center"/>
              <w:rPr>
                <w:highlight w:val="darkGray"/>
              </w:rPr>
            </w:pPr>
            <w:r w:rsidRPr="00DC6720">
              <w:rPr>
                <w:rFonts w:hint="eastAsia"/>
                <w:color w:val="000000"/>
                <w:w w:val="15"/>
                <w:shd w:val="solid" w:color="000000" w:fill="000000"/>
                <w:fitText w:val="37" w:id="-1136954866"/>
                <w14:textFill>
                  <w14:solidFill>
                    <w14:srgbClr w14:val="000000">
                      <w14:alpha w14:val="100000"/>
                    </w14:srgbClr>
                  </w14:solidFill>
                </w14:textFill>
              </w:rPr>
              <w:t xml:space="preserve">　</w:t>
            </w:r>
            <w:r w:rsidRPr="00DC6720">
              <w:rPr>
                <w:color w:val="000000"/>
                <w:w w:val="15"/>
                <w:shd w:val="solid" w:color="000000" w:fill="000000"/>
                <w:fitText w:val="37" w:id="-1136954866"/>
                <w14:textFill>
                  <w14:solidFill>
                    <w14:srgbClr w14:val="000000">
                      <w14:alpha w14:val="100000"/>
                    </w14:srgbClr>
                  </w14:solidFill>
                </w14:textFill>
              </w:rPr>
              <w:t>|</w:t>
            </w:r>
            <w:r w:rsidRPr="00DC6720">
              <w:rPr>
                <w:rFonts w:hint="eastAsia"/>
                <w:color w:val="000000"/>
                <w:spacing w:val="-45"/>
                <w:w w:val="15"/>
                <w:shd w:val="solid" w:color="000000" w:fill="000000"/>
                <w:fitText w:val="37" w:id="-1136954866"/>
                <w14:textFill>
                  <w14:solidFill>
                    <w14:srgbClr w14:val="000000">
                      <w14:alpha w14:val="100000"/>
                    </w14:srgbClr>
                  </w14:solidFill>
                </w14:textFill>
              </w:rPr>
              <w:t xml:space="preserve">　</w:t>
            </w:r>
            <w:r w:rsidR="00EE14CE">
              <w:rPr>
                <w:vertAlign w:val="superscript"/>
              </w:rPr>
              <w:t>3</w:t>
            </w:r>
          </w:p>
        </w:tc>
      </w:tr>
      <w:tr w:rsidR="00B059F3" w:rsidRPr="00384833" w14:paraId="431CA8DB" w14:textId="77777777" w:rsidTr="00BE57BE">
        <w:tc>
          <w:tcPr>
            <w:tcW w:w="1334" w:type="pct"/>
            <w:shd w:val="clear" w:color="auto" w:fill="auto"/>
            <w:vAlign w:val="center"/>
          </w:tcPr>
          <w:p w14:paraId="047B6307" w14:textId="79EE94E5" w:rsidR="00B059F3" w:rsidRPr="00384833" w:rsidRDefault="00B059F3" w:rsidP="00BE57BE">
            <w:pPr>
              <w:pStyle w:val="TableText0"/>
              <w:rPr>
                <w:b/>
                <w:bCs w:val="0"/>
                <w:sz w:val="19"/>
                <w:szCs w:val="19"/>
              </w:rPr>
            </w:pPr>
            <w:r w:rsidRPr="00384833">
              <w:rPr>
                <w:b/>
                <w:bCs w:val="0"/>
                <w:sz w:val="19"/>
                <w:szCs w:val="19"/>
              </w:rPr>
              <w:t>Net cost to PBS/RPBS/MBS</w:t>
            </w:r>
            <w:r w:rsidR="00AF0544">
              <w:rPr>
                <w:b/>
                <w:bCs w:val="0"/>
                <w:sz w:val="19"/>
                <w:szCs w:val="19"/>
              </w:rPr>
              <w:t xml:space="preserve"> ($)</w:t>
            </w:r>
          </w:p>
        </w:tc>
        <w:tc>
          <w:tcPr>
            <w:tcW w:w="611" w:type="pct"/>
            <w:shd w:val="clear" w:color="auto" w:fill="auto"/>
          </w:tcPr>
          <w:p w14:paraId="0C92AACF" w14:textId="3C126D27"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4" w:id="-1136954865"/>
                <w14:textFill>
                  <w14:solidFill>
                    <w14:srgbClr w14:val="000000">
                      <w14:alpha w14:val="100000"/>
                    </w14:srgbClr>
                  </w14:solidFill>
                </w14:textFill>
              </w:rPr>
              <w:t xml:space="preserve">　</w:t>
            </w:r>
            <w:r w:rsidRPr="00DC6720">
              <w:rPr>
                <w:b/>
                <w:bCs w:val="0"/>
                <w:color w:val="000000"/>
                <w:w w:val="20"/>
                <w:shd w:val="solid" w:color="000000" w:fill="000000"/>
                <w:fitText w:val="94" w:id="-1136954865"/>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4" w:id="-1136954865"/>
                <w14:textFill>
                  <w14:solidFill>
                    <w14:srgbClr w14:val="000000">
                      <w14:alpha w14:val="100000"/>
                    </w14:srgbClr>
                  </w14:solidFill>
                </w14:textFill>
              </w:rPr>
              <w:t xml:space="preserve">　</w:t>
            </w:r>
            <w:r w:rsidR="004C425D">
              <w:rPr>
                <w:vertAlign w:val="superscript"/>
              </w:rPr>
              <w:t>3</w:t>
            </w:r>
          </w:p>
        </w:tc>
        <w:tc>
          <w:tcPr>
            <w:tcW w:w="611" w:type="pct"/>
            <w:shd w:val="clear" w:color="auto" w:fill="auto"/>
          </w:tcPr>
          <w:p w14:paraId="71AF8191" w14:textId="5B24D20B"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3" w:id="-1136954864"/>
                <w14:textFill>
                  <w14:solidFill>
                    <w14:srgbClr w14:val="000000">
                      <w14:alpha w14:val="100000"/>
                    </w14:srgbClr>
                  </w14:solidFill>
                </w14:textFill>
              </w:rPr>
              <w:t xml:space="preserve">　</w:t>
            </w:r>
            <w:r w:rsidRPr="00DC6720">
              <w:rPr>
                <w:b/>
                <w:bCs w:val="0"/>
                <w:color w:val="000000"/>
                <w:w w:val="20"/>
                <w:shd w:val="solid" w:color="000000" w:fill="000000"/>
                <w:fitText w:val="93" w:id="-1136954864"/>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3" w:id="-1136954864"/>
                <w14:textFill>
                  <w14:solidFill>
                    <w14:srgbClr w14:val="000000">
                      <w14:alpha w14:val="100000"/>
                    </w14:srgbClr>
                  </w14:solidFill>
                </w14:textFill>
              </w:rPr>
              <w:t xml:space="preserve">　</w:t>
            </w:r>
            <w:r w:rsidR="004C425D">
              <w:rPr>
                <w:vertAlign w:val="superscript"/>
              </w:rPr>
              <w:t>3</w:t>
            </w:r>
          </w:p>
        </w:tc>
        <w:tc>
          <w:tcPr>
            <w:tcW w:w="611" w:type="pct"/>
            <w:shd w:val="clear" w:color="auto" w:fill="auto"/>
          </w:tcPr>
          <w:p w14:paraId="750A849E" w14:textId="6E740DF7"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3" w:id="-1136954880"/>
                <w14:textFill>
                  <w14:solidFill>
                    <w14:srgbClr w14:val="000000">
                      <w14:alpha w14:val="100000"/>
                    </w14:srgbClr>
                  </w14:solidFill>
                </w14:textFill>
              </w:rPr>
              <w:t xml:space="preserve">　</w:t>
            </w:r>
            <w:r w:rsidRPr="00DC6720">
              <w:rPr>
                <w:b/>
                <w:bCs w:val="0"/>
                <w:color w:val="000000"/>
                <w:w w:val="20"/>
                <w:shd w:val="solid" w:color="000000" w:fill="000000"/>
                <w:fitText w:val="93" w:id="-1136954880"/>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3" w:id="-1136954880"/>
                <w14:textFill>
                  <w14:solidFill>
                    <w14:srgbClr w14:val="000000">
                      <w14:alpha w14:val="100000"/>
                    </w14:srgbClr>
                  </w14:solidFill>
                </w14:textFill>
              </w:rPr>
              <w:t xml:space="preserve">　</w:t>
            </w:r>
            <w:r w:rsidR="004C425D">
              <w:rPr>
                <w:vertAlign w:val="superscript"/>
              </w:rPr>
              <w:t>3</w:t>
            </w:r>
          </w:p>
        </w:tc>
        <w:tc>
          <w:tcPr>
            <w:tcW w:w="611" w:type="pct"/>
            <w:shd w:val="clear" w:color="auto" w:fill="auto"/>
          </w:tcPr>
          <w:p w14:paraId="2F8EA5CC" w14:textId="1C72C183"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4" w:id="-1136954879"/>
                <w14:textFill>
                  <w14:solidFill>
                    <w14:srgbClr w14:val="000000">
                      <w14:alpha w14:val="100000"/>
                    </w14:srgbClr>
                  </w14:solidFill>
                </w14:textFill>
              </w:rPr>
              <w:t xml:space="preserve">　</w:t>
            </w:r>
            <w:r w:rsidRPr="00DC6720">
              <w:rPr>
                <w:b/>
                <w:bCs w:val="0"/>
                <w:color w:val="000000"/>
                <w:w w:val="20"/>
                <w:shd w:val="solid" w:color="000000" w:fill="000000"/>
                <w:fitText w:val="94" w:id="-1136954879"/>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4" w:id="-1136954879"/>
                <w14:textFill>
                  <w14:solidFill>
                    <w14:srgbClr w14:val="000000">
                      <w14:alpha w14:val="100000"/>
                    </w14:srgbClr>
                  </w14:solidFill>
                </w14:textFill>
              </w:rPr>
              <w:t xml:space="preserve">　</w:t>
            </w:r>
            <w:r w:rsidR="004C425D">
              <w:rPr>
                <w:vertAlign w:val="superscript"/>
              </w:rPr>
              <w:t>3</w:t>
            </w:r>
          </w:p>
        </w:tc>
        <w:tc>
          <w:tcPr>
            <w:tcW w:w="611" w:type="pct"/>
            <w:shd w:val="clear" w:color="auto" w:fill="auto"/>
          </w:tcPr>
          <w:p w14:paraId="0E7B5B74" w14:textId="772CE3C5"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3" w:id="-1136954878"/>
                <w14:textFill>
                  <w14:solidFill>
                    <w14:srgbClr w14:val="000000">
                      <w14:alpha w14:val="100000"/>
                    </w14:srgbClr>
                  </w14:solidFill>
                </w14:textFill>
              </w:rPr>
              <w:t xml:space="preserve">　</w:t>
            </w:r>
            <w:r w:rsidRPr="00DC6720">
              <w:rPr>
                <w:b/>
                <w:bCs w:val="0"/>
                <w:color w:val="000000"/>
                <w:w w:val="20"/>
                <w:shd w:val="solid" w:color="000000" w:fill="000000"/>
                <w:fitText w:val="93" w:id="-1136954878"/>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3" w:id="-1136954878"/>
                <w14:textFill>
                  <w14:solidFill>
                    <w14:srgbClr w14:val="000000">
                      <w14:alpha w14:val="100000"/>
                    </w14:srgbClr>
                  </w14:solidFill>
                </w14:textFill>
              </w:rPr>
              <w:t xml:space="preserve">　</w:t>
            </w:r>
            <w:r w:rsidR="004C425D">
              <w:rPr>
                <w:vertAlign w:val="superscript"/>
              </w:rPr>
              <w:t>3</w:t>
            </w:r>
          </w:p>
        </w:tc>
        <w:tc>
          <w:tcPr>
            <w:tcW w:w="611" w:type="pct"/>
          </w:tcPr>
          <w:p w14:paraId="2D702A8A" w14:textId="49309ADE" w:rsidR="00B059F3" w:rsidRPr="004C425D" w:rsidRDefault="003D4DE8" w:rsidP="00BE57BE">
            <w:pPr>
              <w:pStyle w:val="TableText0"/>
              <w:jc w:val="center"/>
              <w:rPr>
                <w:b/>
                <w:bCs w:val="0"/>
                <w:highlight w:val="darkGray"/>
              </w:rPr>
            </w:pPr>
            <w:r w:rsidRPr="00DC6720">
              <w:rPr>
                <w:rFonts w:hint="eastAsia"/>
                <w:b/>
                <w:bCs w:val="0"/>
                <w:color w:val="000000"/>
                <w:w w:val="20"/>
                <w:shd w:val="solid" w:color="000000" w:fill="000000"/>
                <w:fitText w:val="94" w:id="-1136954877"/>
                <w14:textFill>
                  <w14:solidFill>
                    <w14:srgbClr w14:val="000000">
                      <w14:alpha w14:val="100000"/>
                    </w14:srgbClr>
                  </w14:solidFill>
                </w14:textFill>
              </w:rPr>
              <w:t xml:space="preserve">　</w:t>
            </w:r>
            <w:r w:rsidRPr="00DC6720">
              <w:rPr>
                <w:b/>
                <w:bCs w:val="0"/>
                <w:color w:val="000000"/>
                <w:w w:val="20"/>
                <w:shd w:val="solid" w:color="000000" w:fill="000000"/>
                <w:fitText w:val="94" w:id="-1136954877"/>
                <w14:textFill>
                  <w14:solidFill>
                    <w14:srgbClr w14:val="000000">
                      <w14:alpha w14:val="100000"/>
                    </w14:srgbClr>
                  </w14:solidFill>
                </w14:textFill>
              </w:rPr>
              <w:t>|</w:t>
            </w:r>
            <w:r w:rsidRPr="00DC6720">
              <w:rPr>
                <w:rFonts w:hint="eastAsia"/>
                <w:b/>
                <w:bCs w:val="0"/>
                <w:color w:val="000000"/>
                <w:spacing w:val="15"/>
                <w:w w:val="20"/>
                <w:shd w:val="solid" w:color="000000" w:fill="000000"/>
                <w:fitText w:val="94" w:id="-1136954877"/>
                <w14:textFill>
                  <w14:solidFill>
                    <w14:srgbClr w14:val="000000">
                      <w14:alpha w14:val="100000"/>
                    </w14:srgbClr>
                  </w14:solidFill>
                </w14:textFill>
              </w:rPr>
              <w:t xml:space="preserve">　</w:t>
            </w:r>
            <w:r w:rsidR="00EE14CE">
              <w:rPr>
                <w:vertAlign w:val="superscript"/>
              </w:rPr>
              <w:t>3</w:t>
            </w:r>
          </w:p>
        </w:tc>
      </w:tr>
    </w:tbl>
    <w:p w14:paraId="3D86A04B" w14:textId="77777777" w:rsidR="00B059F3" w:rsidRDefault="00B059F3" w:rsidP="00B059F3">
      <w:pPr>
        <w:pStyle w:val="FooterTableFigure"/>
      </w:pPr>
      <w:r>
        <w:t>Source: Table 6, p10 of the resubmission</w:t>
      </w:r>
    </w:p>
    <w:p w14:paraId="70C022B4" w14:textId="27ABAD84" w:rsidR="00B059F3" w:rsidRDefault="00B059F3" w:rsidP="00B059F3">
      <w:pPr>
        <w:pStyle w:val="FooterTableFigure"/>
        <w:rPr>
          <w:rStyle w:val="CommentReference"/>
          <w:b w:val="0"/>
          <w:sz w:val="18"/>
          <w:szCs w:val="22"/>
        </w:rPr>
      </w:pPr>
      <w:r w:rsidRPr="00AF3847">
        <w:rPr>
          <w:rStyle w:val="CommentReference"/>
          <w:b w:val="0"/>
          <w:sz w:val="18"/>
          <w:szCs w:val="22"/>
        </w:rPr>
        <w:t>MBS = Medicare Benefits Schedule, PBS = Pharmaceutical Benefits Scheme, RPBS = Repatriation Pharmaceutical Benefits Scheme</w:t>
      </w:r>
    </w:p>
    <w:p w14:paraId="75466AB7" w14:textId="0E2268B4" w:rsidR="004C425D" w:rsidRPr="00EE14CE" w:rsidRDefault="004C425D" w:rsidP="004C425D">
      <w:pPr>
        <w:pStyle w:val="FooterTableFigure"/>
        <w:rPr>
          <w:i/>
          <w:iCs/>
        </w:rPr>
      </w:pPr>
      <w:r w:rsidRPr="00EE14CE">
        <w:rPr>
          <w:i/>
          <w:iCs/>
        </w:rPr>
        <w:t xml:space="preserve">The redacted values correspond to the following ranges: </w:t>
      </w:r>
    </w:p>
    <w:p w14:paraId="2978E47F" w14:textId="77777777" w:rsidR="004C425D" w:rsidRPr="00EE14CE" w:rsidRDefault="004C425D" w:rsidP="004C425D">
      <w:pPr>
        <w:pStyle w:val="FooterTableFigure"/>
        <w:rPr>
          <w:i/>
          <w:iCs/>
        </w:rPr>
      </w:pPr>
      <w:r w:rsidRPr="00EE14CE">
        <w:rPr>
          <w:i/>
          <w:iCs/>
          <w:vertAlign w:val="superscript"/>
        </w:rPr>
        <w:t>1</w:t>
      </w:r>
      <w:r w:rsidRPr="00EE14CE">
        <w:rPr>
          <w:i/>
          <w:iCs/>
        </w:rPr>
        <w:t xml:space="preserve"> &lt;500</w:t>
      </w:r>
    </w:p>
    <w:p w14:paraId="1DE292E9" w14:textId="77777777" w:rsidR="004C425D" w:rsidRPr="00EE14CE" w:rsidRDefault="004C425D" w:rsidP="004C425D">
      <w:pPr>
        <w:pStyle w:val="FooterTableFigure"/>
        <w:rPr>
          <w:i/>
          <w:iCs/>
        </w:rPr>
      </w:pPr>
      <w:r w:rsidRPr="00EE14CE">
        <w:rPr>
          <w:i/>
          <w:iCs/>
          <w:vertAlign w:val="superscript"/>
        </w:rPr>
        <w:t>2</w:t>
      </w:r>
      <w:r w:rsidRPr="00EE14CE">
        <w:rPr>
          <w:i/>
          <w:iCs/>
        </w:rPr>
        <w:t xml:space="preserve"> 500 to &lt; 5,000</w:t>
      </w:r>
    </w:p>
    <w:p w14:paraId="002C758D" w14:textId="182AC605" w:rsidR="004C425D" w:rsidRPr="00EE14CE" w:rsidRDefault="004C425D" w:rsidP="004C425D">
      <w:pPr>
        <w:pStyle w:val="FooterTableFigure"/>
        <w:rPr>
          <w:i/>
          <w:iCs/>
        </w:rPr>
      </w:pPr>
      <w:r w:rsidRPr="00EE14CE">
        <w:rPr>
          <w:i/>
          <w:iCs/>
          <w:vertAlign w:val="superscript"/>
        </w:rPr>
        <w:t>3</w:t>
      </w:r>
      <w:r w:rsidRPr="00EE14CE">
        <w:rPr>
          <w:i/>
          <w:iCs/>
        </w:rPr>
        <w:t xml:space="preserve"> $0 to &lt; $10 million</w:t>
      </w:r>
    </w:p>
    <w:p w14:paraId="16003BD8" w14:textId="450F0891" w:rsidR="00B059F3" w:rsidRDefault="00B059F3" w:rsidP="00B059F3">
      <w:pPr>
        <w:widowControl w:val="0"/>
        <w:numPr>
          <w:ilvl w:val="1"/>
          <w:numId w:val="1"/>
        </w:numPr>
        <w:spacing w:after="120"/>
        <w:rPr>
          <w:rFonts w:asciiTheme="minorHAnsi" w:hAnsiTheme="minorHAnsi"/>
          <w:snapToGrid w:val="0"/>
        </w:rPr>
      </w:pPr>
      <w:r>
        <w:rPr>
          <w:rFonts w:asciiTheme="minorHAnsi" w:hAnsiTheme="minorHAnsi"/>
          <w:snapToGrid w:val="0"/>
        </w:rPr>
        <w:t xml:space="preserve">The revised net cost to government of listing tebentafusp on the PBS/RPBS was estimated to be </w:t>
      </w:r>
      <w:r w:rsidR="00EE14CE" w:rsidRPr="00EE14CE">
        <w:rPr>
          <w:rFonts w:asciiTheme="minorHAnsi" w:hAnsiTheme="minorHAnsi"/>
          <w:snapToGrid w:val="0"/>
        </w:rPr>
        <w:t>$0</w:t>
      </w:r>
      <w:r w:rsidR="00EE14CE">
        <w:rPr>
          <w:rFonts w:asciiTheme="minorHAnsi" w:hAnsiTheme="minorHAnsi"/>
          <w:snapToGrid w:val="0"/>
        </w:rPr>
        <w:t> </w:t>
      </w:r>
      <w:r w:rsidR="00EE14CE" w:rsidRPr="00EE14CE">
        <w:rPr>
          <w:rFonts w:asciiTheme="minorHAnsi" w:hAnsiTheme="minorHAnsi"/>
          <w:snapToGrid w:val="0"/>
        </w:rPr>
        <w:t>to</w:t>
      </w:r>
      <w:r w:rsidR="00EE14CE">
        <w:rPr>
          <w:rFonts w:asciiTheme="minorHAnsi" w:hAnsiTheme="minorHAnsi"/>
          <w:snapToGrid w:val="0"/>
        </w:rPr>
        <w:t> </w:t>
      </w:r>
      <w:r w:rsidR="00EE14CE" w:rsidRPr="00EE14CE">
        <w:rPr>
          <w:rFonts w:asciiTheme="minorHAnsi" w:hAnsiTheme="minorHAnsi"/>
          <w:snapToGrid w:val="0"/>
        </w:rPr>
        <w:t>&lt;</w:t>
      </w:r>
      <w:r w:rsidR="00EE14CE">
        <w:rPr>
          <w:rFonts w:asciiTheme="minorHAnsi" w:hAnsiTheme="minorHAnsi"/>
          <w:snapToGrid w:val="0"/>
        </w:rPr>
        <w:t> </w:t>
      </w:r>
      <w:r w:rsidR="00EE14CE" w:rsidRPr="00EE14CE">
        <w:rPr>
          <w:rFonts w:asciiTheme="minorHAnsi" w:hAnsiTheme="minorHAnsi"/>
          <w:snapToGrid w:val="0"/>
        </w:rPr>
        <w:t>$10</w:t>
      </w:r>
      <w:r w:rsidR="00251872">
        <w:rPr>
          <w:rFonts w:asciiTheme="minorHAnsi" w:hAnsiTheme="minorHAnsi"/>
          <w:snapToGrid w:val="0"/>
        </w:rPr>
        <w:t> </w:t>
      </w:r>
      <w:r w:rsidR="00EE14CE" w:rsidRPr="00EE14CE">
        <w:rPr>
          <w:rFonts w:asciiTheme="minorHAnsi" w:hAnsiTheme="minorHAnsi"/>
          <w:snapToGrid w:val="0"/>
        </w:rPr>
        <w:t>million</w:t>
      </w:r>
      <w:r w:rsidR="00EE14CE">
        <w:rPr>
          <w:rFonts w:asciiTheme="minorHAnsi" w:hAnsiTheme="minorHAnsi"/>
          <w:snapToGrid w:val="0"/>
        </w:rPr>
        <w:t xml:space="preserve"> </w:t>
      </w:r>
      <w:r>
        <w:rPr>
          <w:rFonts w:asciiTheme="minorHAnsi" w:hAnsiTheme="minorHAnsi"/>
          <w:snapToGrid w:val="0"/>
        </w:rPr>
        <w:t xml:space="preserve">in Year 1, increasing to </w:t>
      </w:r>
      <w:r w:rsidR="00EE14CE" w:rsidRPr="00EE14CE">
        <w:rPr>
          <w:rFonts w:asciiTheme="minorHAnsi" w:hAnsiTheme="minorHAnsi"/>
          <w:snapToGrid w:val="0"/>
        </w:rPr>
        <w:t>$0</w:t>
      </w:r>
      <w:r w:rsidR="00EE14CE">
        <w:rPr>
          <w:rFonts w:asciiTheme="minorHAnsi" w:hAnsiTheme="minorHAnsi"/>
          <w:snapToGrid w:val="0"/>
        </w:rPr>
        <w:t> </w:t>
      </w:r>
      <w:r w:rsidR="00EE14CE" w:rsidRPr="00EE14CE">
        <w:rPr>
          <w:rFonts w:asciiTheme="minorHAnsi" w:hAnsiTheme="minorHAnsi"/>
          <w:snapToGrid w:val="0"/>
        </w:rPr>
        <w:t>to</w:t>
      </w:r>
      <w:r w:rsidR="00EE14CE">
        <w:rPr>
          <w:rFonts w:asciiTheme="minorHAnsi" w:hAnsiTheme="minorHAnsi"/>
          <w:snapToGrid w:val="0"/>
        </w:rPr>
        <w:t> </w:t>
      </w:r>
      <w:r w:rsidR="00EE14CE" w:rsidRPr="00EE14CE">
        <w:rPr>
          <w:rFonts w:asciiTheme="minorHAnsi" w:hAnsiTheme="minorHAnsi"/>
          <w:snapToGrid w:val="0"/>
        </w:rPr>
        <w:t>&lt;</w:t>
      </w:r>
      <w:r w:rsidR="00EE14CE">
        <w:rPr>
          <w:rFonts w:asciiTheme="minorHAnsi" w:hAnsiTheme="minorHAnsi"/>
          <w:snapToGrid w:val="0"/>
        </w:rPr>
        <w:t> </w:t>
      </w:r>
      <w:r w:rsidR="00EE14CE" w:rsidRPr="00EE14CE">
        <w:rPr>
          <w:rFonts w:asciiTheme="minorHAnsi" w:hAnsiTheme="minorHAnsi"/>
          <w:snapToGrid w:val="0"/>
        </w:rPr>
        <w:t>$10</w:t>
      </w:r>
      <w:r w:rsidR="00EE14CE">
        <w:rPr>
          <w:rFonts w:asciiTheme="minorHAnsi" w:hAnsiTheme="minorHAnsi"/>
          <w:snapToGrid w:val="0"/>
        </w:rPr>
        <w:t> </w:t>
      </w:r>
      <w:r w:rsidR="00EE14CE" w:rsidRPr="00EE14CE">
        <w:rPr>
          <w:rFonts w:asciiTheme="minorHAnsi" w:hAnsiTheme="minorHAnsi"/>
          <w:snapToGrid w:val="0"/>
        </w:rPr>
        <w:t>million</w:t>
      </w:r>
      <w:r w:rsidR="00EE14CE">
        <w:rPr>
          <w:rFonts w:asciiTheme="minorHAnsi" w:hAnsiTheme="minorHAnsi"/>
          <w:snapToGrid w:val="0"/>
        </w:rPr>
        <w:t xml:space="preserve"> </w:t>
      </w:r>
      <w:r>
        <w:rPr>
          <w:rFonts w:asciiTheme="minorHAnsi" w:hAnsiTheme="minorHAnsi"/>
          <w:snapToGrid w:val="0"/>
        </w:rPr>
        <w:t xml:space="preserve">in Year 6 and totalling </w:t>
      </w:r>
      <w:r w:rsidR="00EE14CE" w:rsidRPr="00EE14CE">
        <w:rPr>
          <w:rFonts w:asciiTheme="minorHAnsi" w:hAnsiTheme="minorHAnsi"/>
          <w:snapToGrid w:val="0"/>
        </w:rPr>
        <w:t>$30</w:t>
      </w:r>
      <w:r w:rsidR="00EE14CE">
        <w:rPr>
          <w:rFonts w:asciiTheme="minorHAnsi" w:hAnsiTheme="minorHAnsi"/>
          <w:snapToGrid w:val="0"/>
        </w:rPr>
        <w:t> </w:t>
      </w:r>
      <w:r w:rsidR="00EE14CE" w:rsidRPr="00EE14CE">
        <w:rPr>
          <w:rFonts w:asciiTheme="minorHAnsi" w:hAnsiTheme="minorHAnsi"/>
          <w:snapToGrid w:val="0"/>
        </w:rPr>
        <w:t>million</w:t>
      </w:r>
      <w:r w:rsidR="00EE14CE">
        <w:rPr>
          <w:rFonts w:asciiTheme="minorHAnsi" w:hAnsiTheme="minorHAnsi"/>
          <w:snapToGrid w:val="0"/>
        </w:rPr>
        <w:t> </w:t>
      </w:r>
      <w:r w:rsidR="00EE14CE" w:rsidRPr="00EE14CE">
        <w:rPr>
          <w:rFonts w:asciiTheme="minorHAnsi" w:hAnsiTheme="minorHAnsi"/>
          <w:snapToGrid w:val="0"/>
        </w:rPr>
        <w:t>to</w:t>
      </w:r>
      <w:r w:rsidR="00EE14CE">
        <w:rPr>
          <w:rFonts w:asciiTheme="minorHAnsi" w:hAnsiTheme="minorHAnsi"/>
          <w:snapToGrid w:val="0"/>
        </w:rPr>
        <w:t> </w:t>
      </w:r>
      <w:r w:rsidR="00EE14CE" w:rsidRPr="00EE14CE">
        <w:rPr>
          <w:rFonts w:asciiTheme="minorHAnsi" w:hAnsiTheme="minorHAnsi"/>
          <w:snapToGrid w:val="0"/>
        </w:rPr>
        <w:t>&lt;</w:t>
      </w:r>
      <w:r w:rsidR="00EE14CE">
        <w:rPr>
          <w:rFonts w:asciiTheme="minorHAnsi" w:hAnsiTheme="minorHAnsi"/>
          <w:snapToGrid w:val="0"/>
        </w:rPr>
        <w:t> </w:t>
      </w:r>
      <w:r w:rsidR="00EE14CE" w:rsidRPr="00EE14CE">
        <w:rPr>
          <w:rFonts w:asciiTheme="minorHAnsi" w:hAnsiTheme="minorHAnsi"/>
          <w:snapToGrid w:val="0"/>
        </w:rPr>
        <w:t>$40</w:t>
      </w:r>
      <w:r w:rsidR="00EE14CE">
        <w:rPr>
          <w:rFonts w:asciiTheme="minorHAnsi" w:hAnsiTheme="minorHAnsi"/>
          <w:snapToGrid w:val="0"/>
        </w:rPr>
        <w:t> </w:t>
      </w:r>
      <w:r w:rsidR="00EE14CE" w:rsidRPr="00EE14CE">
        <w:rPr>
          <w:rFonts w:asciiTheme="minorHAnsi" w:hAnsiTheme="minorHAnsi"/>
          <w:snapToGrid w:val="0"/>
        </w:rPr>
        <w:t>million</w:t>
      </w:r>
      <w:r w:rsidR="00EE14CE">
        <w:rPr>
          <w:rFonts w:asciiTheme="minorHAnsi" w:hAnsiTheme="minorHAnsi"/>
          <w:snapToGrid w:val="0"/>
        </w:rPr>
        <w:t xml:space="preserve"> </w:t>
      </w:r>
      <w:r>
        <w:rPr>
          <w:rFonts w:asciiTheme="minorHAnsi" w:hAnsiTheme="minorHAnsi"/>
          <w:snapToGrid w:val="0"/>
        </w:rPr>
        <w:t>over the first 6 years.</w:t>
      </w:r>
    </w:p>
    <w:p w14:paraId="2204890A" w14:textId="6CC884C1" w:rsidR="00B059F3" w:rsidRPr="0006184D" w:rsidRDefault="00B059F3" w:rsidP="00B059F3">
      <w:pPr>
        <w:widowControl w:val="0"/>
        <w:numPr>
          <w:ilvl w:val="1"/>
          <w:numId w:val="1"/>
        </w:numPr>
        <w:spacing w:after="120"/>
        <w:rPr>
          <w:rFonts w:asciiTheme="minorHAnsi" w:hAnsiTheme="minorHAnsi"/>
          <w:snapToGrid w:val="0"/>
        </w:rPr>
      </w:pPr>
      <w:r>
        <w:rPr>
          <w:rFonts w:asciiTheme="minorHAnsi" w:hAnsiTheme="minorHAnsi"/>
          <w:snapToGrid w:val="0"/>
        </w:rPr>
        <w:lastRenderedPageBreak/>
        <w:t xml:space="preserve">The resubmission noted that although there were currently </w:t>
      </w:r>
      <w:r w:rsidR="00EE14CE" w:rsidRPr="00EE14CE">
        <w:rPr>
          <w:rFonts w:asciiTheme="minorHAnsi" w:hAnsiTheme="minorHAnsi"/>
          <w:snapToGrid w:val="0"/>
        </w:rPr>
        <w:t>&lt;</w:t>
      </w:r>
      <w:r w:rsidR="00EE14CE">
        <w:rPr>
          <w:rFonts w:asciiTheme="minorHAnsi" w:hAnsiTheme="minorHAnsi"/>
          <w:snapToGrid w:val="0"/>
        </w:rPr>
        <w:t> </w:t>
      </w:r>
      <w:r w:rsidR="00EE14CE" w:rsidRPr="00EE14CE">
        <w:rPr>
          <w:rFonts w:asciiTheme="minorHAnsi" w:hAnsiTheme="minorHAnsi"/>
          <w:snapToGrid w:val="0"/>
        </w:rPr>
        <w:t>500</w:t>
      </w:r>
      <w:r>
        <w:rPr>
          <w:rFonts w:asciiTheme="minorHAnsi" w:hAnsiTheme="minorHAnsi"/>
          <w:snapToGrid w:val="0"/>
        </w:rPr>
        <w:t xml:space="preserve"> patients receiving treatment through an early access program, the cost of treatment for these patients would continue to be funded by the sponsor.</w:t>
      </w:r>
    </w:p>
    <w:p w14:paraId="230A079F" w14:textId="77777777" w:rsidR="00B059F3" w:rsidRDefault="00B059F3" w:rsidP="00B059F3">
      <w:pPr>
        <w:pStyle w:val="2-SectionHeading"/>
      </w:pPr>
      <w:r>
        <w:t>PBAC Outcome</w:t>
      </w:r>
    </w:p>
    <w:p w14:paraId="52D32113" w14:textId="77777777" w:rsidR="00B059F3" w:rsidRDefault="00B059F3" w:rsidP="00B059F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recommended tebentafusp be listed on the PBS as a Section 100 (Efficient Funding of Chemotherapy) item for the treatment of HLA-A*02:01-positive adult patients with advanced (unresectable or metastatic) uveal melanoma. The PBAC recalled that it had previously noted the high unmet clinical need for new treatments in this setting and had considered that tebentafusp was superior compared to pembrolizumab in terms of efficacy, but likely inferior in terms of safety. The PBAC considered that the resubmission’s changes to the proposed restriction, economic model and financial impact estimates adequately addressed its previous concerns and considered that tebentafusp would be acceptably cost-effective at the price proposed in the resubmission.</w:t>
      </w:r>
    </w:p>
    <w:p w14:paraId="08A8A63B" w14:textId="77777777" w:rsidR="00B059F3" w:rsidRDefault="00B059F3" w:rsidP="00B059F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proposed restriction, which incorporated the Secretariat’s suggested changes, including the recommendation from the TGA-approved Product Information that the first three doses are to be given in the inpatient setting due to the risk of CRS, was reasonable. The PBAC noted that, to align with Section 100 (Efficient Funding of Chemotherapy) requirements, the Secretariat proposed that initial treatment supply restriction would be separated into three separate restrictions (for treatment of Days 1, 8 and 15) and that minor changes would be made to the maximum quantity and number of repeats of the continuing supply restriction.</w:t>
      </w:r>
    </w:p>
    <w:p w14:paraId="48FDCE1F" w14:textId="77777777" w:rsidR="00B059F3" w:rsidRDefault="00B059F3" w:rsidP="00B059F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in March 2023 it had recommended that the time horizon in the economic model be revised from 15 years in the pre-PBAC response to 7.5 years to better reflect the historical poor prognosis of patients with metastatic disease. The PBAC noted that the resubmission proposed a time horizon of 10 years based on an updated Kaplan-Meier analysis of OS from the most recent data cut in the key clinical trial, IMCgp100-202. The PBAC considered that the updated data indicated that there may be a proportion of patients who would experience improved long-term survival and that the application of a 10-year time horizon was not unreasonable.</w:t>
      </w:r>
    </w:p>
    <w:p w14:paraId="4BD946F0" w14:textId="77777777" w:rsidR="00B059F3" w:rsidRDefault="00B059F3" w:rsidP="00B059F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recalled that in March 2023 it had requested that the utility values in the economic model be based on whether a patient was receiving or not receiving treatment, rather than the time-to-death approach that was applied, for the reasons outlined in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_Ref126936516 \r \h </w:instrText>
      </w:r>
      <w:r>
        <w:rPr>
          <w:rFonts w:asciiTheme="minorHAnsi" w:hAnsiTheme="minorHAnsi"/>
          <w:snapToGrid w:val="0"/>
          <w:lang w:val="en-GB"/>
        </w:rPr>
      </w:r>
      <w:r>
        <w:rPr>
          <w:rFonts w:asciiTheme="minorHAnsi" w:hAnsiTheme="minorHAnsi"/>
          <w:snapToGrid w:val="0"/>
          <w:lang w:val="en-GB"/>
        </w:rPr>
        <w:fldChar w:fldCharType="separate"/>
      </w:r>
      <w:r>
        <w:rPr>
          <w:rFonts w:asciiTheme="minorHAnsi" w:hAnsiTheme="minorHAnsi"/>
          <w:snapToGrid w:val="0"/>
          <w:lang w:val="en-GB"/>
        </w:rPr>
        <w:t>6.54</w:t>
      </w:r>
      <w:r>
        <w:rPr>
          <w:rFonts w:asciiTheme="minorHAnsi" w:hAnsiTheme="minorHAnsi"/>
          <w:snapToGrid w:val="0"/>
          <w:lang w:val="en-GB"/>
        </w:rPr>
        <w:fldChar w:fldCharType="end"/>
      </w:r>
      <w:r>
        <w:rPr>
          <w:rFonts w:asciiTheme="minorHAnsi" w:hAnsiTheme="minorHAnsi"/>
          <w:snapToGrid w:val="0"/>
          <w:lang w:val="en-GB"/>
        </w:rPr>
        <w:t xml:space="preserve">. The PBAC noted that the resubmission continued to apply the time-to-death approach but presented results using the on/off treatment values as a sensitivity analysis. The PBAC considered that the use of the time-to-death approach was not acceptable and did not provide a more reliable estimate of the ICER and as such considered the sensitivity analysis provided a more reasonable estimate </w:t>
      </w:r>
      <w:r>
        <w:rPr>
          <w:rFonts w:asciiTheme="minorHAnsi" w:hAnsiTheme="minorHAnsi"/>
          <w:snapToGrid w:val="0"/>
          <w:lang w:val="en-GB"/>
        </w:rPr>
        <w:lastRenderedPageBreak/>
        <w:t>of the ICER.</w:t>
      </w:r>
    </w:p>
    <w:p w14:paraId="6983508F" w14:textId="1FE9447D" w:rsidR="00B059F3" w:rsidRDefault="00B059F3" w:rsidP="00B059F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resubmission proposed a price reduction for tebentafusp, which, when incorporated into the model in conjunction with a 10-year time horizon and on/off treatment utility values, resulted in an ICER of </w:t>
      </w:r>
      <w:r w:rsidR="00EE14CE" w:rsidRPr="00EE14CE">
        <w:rPr>
          <w:rFonts w:asciiTheme="minorHAnsi" w:hAnsiTheme="minorHAnsi"/>
          <w:snapToGrid w:val="0"/>
          <w:lang w:val="en-GB"/>
        </w:rPr>
        <w:t>$75,000</w:t>
      </w:r>
      <w:r w:rsidR="00EE14CE">
        <w:rPr>
          <w:rFonts w:asciiTheme="minorHAnsi" w:hAnsiTheme="minorHAnsi"/>
          <w:snapToGrid w:val="0"/>
          <w:lang w:val="en-GB"/>
        </w:rPr>
        <w:t> </w:t>
      </w:r>
      <w:r w:rsidR="00EE14CE" w:rsidRPr="00EE14CE">
        <w:rPr>
          <w:rFonts w:asciiTheme="minorHAnsi" w:hAnsiTheme="minorHAnsi"/>
          <w:snapToGrid w:val="0"/>
          <w:lang w:val="en-GB"/>
        </w:rPr>
        <w:t>to</w:t>
      </w:r>
      <w:r w:rsidR="00EE14CE">
        <w:rPr>
          <w:rFonts w:asciiTheme="minorHAnsi" w:hAnsiTheme="minorHAnsi"/>
          <w:snapToGrid w:val="0"/>
          <w:lang w:val="en-GB"/>
        </w:rPr>
        <w:t> </w:t>
      </w:r>
      <w:r w:rsidR="00EE14CE" w:rsidRPr="00EE14CE">
        <w:rPr>
          <w:rFonts w:asciiTheme="minorHAnsi" w:hAnsiTheme="minorHAnsi"/>
          <w:snapToGrid w:val="0"/>
          <w:lang w:val="en-GB"/>
        </w:rPr>
        <w:t>&lt;</w:t>
      </w:r>
      <w:r w:rsidR="00EE14CE">
        <w:rPr>
          <w:rFonts w:asciiTheme="minorHAnsi" w:hAnsiTheme="minorHAnsi"/>
          <w:snapToGrid w:val="0"/>
          <w:lang w:val="en-GB"/>
        </w:rPr>
        <w:t> </w:t>
      </w:r>
      <w:r w:rsidR="00EE14CE" w:rsidRPr="00EE14CE">
        <w:rPr>
          <w:rFonts w:asciiTheme="minorHAnsi" w:hAnsiTheme="minorHAnsi"/>
          <w:snapToGrid w:val="0"/>
          <w:lang w:val="en-GB"/>
        </w:rPr>
        <w:t>$95,000</w:t>
      </w:r>
      <w:r w:rsidR="00152C13">
        <w:rPr>
          <w:rFonts w:asciiTheme="minorHAnsi" w:hAnsiTheme="minorHAnsi"/>
          <w:snapToGrid w:val="0"/>
          <w:lang w:val="en-GB"/>
        </w:rPr>
        <w:t xml:space="preserve"> </w:t>
      </w:r>
      <w:r>
        <w:rPr>
          <w:rFonts w:asciiTheme="minorHAnsi" w:hAnsiTheme="minorHAnsi"/>
          <w:snapToGrid w:val="0"/>
          <w:lang w:val="en-GB"/>
        </w:rPr>
        <w:t xml:space="preserve">per QALY. The PBAC noted that the ICER was higher than that presented in the March 2023 pre-PBAC response of </w:t>
      </w:r>
      <w:r w:rsidR="00EE14CE" w:rsidRPr="00EE14CE">
        <w:rPr>
          <w:rFonts w:asciiTheme="minorHAnsi" w:hAnsiTheme="minorHAnsi"/>
          <w:snapToGrid w:val="0"/>
          <w:lang w:val="en-GB"/>
        </w:rPr>
        <w:t>$75,000</w:t>
      </w:r>
      <w:r w:rsidR="00EE14CE">
        <w:rPr>
          <w:rFonts w:asciiTheme="minorHAnsi" w:hAnsiTheme="minorHAnsi"/>
          <w:snapToGrid w:val="0"/>
          <w:lang w:val="en-GB"/>
        </w:rPr>
        <w:t> </w:t>
      </w:r>
      <w:r w:rsidR="00EE14CE" w:rsidRPr="00EE14CE">
        <w:rPr>
          <w:rFonts w:asciiTheme="minorHAnsi" w:hAnsiTheme="minorHAnsi"/>
          <w:snapToGrid w:val="0"/>
          <w:lang w:val="en-GB"/>
        </w:rPr>
        <w:t>to</w:t>
      </w:r>
      <w:r w:rsidR="00EE14CE">
        <w:rPr>
          <w:rFonts w:asciiTheme="minorHAnsi" w:hAnsiTheme="minorHAnsi"/>
          <w:snapToGrid w:val="0"/>
          <w:lang w:val="en-GB"/>
        </w:rPr>
        <w:t> </w:t>
      </w:r>
      <w:r w:rsidR="00EE14CE" w:rsidRPr="00EE14CE">
        <w:rPr>
          <w:rFonts w:asciiTheme="minorHAnsi" w:hAnsiTheme="minorHAnsi"/>
          <w:snapToGrid w:val="0"/>
          <w:lang w:val="en-GB"/>
        </w:rPr>
        <w:t>&lt;</w:t>
      </w:r>
      <w:r w:rsidR="00EE14CE">
        <w:rPr>
          <w:rFonts w:asciiTheme="minorHAnsi" w:hAnsiTheme="minorHAnsi"/>
          <w:snapToGrid w:val="0"/>
          <w:lang w:val="en-GB"/>
        </w:rPr>
        <w:t> </w:t>
      </w:r>
      <w:r w:rsidR="00EE14CE" w:rsidRPr="00EE14CE">
        <w:rPr>
          <w:rFonts w:asciiTheme="minorHAnsi" w:hAnsiTheme="minorHAnsi"/>
          <w:snapToGrid w:val="0"/>
          <w:lang w:val="en-GB"/>
        </w:rPr>
        <w:t>$95,000</w:t>
      </w:r>
      <w:r>
        <w:rPr>
          <w:rFonts w:asciiTheme="minorHAnsi" w:hAnsiTheme="minorHAnsi"/>
          <w:snapToGrid w:val="0"/>
          <w:lang w:val="en-GB"/>
        </w:rPr>
        <w:t xml:space="preserve"> per QALY; however, on balance considered in the context of the</w:t>
      </w:r>
      <w:r w:rsidRPr="00F91946">
        <w:rPr>
          <w:rFonts w:asciiTheme="minorHAnsi" w:hAnsiTheme="minorHAnsi"/>
          <w:snapToGrid w:val="0"/>
          <w:lang w:val="en-GB"/>
        </w:rPr>
        <w:t xml:space="preserve"> </w:t>
      </w:r>
      <w:r>
        <w:rPr>
          <w:rFonts w:asciiTheme="minorHAnsi" w:hAnsiTheme="minorHAnsi"/>
          <w:snapToGrid w:val="0"/>
          <w:lang w:val="en-GB"/>
        </w:rPr>
        <w:t>high unmet clinical need for new treatments in this setting that tebentafusp that the ICER remained in an acceptable range.</w:t>
      </w:r>
    </w:p>
    <w:p w14:paraId="6DB662F3" w14:textId="77777777" w:rsidR="00B059F3" w:rsidRDefault="00B059F3" w:rsidP="00B059F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revised financial impact estimates which incorporated the reduced proposed price for tebentafusp and removed the costs associated with public hospital patients receiving the first three doses of treatment in the inpatient setting. The PBAC considered that the revised financial impact estimates were reasonable.</w:t>
      </w:r>
    </w:p>
    <w:p w14:paraId="08FEFECA" w14:textId="77777777" w:rsidR="00B059F3" w:rsidRPr="000C6E0D" w:rsidRDefault="00B059F3" w:rsidP="00B059F3">
      <w:pPr>
        <w:pStyle w:val="ListParagraph"/>
        <w:numPr>
          <w:ilvl w:val="1"/>
          <w:numId w:val="1"/>
        </w:numPr>
        <w:spacing w:after="160"/>
      </w:pPr>
      <w:r>
        <w:t>The PBAC recommended that the Early Supply Rule should apply.</w:t>
      </w:r>
    </w:p>
    <w:p w14:paraId="39813E43" w14:textId="77777777" w:rsidR="00B059F3" w:rsidRDefault="00B059F3" w:rsidP="00B059F3">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r>
        <w:rPr>
          <w:rFonts w:asciiTheme="minorHAnsi" w:hAnsiTheme="minorHAnsi"/>
          <w:bCs/>
          <w:snapToGrid w:val="0"/>
          <w:lang w:val="en-GB"/>
        </w:rPr>
        <w:t xml:space="preserve">tebentafusp </w:t>
      </w:r>
      <w:r w:rsidRPr="00525B39">
        <w:rPr>
          <w:rFonts w:asciiTheme="minorHAnsi" w:hAnsiTheme="minorHAnsi"/>
          <w:bCs/>
          <w:snapToGrid w:val="0"/>
          <w:lang w:val="en-GB"/>
        </w:rPr>
        <w:t>is not suitable for presc</w:t>
      </w:r>
      <w:r>
        <w:rPr>
          <w:rFonts w:asciiTheme="minorHAnsi" w:hAnsiTheme="minorHAnsi"/>
          <w:bCs/>
          <w:snapToGrid w:val="0"/>
          <w:lang w:val="en-GB"/>
        </w:rPr>
        <w:t xml:space="preserve">ribing by nurse practitioners. </w:t>
      </w:r>
    </w:p>
    <w:p w14:paraId="2E3E50A1" w14:textId="77777777" w:rsidR="00B059F3" w:rsidRPr="00F67000" w:rsidRDefault="00B059F3" w:rsidP="00B059F3">
      <w:pPr>
        <w:widowControl w:val="0"/>
        <w:numPr>
          <w:ilvl w:val="1"/>
          <w:numId w:val="1"/>
        </w:numPr>
        <w:spacing w:after="120"/>
        <w:rPr>
          <w:rFonts w:asciiTheme="minorHAnsi" w:hAnsiTheme="minorHAnsi"/>
          <w:bCs/>
          <w:snapToGrid w:val="0"/>
          <w:lang w:val="en-GB"/>
        </w:rPr>
      </w:pPr>
      <w:r w:rsidRPr="00F67000">
        <w:rPr>
          <w:rFonts w:asciiTheme="minorHAnsi" w:hAnsiTheme="minorHAnsi" w:cstheme="minorHAnsi"/>
          <w:lang w:val="en-GB"/>
        </w:rPr>
        <w:t xml:space="preserve">The PBAC found that the criteria prescribed by the </w:t>
      </w:r>
      <w:r w:rsidRPr="00F67000">
        <w:rPr>
          <w:rFonts w:asciiTheme="minorHAnsi" w:hAnsiTheme="minorHAnsi" w:cstheme="minorHAnsi"/>
          <w:i/>
          <w:lang w:val="en-GB"/>
        </w:rPr>
        <w:t>National Health (Pharmaceuticals and Vaccines – Cost Recovery) Regulations 2022</w:t>
      </w:r>
      <w:r w:rsidRPr="00F67000">
        <w:rPr>
          <w:rFonts w:asciiTheme="minorHAnsi" w:hAnsiTheme="minorHAnsi" w:cstheme="minorHAnsi"/>
          <w:lang w:val="en-GB"/>
        </w:rPr>
        <w:t xml:space="preserve"> for Pricing Pathway A were met. Specifically</w:t>
      </w:r>
      <w:r>
        <w:rPr>
          <w:rFonts w:asciiTheme="minorHAnsi" w:hAnsiTheme="minorHAnsi" w:cstheme="minorHAnsi"/>
          <w:lang w:val="en-GB"/>
        </w:rPr>
        <w:t>,</w:t>
      </w:r>
      <w:r w:rsidRPr="00F67000">
        <w:rPr>
          <w:rFonts w:asciiTheme="minorHAnsi" w:hAnsiTheme="minorHAnsi" w:cstheme="minorHAnsi"/>
          <w:lang w:val="en-GB"/>
        </w:rPr>
        <w:t xml:space="preserve"> the PBAC found that in the circumstances of its recommendation for </w:t>
      </w:r>
      <w:r>
        <w:rPr>
          <w:rFonts w:asciiTheme="minorHAnsi" w:hAnsiTheme="minorHAnsi" w:cstheme="minorHAnsi"/>
          <w:lang w:val="en-GB"/>
        </w:rPr>
        <w:t>tebentafusp</w:t>
      </w:r>
      <w:r w:rsidRPr="00F67000">
        <w:rPr>
          <w:rFonts w:asciiTheme="minorHAnsi" w:hAnsiTheme="minorHAnsi" w:cstheme="minorHAnsi"/>
          <w:lang w:val="en-GB"/>
        </w:rPr>
        <w:t>:</w:t>
      </w:r>
    </w:p>
    <w:p w14:paraId="27A8047C" w14:textId="77777777" w:rsidR="00B059F3" w:rsidRPr="00763DFB" w:rsidRDefault="00B059F3" w:rsidP="00B059F3">
      <w:pPr>
        <w:widowControl w:val="0"/>
        <w:numPr>
          <w:ilvl w:val="1"/>
          <w:numId w:val="21"/>
        </w:numPr>
        <w:spacing w:after="120"/>
        <w:ind w:left="1080"/>
        <w:rPr>
          <w:rFonts w:asciiTheme="minorHAnsi" w:hAnsiTheme="minorHAnsi" w:cstheme="minorHAnsi"/>
          <w:lang w:val="en-GB"/>
        </w:rPr>
      </w:pPr>
      <w:r w:rsidRPr="00763DFB">
        <w:rPr>
          <w:rFonts w:asciiTheme="minorHAnsi" w:hAnsiTheme="minorHAnsi" w:cstheme="minorHAnsi"/>
          <w:lang w:val="en-GB"/>
        </w:rPr>
        <w:t>The treatment is expected to provide a substantial and clinically relevant improvement in efficacy</w:t>
      </w:r>
      <w:r>
        <w:rPr>
          <w:rFonts w:asciiTheme="minorHAnsi" w:hAnsiTheme="minorHAnsi" w:cstheme="minorHAnsi"/>
          <w:lang w:val="en-GB"/>
        </w:rPr>
        <w:t xml:space="preserve"> over pembrolizumab on the basis of the OS gain observed in the IMCgp100-202 trial;</w:t>
      </w:r>
    </w:p>
    <w:p w14:paraId="73C0D446" w14:textId="77777777" w:rsidR="00B059F3" w:rsidRPr="00763DFB" w:rsidRDefault="00B059F3" w:rsidP="00B059F3">
      <w:pPr>
        <w:widowControl w:val="0"/>
        <w:numPr>
          <w:ilvl w:val="1"/>
          <w:numId w:val="21"/>
        </w:numPr>
        <w:spacing w:after="120"/>
        <w:ind w:left="1080"/>
        <w:rPr>
          <w:rFonts w:asciiTheme="minorHAnsi" w:hAnsiTheme="minorHAnsi" w:cstheme="minorHAnsi"/>
          <w:lang w:val="en-GB"/>
        </w:rPr>
      </w:pPr>
      <w:r w:rsidRPr="00763DFB">
        <w:rPr>
          <w:rFonts w:asciiTheme="minorHAnsi" w:hAnsiTheme="minorHAnsi" w:cstheme="minorHAnsi"/>
          <w:lang w:val="en-GB"/>
        </w:rPr>
        <w:t xml:space="preserve">The treatment is expected to address a high and urgent unmet clinical need </w:t>
      </w:r>
      <w:r>
        <w:rPr>
          <w:rFonts w:asciiTheme="minorHAnsi" w:hAnsiTheme="minorHAnsi" w:cstheme="minorHAnsi"/>
          <w:lang w:val="en-GB"/>
        </w:rPr>
        <w:t>in the proposed population</w:t>
      </w:r>
      <w:r w:rsidRPr="00763DFB">
        <w:rPr>
          <w:rFonts w:asciiTheme="minorHAnsi" w:hAnsiTheme="minorHAnsi" w:cstheme="minorHAnsi"/>
          <w:lang w:val="en-GB"/>
        </w:rPr>
        <w:t>;</w:t>
      </w:r>
    </w:p>
    <w:p w14:paraId="479C695B" w14:textId="77777777" w:rsidR="00B059F3" w:rsidRPr="00F67000" w:rsidRDefault="00B059F3" w:rsidP="00B059F3">
      <w:pPr>
        <w:widowControl w:val="0"/>
        <w:numPr>
          <w:ilvl w:val="1"/>
          <w:numId w:val="21"/>
        </w:numPr>
        <w:spacing w:after="120"/>
        <w:ind w:left="1080"/>
        <w:rPr>
          <w:rFonts w:asciiTheme="minorHAnsi" w:hAnsiTheme="minorHAnsi" w:cstheme="minorHAnsi"/>
          <w:lang w:val="en-GB"/>
        </w:rPr>
      </w:pPr>
      <w:r w:rsidRPr="00763DFB">
        <w:rPr>
          <w:rFonts w:asciiTheme="minorHAnsi" w:hAnsiTheme="minorHAnsi" w:cstheme="minorHAnsi"/>
          <w:lang w:val="en-GB"/>
        </w:rPr>
        <w:t>It would be in the public interest for the subsequent pricing application to be progressed under Pricing Pathway A on the basis of the preceding findings</w:t>
      </w:r>
      <w:r>
        <w:rPr>
          <w:rFonts w:asciiTheme="minorHAnsi" w:hAnsiTheme="minorHAnsi" w:cstheme="minorHAnsi"/>
          <w:lang w:val="en-GB"/>
        </w:rPr>
        <w:t>.</w:t>
      </w:r>
    </w:p>
    <w:p w14:paraId="56829F80" w14:textId="77777777" w:rsidR="00B059F3" w:rsidRPr="00F67000" w:rsidRDefault="00B059F3" w:rsidP="00B059F3">
      <w:pPr>
        <w:widowControl w:val="0"/>
        <w:numPr>
          <w:ilvl w:val="1"/>
          <w:numId w:val="1"/>
        </w:numPr>
        <w:spacing w:after="120"/>
        <w:rPr>
          <w:rFonts w:asciiTheme="minorHAnsi" w:hAnsiTheme="minorHAnsi"/>
          <w:b/>
          <w:bCs/>
          <w:snapToGrid w:val="0"/>
          <w:lang w:val="en-GB"/>
        </w:rPr>
      </w:pPr>
      <w:r w:rsidRPr="00525B39">
        <w:rPr>
          <w:rFonts w:asciiTheme="minorHAnsi" w:hAnsiTheme="minorHAnsi"/>
          <w:bCs/>
          <w:snapToGrid w:val="0"/>
          <w:lang w:val="en-GB"/>
        </w:rPr>
        <w:t>The PBAC noted that this submission is not eligible for an Independent Review</w:t>
      </w:r>
      <w:r>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 xml:space="preserve">. </w:t>
      </w:r>
    </w:p>
    <w:p w14:paraId="6C2DCA5D" w14:textId="77777777" w:rsidR="00B059F3" w:rsidRPr="00525B39" w:rsidRDefault="00B059F3" w:rsidP="00B059F3">
      <w:pPr>
        <w:widowControl w:val="0"/>
        <w:rPr>
          <w:rFonts w:asciiTheme="minorHAnsi" w:hAnsiTheme="minorHAnsi"/>
          <w:b/>
          <w:bCs/>
          <w:snapToGrid w:val="0"/>
          <w:lang w:val="en-GB"/>
        </w:rPr>
      </w:pPr>
      <w:r w:rsidRPr="00525B39">
        <w:rPr>
          <w:rFonts w:asciiTheme="minorHAnsi" w:hAnsiTheme="minorHAnsi"/>
          <w:b/>
          <w:bCs/>
          <w:snapToGrid w:val="0"/>
          <w:lang w:val="en-GB"/>
        </w:rPr>
        <w:t>Outcome:</w:t>
      </w:r>
    </w:p>
    <w:p w14:paraId="33B93BF6" w14:textId="77777777" w:rsidR="00B059F3" w:rsidRPr="00525B39" w:rsidRDefault="00B059F3" w:rsidP="00B059F3">
      <w:pPr>
        <w:rPr>
          <w:rFonts w:asciiTheme="minorHAnsi" w:hAnsiTheme="minorHAnsi"/>
          <w:bCs/>
          <w:snapToGrid w:val="0"/>
          <w:lang w:val="en-GB"/>
        </w:rPr>
      </w:pPr>
      <w:r w:rsidRPr="00525B39">
        <w:rPr>
          <w:rFonts w:asciiTheme="minorHAnsi" w:hAnsiTheme="minorHAnsi"/>
          <w:bCs/>
          <w:snapToGrid w:val="0"/>
          <w:lang w:val="en-GB"/>
        </w:rPr>
        <w:t>Recommended</w:t>
      </w:r>
    </w:p>
    <w:p w14:paraId="643E0EAD" w14:textId="77777777" w:rsidR="00B059F3" w:rsidRDefault="00B059F3" w:rsidP="00B059F3">
      <w:pPr>
        <w:pStyle w:val="2-SectionHeading"/>
      </w:pPr>
      <w:r>
        <w:t>Recommended listing</w:t>
      </w:r>
    </w:p>
    <w:p w14:paraId="3BC5F989" w14:textId="77777777" w:rsidR="00B059F3" w:rsidRPr="00F67000" w:rsidRDefault="00B059F3" w:rsidP="00B059F3">
      <w:pPr>
        <w:pStyle w:val="3-BodyText"/>
      </w:pPr>
      <w:r w:rsidRPr="00F67000">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986"/>
        <w:gridCol w:w="1843"/>
        <w:gridCol w:w="1641"/>
        <w:gridCol w:w="7"/>
      </w:tblGrid>
      <w:tr w:rsidR="00B059F3" w:rsidRPr="00952B90" w14:paraId="471990F9" w14:textId="77777777" w:rsidTr="00BE57BE">
        <w:trPr>
          <w:cantSplit/>
          <w:trHeight w:val="20"/>
        </w:trPr>
        <w:tc>
          <w:tcPr>
            <w:tcW w:w="1963" w:type="pct"/>
            <w:vAlign w:val="center"/>
          </w:tcPr>
          <w:p w14:paraId="3502CBD2" w14:textId="77777777" w:rsidR="00B059F3" w:rsidRPr="00952B90" w:rsidRDefault="00B059F3" w:rsidP="00BE57BE">
            <w:pPr>
              <w:keepNext/>
              <w:rPr>
                <w:rFonts w:ascii="Arial Narrow" w:hAnsi="Arial Narrow"/>
                <w:b/>
                <w:bCs/>
                <w:sz w:val="20"/>
                <w:szCs w:val="20"/>
              </w:rPr>
            </w:pPr>
            <w:r w:rsidRPr="00952B90">
              <w:rPr>
                <w:rFonts w:ascii="Arial Narrow" w:hAnsi="Arial Narrow"/>
                <w:b/>
                <w:bCs/>
                <w:sz w:val="20"/>
                <w:szCs w:val="20"/>
              </w:rPr>
              <w:lastRenderedPageBreak/>
              <w:t>MEDICINAL PRODUCT</w:t>
            </w:r>
          </w:p>
          <w:p w14:paraId="475202F7" w14:textId="77777777" w:rsidR="00B059F3" w:rsidRPr="00952B90" w:rsidRDefault="00B059F3" w:rsidP="00BE57BE">
            <w:pPr>
              <w:keepNext/>
              <w:rPr>
                <w:rFonts w:ascii="Arial Narrow" w:hAnsi="Arial Narrow"/>
                <w:b/>
                <w:sz w:val="20"/>
                <w:szCs w:val="20"/>
              </w:rPr>
            </w:pPr>
            <w:r w:rsidRPr="00952B90">
              <w:rPr>
                <w:rFonts w:ascii="Arial Narrow" w:hAnsi="Arial Narrow"/>
                <w:b/>
                <w:sz w:val="20"/>
                <w:szCs w:val="20"/>
              </w:rPr>
              <w:t>medicinal product pack</w:t>
            </w:r>
          </w:p>
        </w:tc>
        <w:tc>
          <w:tcPr>
            <w:tcW w:w="1101" w:type="pct"/>
            <w:vAlign w:val="center"/>
          </w:tcPr>
          <w:p w14:paraId="3048A91B" w14:textId="77777777" w:rsidR="00B059F3" w:rsidRPr="00952B90" w:rsidRDefault="00B059F3" w:rsidP="00BE57BE">
            <w:pPr>
              <w:keepNext/>
              <w:jc w:val="center"/>
              <w:rPr>
                <w:rFonts w:ascii="Arial Narrow" w:hAnsi="Arial Narrow"/>
                <w:b/>
                <w:sz w:val="20"/>
                <w:szCs w:val="20"/>
              </w:rPr>
            </w:pPr>
            <w:r w:rsidRPr="00952B90">
              <w:rPr>
                <w:rFonts w:ascii="Arial Narrow" w:hAnsi="Arial Narrow"/>
                <w:b/>
                <w:sz w:val="20"/>
                <w:szCs w:val="20"/>
              </w:rPr>
              <w:t>PBS item code</w:t>
            </w:r>
          </w:p>
        </w:tc>
        <w:tc>
          <w:tcPr>
            <w:tcW w:w="1022" w:type="pct"/>
            <w:vAlign w:val="center"/>
          </w:tcPr>
          <w:p w14:paraId="6E8C2F72" w14:textId="77777777" w:rsidR="00B059F3" w:rsidRPr="00952B90" w:rsidRDefault="00B059F3" w:rsidP="00BE57BE">
            <w:pPr>
              <w:keepNext/>
              <w:jc w:val="center"/>
              <w:rPr>
                <w:rFonts w:ascii="Arial Narrow" w:hAnsi="Arial Narrow"/>
                <w:b/>
                <w:sz w:val="20"/>
                <w:szCs w:val="20"/>
              </w:rPr>
            </w:pPr>
            <w:r w:rsidRPr="00952B90">
              <w:rPr>
                <w:rFonts w:ascii="Arial Narrow" w:hAnsi="Arial Narrow"/>
                <w:b/>
                <w:sz w:val="20"/>
                <w:szCs w:val="20"/>
              </w:rPr>
              <w:t>Max. Amount</w:t>
            </w:r>
          </w:p>
        </w:tc>
        <w:tc>
          <w:tcPr>
            <w:tcW w:w="914" w:type="pct"/>
            <w:gridSpan w:val="2"/>
            <w:vAlign w:val="center"/>
          </w:tcPr>
          <w:p w14:paraId="130522ED" w14:textId="77777777" w:rsidR="00B059F3" w:rsidRPr="00952B90" w:rsidRDefault="00B059F3" w:rsidP="00BE57BE">
            <w:pPr>
              <w:keepNext/>
              <w:jc w:val="center"/>
              <w:rPr>
                <w:rFonts w:ascii="Arial Narrow" w:hAnsi="Arial Narrow"/>
                <w:b/>
                <w:sz w:val="20"/>
                <w:szCs w:val="20"/>
              </w:rPr>
            </w:pPr>
            <w:r w:rsidRPr="00952B90">
              <w:rPr>
                <w:rFonts w:ascii="Arial Narrow" w:hAnsi="Arial Narrow"/>
                <w:b/>
                <w:sz w:val="20"/>
                <w:szCs w:val="20"/>
              </w:rPr>
              <w:t>№. of Rpts</w:t>
            </w:r>
          </w:p>
        </w:tc>
      </w:tr>
      <w:tr w:rsidR="00B059F3" w:rsidRPr="00952B90" w14:paraId="78A796EA" w14:textId="77777777" w:rsidTr="00BE57BE">
        <w:trPr>
          <w:cantSplit/>
          <w:trHeight w:val="20"/>
        </w:trPr>
        <w:tc>
          <w:tcPr>
            <w:tcW w:w="1963" w:type="pct"/>
            <w:vAlign w:val="center"/>
          </w:tcPr>
          <w:p w14:paraId="3ADB871C" w14:textId="77777777" w:rsidR="00B059F3" w:rsidRPr="00952B90" w:rsidRDefault="00B059F3" w:rsidP="00BE57BE">
            <w:pPr>
              <w:keepNext/>
              <w:rPr>
                <w:rFonts w:ascii="Arial Narrow" w:hAnsi="Arial Narrow"/>
                <w:sz w:val="20"/>
                <w:szCs w:val="20"/>
              </w:rPr>
            </w:pPr>
            <w:r w:rsidRPr="00952B90">
              <w:rPr>
                <w:rFonts w:ascii="Arial Narrow" w:hAnsi="Arial Narrow" w:cs="Arial Narrow"/>
                <w:sz w:val="20"/>
                <w:szCs w:val="20"/>
              </w:rPr>
              <w:t xml:space="preserve">TEBENTAFUSP </w:t>
            </w:r>
            <w:r w:rsidRPr="00952B90">
              <w:rPr>
                <w:rFonts w:ascii="Arial Narrow" w:hAnsi="Arial Narrow" w:cs="Arial Narrow"/>
                <w:sz w:val="20"/>
                <w:szCs w:val="20"/>
              </w:rPr>
              <w:br/>
            </w:r>
          </w:p>
        </w:tc>
        <w:tc>
          <w:tcPr>
            <w:tcW w:w="1101" w:type="pct"/>
            <w:vAlign w:val="center"/>
          </w:tcPr>
          <w:p w14:paraId="12DB112B" w14:textId="77777777" w:rsidR="00B059F3" w:rsidRPr="00952B90" w:rsidRDefault="00B059F3" w:rsidP="00BE57BE">
            <w:pPr>
              <w:keepNext/>
              <w:jc w:val="center"/>
              <w:rPr>
                <w:rFonts w:ascii="Arial Narrow" w:hAnsi="Arial Narrow"/>
                <w:sz w:val="20"/>
                <w:szCs w:val="20"/>
              </w:rPr>
            </w:pPr>
            <w:r w:rsidRPr="00952B90">
              <w:rPr>
                <w:rFonts w:ascii="Arial Narrow" w:hAnsi="Arial Narrow"/>
                <w:sz w:val="20"/>
                <w:szCs w:val="20"/>
              </w:rPr>
              <w:t>{NEW (Public)}</w:t>
            </w:r>
            <w:r w:rsidRPr="00952B90">
              <w:rPr>
                <w:rFonts w:ascii="Arial Narrow" w:hAnsi="Arial Narrow"/>
                <w:sz w:val="20"/>
                <w:szCs w:val="20"/>
              </w:rPr>
              <w:br/>
              <w:t>{NEW (Private)}</w:t>
            </w:r>
          </w:p>
        </w:tc>
        <w:tc>
          <w:tcPr>
            <w:tcW w:w="1022" w:type="pct"/>
            <w:vAlign w:val="center"/>
          </w:tcPr>
          <w:p w14:paraId="792E69D9" w14:textId="77777777" w:rsidR="00B059F3" w:rsidRPr="00952B90" w:rsidRDefault="00B059F3" w:rsidP="00BE57BE">
            <w:pPr>
              <w:keepNext/>
              <w:jc w:val="center"/>
              <w:rPr>
                <w:rFonts w:ascii="Arial Narrow" w:hAnsi="Arial Narrow"/>
                <w:sz w:val="20"/>
                <w:szCs w:val="20"/>
              </w:rPr>
            </w:pPr>
            <w:r w:rsidRPr="00B8505D">
              <w:rPr>
                <w:rFonts w:ascii="Arial Narrow" w:hAnsi="Arial Narrow"/>
                <w:strike/>
                <w:sz w:val="20"/>
                <w:szCs w:val="20"/>
              </w:rPr>
              <w:t>300</w:t>
            </w:r>
            <w:r>
              <w:rPr>
                <w:rFonts w:ascii="Arial Narrow" w:hAnsi="Arial Narrow"/>
                <w:sz w:val="20"/>
                <w:szCs w:val="20"/>
              </w:rPr>
              <w:t xml:space="preserve"> </w:t>
            </w:r>
            <w:r w:rsidRPr="00B8505D">
              <w:rPr>
                <w:rFonts w:ascii="Arial Narrow" w:hAnsi="Arial Narrow"/>
                <w:i/>
                <w:iCs/>
                <w:sz w:val="20"/>
                <w:szCs w:val="20"/>
              </w:rPr>
              <w:t>20</w:t>
            </w:r>
            <w:r>
              <w:rPr>
                <w:rFonts w:ascii="Arial Narrow" w:hAnsi="Arial Narrow"/>
                <w:sz w:val="20"/>
                <w:szCs w:val="20"/>
              </w:rPr>
              <w:t xml:space="preserve"> </w:t>
            </w:r>
            <w:r w:rsidRPr="00952B90">
              <w:rPr>
                <w:rFonts w:ascii="Arial Narrow" w:hAnsi="Arial Narrow"/>
                <w:sz w:val="20"/>
                <w:szCs w:val="20"/>
              </w:rPr>
              <w:t>mcg</w:t>
            </w:r>
          </w:p>
        </w:tc>
        <w:tc>
          <w:tcPr>
            <w:tcW w:w="914" w:type="pct"/>
            <w:gridSpan w:val="2"/>
            <w:vAlign w:val="center"/>
          </w:tcPr>
          <w:p w14:paraId="049F91C3" w14:textId="77777777" w:rsidR="00B059F3" w:rsidRPr="00952B90" w:rsidRDefault="00B059F3" w:rsidP="00BE57BE">
            <w:pPr>
              <w:keepNext/>
              <w:jc w:val="center"/>
              <w:rPr>
                <w:rFonts w:ascii="Arial Narrow" w:hAnsi="Arial Narrow"/>
                <w:sz w:val="20"/>
                <w:szCs w:val="20"/>
              </w:rPr>
            </w:pPr>
            <w:r w:rsidRPr="00952B90">
              <w:rPr>
                <w:rFonts w:ascii="Arial Narrow" w:hAnsi="Arial Narrow"/>
                <w:sz w:val="20"/>
                <w:szCs w:val="20"/>
              </w:rPr>
              <w:t>0</w:t>
            </w:r>
          </w:p>
        </w:tc>
      </w:tr>
      <w:tr w:rsidR="00B059F3" w:rsidRPr="00952B90" w14:paraId="7D3E7E1E" w14:textId="77777777" w:rsidTr="00BE57BE">
        <w:trPr>
          <w:cantSplit/>
          <w:trHeight w:val="20"/>
        </w:trPr>
        <w:tc>
          <w:tcPr>
            <w:tcW w:w="5000" w:type="pct"/>
            <w:gridSpan w:val="5"/>
            <w:vAlign w:val="center"/>
          </w:tcPr>
          <w:p w14:paraId="50558E3C" w14:textId="77777777" w:rsidR="00B059F3" w:rsidRPr="00952B90" w:rsidRDefault="00B059F3" w:rsidP="00BE57BE">
            <w:pPr>
              <w:keepNext/>
              <w:rPr>
                <w:rFonts w:ascii="Arial Narrow" w:hAnsi="Arial Narrow"/>
                <w:b/>
                <w:sz w:val="20"/>
                <w:szCs w:val="20"/>
              </w:rPr>
            </w:pPr>
            <w:r w:rsidRPr="00952B90">
              <w:rPr>
                <w:rFonts w:ascii="Arial Narrow" w:hAnsi="Arial Narrow"/>
                <w:b/>
                <w:sz w:val="20"/>
                <w:szCs w:val="20"/>
              </w:rPr>
              <w:t xml:space="preserve">Available brands </w:t>
            </w:r>
          </w:p>
        </w:tc>
      </w:tr>
      <w:tr w:rsidR="00B059F3" w:rsidRPr="00952B90" w14:paraId="65006422" w14:textId="77777777" w:rsidTr="00BE57BE">
        <w:trPr>
          <w:cantSplit/>
          <w:trHeight w:val="20"/>
        </w:trPr>
        <w:tc>
          <w:tcPr>
            <w:tcW w:w="5000" w:type="pct"/>
            <w:gridSpan w:val="5"/>
            <w:vAlign w:val="center"/>
          </w:tcPr>
          <w:p w14:paraId="61793B6F" w14:textId="77777777" w:rsidR="00B059F3" w:rsidRPr="00952B90" w:rsidRDefault="00B059F3" w:rsidP="00BE57BE">
            <w:pPr>
              <w:keepNext/>
              <w:rPr>
                <w:rFonts w:ascii="Arial Narrow" w:hAnsi="Arial Narrow"/>
                <w:sz w:val="20"/>
                <w:szCs w:val="20"/>
              </w:rPr>
            </w:pPr>
            <w:r w:rsidRPr="00952B90">
              <w:rPr>
                <w:rFonts w:ascii="Arial Narrow" w:hAnsi="Arial Narrow"/>
                <w:sz w:val="20"/>
                <w:szCs w:val="20"/>
              </w:rPr>
              <w:t>Kimmtrak</w:t>
            </w:r>
          </w:p>
          <w:p w14:paraId="02E9F8F4" w14:textId="77777777" w:rsidR="00B059F3" w:rsidRPr="00952B90" w:rsidRDefault="00B059F3" w:rsidP="00BE57BE">
            <w:pPr>
              <w:keepNext/>
              <w:rPr>
                <w:rFonts w:ascii="Arial Narrow" w:hAnsi="Arial Narrow"/>
                <w:sz w:val="20"/>
                <w:szCs w:val="20"/>
              </w:rPr>
            </w:pPr>
            <w:r w:rsidRPr="00952B90">
              <w:rPr>
                <w:rFonts w:ascii="Arial Narrow" w:hAnsi="Arial Narrow"/>
                <w:sz w:val="20"/>
                <w:szCs w:val="20"/>
              </w:rPr>
              <w:t>tebentafusp 100 microgram/0.5 mL injection, 0.5 mL vial</w:t>
            </w:r>
          </w:p>
        </w:tc>
      </w:tr>
      <w:tr w:rsidR="00B059F3" w:rsidRPr="00952B90" w14:paraId="4EEF5FBB" w14:textId="77777777" w:rsidTr="00BE57BE">
        <w:trPr>
          <w:cantSplit/>
          <w:trHeight w:val="20"/>
        </w:trPr>
        <w:tc>
          <w:tcPr>
            <w:tcW w:w="5000" w:type="pct"/>
            <w:gridSpan w:val="5"/>
            <w:vAlign w:val="center"/>
          </w:tcPr>
          <w:p w14:paraId="5B0E4EBC" w14:textId="77777777" w:rsidR="00B059F3" w:rsidRPr="00952B90" w:rsidRDefault="00B059F3" w:rsidP="00BE57BE">
            <w:pPr>
              <w:rPr>
                <w:rFonts w:ascii="Arial Narrow" w:hAnsi="Arial Narrow"/>
                <w:color w:val="FF0000"/>
                <w:sz w:val="20"/>
                <w:szCs w:val="20"/>
              </w:rPr>
            </w:pPr>
          </w:p>
        </w:tc>
      </w:tr>
      <w:tr w:rsidR="00152C13" w:rsidRPr="00952B90" w14:paraId="4E9480EA"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7BD8FDFB" w14:textId="77777777" w:rsidR="00152C13" w:rsidRPr="00952B90" w:rsidRDefault="00152C13" w:rsidP="00BE57BE">
            <w:pPr>
              <w:keepNext/>
              <w:rPr>
                <w:rFonts w:ascii="Arial Narrow" w:hAnsi="Arial Narrow"/>
                <w:sz w:val="20"/>
                <w:szCs w:val="20"/>
              </w:rPr>
            </w:pPr>
            <w:r w:rsidRPr="00952B90">
              <w:rPr>
                <w:rFonts w:ascii="Arial Narrow" w:hAnsi="Arial Narrow"/>
                <w:b/>
                <w:sz w:val="20"/>
                <w:szCs w:val="20"/>
              </w:rPr>
              <w:t xml:space="preserve">Category / Program: </w:t>
            </w:r>
            <w:r w:rsidRPr="00952B90">
              <w:rPr>
                <w:rFonts w:ascii="Arial Narrow" w:hAnsi="Arial Narrow"/>
                <w:sz w:val="20"/>
                <w:szCs w:val="20"/>
              </w:rPr>
              <w:t xml:space="preserve">Section 100 – Efficient Funding of Chemotherapy Public/Private hospitals </w:t>
            </w:r>
          </w:p>
        </w:tc>
      </w:tr>
      <w:tr w:rsidR="00152C13" w:rsidRPr="00952B90" w14:paraId="3B742884"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7077B553" w14:textId="77777777" w:rsidR="00152C13" w:rsidRPr="00952B90" w:rsidRDefault="00152C13" w:rsidP="00BE57BE">
            <w:pPr>
              <w:keepNext/>
              <w:rPr>
                <w:rFonts w:ascii="Arial Narrow" w:hAnsi="Arial Narrow"/>
                <w:b/>
                <w:sz w:val="20"/>
                <w:szCs w:val="20"/>
              </w:rPr>
            </w:pPr>
            <w:r w:rsidRPr="00952B90">
              <w:rPr>
                <w:rFonts w:ascii="Arial Narrow" w:hAnsi="Arial Narrow"/>
                <w:b/>
                <w:sz w:val="20"/>
                <w:szCs w:val="20"/>
              </w:rPr>
              <w:t>Prescriber type:</w:t>
            </w:r>
            <w:r>
              <w:rPr>
                <w:rFonts w:ascii="Arial Narrow" w:hAnsi="Arial Narrow"/>
                <w:b/>
                <w:sz w:val="20"/>
                <w:szCs w:val="20"/>
              </w:rPr>
              <w:t xml:space="preserve"> </w:t>
            </w:r>
            <w:r w:rsidRPr="00952B90">
              <w:rPr>
                <w:rFonts w:ascii="Arial Narrow" w:hAnsi="Arial Narrow"/>
                <w:sz w:val="20"/>
                <w:szCs w:val="20"/>
              </w:rPr>
              <w:fldChar w:fldCharType="begin" w:fldLock="1">
                <w:ffData>
                  <w:name w:val=""/>
                  <w:enabled/>
                  <w:calcOnExit w:val="0"/>
                  <w:checkBox>
                    <w:sizeAuto/>
                    <w:default w:val="1"/>
                  </w:checkBox>
                </w:ffData>
              </w:fldChar>
            </w:r>
            <w:r w:rsidRPr="00952B90">
              <w:rPr>
                <w:rFonts w:ascii="Arial Narrow" w:hAnsi="Arial Narrow"/>
                <w:sz w:val="20"/>
                <w:szCs w:val="20"/>
              </w:rPr>
              <w:instrText xml:space="preserve"> FORMCHECKBOX </w:instrText>
            </w:r>
            <w:r w:rsidR="00FC715B">
              <w:rPr>
                <w:rFonts w:ascii="Arial Narrow" w:hAnsi="Arial Narrow"/>
                <w:sz w:val="20"/>
                <w:szCs w:val="20"/>
              </w:rPr>
            </w:r>
            <w:r w:rsidR="00FC715B">
              <w:rPr>
                <w:rFonts w:ascii="Arial Narrow" w:hAnsi="Arial Narrow"/>
                <w:sz w:val="20"/>
                <w:szCs w:val="20"/>
              </w:rPr>
              <w:fldChar w:fldCharType="separate"/>
            </w:r>
            <w:r w:rsidRPr="00952B90">
              <w:rPr>
                <w:rFonts w:ascii="Arial Narrow" w:hAnsi="Arial Narrow"/>
                <w:sz w:val="20"/>
                <w:szCs w:val="20"/>
              </w:rPr>
              <w:fldChar w:fldCharType="end"/>
            </w:r>
            <w:r w:rsidRPr="00952B90">
              <w:rPr>
                <w:rFonts w:ascii="Arial Narrow" w:hAnsi="Arial Narrow"/>
                <w:sz w:val="20"/>
                <w:szCs w:val="20"/>
              </w:rPr>
              <w:t>Medical Practitioners</w:t>
            </w:r>
            <w:r>
              <w:rPr>
                <w:rFonts w:ascii="Arial Narrow" w:hAnsi="Arial Narrow"/>
                <w:sz w:val="20"/>
                <w:szCs w:val="20"/>
              </w:rPr>
              <w:t xml:space="preserve"> </w:t>
            </w:r>
          </w:p>
        </w:tc>
      </w:tr>
      <w:tr w:rsidR="00152C13" w:rsidRPr="00952B90" w14:paraId="211BBC58"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11F28D19" w14:textId="77777777" w:rsidR="00152C13" w:rsidRPr="00952B90" w:rsidRDefault="00152C13" w:rsidP="00BE57BE">
            <w:pPr>
              <w:rPr>
                <w:rFonts w:ascii="Arial Narrow" w:eastAsia="Calibri" w:hAnsi="Arial Narrow"/>
                <w:sz w:val="18"/>
                <w:szCs w:val="18"/>
              </w:rPr>
            </w:pPr>
            <w:r w:rsidRPr="00952B90">
              <w:rPr>
                <w:rFonts w:ascii="Arial Narrow" w:hAnsi="Arial Narrow"/>
                <w:b/>
                <w:sz w:val="20"/>
                <w:szCs w:val="20"/>
              </w:rPr>
              <w:t xml:space="preserve">Restriction type: </w:t>
            </w:r>
            <w:r w:rsidRPr="00952B90">
              <w:rPr>
                <w:rFonts w:ascii="Arial Narrow" w:eastAsia="Calibri" w:hAnsi="Arial Narrow"/>
                <w:sz w:val="20"/>
                <w:szCs w:val="20"/>
              </w:rPr>
              <w:fldChar w:fldCharType="begin" w:fldLock="1">
                <w:ffData>
                  <w:name w:val=""/>
                  <w:enabled/>
                  <w:calcOnExit w:val="0"/>
                  <w:checkBox>
                    <w:sizeAuto/>
                    <w:default w:val="1"/>
                  </w:checkBox>
                </w:ffData>
              </w:fldChar>
            </w:r>
            <w:r w:rsidRPr="00952B90">
              <w:rPr>
                <w:rFonts w:ascii="Arial Narrow" w:eastAsia="Calibri" w:hAnsi="Arial Narrow"/>
                <w:sz w:val="20"/>
                <w:szCs w:val="20"/>
              </w:rPr>
              <w:instrText xml:space="preserve"> FORMCHECKBOX </w:instrText>
            </w:r>
            <w:r w:rsidR="00FC715B">
              <w:rPr>
                <w:rFonts w:ascii="Arial Narrow" w:eastAsia="Calibri" w:hAnsi="Arial Narrow"/>
                <w:sz w:val="20"/>
                <w:szCs w:val="20"/>
              </w:rPr>
            </w:r>
            <w:r w:rsidR="00FC715B">
              <w:rPr>
                <w:rFonts w:ascii="Arial Narrow" w:eastAsia="Calibri" w:hAnsi="Arial Narrow"/>
                <w:sz w:val="20"/>
                <w:szCs w:val="20"/>
              </w:rPr>
              <w:fldChar w:fldCharType="separate"/>
            </w:r>
            <w:r w:rsidRPr="00952B90">
              <w:rPr>
                <w:rFonts w:ascii="Arial Narrow" w:eastAsia="Calibri" w:hAnsi="Arial Narrow"/>
                <w:sz w:val="20"/>
                <w:szCs w:val="20"/>
              </w:rPr>
              <w:fldChar w:fldCharType="end"/>
            </w:r>
            <w:r w:rsidRPr="00952B90">
              <w:rPr>
                <w:rFonts w:ascii="Arial Narrow" w:eastAsia="Calibri" w:hAnsi="Arial Narrow"/>
                <w:sz w:val="18"/>
                <w:szCs w:val="18"/>
              </w:rPr>
              <w:t xml:space="preserve"> </w:t>
            </w:r>
            <w:r w:rsidRPr="00952B90">
              <w:rPr>
                <w:rFonts w:ascii="Arial Narrow" w:eastAsia="Calibri" w:hAnsi="Arial Narrow"/>
                <w:sz w:val="20"/>
                <w:szCs w:val="20"/>
              </w:rPr>
              <w:t>Authority Required – immediate/real time assessment by Services Australia (telephone/online application avenues)</w:t>
            </w:r>
          </w:p>
        </w:tc>
      </w:tr>
      <w:tr w:rsidR="00152C13" w:rsidRPr="00952B90" w14:paraId="380E5A1A" w14:textId="77777777" w:rsidTr="00152C13">
        <w:tblPrEx>
          <w:tblCellMar>
            <w:top w:w="15" w:type="dxa"/>
            <w:bottom w:w="15" w:type="dxa"/>
          </w:tblCellMar>
          <w:tblLook w:val="04A0" w:firstRow="1" w:lastRow="0" w:firstColumn="1" w:lastColumn="0" w:noHBand="0" w:noVBand="1"/>
        </w:tblPrEx>
        <w:trPr>
          <w:gridAfter w:val="1"/>
          <w:wAfter w:w="4" w:type="pct"/>
          <w:trHeight w:val="102"/>
        </w:trPr>
        <w:tc>
          <w:tcPr>
            <w:tcW w:w="4996" w:type="pct"/>
            <w:gridSpan w:val="4"/>
            <w:vAlign w:val="center"/>
          </w:tcPr>
          <w:p w14:paraId="17627AD1" w14:textId="77777777" w:rsidR="00152C13" w:rsidRPr="00952B90" w:rsidRDefault="00152C13" w:rsidP="00BE57BE">
            <w:pPr>
              <w:textAlignment w:val="baseline"/>
              <w:rPr>
                <w:rFonts w:ascii="Arial Narrow" w:hAnsi="Arial Narrow"/>
                <w:color w:val="333333"/>
                <w:sz w:val="20"/>
                <w:szCs w:val="20"/>
              </w:rPr>
            </w:pPr>
            <w:r w:rsidRPr="00952B90">
              <w:rPr>
                <w:rFonts w:ascii="Arial Narrow" w:hAnsi="Arial Narrow" w:cs="Open Sans"/>
                <w:b/>
                <w:bCs/>
                <w:color w:val="333333"/>
                <w:sz w:val="20"/>
                <w:szCs w:val="20"/>
                <w:bdr w:val="none" w:sz="0" w:space="0" w:color="auto" w:frame="1"/>
              </w:rPr>
              <w:t xml:space="preserve">Administrative Advice: </w:t>
            </w:r>
            <w:r w:rsidRPr="00952B90">
              <w:rPr>
                <w:rFonts w:ascii="Arial Narrow" w:hAnsi="Arial Narrow" w:cs="Open Sans"/>
                <w:color w:val="333333"/>
                <w:sz w:val="20"/>
                <w:szCs w:val="20"/>
              </w:rPr>
              <w:t>No increase in the maximum number of repeats may be authorised.</w:t>
            </w:r>
          </w:p>
        </w:tc>
      </w:tr>
      <w:tr w:rsidR="00152C13" w:rsidRPr="00952B90" w14:paraId="60326412" w14:textId="77777777" w:rsidTr="00152C13">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775DAFE9" w14:textId="77777777" w:rsidR="00152C13" w:rsidRPr="00952B90" w:rsidRDefault="00152C13" w:rsidP="00BE57BE">
            <w:pPr>
              <w:keepLines/>
              <w:rPr>
                <w:rFonts w:ascii="Arial Narrow" w:hAnsi="Arial Narrow"/>
                <w:b/>
                <w:bCs/>
                <w:color w:val="333333"/>
                <w:sz w:val="20"/>
                <w:szCs w:val="20"/>
              </w:rPr>
            </w:pPr>
            <w:r w:rsidRPr="00952B90">
              <w:rPr>
                <w:rFonts w:ascii="Arial Narrow" w:hAnsi="Arial Narrow"/>
                <w:b/>
                <w:bCs/>
                <w:color w:val="333333"/>
                <w:sz w:val="20"/>
                <w:szCs w:val="20"/>
              </w:rPr>
              <w:t xml:space="preserve">Administrative Advice: </w:t>
            </w:r>
            <w:r w:rsidRPr="00952B90">
              <w:rPr>
                <w:rFonts w:ascii="Arial Narrow" w:hAnsi="Arial Narrow" w:cs="Open Sans"/>
                <w:color w:val="333333"/>
                <w:sz w:val="20"/>
                <w:szCs w:val="20"/>
              </w:rPr>
              <w:t>Special Pricing Arrangements apply.</w:t>
            </w:r>
          </w:p>
        </w:tc>
      </w:tr>
      <w:tr w:rsidR="00152C13" w:rsidRPr="00952B90" w14:paraId="14FA4521" w14:textId="77777777" w:rsidTr="00152C13">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0F10DCFB" w14:textId="77777777" w:rsidR="00152C13" w:rsidRPr="00952B90" w:rsidRDefault="00152C13" w:rsidP="00BE57BE">
            <w:pPr>
              <w:keepLines/>
              <w:rPr>
                <w:rFonts w:ascii="Arial Narrow" w:hAnsi="Arial Narrow"/>
                <w:b/>
                <w:bCs/>
                <w:color w:val="333333"/>
                <w:sz w:val="20"/>
                <w:szCs w:val="20"/>
              </w:rPr>
            </w:pPr>
            <w:r w:rsidRPr="00952B90">
              <w:rPr>
                <w:rFonts w:ascii="Arial Narrow" w:hAnsi="Arial Narrow"/>
                <w:b/>
                <w:bCs/>
                <w:sz w:val="20"/>
                <w:szCs w:val="20"/>
              </w:rPr>
              <w:t xml:space="preserve">Administrative Advice: </w:t>
            </w:r>
            <w:r w:rsidRPr="00952B90">
              <w:rPr>
                <w:rFonts w:ascii="Arial Narrow" w:hAnsi="Arial Narrow" w:cs="Open Sans"/>
                <w:color w:val="333333"/>
                <w:sz w:val="20"/>
                <w:szCs w:val="20"/>
              </w:rPr>
              <w:t>No increase in the maximum amount or number of units may be authorised</w:t>
            </w:r>
          </w:p>
        </w:tc>
      </w:tr>
      <w:tr w:rsidR="00152C13" w:rsidRPr="00952B90" w14:paraId="1E6ED9D1"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942B036" w14:textId="77777777" w:rsidR="00152C13" w:rsidRPr="00952B90" w:rsidRDefault="00152C13" w:rsidP="00BE57BE">
            <w:pPr>
              <w:rPr>
                <w:rFonts w:ascii="Arial Narrow" w:hAnsi="Arial Narrow"/>
                <w:b/>
                <w:bCs/>
                <w:color w:val="333333"/>
                <w:sz w:val="20"/>
                <w:szCs w:val="20"/>
              </w:rPr>
            </w:pPr>
            <w:r w:rsidRPr="00952B90">
              <w:rPr>
                <w:rFonts w:ascii="Arial Narrow" w:hAnsi="Arial Narrow"/>
                <w:b/>
                <w:bCs/>
                <w:color w:val="333333"/>
                <w:sz w:val="20"/>
                <w:szCs w:val="20"/>
              </w:rPr>
              <w:t xml:space="preserve">Administrative Advice: </w:t>
            </w:r>
            <w:r w:rsidRPr="00952B90">
              <w:rPr>
                <w:rFonts w:ascii="Arial Narrow" w:hAnsi="Arial Narrow" w:cs="Open Sans"/>
                <w:color w:val="222222"/>
                <w:sz w:val="20"/>
                <w:szCs w:val="20"/>
              </w:rPr>
              <w:t>Applications for authorisation under this restriction may be made in real time using the Online PBS Authorities system (see www.servicesaustralia.gov.au/HPOS) or by telephone by contacting Services Australia on 1800 700 270.</w:t>
            </w:r>
          </w:p>
        </w:tc>
      </w:tr>
      <w:tr w:rsidR="00152C13" w:rsidRPr="00952B90" w14:paraId="0D821635"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693C1E4" w14:textId="77777777" w:rsidR="00152C13" w:rsidRPr="00952B90" w:rsidRDefault="00152C13" w:rsidP="00BE57BE">
            <w:pPr>
              <w:keepLines/>
              <w:rPr>
                <w:rFonts w:ascii="Arial Narrow" w:hAnsi="Arial Narrow"/>
                <w:bCs/>
                <w:color w:val="333333"/>
                <w:sz w:val="20"/>
                <w:szCs w:val="20"/>
              </w:rPr>
            </w:pPr>
            <w:r w:rsidRPr="00952B90">
              <w:rPr>
                <w:rFonts w:ascii="Arial Narrow" w:hAnsi="Arial Narrow"/>
                <w:b/>
                <w:bCs/>
                <w:color w:val="333333"/>
                <w:sz w:val="20"/>
                <w:szCs w:val="20"/>
              </w:rPr>
              <w:t>Episodicity:</w:t>
            </w:r>
            <w:r w:rsidRPr="00952B90">
              <w:rPr>
                <w:rFonts w:ascii="Arial Narrow" w:hAnsi="Arial Narrow"/>
                <w:bCs/>
                <w:color w:val="FF0000"/>
                <w:sz w:val="20"/>
                <w:szCs w:val="20"/>
              </w:rPr>
              <w:t xml:space="preserve"> </w:t>
            </w:r>
            <w:r w:rsidRPr="00952B90">
              <w:rPr>
                <w:rFonts w:ascii="Arial Narrow" w:hAnsi="Arial Narrow"/>
                <w:bCs/>
                <w:sz w:val="20"/>
                <w:szCs w:val="20"/>
              </w:rPr>
              <w:t>[blank]</w:t>
            </w:r>
          </w:p>
        </w:tc>
      </w:tr>
      <w:tr w:rsidR="00152C13" w:rsidRPr="00952B90" w14:paraId="0F5A8CEC"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15BF1DE" w14:textId="77777777" w:rsidR="00152C13" w:rsidRPr="00952B90" w:rsidRDefault="00152C13" w:rsidP="00BE57BE">
            <w:pPr>
              <w:keepLines/>
              <w:rPr>
                <w:rFonts w:ascii="Arial Narrow" w:hAnsi="Arial Narrow"/>
                <w:b/>
                <w:bCs/>
                <w:color w:val="333333"/>
                <w:sz w:val="20"/>
                <w:szCs w:val="20"/>
              </w:rPr>
            </w:pPr>
            <w:r w:rsidRPr="00952B90">
              <w:rPr>
                <w:rFonts w:ascii="Arial Narrow" w:hAnsi="Arial Narrow"/>
                <w:b/>
                <w:bCs/>
                <w:color w:val="333333"/>
                <w:sz w:val="20"/>
                <w:szCs w:val="20"/>
              </w:rPr>
              <w:t xml:space="preserve">Severity: </w:t>
            </w:r>
            <w:r w:rsidRPr="00952B90">
              <w:rPr>
                <w:rFonts w:ascii="Arial Narrow" w:hAnsi="Arial Narrow"/>
                <w:color w:val="333333"/>
                <w:sz w:val="20"/>
                <w:szCs w:val="20"/>
              </w:rPr>
              <w:t>Advanced (unresectable or metastatic)</w:t>
            </w:r>
          </w:p>
        </w:tc>
      </w:tr>
      <w:tr w:rsidR="00152C13" w:rsidRPr="00952B90" w14:paraId="6B536A4F"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77AAB7A0" w14:textId="77777777" w:rsidR="00152C13" w:rsidRPr="00952B90" w:rsidRDefault="00152C13" w:rsidP="00BE57BE">
            <w:pPr>
              <w:keepLines/>
              <w:rPr>
                <w:rFonts w:ascii="Arial Narrow" w:hAnsi="Arial Narrow"/>
                <w:b/>
                <w:bCs/>
                <w:color w:val="333333"/>
                <w:sz w:val="20"/>
                <w:szCs w:val="20"/>
              </w:rPr>
            </w:pPr>
            <w:r w:rsidRPr="00952B90">
              <w:rPr>
                <w:rFonts w:ascii="Arial Narrow" w:hAnsi="Arial Narrow"/>
                <w:b/>
                <w:bCs/>
                <w:color w:val="333333"/>
                <w:sz w:val="20"/>
                <w:szCs w:val="20"/>
              </w:rPr>
              <w:t>Condition:</w:t>
            </w:r>
            <w:r>
              <w:rPr>
                <w:rFonts w:ascii="Arial Narrow" w:hAnsi="Arial Narrow"/>
                <w:b/>
                <w:bCs/>
                <w:color w:val="333333"/>
                <w:sz w:val="20"/>
                <w:szCs w:val="20"/>
              </w:rPr>
              <w:t xml:space="preserve"> </w:t>
            </w:r>
            <w:r w:rsidRPr="00952B90">
              <w:rPr>
                <w:rFonts w:ascii="Arial Narrow" w:hAnsi="Arial Narrow"/>
                <w:bCs/>
                <w:color w:val="333333"/>
                <w:sz w:val="20"/>
                <w:szCs w:val="20"/>
              </w:rPr>
              <w:t>Uveal melanoma</w:t>
            </w:r>
          </w:p>
        </w:tc>
      </w:tr>
      <w:tr w:rsidR="00152C13" w:rsidRPr="00952B90" w14:paraId="61E4F861"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1337E1FA" w14:textId="77777777" w:rsidR="00152C13" w:rsidRPr="00952B90" w:rsidRDefault="00152C13" w:rsidP="00BE57BE">
            <w:pPr>
              <w:rPr>
                <w:rFonts w:ascii="Arial Narrow" w:hAnsi="Arial Narrow" w:cs="Times New Roman"/>
                <w:sz w:val="20"/>
                <w:szCs w:val="20"/>
              </w:rPr>
            </w:pPr>
            <w:r w:rsidRPr="00952B90">
              <w:rPr>
                <w:rFonts w:ascii="Arial Narrow" w:hAnsi="Arial Narrow" w:cs="Times New Roman"/>
                <w:b/>
                <w:bCs/>
                <w:sz w:val="20"/>
                <w:szCs w:val="20"/>
              </w:rPr>
              <w:t>Indication:</w:t>
            </w:r>
            <w:r w:rsidRPr="00952B90">
              <w:rPr>
                <w:rFonts w:ascii="Arial Narrow" w:hAnsi="Arial Narrow" w:cs="Times New Roman"/>
                <w:sz w:val="18"/>
                <w:szCs w:val="18"/>
              </w:rPr>
              <w:t xml:space="preserve"> </w:t>
            </w:r>
            <w:r w:rsidRPr="00952B90">
              <w:rPr>
                <w:rFonts w:ascii="Arial Narrow" w:hAnsi="Arial Narrow" w:cs="Times New Roman"/>
                <w:sz w:val="20"/>
                <w:szCs w:val="20"/>
              </w:rPr>
              <w:t>Advanced (unresectable or metastatic) uveal melanoma</w:t>
            </w:r>
          </w:p>
        </w:tc>
      </w:tr>
      <w:tr w:rsidR="00152C13" w:rsidRPr="00952B90" w14:paraId="37F48E51"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75BB929D" w14:textId="77777777" w:rsidR="00152C13" w:rsidRPr="00952B90" w:rsidRDefault="00152C13" w:rsidP="00BE57BE">
            <w:pPr>
              <w:rPr>
                <w:rFonts w:ascii="Arial Narrow" w:hAnsi="Arial Narrow"/>
                <w:color w:val="FF0000"/>
                <w:sz w:val="20"/>
                <w:szCs w:val="20"/>
              </w:rPr>
            </w:pPr>
            <w:r w:rsidRPr="00952B90">
              <w:rPr>
                <w:rFonts w:ascii="Arial Narrow" w:hAnsi="Arial Narrow"/>
                <w:b/>
                <w:bCs/>
                <w:color w:val="333333"/>
                <w:sz w:val="20"/>
                <w:szCs w:val="20"/>
              </w:rPr>
              <w:t>Treatment Phase</w:t>
            </w:r>
            <w:r w:rsidRPr="00952B90">
              <w:rPr>
                <w:rFonts w:ascii="Arial Narrow" w:hAnsi="Arial Narrow"/>
                <w:b/>
                <w:bCs/>
                <w:sz w:val="20"/>
                <w:szCs w:val="20"/>
              </w:rPr>
              <w:t>:</w:t>
            </w:r>
            <w:r w:rsidRPr="00952B90">
              <w:rPr>
                <w:rFonts w:ascii="Arial Narrow" w:hAnsi="Arial Narrow"/>
                <w:sz w:val="20"/>
                <w:szCs w:val="20"/>
              </w:rPr>
              <w:t xml:space="preserve"> Initial treatment</w:t>
            </w:r>
            <w:r>
              <w:rPr>
                <w:rFonts w:ascii="Arial Narrow" w:hAnsi="Arial Narrow"/>
                <w:sz w:val="20"/>
                <w:szCs w:val="20"/>
              </w:rPr>
              <w:t xml:space="preserve"> – </w:t>
            </w:r>
            <w:r w:rsidRPr="00B8505D">
              <w:rPr>
                <w:rFonts w:ascii="Arial Narrow" w:hAnsi="Arial Narrow"/>
                <w:i/>
                <w:iCs/>
                <w:sz w:val="20"/>
                <w:szCs w:val="20"/>
              </w:rPr>
              <w:t>day 1</w:t>
            </w:r>
          </w:p>
        </w:tc>
      </w:tr>
      <w:tr w:rsidR="00152C13" w:rsidRPr="00952B90" w14:paraId="101281E3"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4DD7D09" w14:textId="77777777" w:rsidR="00152C13" w:rsidRPr="00952B90" w:rsidRDefault="00152C13" w:rsidP="00BE57BE">
            <w:pPr>
              <w:rPr>
                <w:rFonts w:ascii="Arial Narrow" w:hAnsi="Arial Narrow"/>
                <w:b/>
                <w:bCs/>
                <w:color w:val="333333"/>
                <w:sz w:val="20"/>
                <w:szCs w:val="20"/>
              </w:rPr>
            </w:pPr>
          </w:p>
        </w:tc>
      </w:tr>
      <w:tr w:rsidR="00152C13" w:rsidRPr="00952B90" w14:paraId="293E812E"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72510520" w14:textId="77777777" w:rsidR="00152C13" w:rsidRPr="00952B90" w:rsidRDefault="00152C13" w:rsidP="00BE57BE">
            <w:pPr>
              <w:rPr>
                <w:rFonts w:ascii="Arial Narrow" w:hAnsi="Arial Narrow"/>
                <w:color w:val="FF0000"/>
                <w:sz w:val="20"/>
                <w:szCs w:val="20"/>
              </w:rPr>
            </w:pPr>
            <w:r w:rsidRPr="00952B90">
              <w:rPr>
                <w:rFonts w:ascii="Arial Narrow" w:hAnsi="Arial Narrow"/>
                <w:b/>
                <w:bCs/>
                <w:color w:val="333333"/>
                <w:sz w:val="20"/>
                <w:szCs w:val="20"/>
              </w:rPr>
              <w:t xml:space="preserve">Clinical criteria: </w:t>
            </w:r>
          </w:p>
        </w:tc>
      </w:tr>
      <w:tr w:rsidR="00152C13" w:rsidRPr="00952B90" w14:paraId="5D3524B3"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2479516A" w14:textId="77777777" w:rsidR="00152C13" w:rsidRPr="00952B90" w:rsidRDefault="00152C13" w:rsidP="00BE57BE">
            <w:pPr>
              <w:rPr>
                <w:rFonts w:ascii="Arial Narrow" w:hAnsi="Arial Narrow" w:cs="Times New Roman"/>
                <w:color w:val="333333"/>
                <w:sz w:val="20"/>
                <w:szCs w:val="20"/>
              </w:rPr>
            </w:pPr>
            <w:r w:rsidRPr="00952B90">
              <w:rPr>
                <w:rFonts w:ascii="Arial Narrow" w:eastAsia="Calibri" w:hAnsi="Arial Narrow" w:cs="Arial Narrow"/>
                <w:sz w:val="20"/>
                <w:szCs w:val="20"/>
              </w:rPr>
              <w:t xml:space="preserve">The patient must have </w:t>
            </w:r>
            <w:r w:rsidRPr="00952B90">
              <w:rPr>
                <w:rFonts w:ascii="Arial Narrow" w:hAnsi="Arial Narrow" w:cs="Times New Roman"/>
                <w:color w:val="333333"/>
                <w:sz w:val="20"/>
                <w:szCs w:val="20"/>
              </w:rPr>
              <w:t>HLA-A*02:01-positive disease</w:t>
            </w:r>
          </w:p>
        </w:tc>
      </w:tr>
      <w:tr w:rsidR="00152C13" w:rsidRPr="00952B90" w14:paraId="246425C5"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25721389" w14:textId="77777777" w:rsidR="00152C13" w:rsidRPr="00952B90" w:rsidRDefault="00152C13" w:rsidP="00BE57BE">
            <w:pPr>
              <w:rPr>
                <w:rFonts w:ascii="Arial Narrow" w:hAnsi="Arial Narrow"/>
                <w:color w:val="333333"/>
                <w:sz w:val="20"/>
                <w:szCs w:val="20"/>
              </w:rPr>
            </w:pPr>
            <w:r w:rsidRPr="00952B90">
              <w:rPr>
                <w:rFonts w:ascii="Arial Narrow" w:hAnsi="Arial Narrow"/>
                <w:b/>
                <w:bCs/>
                <w:color w:val="333333"/>
                <w:sz w:val="20"/>
                <w:szCs w:val="20"/>
              </w:rPr>
              <w:t>AND</w:t>
            </w:r>
          </w:p>
        </w:tc>
      </w:tr>
      <w:tr w:rsidR="00152C13" w:rsidRPr="00952B90" w14:paraId="0FD2D85D"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5CAA6433" w14:textId="77777777" w:rsidR="00152C13" w:rsidRPr="00952B90" w:rsidRDefault="00152C13" w:rsidP="00BE57BE">
            <w:pPr>
              <w:rPr>
                <w:rFonts w:ascii="Arial Narrow" w:hAnsi="Arial Narrow"/>
                <w:color w:val="333333"/>
                <w:sz w:val="20"/>
                <w:szCs w:val="20"/>
              </w:rPr>
            </w:pPr>
            <w:r w:rsidRPr="00952B90">
              <w:rPr>
                <w:rFonts w:ascii="Arial Narrow" w:hAnsi="Arial Narrow"/>
                <w:b/>
                <w:bCs/>
                <w:color w:val="333333"/>
                <w:sz w:val="20"/>
                <w:szCs w:val="20"/>
              </w:rPr>
              <w:t>Clinical criteria:</w:t>
            </w:r>
          </w:p>
        </w:tc>
      </w:tr>
      <w:tr w:rsidR="00152C13" w:rsidRPr="00952B90" w14:paraId="2CF7D7A9"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7CE35EF" w14:textId="77777777" w:rsidR="00152C13" w:rsidRPr="00952B90" w:rsidRDefault="00152C13" w:rsidP="00BE57BE">
            <w:pPr>
              <w:rPr>
                <w:rFonts w:ascii="Arial Narrow" w:eastAsia="Calibri" w:hAnsi="Arial Narrow" w:cs="Arial Narrow"/>
                <w:sz w:val="20"/>
                <w:szCs w:val="20"/>
              </w:rPr>
            </w:pPr>
            <w:r w:rsidRPr="00952B90">
              <w:rPr>
                <w:rFonts w:ascii="Arial Narrow" w:eastAsia="Calibri" w:hAnsi="Arial Narrow" w:cs="Arial Narrow"/>
                <w:sz w:val="20"/>
                <w:szCs w:val="20"/>
              </w:rPr>
              <w:t xml:space="preserve">The patient must have uveal melanoma that has been confirmed either (i) histologically, (ii) cytologically </w:t>
            </w:r>
          </w:p>
        </w:tc>
      </w:tr>
      <w:tr w:rsidR="00152C13" w:rsidRPr="00952B90" w14:paraId="2BA7FFC9"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4FDEA68B" w14:textId="77777777" w:rsidR="00152C13" w:rsidRPr="00952B90" w:rsidRDefault="00152C13" w:rsidP="00BE57BE">
            <w:pPr>
              <w:rPr>
                <w:rFonts w:ascii="Arial Narrow" w:hAnsi="Arial Narrow"/>
                <w:color w:val="333333"/>
                <w:sz w:val="20"/>
                <w:szCs w:val="20"/>
              </w:rPr>
            </w:pPr>
            <w:r w:rsidRPr="00952B90">
              <w:rPr>
                <w:rFonts w:ascii="Arial Narrow" w:hAnsi="Arial Narrow"/>
                <w:b/>
                <w:bCs/>
                <w:color w:val="333333"/>
                <w:sz w:val="20"/>
                <w:szCs w:val="20"/>
              </w:rPr>
              <w:t>AND</w:t>
            </w:r>
          </w:p>
        </w:tc>
      </w:tr>
      <w:tr w:rsidR="00152C13" w:rsidRPr="00952B90" w14:paraId="0830C29C"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64D6315E" w14:textId="77777777" w:rsidR="00152C13" w:rsidRPr="00952B90" w:rsidRDefault="00152C13" w:rsidP="00BE57BE">
            <w:pPr>
              <w:rPr>
                <w:rFonts w:ascii="Arial Narrow" w:hAnsi="Arial Narrow"/>
                <w:color w:val="333333"/>
                <w:sz w:val="20"/>
                <w:szCs w:val="20"/>
              </w:rPr>
            </w:pPr>
            <w:r w:rsidRPr="00952B90">
              <w:rPr>
                <w:rFonts w:ascii="Arial Narrow" w:hAnsi="Arial Narrow"/>
                <w:b/>
                <w:bCs/>
                <w:color w:val="333333"/>
                <w:sz w:val="20"/>
                <w:szCs w:val="20"/>
              </w:rPr>
              <w:t>Clinical criteria:</w:t>
            </w:r>
          </w:p>
        </w:tc>
      </w:tr>
      <w:tr w:rsidR="00152C13" w:rsidRPr="00952B90" w14:paraId="2AA913C0"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0003BE53" w14:textId="77777777" w:rsidR="00152C13" w:rsidRPr="00952B90" w:rsidRDefault="00152C13" w:rsidP="00BE57BE">
            <w:pPr>
              <w:rPr>
                <w:rFonts w:ascii="Arial Narrow" w:hAnsi="Arial Narrow"/>
                <w:color w:val="333333"/>
                <w:sz w:val="20"/>
                <w:szCs w:val="20"/>
              </w:rPr>
            </w:pPr>
            <w:r w:rsidRPr="00952B90">
              <w:rPr>
                <w:rFonts w:ascii="Arial Narrow" w:hAnsi="Arial Narrow" w:cs="Times New Roman"/>
                <w:color w:val="333333"/>
                <w:sz w:val="20"/>
                <w:szCs w:val="20"/>
              </w:rPr>
              <w:t>The treatment must be the sole PBS</w:t>
            </w:r>
            <w:r>
              <w:rPr>
                <w:rFonts w:ascii="Arial Narrow" w:hAnsi="Arial Narrow" w:cs="Times New Roman"/>
                <w:color w:val="333333"/>
                <w:sz w:val="20"/>
                <w:szCs w:val="20"/>
              </w:rPr>
              <w:t>-</w:t>
            </w:r>
            <w:r w:rsidRPr="00952B90">
              <w:rPr>
                <w:rFonts w:ascii="Arial Narrow" w:hAnsi="Arial Narrow" w:cs="Times New Roman"/>
                <w:color w:val="333333"/>
                <w:sz w:val="20"/>
                <w:szCs w:val="20"/>
              </w:rPr>
              <w:t>subsidised therapy for this condition</w:t>
            </w:r>
          </w:p>
        </w:tc>
      </w:tr>
      <w:tr w:rsidR="00152C13" w:rsidRPr="00952B90" w14:paraId="6EBAB0AC"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4305F09" w14:textId="77777777" w:rsidR="00152C13" w:rsidRPr="00952B90" w:rsidRDefault="00152C13" w:rsidP="00BE57BE">
            <w:pPr>
              <w:rPr>
                <w:rFonts w:ascii="Arial Narrow" w:hAnsi="Arial Narrow" w:cs="Times New Roman"/>
                <w:b/>
                <w:bCs/>
                <w:color w:val="333333"/>
                <w:sz w:val="20"/>
                <w:szCs w:val="20"/>
              </w:rPr>
            </w:pPr>
            <w:r w:rsidRPr="00952B90">
              <w:rPr>
                <w:rFonts w:ascii="Arial Narrow" w:hAnsi="Arial Narrow" w:cs="Times New Roman"/>
                <w:b/>
                <w:bCs/>
                <w:color w:val="333333"/>
                <w:sz w:val="20"/>
                <w:szCs w:val="20"/>
              </w:rPr>
              <w:t>AND</w:t>
            </w:r>
          </w:p>
        </w:tc>
      </w:tr>
      <w:tr w:rsidR="00152C13" w:rsidRPr="00952B90" w14:paraId="18116362"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ED337D2" w14:textId="77777777" w:rsidR="00152C13" w:rsidRPr="00952B90" w:rsidRDefault="00152C13" w:rsidP="00BE57BE">
            <w:pPr>
              <w:rPr>
                <w:rFonts w:ascii="Arial Narrow" w:hAnsi="Arial Narrow" w:cs="Times New Roman"/>
                <w:b/>
                <w:bCs/>
                <w:color w:val="333333"/>
                <w:sz w:val="20"/>
                <w:szCs w:val="20"/>
              </w:rPr>
            </w:pPr>
            <w:r w:rsidRPr="00952B90">
              <w:rPr>
                <w:rFonts w:ascii="Arial Narrow" w:hAnsi="Arial Narrow" w:cs="Times New Roman"/>
                <w:b/>
                <w:bCs/>
                <w:color w:val="333333"/>
                <w:sz w:val="20"/>
                <w:szCs w:val="20"/>
              </w:rPr>
              <w:t>Clinical criteria:</w:t>
            </w:r>
          </w:p>
        </w:tc>
      </w:tr>
      <w:tr w:rsidR="00152C13" w:rsidRPr="00952B90" w14:paraId="4481919E"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1AB5250" w14:textId="77777777" w:rsidR="00152C13" w:rsidRPr="00952B90" w:rsidRDefault="00152C13" w:rsidP="00BE57BE">
            <w:pPr>
              <w:rPr>
                <w:rFonts w:ascii="Arial Narrow" w:hAnsi="Arial Narrow" w:cs="Times New Roman"/>
                <w:color w:val="333333"/>
                <w:sz w:val="20"/>
                <w:szCs w:val="20"/>
              </w:rPr>
            </w:pPr>
            <w:r w:rsidRPr="00952B90">
              <w:rPr>
                <w:rFonts w:ascii="Arial Narrow" w:hAnsi="Arial Narrow" w:cs="Times New Roman"/>
                <w:color w:val="333333"/>
                <w:sz w:val="20"/>
                <w:szCs w:val="20"/>
              </w:rPr>
              <w:t>The patient must not have received prior systemic therapy for metastatic disease</w:t>
            </w:r>
          </w:p>
        </w:tc>
      </w:tr>
      <w:tr w:rsidR="00152C13" w:rsidRPr="002571B1" w14:paraId="43FEEEBF"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Borders>
              <w:top w:val="single" w:sz="4" w:space="0" w:color="auto"/>
              <w:left w:val="single" w:sz="4" w:space="0" w:color="auto"/>
              <w:bottom w:val="single" w:sz="4" w:space="0" w:color="auto"/>
              <w:right w:val="single" w:sz="4" w:space="0" w:color="auto"/>
            </w:tcBorders>
            <w:vAlign w:val="center"/>
          </w:tcPr>
          <w:p w14:paraId="02A30B8E" w14:textId="77777777" w:rsidR="00152C13" w:rsidRPr="002571B1" w:rsidRDefault="00152C13" w:rsidP="00BE57BE">
            <w:pPr>
              <w:rPr>
                <w:rFonts w:ascii="Arial Narrow" w:hAnsi="Arial Narrow" w:cs="Times New Roman"/>
                <w:b/>
                <w:bCs/>
                <w:color w:val="333333"/>
                <w:sz w:val="20"/>
                <w:szCs w:val="20"/>
              </w:rPr>
            </w:pPr>
          </w:p>
        </w:tc>
      </w:tr>
      <w:tr w:rsidR="00152C13" w:rsidRPr="002571B1" w14:paraId="4A23C797"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Borders>
              <w:top w:val="single" w:sz="4" w:space="0" w:color="auto"/>
              <w:left w:val="single" w:sz="4" w:space="0" w:color="auto"/>
              <w:bottom w:val="single" w:sz="4" w:space="0" w:color="auto"/>
              <w:right w:val="single" w:sz="4" w:space="0" w:color="auto"/>
            </w:tcBorders>
            <w:vAlign w:val="center"/>
          </w:tcPr>
          <w:p w14:paraId="4E0C54F3" w14:textId="77777777" w:rsidR="00152C13" w:rsidRPr="002571B1" w:rsidRDefault="00152C13" w:rsidP="00BE57BE">
            <w:pPr>
              <w:rPr>
                <w:rFonts w:ascii="Arial Narrow" w:hAnsi="Arial Narrow" w:cs="Times New Roman"/>
                <w:b/>
                <w:bCs/>
                <w:color w:val="333333"/>
                <w:sz w:val="20"/>
                <w:szCs w:val="20"/>
              </w:rPr>
            </w:pPr>
            <w:r w:rsidRPr="002571B1">
              <w:rPr>
                <w:rFonts w:ascii="Arial Narrow" w:hAnsi="Arial Narrow" w:cs="Times New Roman"/>
                <w:b/>
                <w:bCs/>
                <w:color w:val="333333"/>
                <w:sz w:val="20"/>
                <w:szCs w:val="20"/>
              </w:rPr>
              <w:t>Population criteria:</w:t>
            </w:r>
          </w:p>
        </w:tc>
      </w:tr>
      <w:tr w:rsidR="00152C13" w:rsidRPr="00952B90" w14:paraId="7EDB62C3"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Borders>
              <w:top w:val="single" w:sz="4" w:space="0" w:color="auto"/>
              <w:left w:val="single" w:sz="4" w:space="0" w:color="auto"/>
              <w:bottom w:val="single" w:sz="4" w:space="0" w:color="auto"/>
              <w:right w:val="single" w:sz="4" w:space="0" w:color="auto"/>
            </w:tcBorders>
            <w:vAlign w:val="center"/>
          </w:tcPr>
          <w:p w14:paraId="571FED31" w14:textId="77777777" w:rsidR="00152C13" w:rsidRPr="002571B1" w:rsidRDefault="00152C13" w:rsidP="00BE57BE">
            <w:pPr>
              <w:rPr>
                <w:rFonts w:ascii="Arial Narrow" w:hAnsi="Arial Narrow" w:cs="Times New Roman"/>
                <w:color w:val="333333"/>
                <w:sz w:val="20"/>
                <w:szCs w:val="20"/>
              </w:rPr>
            </w:pPr>
            <w:r w:rsidRPr="00952B90">
              <w:rPr>
                <w:rFonts w:ascii="Arial Narrow" w:hAnsi="Arial Narrow" w:cs="Times New Roman"/>
                <w:color w:val="333333"/>
                <w:sz w:val="20"/>
                <w:szCs w:val="20"/>
              </w:rPr>
              <w:t>Patient</w:t>
            </w:r>
            <w:r w:rsidRPr="002571B1">
              <w:rPr>
                <w:rFonts w:ascii="Arial Narrow" w:hAnsi="Arial Narrow" w:cs="Times New Roman"/>
                <w:color w:val="333333"/>
                <w:sz w:val="20"/>
                <w:szCs w:val="20"/>
              </w:rPr>
              <w:t>s</w:t>
            </w:r>
            <w:r w:rsidRPr="00952B90">
              <w:rPr>
                <w:rFonts w:ascii="Arial Narrow" w:hAnsi="Arial Narrow" w:cs="Times New Roman"/>
                <w:color w:val="333333"/>
                <w:sz w:val="20"/>
                <w:szCs w:val="20"/>
              </w:rPr>
              <w:t xml:space="preserve"> must be at least 18 years</w:t>
            </w:r>
            <w:r>
              <w:rPr>
                <w:rFonts w:ascii="Arial Narrow" w:hAnsi="Arial Narrow" w:cs="Times New Roman"/>
                <w:color w:val="333333"/>
                <w:sz w:val="20"/>
                <w:szCs w:val="20"/>
              </w:rPr>
              <w:t xml:space="preserve"> of age</w:t>
            </w:r>
            <w:r w:rsidRPr="00952B90">
              <w:rPr>
                <w:rFonts w:ascii="Arial Narrow" w:hAnsi="Arial Narrow" w:cs="Times New Roman"/>
                <w:color w:val="333333"/>
                <w:sz w:val="20"/>
                <w:szCs w:val="20"/>
              </w:rPr>
              <w:t xml:space="preserve"> </w:t>
            </w:r>
          </w:p>
        </w:tc>
      </w:tr>
      <w:tr w:rsidR="00152C13" w:rsidRPr="00952B90" w14:paraId="7DEEB217"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6F0A6C6E" w14:textId="77777777" w:rsidR="00152C13" w:rsidRPr="00952B90" w:rsidRDefault="00152C13" w:rsidP="00BE57BE">
            <w:pPr>
              <w:rPr>
                <w:rFonts w:ascii="Arial Narrow" w:hAnsi="Arial Narrow" w:cs="Times New Roman"/>
                <w:color w:val="333333"/>
                <w:sz w:val="20"/>
                <w:szCs w:val="20"/>
              </w:rPr>
            </w:pPr>
          </w:p>
        </w:tc>
      </w:tr>
      <w:tr w:rsidR="00152C13" w:rsidRPr="00952B90" w14:paraId="628C7465" w14:textId="77777777" w:rsidTr="00152C13">
        <w:tblPrEx>
          <w:tblCellMar>
            <w:top w:w="15" w:type="dxa"/>
            <w:bottom w:w="15" w:type="dxa"/>
          </w:tblCellMar>
          <w:tblLook w:val="04A0" w:firstRow="1" w:lastRow="0" w:firstColumn="1" w:lastColumn="0" w:noHBand="0" w:noVBand="1"/>
        </w:tblPrEx>
        <w:trPr>
          <w:gridAfter w:val="1"/>
          <w:wAfter w:w="4" w:type="pct"/>
          <w:cantSplit/>
          <w:trHeight w:val="987"/>
        </w:trPr>
        <w:tc>
          <w:tcPr>
            <w:tcW w:w="4996" w:type="pct"/>
            <w:gridSpan w:val="4"/>
            <w:vAlign w:val="center"/>
          </w:tcPr>
          <w:p w14:paraId="494E6686" w14:textId="77777777" w:rsidR="00152C13" w:rsidRPr="00F67000" w:rsidRDefault="00152C13" w:rsidP="00BE57BE">
            <w:pPr>
              <w:rPr>
                <w:rFonts w:ascii="Arial Narrow" w:hAnsi="Arial Narrow" w:cs="Open Sans"/>
                <w:b/>
                <w:bCs/>
                <w:color w:val="222222"/>
                <w:sz w:val="20"/>
                <w:szCs w:val="20"/>
              </w:rPr>
            </w:pPr>
            <w:r w:rsidRPr="00F67000">
              <w:rPr>
                <w:rFonts w:ascii="Arial Narrow" w:hAnsi="Arial Narrow" w:cs="Open Sans"/>
                <w:b/>
                <w:bCs/>
                <w:color w:val="222222"/>
                <w:sz w:val="20"/>
                <w:szCs w:val="20"/>
              </w:rPr>
              <w:t>Prescribing instruction:</w:t>
            </w:r>
          </w:p>
          <w:p w14:paraId="5FBFF7A6" w14:textId="77777777" w:rsidR="00152C13" w:rsidRPr="00952B90" w:rsidRDefault="00152C13" w:rsidP="00BE57BE">
            <w:pPr>
              <w:rPr>
                <w:rFonts w:ascii="Arial Narrow" w:eastAsia="Calibri" w:hAnsi="Arial Narrow" w:cs="Arial Narrow"/>
                <w:strike/>
                <w:sz w:val="20"/>
                <w:szCs w:val="20"/>
              </w:rPr>
            </w:pPr>
            <w:r w:rsidRPr="00952B90">
              <w:rPr>
                <w:rFonts w:ascii="Arial Narrow" w:hAnsi="Arial Narrow" w:cs="Open Sans"/>
                <w:color w:val="222222"/>
                <w:sz w:val="20"/>
                <w:szCs w:val="20"/>
              </w:rPr>
              <w:t>According to the TGA-approved Product Information, hospitalisation is recommended at minimum for the first 3 doses (on Days 1, 8 and 15) and for at least 16 hours after each infusion is completed. If the patient does not experience hypotension that is Grade 2 or worse (requiring medical intervention) with the third dose, subsequent doses can be administered in an appropriate outpatient/ambulatory care setting. Supervision by a health care professional is recommended for a minimum of 30 minutes following each infusion.</w:t>
            </w:r>
          </w:p>
        </w:tc>
      </w:tr>
      <w:tr w:rsidR="00152C13" w:rsidRPr="00952B90" w14:paraId="04F96B38"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shd w:val="clear" w:color="auto" w:fill="auto"/>
            <w:vAlign w:val="center"/>
          </w:tcPr>
          <w:p w14:paraId="3973B505" w14:textId="77777777" w:rsidR="00152C13" w:rsidRPr="00F67000" w:rsidRDefault="00152C13" w:rsidP="00BE57BE">
            <w:pPr>
              <w:rPr>
                <w:rFonts w:ascii="Arial Narrow" w:hAnsi="Arial Narrow" w:cs="Open Sans"/>
                <w:b/>
                <w:bCs/>
                <w:color w:val="222222"/>
                <w:sz w:val="20"/>
                <w:szCs w:val="20"/>
              </w:rPr>
            </w:pPr>
            <w:r w:rsidRPr="00F67000">
              <w:rPr>
                <w:rFonts w:ascii="Arial Narrow" w:hAnsi="Arial Narrow" w:cs="Open Sans"/>
                <w:b/>
                <w:bCs/>
                <w:color w:val="222222"/>
                <w:sz w:val="20"/>
                <w:szCs w:val="20"/>
              </w:rPr>
              <w:t>Prescribing instruction:</w:t>
            </w:r>
          </w:p>
          <w:p w14:paraId="26F44B4C" w14:textId="77777777" w:rsidR="00152C13" w:rsidRPr="00952B90" w:rsidRDefault="00152C13" w:rsidP="00BE57BE">
            <w:pPr>
              <w:rPr>
                <w:rFonts w:ascii="Arial Narrow" w:hAnsi="Arial Narrow"/>
                <w:b/>
                <w:bCs/>
                <w:color w:val="333333"/>
                <w:sz w:val="20"/>
                <w:szCs w:val="20"/>
              </w:rPr>
            </w:pPr>
            <w:r w:rsidRPr="00B8505D">
              <w:rPr>
                <w:rFonts w:ascii="Arial Narrow" w:hAnsi="Arial Narrow" w:cs="Open Sans"/>
                <w:strike/>
                <w:color w:val="222222"/>
                <w:sz w:val="20"/>
                <w:szCs w:val="20"/>
              </w:rPr>
              <w:t>Tebentafusp</w:t>
            </w:r>
            <w:r w:rsidRPr="00952B90">
              <w:rPr>
                <w:rFonts w:ascii="Arial Narrow" w:hAnsi="Arial Narrow" w:cs="Open Sans"/>
                <w:color w:val="222222"/>
                <w:sz w:val="20"/>
                <w:szCs w:val="20"/>
              </w:rPr>
              <w:t xml:space="preserve"> </w:t>
            </w:r>
            <w:r w:rsidRPr="00B8505D">
              <w:rPr>
                <w:rFonts w:ascii="Arial Narrow" w:hAnsi="Arial Narrow" w:cs="Open Sans"/>
                <w:i/>
                <w:iCs/>
                <w:color w:val="222222"/>
                <w:sz w:val="20"/>
                <w:szCs w:val="20"/>
              </w:rPr>
              <w:t>This drug</w:t>
            </w:r>
            <w:r>
              <w:rPr>
                <w:rFonts w:ascii="Arial Narrow" w:hAnsi="Arial Narrow" w:cs="Open Sans"/>
                <w:color w:val="222222"/>
                <w:sz w:val="20"/>
                <w:szCs w:val="20"/>
              </w:rPr>
              <w:t xml:space="preserve"> </w:t>
            </w:r>
            <w:r w:rsidRPr="00952B90">
              <w:rPr>
                <w:rFonts w:ascii="Arial Narrow" w:hAnsi="Arial Narrow" w:cs="Open Sans"/>
                <w:color w:val="222222"/>
                <w:sz w:val="20"/>
                <w:szCs w:val="20"/>
              </w:rPr>
              <w:t>is not PBS-subsidised if it is administered to an in-patient in a public hospital setting.</w:t>
            </w:r>
          </w:p>
        </w:tc>
      </w:tr>
      <w:tr w:rsidR="00152C13" w:rsidRPr="00952B90" w14:paraId="2C768EAA" w14:textId="77777777" w:rsidTr="00152C13">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74220750" w14:textId="77777777" w:rsidR="00152C13" w:rsidRPr="00952B90" w:rsidRDefault="00152C13" w:rsidP="00BE57BE">
            <w:pPr>
              <w:rPr>
                <w:rFonts w:ascii="Arial Narrow" w:hAnsi="Arial Narrow"/>
                <w:bCs/>
                <w:color w:val="FF0000"/>
                <w:sz w:val="20"/>
                <w:szCs w:val="20"/>
              </w:rPr>
            </w:pPr>
            <w:r w:rsidRPr="00952B90">
              <w:rPr>
                <w:rFonts w:ascii="Arial Narrow" w:hAnsi="Arial Narrow"/>
                <w:b/>
                <w:bCs/>
                <w:color w:val="333333"/>
                <w:sz w:val="20"/>
                <w:szCs w:val="20"/>
              </w:rPr>
              <w:lastRenderedPageBreak/>
              <w:t xml:space="preserve">Prescribing </w:t>
            </w:r>
            <w:r>
              <w:rPr>
                <w:rFonts w:ascii="Arial Narrow" w:hAnsi="Arial Narrow"/>
                <w:b/>
                <w:bCs/>
                <w:color w:val="333333"/>
                <w:sz w:val="20"/>
                <w:szCs w:val="20"/>
              </w:rPr>
              <w:t>i</w:t>
            </w:r>
            <w:r w:rsidRPr="00952B90">
              <w:rPr>
                <w:rFonts w:ascii="Arial Narrow" w:hAnsi="Arial Narrow"/>
                <w:b/>
                <w:bCs/>
                <w:color w:val="333333"/>
                <w:sz w:val="20"/>
                <w:szCs w:val="20"/>
              </w:rPr>
              <w:t xml:space="preserve">nstruction: </w:t>
            </w:r>
          </w:p>
          <w:p w14:paraId="587F7349" w14:textId="77777777" w:rsidR="00152C13" w:rsidRPr="00952B90" w:rsidRDefault="00152C13" w:rsidP="00BE57BE">
            <w:pPr>
              <w:rPr>
                <w:rFonts w:ascii="Arial Narrow" w:hAnsi="Arial Narrow" w:cs="Arial Narrow"/>
                <w:sz w:val="20"/>
                <w:szCs w:val="20"/>
              </w:rPr>
            </w:pPr>
            <w:r w:rsidRPr="00952B90">
              <w:rPr>
                <w:rFonts w:ascii="Arial Narrow" w:hAnsi="Arial Narrow" w:cs="Times New Roman"/>
                <w:color w:val="333333"/>
                <w:sz w:val="20"/>
                <w:szCs w:val="20"/>
              </w:rPr>
              <w:t xml:space="preserve">Positive HLA-A*02:01 assessment must be documented in the patient’s medical records </w:t>
            </w:r>
          </w:p>
        </w:tc>
      </w:tr>
      <w:tr w:rsidR="00152C13" w:rsidRPr="00952B90" w14:paraId="7E26AB18" w14:textId="77777777" w:rsidTr="00152C13">
        <w:tblPrEx>
          <w:tblCellMar>
            <w:top w:w="15" w:type="dxa"/>
            <w:bottom w:w="15" w:type="dxa"/>
          </w:tblCellMar>
          <w:tblLook w:val="04A0" w:firstRow="1" w:lastRow="0" w:firstColumn="1" w:lastColumn="0" w:noHBand="0" w:noVBand="1"/>
        </w:tblPrEx>
        <w:trPr>
          <w:gridAfter w:val="1"/>
          <w:wAfter w:w="4" w:type="pct"/>
          <w:cantSplit/>
          <w:trHeight w:val="47"/>
        </w:trPr>
        <w:tc>
          <w:tcPr>
            <w:tcW w:w="4996" w:type="pct"/>
            <w:gridSpan w:val="4"/>
            <w:vAlign w:val="center"/>
          </w:tcPr>
          <w:p w14:paraId="05FAB60C" w14:textId="77777777" w:rsidR="00152C13" w:rsidRPr="00952B90" w:rsidRDefault="00152C13" w:rsidP="00BE57BE">
            <w:pPr>
              <w:rPr>
                <w:rFonts w:ascii="Arial Narrow" w:hAnsi="Arial Narrow" w:cs="Times New Roman"/>
                <w:b/>
                <w:bCs/>
                <w:color w:val="333333"/>
                <w:sz w:val="20"/>
                <w:szCs w:val="20"/>
              </w:rPr>
            </w:pPr>
          </w:p>
        </w:tc>
      </w:tr>
      <w:tr w:rsidR="00152C13" w:rsidRPr="00952B90" w14:paraId="6097969C" w14:textId="77777777" w:rsidTr="00152C13">
        <w:tblPrEx>
          <w:tblCellMar>
            <w:top w:w="15" w:type="dxa"/>
            <w:bottom w:w="15" w:type="dxa"/>
          </w:tblCellMar>
          <w:tblLook w:val="04A0" w:firstRow="1" w:lastRow="0" w:firstColumn="1" w:lastColumn="0" w:noHBand="0" w:noVBand="1"/>
        </w:tblPrEx>
        <w:trPr>
          <w:gridAfter w:val="1"/>
          <w:wAfter w:w="4" w:type="pct"/>
          <w:cantSplit/>
          <w:trHeight w:val="737"/>
        </w:trPr>
        <w:tc>
          <w:tcPr>
            <w:tcW w:w="4996" w:type="pct"/>
            <w:gridSpan w:val="4"/>
            <w:vAlign w:val="center"/>
          </w:tcPr>
          <w:p w14:paraId="1406AE9F" w14:textId="77777777" w:rsidR="00152C13" w:rsidRPr="00952B90" w:rsidRDefault="00152C13" w:rsidP="00BE57BE">
            <w:pPr>
              <w:rPr>
                <w:rFonts w:ascii="Arial Narrow" w:hAnsi="Arial Narrow" w:cs="Times New Roman"/>
                <w:color w:val="333333"/>
                <w:sz w:val="20"/>
                <w:szCs w:val="20"/>
              </w:rPr>
            </w:pPr>
            <w:r w:rsidRPr="00952B90">
              <w:rPr>
                <w:rFonts w:ascii="Arial Narrow" w:hAnsi="Arial Narrow" w:cs="Times New Roman"/>
                <w:b/>
                <w:bCs/>
                <w:color w:val="333333"/>
                <w:sz w:val="20"/>
                <w:szCs w:val="20"/>
              </w:rPr>
              <w:t>Caution:</w:t>
            </w:r>
            <w:r w:rsidRPr="00952B90">
              <w:rPr>
                <w:rFonts w:ascii="Arial Narrow" w:hAnsi="Arial Narrow" w:cs="Times New Roman"/>
                <w:color w:val="333333"/>
                <w:sz w:val="20"/>
                <w:szCs w:val="20"/>
              </w:rPr>
              <w:t xml:space="preserve"> </w:t>
            </w:r>
          </w:p>
          <w:p w14:paraId="5F65D48A" w14:textId="77777777" w:rsidR="00152C13" w:rsidRPr="00952B90" w:rsidRDefault="00152C13" w:rsidP="00BE57BE">
            <w:pPr>
              <w:rPr>
                <w:rFonts w:ascii="Arial Narrow" w:hAnsi="Arial Narrow"/>
                <w:color w:val="333333"/>
                <w:sz w:val="20"/>
                <w:szCs w:val="20"/>
              </w:rPr>
            </w:pPr>
            <w:r w:rsidRPr="00952B90">
              <w:rPr>
                <w:rFonts w:ascii="Arial Narrow" w:hAnsi="Arial Narrow" w:cs="Open Sans"/>
                <w:color w:val="222222"/>
                <w:sz w:val="20"/>
                <w:szCs w:val="20"/>
                <w:shd w:val="clear" w:color="auto" w:fill="FFFFFF"/>
              </w:rPr>
              <w:t>Careful monitoring of patients is required due to risk of developing life-threatening Cytokine Release Syndrome</w:t>
            </w:r>
            <w:r w:rsidRPr="00952B90">
              <w:rPr>
                <w:rFonts w:ascii="Open Sans" w:hAnsi="Open Sans" w:cs="Open Sans"/>
                <w:color w:val="222222"/>
                <w:sz w:val="20"/>
                <w:szCs w:val="20"/>
                <w:shd w:val="clear" w:color="auto" w:fill="FFFFFF"/>
              </w:rPr>
              <w:t>.</w:t>
            </w:r>
          </w:p>
        </w:tc>
      </w:tr>
    </w:tbl>
    <w:p w14:paraId="3279CEC4" w14:textId="77777777" w:rsidR="00B059F3" w:rsidRDefault="00B059F3" w:rsidP="00B059F3">
      <w:pPr>
        <w:rPr>
          <w:rFonts w:eastAsia="MS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986"/>
        <w:gridCol w:w="1843"/>
        <w:gridCol w:w="1641"/>
        <w:gridCol w:w="7"/>
      </w:tblGrid>
      <w:tr w:rsidR="00B059F3" w:rsidRPr="00B8505D" w14:paraId="790BB4AC" w14:textId="77777777" w:rsidTr="00BE57BE">
        <w:trPr>
          <w:cantSplit/>
          <w:trHeight w:val="20"/>
        </w:trPr>
        <w:tc>
          <w:tcPr>
            <w:tcW w:w="1963" w:type="pct"/>
            <w:vAlign w:val="center"/>
          </w:tcPr>
          <w:p w14:paraId="05FE04DB" w14:textId="77777777" w:rsidR="00B059F3" w:rsidRPr="00B8505D" w:rsidRDefault="00B059F3" w:rsidP="00BE57BE">
            <w:pPr>
              <w:keepNext/>
              <w:rPr>
                <w:rFonts w:ascii="Arial Narrow" w:hAnsi="Arial Narrow"/>
                <w:b/>
                <w:bCs/>
                <w:i/>
                <w:iCs/>
                <w:sz w:val="20"/>
                <w:szCs w:val="20"/>
              </w:rPr>
            </w:pPr>
            <w:r w:rsidRPr="00B8505D">
              <w:rPr>
                <w:rFonts w:ascii="Arial Narrow" w:hAnsi="Arial Narrow"/>
                <w:b/>
                <w:bCs/>
                <w:i/>
                <w:iCs/>
                <w:sz w:val="20"/>
                <w:szCs w:val="20"/>
              </w:rPr>
              <w:t>MEDICINAL PRODUCT</w:t>
            </w:r>
          </w:p>
          <w:p w14:paraId="7D0CFC41" w14:textId="77777777" w:rsidR="00B059F3" w:rsidRPr="00B8505D" w:rsidRDefault="00B059F3" w:rsidP="00BE57BE">
            <w:pPr>
              <w:keepNext/>
              <w:rPr>
                <w:rFonts w:ascii="Arial Narrow" w:hAnsi="Arial Narrow"/>
                <w:b/>
                <w:i/>
                <w:iCs/>
                <w:sz w:val="20"/>
                <w:szCs w:val="20"/>
              </w:rPr>
            </w:pPr>
            <w:r w:rsidRPr="00B8505D">
              <w:rPr>
                <w:rFonts w:ascii="Arial Narrow" w:hAnsi="Arial Narrow"/>
                <w:b/>
                <w:i/>
                <w:iCs/>
                <w:sz w:val="20"/>
                <w:szCs w:val="20"/>
              </w:rPr>
              <w:t>medicinal product pack</w:t>
            </w:r>
          </w:p>
        </w:tc>
        <w:tc>
          <w:tcPr>
            <w:tcW w:w="1101" w:type="pct"/>
            <w:vAlign w:val="center"/>
          </w:tcPr>
          <w:p w14:paraId="76363A61" w14:textId="77777777" w:rsidR="00B059F3" w:rsidRPr="00B8505D" w:rsidRDefault="00B059F3" w:rsidP="00BE57BE">
            <w:pPr>
              <w:keepNext/>
              <w:jc w:val="center"/>
              <w:rPr>
                <w:rFonts w:ascii="Arial Narrow" w:hAnsi="Arial Narrow"/>
                <w:b/>
                <w:i/>
                <w:iCs/>
                <w:sz w:val="20"/>
                <w:szCs w:val="20"/>
              </w:rPr>
            </w:pPr>
            <w:r w:rsidRPr="00B8505D">
              <w:rPr>
                <w:rFonts w:ascii="Arial Narrow" w:hAnsi="Arial Narrow"/>
                <w:b/>
                <w:i/>
                <w:iCs/>
                <w:sz w:val="20"/>
                <w:szCs w:val="20"/>
              </w:rPr>
              <w:t>PBS item code</w:t>
            </w:r>
          </w:p>
        </w:tc>
        <w:tc>
          <w:tcPr>
            <w:tcW w:w="1022" w:type="pct"/>
            <w:vAlign w:val="center"/>
          </w:tcPr>
          <w:p w14:paraId="196A8351" w14:textId="77777777" w:rsidR="00B059F3" w:rsidRPr="00B8505D" w:rsidRDefault="00B059F3" w:rsidP="00BE57BE">
            <w:pPr>
              <w:keepNext/>
              <w:jc w:val="center"/>
              <w:rPr>
                <w:rFonts w:ascii="Arial Narrow" w:hAnsi="Arial Narrow"/>
                <w:b/>
                <w:i/>
                <w:iCs/>
                <w:sz w:val="20"/>
                <w:szCs w:val="20"/>
              </w:rPr>
            </w:pPr>
            <w:r w:rsidRPr="00B8505D">
              <w:rPr>
                <w:rFonts w:ascii="Arial Narrow" w:hAnsi="Arial Narrow"/>
                <w:b/>
                <w:i/>
                <w:iCs/>
                <w:sz w:val="20"/>
                <w:szCs w:val="20"/>
              </w:rPr>
              <w:t>Max. Amount</w:t>
            </w:r>
          </w:p>
        </w:tc>
        <w:tc>
          <w:tcPr>
            <w:tcW w:w="914" w:type="pct"/>
            <w:gridSpan w:val="2"/>
            <w:vAlign w:val="center"/>
          </w:tcPr>
          <w:p w14:paraId="263C7971" w14:textId="77777777" w:rsidR="00B059F3" w:rsidRPr="00B8505D" w:rsidRDefault="00B059F3" w:rsidP="00BE57BE">
            <w:pPr>
              <w:keepNext/>
              <w:jc w:val="center"/>
              <w:rPr>
                <w:rFonts w:ascii="Arial Narrow" w:hAnsi="Arial Narrow"/>
                <w:b/>
                <w:i/>
                <w:iCs/>
                <w:sz w:val="20"/>
                <w:szCs w:val="20"/>
              </w:rPr>
            </w:pPr>
            <w:r w:rsidRPr="00B8505D">
              <w:rPr>
                <w:rFonts w:ascii="Arial Narrow" w:hAnsi="Arial Narrow"/>
                <w:b/>
                <w:i/>
                <w:iCs/>
                <w:sz w:val="20"/>
                <w:szCs w:val="20"/>
              </w:rPr>
              <w:t>№. of Rpts</w:t>
            </w:r>
          </w:p>
        </w:tc>
      </w:tr>
      <w:tr w:rsidR="00B059F3" w:rsidRPr="00B8505D" w14:paraId="3BD05BDE" w14:textId="77777777" w:rsidTr="00BE57BE">
        <w:trPr>
          <w:cantSplit/>
          <w:trHeight w:val="20"/>
        </w:trPr>
        <w:tc>
          <w:tcPr>
            <w:tcW w:w="1963" w:type="pct"/>
            <w:vAlign w:val="center"/>
          </w:tcPr>
          <w:p w14:paraId="511F1568" w14:textId="77777777" w:rsidR="00B059F3" w:rsidRPr="00B8505D" w:rsidRDefault="00B059F3" w:rsidP="00BE57BE">
            <w:pPr>
              <w:keepNext/>
              <w:rPr>
                <w:rFonts w:ascii="Arial Narrow" w:hAnsi="Arial Narrow"/>
                <w:i/>
                <w:iCs/>
                <w:sz w:val="20"/>
                <w:szCs w:val="20"/>
              </w:rPr>
            </w:pPr>
            <w:r w:rsidRPr="00B8505D">
              <w:rPr>
                <w:rFonts w:ascii="Arial Narrow" w:hAnsi="Arial Narrow" w:cs="Arial Narrow"/>
                <w:i/>
                <w:iCs/>
                <w:sz w:val="20"/>
                <w:szCs w:val="20"/>
              </w:rPr>
              <w:t xml:space="preserve">TEBENTAFUSP </w:t>
            </w:r>
            <w:r w:rsidRPr="00B8505D">
              <w:rPr>
                <w:rFonts w:ascii="Arial Narrow" w:hAnsi="Arial Narrow" w:cs="Arial Narrow"/>
                <w:i/>
                <w:iCs/>
                <w:sz w:val="20"/>
                <w:szCs w:val="20"/>
              </w:rPr>
              <w:br/>
            </w:r>
          </w:p>
        </w:tc>
        <w:tc>
          <w:tcPr>
            <w:tcW w:w="1101" w:type="pct"/>
            <w:vAlign w:val="center"/>
          </w:tcPr>
          <w:p w14:paraId="3085186A" w14:textId="77777777" w:rsidR="00B059F3" w:rsidRPr="00B8505D" w:rsidRDefault="00B059F3" w:rsidP="00BE57BE">
            <w:pPr>
              <w:keepNext/>
              <w:jc w:val="center"/>
              <w:rPr>
                <w:rFonts w:ascii="Arial Narrow" w:hAnsi="Arial Narrow"/>
                <w:i/>
                <w:iCs/>
                <w:sz w:val="20"/>
                <w:szCs w:val="20"/>
              </w:rPr>
            </w:pPr>
            <w:r w:rsidRPr="00B8505D">
              <w:rPr>
                <w:rFonts w:ascii="Arial Narrow" w:hAnsi="Arial Narrow"/>
                <w:i/>
                <w:iCs/>
                <w:sz w:val="20"/>
                <w:szCs w:val="20"/>
              </w:rPr>
              <w:t>{NEW (Public)}</w:t>
            </w:r>
            <w:r w:rsidRPr="00B8505D">
              <w:rPr>
                <w:rFonts w:ascii="Arial Narrow" w:hAnsi="Arial Narrow"/>
                <w:i/>
                <w:iCs/>
                <w:sz w:val="20"/>
                <w:szCs w:val="20"/>
              </w:rPr>
              <w:br/>
              <w:t>{NEW (Private)}</w:t>
            </w:r>
          </w:p>
        </w:tc>
        <w:tc>
          <w:tcPr>
            <w:tcW w:w="1022" w:type="pct"/>
            <w:vAlign w:val="center"/>
          </w:tcPr>
          <w:p w14:paraId="7D0667FB" w14:textId="77777777" w:rsidR="00B059F3" w:rsidRPr="00B8505D" w:rsidRDefault="00B059F3" w:rsidP="00BE57BE">
            <w:pPr>
              <w:keepNext/>
              <w:jc w:val="center"/>
              <w:rPr>
                <w:rFonts w:ascii="Arial Narrow" w:hAnsi="Arial Narrow"/>
                <w:i/>
                <w:iCs/>
                <w:sz w:val="20"/>
                <w:szCs w:val="20"/>
              </w:rPr>
            </w:pPr>
            <w:r w:rsidRPr="00B8505D">
              <w:rPr>
                <w:rFonts w:ascii="Arial Narrow" w:hAnsi="Arial Narrow"/>
                <w:i/>
                <w:iCs/>
                <w:sz w:val="20"/>
                <w:szCs w:val="20"/>
              </w:rPr>
              <w:t>30 mcg</w:t>
            </w:r>
          </w:p>
        </w:tc>
        <w:tc>
          <w:tcPr>
            <w:tcW w:w="914" w:type="pct"/>
            <w:gridSpan w:val="2"/>
            <w:vAlign w:val="center"/>
          </w:tcPr>
          <w:p w14:paraId="79D00157" w14:textId="77777777" w:rsidR="00B059F3" w:rsidRPr="00B8505D" w:rsidRDefault="00B059F3" w:rsidP="00BE57BE">
            <w:pPr>
              <w:keepNext/>
              <w:jc w:val="center"/>
              <w:rPr>
                <w:rFonts w:ascii="Arial Narrow" w:hAnsi="Arial Narrow"/>
                <w:i/>
                <w:iCs/>
                <w:sz w:val="20"/>
                <w:szCs w:val="20"/>
              </w:rPr>
            </w:pPr>
            <w:r w:rsidRPr="00B8505D">
              <w:rPr>
                <w:rFonts w:ascii="Arial Narrow" w:hAnsi="Arial Narrow"/>
                <w:i/>
                <w:iCs/>
                <w:sz w:val="20"/>
                <w:szCs w:val="20"/>
              </w:rPr>
              <w:t>0</w:t>
            </w:r>
          </w:p>
        </w:tc>
      </w:tr>
      <w:tr w:rsidR="00B059F3" w:rsidRPr="00B8505D" w14:paraId="03A7943D" w14:textId="77777777" w:rsidTr="00BE57BE">
        <w:trPr>
          <w:cantSplit/>
          <w:trHeight w:val="20"/>
        </w:trPr>
        <w:tc>
          <w:tcPr>
            <w:tcW w:w="5000" w:type="pct"/>
            <w:gridSpan w:val="5"/>
            <w:vAlign w:val="center"/>
          </w:tcPr>
          <w:p w14:paraId="436137D4" w14:textId="77777777" w:rsidR="00B059F3" w:rsidRPr="00B8505D" w:rsidRDefault="00B059F3" w:rsidP="00BE57BE">
            <w:pPr>
              <w:keepNext/>
              <w:rPr>
                <w:rFonts w:ascii="Arial Narrow" w:hAnsi="Arial Narrow"/>
                <w:b/>
                <w:i/>
                <w:iCs/>
                <w:sz w:val="20"/>
                <w:szCs w:val="20"/>
              </w:rPr>
            </w:pPr>
            <w:r w:rsidRPr="00B8505D">
              <w:rPr>
                <w:rFonts w:ascii="Arial Narrow" w:hAnsi="Arial Narrow"/>
                <w:b/>
                <w:i/>
                <w:iCs/>
                <w:sz w:val="20"/>
                <w:szCs w:val="20"/>
              </w:rPr>
              <w:t xml:space="preserve">Available brands </w:t>
            </w:r>
          </w:p>
        </w:tc>
      </w:tr>
      <w:tr w:rsidR="00B059F3" w:rsidRPr="00B8505D" w14:paraId="74CBD5AB" w14:textId="77777777" w:rsidTr="00BE57BE">
        <w:trPr>
          <w:cantSplit/>
          <w:trHeight w:val="20"/>
        </w:trPr>
        <w:tc>
          <w:tcPr>
            <w:tcW w:w="5000" w:type="pct"/>
            <w:gridSpan w:val="5"/>
            <w:vAlign w:val="center"/>
          </w:tcPr>
          <w:p w14:paraId="4EEEA1EE" w14:textId="77777777" w:rsidR="00B059F3" w:rsidRPr="00B8505D" w:rsidRDefault="00B059F3" w:rsidP="00BE57BE">
            <w:pPr>
              <w:keepNext/>
              <w:rPr>
                <w:rFonts w:ascii="Arial Narrow" w:hAnsi="Arial Narrow"/>
                <w:i/>
                <w:iCs/>
                <w:sz w:val="20"/>
                <w:szCs w:val="20"/>
              </w:rPr>
            </w:pPr>
            <w:r w:rsidRPr="00B8505D">
              <w:rPr>
                <w:rFonts w:ascii="Arial Narrow" w:hAnsi="Arial Narrow"/>
                <w:i/>
                <w:iCs/>
                <w:sz w:val="20"/>
                <w:szCs w:val="20"/>
              </w:rPr>
              <w:t>Kimmtrak</w:t>
            </w:r>
          </w:p>
          <w:p w14:paraId="33C70306" w14:textId="77777777" w:rsidR="00B059F3" w:rsidRPr="00B8505D" w:rsidRDefault="00B059F3" w:rsidP="00BE57BE">
            <w:pPr>
              <w:keepNext/>
              <w:rPr>
                <w:rFonts w:ascii="Arial Narrow" w:hAnsi="Arial Narrow"/>
                <w:i/>
                <w:iCs/>
                <w:sz w:val="20"/>
                <w:szCs w:val="20"/>
              </w:rPr>
            </w:pPr>
            <w:r w:rsidRPr="00B8505D">
              <w:rPr>
                <w:rFonts w:ascii="Arial Narrow" w:hAnsi="Arial Narrow"/>
                <w:i/>
                <w:iCs/>
                <w:sz w:val="20"/>
                <w:szCs w:val="20"/>
              </w:rPr>
              <w:t>tebentafusp 100 microgram/0.5 mL injection, 0.5 mL vial</w:t>
            </w:r>
          </w:p>
        </w:tc>
      </w:tr>
      <w:tr w:rsidR="00B059F3" w:rsidRPr="00B8505D" w14:paraId="4C669EC4" w14:textId="77777777" w:rsidTr="00BE57BE">
        <w:trPr>
          <w:cantSplit/>
          <w:trHeight w:val="20"/>
        </w:trPr>
        <w:tc>
          <w:tcPr>
            <w:tcW w:w="5000" w:type="pct"/>
            <w:gridSpan w:val="5"/>
            <w:vAlign w:val="center"/>
          </w:tcPr>
          <w:p w14:paraId="4AD0EED1" w14:textId="77777777" w:rsidR="00B059F3" w:rsidRPr="00B8505D" w:rsidRDefault="00B059F3" w:rsidP="00BE57BE">
            <w:pPr>
              <w:rPr>
                <w:rFonts w:ascii="Arial Narrow" w:hAnsi="Arial Narrow"/>
                <w:i/>
                <w:iCs/>
                <w:color w:val="FF0000"/>
                <w:sz w:val="20"/>
                <w:szCs w:val="20"/>
              </w:rPr>
            </w:pPr>
          </w:p>
        </w:tc>
      </w:tr>
      <w:tr w:rsidR="00152C13" w:rsidRPr="00B8505D" w14:paraId="5E693333"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3C9294F4" w14:textId="77777777" w:rsidR="00152C13" w:rsidRPr="00B8505D" w:rsidRDefault="00152C13" w:rsidP="00BE57BE">
            <w:pPr>
              <w:keepNext/>
              <w:rPr>
                <w:rFonts w:ascii="Arial Narrow" w:hAnsi="Arial Narrow"/>
                <w:i/>
                <w:iCs/>
                <w:sz w:val="20"/>
                <w:szCs w:val="20"/>
              </w:rPr>
            </w:pPr>
            <w:r w:rsidRPr="00B8505D">
              <w:rPr>
                <w:rFonts w:ascii="Arial Narrow" w:hAnsi="Arial Narrow"/>
                <w:b/>
                <w:i/>
                <w:iCs/>
                <w:sz w:val="20"/>
                <w:szCs w:val="20"/>
              </w:rPr>
              <w:t xml:space="preserve">Category / Program: </w:t>
            </w:r>
            <w:r w:rsidRPr="00B8505D">
              <w:rPr>
                <w:rFonts w:ascii="Arial Narrow" w:hAnsi="Arial Narrow"/>
                <w:i/>
                <w:iCs/>
                <w:sz w:val="20"/>
                <w:szCs w:val="20"/>
              </w:rPr>
              <w:t xml:space="preserve">Section 100 – Efficient Funding of Chemotherapy Public/Private hospitals </w:t>
            </w:r>
          </w:p>
        </w:tc>
      </w:tr>
      <w:tr w:rsidR="00152C13" w:rsidRPr="00B8505D" w14:paraId="7C24F535"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594661DB" w14:textId="77777777" w:rsidR="00152C13" w:rsidRPr="00B8505D" w:rsidRDefault="00152C13" w:rsidP="00BE57BE">
            <w:pPr>
              <w:keepNext/>
              <w:rPr>
                <w:rFonts w:ascii="Arial Narrow" w:hAnsi="Arial Narrow"/>
                <w:b/>
                <w:i/>
                <w:iCs/>
                <w:sz w:val="20"/>
                <w:szCs w:val="20"/>
              </w:rPr>
            </w:pPr>
            <w:r w:rsidRPr="00B8505D">
              <w:rPr>
                <w:rFonts w:ascii="Arial Narrow" w:hAnsi="Arial Narrow"/>
                <w:b/>
                <w:i/>
                <w:iCs/>
                <w:sz w:val="20"/>
                <w:szCs w:val="20"/>
              </w:rPr>
              <w:t>Prescriber type:</w:t>
            </w:r>
            <w:r>
              <w:rPr>
                <w:rFonts w:ascii="Arial Narrow" w:hAnsi="Arial Narrow"/>
                <w:b/>
                <w:i/>
                <w:iCs/>
                <w:sz w:val="20"/>
                <w:szCs w:val="20"/>
              </w:rPr>
              <w:t xml:space="preserve"> </w:t>
            </w:r>
            <w:r w:rsidRPr="00B8505D">
              <w:rPr>
                <w:rFonts w:ascii="Arial Narrow" w:hAnsi="Arial Narrow"/>
                <w:i/>
                <w:iCs/>
                <w:sz w:val="20"/>
                <w:szCs w:val="20"/>
              </w:rPr>
              <w:fldChar w:fldCharType="begin" w:fldLock="1">
                <w:ffData>
                  <w:name w:val=""/>
                  <w:enabled/>
                  <w:calcOnExit w:val="0"/>
                  <w:checkBox>
                    <w:sizeAuto/>
                    <w:default w:val="1"/>
                  </w:checkBox>
                </w:ffData>
              </w:fldChar>
            </w:r>
            <w:r w:rsidRPr="00B8505D">
              <w:rPr>
                <w:rFonts w:ascii="Arial Narrow" w:hAnsi="Arial Narrow"/>
                <w:i/>
                <w:iCs/>
                <w:sz w:val="20"/>
                <w:szCs w:val="20"/>
              </w:rPr>
              <w:instrText xml:space="preserve"> FORMCHECKBOX </w:instrText>
            </w:r>
            <w:r w:rsidR="00FC715B">
              <w:rPr>
                <w:rFonts w:ascii="Arial Narrow" w:hAnsi="Arial Narrow"/>
                <w:i/>
                <w:iCs/>
                <w:sz w:val="20"/>
                <w:szCs w:val="20"/>
              </w:rPr>
            </w:r>
            <w:r w:rsidR="00FC715B">
              <w:rPr>
                <w:rFonts w:ascii="Arial Narrow" w:hAnsi="Arial Narrow"/>
                <w:i/>
                <w:iCs/>
                <w:sz w:val="20"/>
                <w:szCs w:val="20"/>
              </w:rPr>
              <w:fldChar w:fldCharType="separate"/>
            </w:r>
            <w:r w:rsidRPr="00B8505D">
              <w:rPr>
                <w:rFonts w:ascii="Arial Narrow" w:hAnsi="Arial Narrow"/>
                <w:i/>
                <w:iCs/>
                <w:sz w:val="20"/>
                <w:szCs w:val="20"/>
              </w:rPr>
              <w:fldChar w:fldCharType="end"/>
            </w:r>
            <w:r w:rsidRPr="00B8505D">
              <w:rPr>
                <w:rFonts w:ascii="Arial Narrow" w:hAnsi="Arial Narrow"/>
                <w:i/>
                <w:iCs/>
                <w:sz w:val="20"/>
                <w:szCs w:val="20"/>
              </w:rPr>
              <w:t>Medical Practitioners</w:t>
            </w:r>
            <w:r>
              <w:rPr>
                <w:rFonts w:ascii="Arial Narrow" w:hAnsi="Arial Narrow"/>
                <w:i/>
                <w:iCs/>
                <w:sz w:val="20"/>
                <w:szCs w:val="20"/>
              </w:rPr>
              <w:t xml:space="preserve"> </w:t>
            </w:r>
          </w:p>
        </w:tc>
      </w:tr>
      <w:tr w:rsidR="00152C13" w:rsidRPr="00B8505D" w14:paraId="2083E823"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19850E57" w14:textId="77777777" w:rsidR="00152C13" w:rsidRPr="00B8505D" w:rsidRDefault="00152C13" w:rsidP="00BE57BE">
            <w:pPr>
              <w:rPr>
                <w:rFonts w:ascii="Arial Narrow" w:eastAsia="Calibri" w:hAnsi="Arial Narrow"/>
                <w:i/>
                <w:iCs/>
                <w:sz w:val="18"/>
                <w:szCs w:val="18"/>
              </w:rPr>
            </w:pPr>
            <w:r w:rsidRPr="00B8505D">
              <w:rPr>
                <w:rFonts w:ascii="Arial Narrow" w:hAnsi="Arial Narrow"/>
                <w:b/>
                <w:i/>
                <w:iCs/>
                <w:sz w:val="20"/>
                <w:szCs w:val="20"/>
              </w:rPr>
              <w:t xml:space="preserve">Restriction type: </w:t>
            </w:r>
            <w:r w:rsidRPr="00B8505D">
              <w:rPr>
                <w:rFonts w:ascii="Arial Narrow" w:eastAsia="Calibri" w:hAnsi="Arial Narrow"/>
                <w:i/>
                <w:iCs/>
                <w:sz w:val="20"/>
                <w:szCs w:val="20"/>
              </w:rPr>
              <w:fldChar w:fldCharType="begin" w:fldLock="1">
                <w:ffData>
                  <w:name w:val=""/>
                  <w:enabled/>
                  <w:calcOnExit w:val="0"/>
                  <w:checkBox>
                    <w:sizeAuto/>
                    <w:default w:val="1"/>
                  </w:checkBox>
                </w:ffData>
              </w:fldChar>
            </w:r>
            <w:r w:rsidRPr="00B8505D">
              <w:rPr>
                <w:rFonts w:ascii="Arial Narrow" w:eastAsia="Calibri" w:hAnsi="Arial Narrow"/>
                <w:i/>
                <w:iCs/>
                <w:sz w:val="20"/>
                <w:szCs w:val="20"/>
              </w:rPr>
              <w:instrText xml:space="preserve"> FORMCHECKBOX </w:instrText>
            </w:r>
            <w:r w:rsidR="00FC715B">
              <w:rPr>
                <w:rFonts w:ascii="Arial Narrow" w:eastAsia="Calibri" w:hAnsi="Arial Narrow"/>
                <w:i/>
                <w:iCs/>
                <w:sz w:val="20"/>
                <w:szCs w:val="20"/>
              </w:rPr>
            </w:r>
            <w:r w:rsidR="00FC715B">
              <w:rPr>
                <w:rFonts w:ascii="Arial Narrow" w:eastAsia="Calibri" w:hAnsi="Arial Narrow"/>
                <w:i/>
                <w:iCs/>
                <w:sz w:val="20"/>
                <w:szCs w:val="20"/>
              </w:rPr>
              <w:fldChar w:fldCharType="separate"/>
            </w:r>
            <w:r w:rsidRPr="00B8505D">
              <w:rPr>
                <w:rFonts w:ascii="Arial Narrow" w:eastAsia="Calibri" w:hAnsi="Arial Narrow"/>
                <w:i/>
                <w:iCs/>
                <w:sz w:val="20"/>
                <w:szCs w:val="20"/>
              </w:rPr>
              <w:fldChar w:fldCharType="end"/>
            </w:r>
            <w:r w:rsidRPr="00B8505D">
              <w:rPr>
                <w:rFonts w:ascii="Arial Narrow" w:eastAsia="Calibri" w:hAnsi="Arial Narrow"/>
                <w:i/>
                <w:iCs/>
                <w:sz w:val="18"/>
                <w:szCs w:val="18"/>
              </w:rPr>
              <w:t xml:space="preserve"> </w:t>
            </w:r>
            <w:r w:rsidRPr="00B8505D">
              <w:rPr>
                <w:rFonts w:ascii="Arial Narrow" w:eastAsia="Calibri" w:hAnsi="Arial Narrow"/>
                <w:i/>
                <w:iCs/>
                <w:sz w:val="20"/>
                <w:szCs w:val="20"/>
              </w:rPr>
              <w:t xml:space="preserve">Authority Required – </w:t>
            </w:r>
            <w:r>
              <w:rPr>
                <w:rFonts w:ascii="Arial Narrow" w:eastAsia="Calibri" w:hAnsi="Arial Narrow"/>
                <w:i/>
                <w:iCs/>
                <w:sz w:val="20"/>
                <w:szCs w:val="20"/>
              </w:rPr>
              <w:t>streamlined (new code)</w:t>
            </w:r>
          </w:p>
        </w:tc>
      </w:tr>
      <w:tr w:rsidR="00152C13" w:rsidRPr="00B8505D" w14:paraId="61933C45" w14:textId="77777777" w:rsidTr="00A87A77">
        <w:tblPrEx>
          <w:tblCellMar>
            <w:top w:w="15" w:type="dxa"/>
            <w:bottom w:w="15" w:type="dxa"/>
          </w:tblCellMar>
          <w:tblLook w:val="04A0" w:firstRow="1" w:lastRow="0" w:firstColumn="1" w:lastColumn="0" w:noHBand="0" w:noVBand="1"/>
        </w:tblPrEx>
        <w:trPr>
          <w:gridAfter w:val="1"/>
          <w:wAfter w:w="4" w:type="pct"/>
          <w:trHeight w:val="102"/>
        </w:trPr>
        <w:tc>
          <w:tcPr>
            <w:tcW w:w="4996" w:type="pct"/>
            <w:gridSpan w:val="4"/>
            <w:vAlign w:val="center"/>
          </w:tcPr>
          <w:p w14:paraId="0ABBCC24" w14:textId="77777777" w:rsidR="00152C13" w:rsidRPr="00B8505D" w:rsidRDefault="00152C13" w:rsidP="00BE57BE">
            <w:pPr>
              <w:textAlignment w:val="baseline"/>
              <w:rPr>
                <w:rFonts w:ascii="Arial Narrow" w:hAnsi="Arial Narrow"/>
                <w:i/>
                <w:iCs/>
                <w:color w:val="333333"/>
                <w:sz w:val="20"/>
                <w:szCs w:val="20"/>
              </w:rPr>
            </w:pPr>
            <w:r w:rsidRPr="00B8505D">
              <w:rPr>
                <w:rFonts w:ascii="Arial Narrow" w:hAnsi="Arial Narrow" w:cs="Open Sans"/>
                <w:b/>
                <w:bCs/>
                <w:i/>
                <w:iCs/>
                <w:color w:val="333333"/>
                <w:sz w:val="20"/>
                <w:szCs w:val="20"/>
                <w:bdr w:val="none" w:sz="0" w:space="0" w:color="auto" w:frame="1"/>
              </w:rPr>
              <w:t xml:space="preserve">Administrative Advice: </w:t>
            </w:r>
            <w:r w:rsidRPr="00B8505D">
              <w:rPr>
                <w:rFonts w:ascii="Arial Narrow" w:hAnsi="Arial Narrow" w:cs="Open Sans"/>
                <w:i/>
                <w:iCs/>
                <w:color w:val="333333"/>
                <w:sz w:val="20"/>
                <w:szCs w:val="20"/>
              </w:rPr>
              <w:t>No increase in the maximum number of repeats may be authorised.</w:t>
            </w:r>
          </w:p>
        </w:tc>
      </w:tr>
      <w:tr w:rsidR="00152C13" w:rsidRPr="00B8505D" w14:paraId="571DFFB5" w14:textId="77777777" w:rsidTr="00A87A77">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0BDA7743" w14:textId="77777777" w:rsidR="00152C13" w:rsidRPr="00B8505D" w:rsidRDefault="00152C13" w:rsidP="00BE57BE">
            <w:pPr>
              <w:keepLines/>
              <w:rPr>
                <w:rFonts w:ascii="Arial Narrow" w:hAnsi="Arial Narrow"/>
                <w:b/>
                <w:bCs/>
                <w:i/>
                <w:iCs/>
                <w:color w:val="333333"/>
                <w:sz w:val="20"/>
                <w:szCs w:val="20"/>
              </w:rPr>
            </w:pPr>
            <w:r w:rsidRPr="00B8505D">
              <w:rPr>
                <w:rFonts w:ascii="Arial Narrow" w:hAnsi="Arial Narrow"/>
                <w:b/>
                <w:bCs/>
                <w:i/>
                <w:iCs/>
                <w:color w:val="333333"/>
                <w:sz w:val="20"/>
                <w:szCs w:val="20"/>
              </w:rPr>
              <w:t xml:space="preserve">Administrative Advice: </w:t>
            </w:r>
            <w:r w:rsidRPr="00B8505D">
              <w:rPr>
                <w:rFonts w:ascii="Arial Narrow" w:hAnsi="Arial Narrow" w:cs="Open Sans"/>
                <w:i/>
                <w:iCs/>
                <w:color w:val="333333"/>
                <w:sz w:val="20"/>
                <w:szCs w:val="20"/>
              </w:rPr>
              <w:t>Special Pricing Arrangements apply.</w:t>
            </w:r>
          </w:p>
        </w:tc>
      </w:tr>
      <w:tr w:rsidR="00152C13" w:rsidRPr="00B8505D" w14:paraId="4B55EE46" w14:textId="77777777" w:rsidTr="00A87A77">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03D63257" w14:textId="77777777" w:rsidR="00152C13" w:rsidRPr="00B8505D" w:rsidRDefault="00152C13" w:rsidP="00BE57BE">
            <w:pPr>
              <w:keepLines/>
              <w:rPr>
                <w:rFonts w:ascii="Arial Narrow" w:hAnsi="Arial Narrow"/>
                <w:b/>
                <w:bCs/>
                <w:i/>
                <w:iCs/>
                <w:color w:val="333333"/>
                <w:sz w:val="20"/>
                <w:szCs w:val="20"/>
              </w:rPr>
            </w:pPr>
            <w:r w:rsidRPr="00B8505D">
              <w:rPr>
                <w:rFonts w:ascii="Arial Narrow" w:hAnsi="Arial Narrow"/>
                <w:b/>
                <w:bCs/>
                <w:i/>
                <w:iCs/>
                <w:sz w:val="20"/>
                <w:szCs w:val="20"/>
              </w:rPr>
              <w:t xml:space="preserve">Administrative Advice: </w:t>
            </w:r>
            <w:r w:rsidRPr="00B8505D">
              <w:rPr>
                <w:rFonts w:ascii="Arial Narrow" w:hAnsi="Arial Narrow" w:cs="Open Sans"/>
                <w:i/>
                <w:iCs/>
                <w:color w:val="333333"/>
                <w:sz w:val="20"/>
                <w:szCs w:val="20"/>
              </w:rPr>
              <w:t>No increase in the maximum amount or number of units may be authorised</w:t>
            </w:r>
          </w:p>
        </w:tc>
      </w:tr>
      <w:tr w:rsidR="00152C13" w:rsidRPr="00B8505D" w14:paraId="1A503A7A"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3F432DE" w14:textId="52F5407B" w:rsidR="00152C13" w:rsidRPr="00B8505D" w:rsidRDefault="00152C13" w:rsidP="00BE57BE">
            <w:pPr>
              <w:rPr>
                <w:rFonts w:ascii="Arial Narrow" w:hAnsi="Arial Narrow"/>
                <w:b/>
                <w:bCs/>
                <w:i/>
                <w:iCs/>
                <w:color w:val="333333"/>
                <w:sz w:val="20"/>
                <w:szCs w:val="20"/>
              </w:rPr>
            </w:pPr>
            <w:r w:rsidRPr="00B8505D">
              <w:rPr>
                <w:rFonts w:ascii="Arial Narrow" w:hAnsi="Arial Narrow"/>
                <w:b/>
                <w:bCs/>
                <w:i/>
                <w:iCs/>
                <w:color w:val="333333"/>
                <w:sz w:val="20"/>
                <w:szCs w:val="20"/>
              </w:rPr>
              <w:t xml:space="preserve">Administrative Advice: </w:t>
            </w:r>
            <w:r w:rsidRPr="00B8505D">
              <w:rPr>
                <w:rFonts w:ascii="Arial Narrow" w:hAnsi="Arial Narrow" w:cs="Open Sans"/>
                <w:i/>
                <w:iCs/>
                <w:color w:val="222222"/>
                <w:sz w:val="20"/>
                <w:szCs w:val="20"/>
              </w:rPr>
              <w:t>Applications for authorisation under this restriction may be made in real time using the Online PBS Authorities system (see www.servicesaustralia.gov.au/HPOS) or by telephone by contacting Services Australia on 1800 700 270</w:t>
            </w:r>
          </w:p>
        </w:tc>
      </w:tr>
      <w:tr w:rsidR="00152C13" w:rsidRPr="00B8505D" w14:paraId="44A8B820"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3D356677" w14:textId="77777777" w:rsidR="00152C13" w:rsidRPr="00B8505D" w:rsidRDefault="00152C13" w:rsidP="00BE57BE">
            <w:pPr>
              <w:keepLines/>
              <w:rPr>
                <w:rFonts w:ascii="Arial Narrow" w:hAnsi="Arial Narrow"/>
                <w:bCs/>
                <w:i/>
                <w:iCs/>
                <w:color w:val="333333"/>
                <w:sz w:val="20"/>
                <w:szCs w:val="20"/>
              </w:rPr>
            </w:pPr>
            <w:r w:rsidRPr="00B8505D">
              <w:rPr>
                <w:rFonts w:ascii="Arial Narrow" w:hAnsi="Arial Narrow"/>
                <w:b/>
                <w:bCs/>
                <w:i/>
                <w:iCs/>
                <w:color w:val="333333"/>
                <w:sz w:val="20"/>
                <w:szCs w:val="20"/>
              </w:rPr>
              <w:t>Episodicity:</w:t>
            </w:r>
            <w:r w:rsidRPr="00B8505D">
              <w:rPr>
                <w:rFonts w:ascii="Arial Narrow" w:hAnsi="Arial Narrow"/>
                <w:bCs/>
                <w:i/>
                <w:iCs/>
                <w:color w:val="FF0000"/>
                <w:sz w:val="20"/>
                <w:szCs w:val="20"/>
              </w:rPr>
              <w:t xml:space="preserve"> </w:t>
            </w:r>
            <w:r w:rsidRPr="00B8505D">
              <w:rPr>
                <w:rFonts w:ascii="Arial Narrow" w:hAnsi="Arial Narrow"/>
                <w:bCs/>
                <w:i/>
                <w:iCs/>
                <w:sz w:val="20"/>
                <w:szCs w:val="20"/>
              </w:rPr>
              <w:t>[blank]</w:t>
            </w:r>
          </w:p>
        </w:tc>
      </w:tr>
      <w:tr w:rsidR="00152C13" w:rsidRPr="00B8505D" w14:paraId="55584F91"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E2DFD39" w14:textId="77777777" w:rsidR="00152C13" w:rsidRPr="00B8505D" w:rsidRDefault="00152C13" w:rsidP="00BE57BE">
            <w:pPr>
              <w:keepLines/>
              <w:rPr>
                <w:rFonts w:ascii="Arial Narrow" w:hAnsi="Arial Narrow"/>
                <w:b/>
                <w:bCs/>
                <w:i/>
                <w:iCs/>
                <w:color w:val="333333"/>
                <w:sz w:val="20"/>
                <w:szCs w:val="20"/>
              </w:rPr>
            </w:pPr>
            <w:r w:rsidRPr="00B8505D">
              <w:rPr>
                <w:rFonts w:ascii="Arial Narrow" w:hAnsi="Arial Narrow"/>
                <w:b/>
                <w:bCs/>
                <w:i/>
                <w:iCs/>
                <w:color w:val="333333"/>
                <w:sz w:val="20"/>
                <w:szCs w:val="20"/>
              </w:rPr>
              <w:t xml:space="preserve">Severity: </w:t>
            </w:r>
            <w:r w:rsidRPr="00B8505D">
              <w:rPr>
                <w:rFonts w:ascii="Arial Narrow" w:hAnsi="Arial Narrow"/>
                <w:i/>
                <w:iCs/>
                <w:color w:val="333333"/>
                <w:sz w:val="20"/>
                <w:szCs w:val="20"/>
              </w:rPr>
              <w:t>Advanced (unresectable or metastatic)</w:t>
            </w:r>
          </w:p>
        </w:tc>
      </w:tr>
      <w:tr w:rsidR="00152C13" w:rsidRPr="00B8505D" w14:paraId="50EC94CF"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24AF6D8" w14:textId="77777777" w:rsidR="00152C13" w:rsidRPr="00B8505D" w:rsidRDefault="00152C13" w:rsidP="00BE57BE">
            <w:pPr>
              <w:keepLines/>
              <w:rPr>
                <w:rFonts w:ascii="Arial Narrow" w:hAnsi="Arial Narrow"/>
                <w:b/>
                <w:bCs/>
                <w:i/>
                <w:iCs/>
                <w:color w:val="333333"/>
                <w:sz w:val="20"/>
                <w:szCs w:val="20"/>
              </w:rPr>
            </w:pPr>
            <w:r w:rsidRPr="00B8505D">
              <w:rPr>
                <w:rFonts w:ascii="Arial Narrow" w:hAnsi="Arial Narrow"/>
                <w:b/>
                <w:bCs/>
                <w:i/>
                <w:iCs/>
                <w:color w:val="333333"/>
                <w:sz w:val="20"/>
                <w:szCs w:val="20"/>
              </w:rPr>
              <w:t>Condition:</w:t>
            </w:r>
            <w:r>
              <w:rPr>
                <w:rFonts w:ascii="Arial Narrow" w:hAnsi="Arial Narrow"/>
                <w:b/>
                <w:bCs/>
                <w:i/>
                <w:iCs/>
                <w:color w:val="333333"/>
                <w:sz w:val="20"/>
                <w:szCs w:val="20"/>
              </w:rPr>
              <w:t xml:space="preserve"> </w:t>
            </w:r>
            <w:r w:rsidRPr="00B8505D">
              <w:rPr>
                <w:rFonts w:ascii="Arial Narrow" w:hAnsi="Arial Narrow"/>
                <w:bCs/>
                <w:i/>
                <w:iCs/>
                <w:color w:val="333333"/>
                <w:sz w:val="20"/>
                <w:szCs w:val="20"/>
              </w:rPr>
              <w:t>Uveal melanoma</w:t>
            </w:r>
          </w:p>
        </w:tc>
      </w:tr>
      <w:tr w:rsidR="00152C13" w:rsidRPr="00B8505D" w14:paraId="15609F17"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1CFF9E17" w14:textId="77777777" w:rsidR="00152C13" w:rsidRPr="00B8505D" w:rsidRDefault="00152C13" w:rsidP="00BE57BE">
            <w:pPr>
              <w:rPr>
                <w:rFonts w:ascii="Arial Narrow" w:hAnsi="Arial Narrow" w:cs="Times New Roman"/>
                <w:i/>
                <w:iCs/>
                <w:sz w:val="20"/>
                <w:szCs w:val="20"/>
              </w:rPr>
            </w:pPr>
            <w:r w:rsidRPr="00B8505D">
              <w:rPr>
                <w:rFonts w:ascii="Arial Narrow" w:hAnsi="Arial Narrow" w:cs="Times New Roman"/>
                <w:b/>
                <w:bCs/>
                <w:i/>
                <w:iCs/>
                <w:sz w:val="20"/>
                <w:szCs w:val="20"/>
              </w:rPr>
              <w:t>Indication:</w:t>
            </w:r>
            <w:r w:rsidRPr="00B8505D">
              <w:rPr>
                <w:rFonts w:ascii="Arial Narrow" w:hAnsi="Arial Narrow" w:cs="Times New Roman"/>
                <w:i/>
                <w:iCs/>
                <w:sz w:val="18"/>
                <w:szCs w:val="18"/>
              </w:rPr>
              <w:t xml:space="preserve"> </w:t>
            </w:r>
            <w:r w:rsidRPr="00B8505D">
              <w:rPr>
                <w:rFonts w:ascii="Arial Narrow" w:hAnsi="Arial Narrow" w:cs="Times New Roman"/>
                <w:i/>
                <w:iCs/>
                <w:sz w:val="20"/>
                <w:szCs w:val="20"/>
              </w:rPr>
              <w:t>Advanced (unresectable or metastatic) uveal melanoma</w:t>
            </w:r>
          </w:p>
        </w:tc>
      </w:tr>
      <w:tr w:rsidR="00152C13" w:rsidRPr="00B8505D" w14:paraId="3A79E2DF"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1779E604" w14:textId="77777777" w:rsidR="00152C13" w:rsidRPr="00B8505D" w:rsidRDefault="00152C13" w:rsidP="00BE57BE">
            <w:pPr>
              <w:rPr>
                <w:rFonts w:ascii="Arial Narrow" w:hAnsi="Arial Narrow"/>
                <w:i/>
                <w:iCs/>
                <w:color w:val="FF0000"/>
                <w:sz w:val="20"/>
                <w:szCs w:val="20"/>
              </w:rPr>
            </w:pPr>
            <w:r w:rsidRPr="00B8505D">
              <w:rPr>
                <w:rFonts w:ascii="Arial Narrow" w:hAnsi="Arial Narrow"/>
                <w:b/>
                <w:bCs/>
                <w:i/>
                <w:iCs/>
                <w:color w:val="333333"/>
                <w:sz w:val="20"/>
                <w:szCs w:val="20"/>
              </w:rPr>
              <w:t>Treatment Phase</w:t>
            </w:r>
            <w:r w:rsidRPr="00B8505D">
              <w:rPr>
                <w:rFonts w:ascii="Arial Narrow" w:hAnsi="Arial Narrow"/>
                <w:b/>
                <w:bCs/>
                <w:i/>
                <w:iCs/>
                <w:sz w:val="20"/>
                <w:szCs w:val="20"/>
              </w:rPr>
              <w:t>:</w:t>
            </w:r>
            <w:r w:rsidRPr="00B8505D">
              <w:rPr>
                <w:rFonts w:ascii="Arial Narrow" w:hAnsi="Arial Narrow"/>
                <w:i/>
                <w:iCs/>
                <w:sz w:val="20"/>
                <w:szCs w:val="20"/>
              </w:rPr>
              <w:t xml:space="preserve"> Initial treatment – day 8</w:t>
            </w:r>
          </w:p>
        </w:tc>
      </w:tr>
      <w:tr w:rsidR="00152C13" w:rsidRPr="00B8505D" w14:paraId="255BA7D2"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CDD0026" w14:textId="77777777" w:rsidR="00152C13" w:rsidRPr="00B8505D" w:rsidRDefault="00152C13" w:rsidP="00BE57BE">
            <w:pPr>
              <w:rPr>
                <w:rFonts w:ascii="Arial Narrow" w:hAnsi="Arial Narrow"/>
                <w:b/>
                <w:bCs/>
                <w:i/>
                <w:iCs/>
                <w:color w:val="333333"/>
                <w:sz w:val="20"/>
                <w:szCs w:val="20"/>
              </w:rPr>
            </w:pPr>
          </w:p>
        </w:tc>
      </w:tr>
      <w:tr w:rsidR="00152C13" w:rsidRPr="00B8505D" w14:paraId="4324AA10"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21548951" w14:textId="77777777" w:rsidR="00152C13" w:rsidRPr="00B8505D" w:rsidRDefault="00152C13" w:rsidP="00BE57BE">
            <w:pPr>
              <w:rPr>
                <w:rFonts w:ascii="Arial Narrow" w:hAnsi="Arial Narrow"/>
                <w:i/>
                <w:iCs/>
                <w:color w:val="FF0000"/>
                <w:sz w:val="20"/>
                <w:szCs w:val="20"/>
              </w:rPr>
            </w:pPr>
            <w:r w:rsidRPr="00B8505D">
              <w:rPr>
                <w:rFonts w:ascii="Arial Narrow" w:hAnsi="Arial Narrow"/>
                <w:b/>
                <w:bCs/>
                <w:i/>
                <w:iCs/>
                <w:color w:val="333333"/>
                <w:sz w:val="20"/>
                <w:szCs w:val="20"/>
              </w:rPr>
              <w:t xml:space="preserve">Clinical criteria: </w:t>
            </w:r>
          </w:p>
        </w:tc>
      </w:tr>
      <w:tr w:rsidR="00152C13" w:rsidRPr="00B8505D" w14:paraId="026CF597"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5301AD94" w14:textId="77777777" w:rsidR="00152C13" w:rsidRPr="00B8505D" w:rsidRDefault="00152C13" w:rsidP="00BE57BE">
            <w:pPr>
              <w:rPr>
                <w:rFonts w:ascii="Arial Narrow" w:hAnsi="Arial Narrow" w:cs="Times New Roman"/>
                <w:i/>
                <w:iCs/>
                <w:color w:val="333333"/>
                <w:sz w:val="20"/>
                <w:szCs w:val="20"/>
              </w:rPr>
            </w:pPr>
            <w:r w:rsidRPr="00B8505D">
              <w:rPr>
                <w:rFonts w:ascii="Arial Narrow" w:eastAsia="Calibri" w:hAnsi="Arial Narrow" w:cs="Arial Narrow"/>
                <w:i/>
                <w:iCs/>
                <w:sz w:val="20"/>
                <w:szCs w:val="20"/>
              </w:rPr>
              <w:t xml:space="preserve">The patient must have </w:t>
            </w:r>
            <w:r w:rsidRPr="00B8505D">
              <w:rPr>
                <w:rFonts w:ascii="Arial Narrow" w:hAnsi="Arial Narrow" w:cs="Times New Roman"/>
                <w:i/>
                <w:iCs/>
                <w:color w:val="333333"/>
                <w:sz w:val="20"/>
                <w:szCs w:val="20"/>
              </w:rPr>
              <w:t>HLA-A*02:01-positive disease</w:t>
            </w:r>
          </w:p>
        </w:tc>
      </w:tr>
      <w:tr w:rsidR="00152C13" w:rsidRPr="00B8505D" w14:paraId="70FF8667"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56CC26F6" w14:textId="77777777" w:rsidR="00152C13" w:rsidRPr="00B8505D" w:rsidRDefault="00152C13" w:rsidP="00BE57BE">
            <w:pPr>
              <w:rPr>
                <w:rFonts w:ascii="Arial Narrow" w:hAnsi="Arial Narrow"/>
                <w:i/>
                <w:iCs/>
                <w:color w:val="333333"/>
                <w:sz w:val="20"/>
                <w:szCs w:val="20"/>
              </w:rPr>
            </w:pPr>
            <w:r w:rsidRPr="00B8505D">
              <w:rPr>
                <w:rFonts w:ascii="Arial Narrow" w:hAnsi="Arial Narrow"/>
                <w:b/>
                <w:bCs/>
                <w:i/>
                <w:iCs/>
                <w:color w:val="333333"/>
                <w:sz w:val="20"/>
                <w:szCs w:val="20"/>
              </w:rPr>
              <w:t>AND</w:t>
            </w:r>
          </w:p>
        </w:tc>
      </w:tr>
      <w:tr w:rsidR="00152C13" w:rsidRPr="00B8505D" w14:paraId="26B6009F"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03BDE2E4" w14:textId="77777777" w:rsidR="00152C13" w:rsidRPr="00B8505D" w:rsidRDefault="00152C13" w:rsidP="00BE57BE">
            <w:pPr>
              <w:rPr>
                <w:rFonts w:ascii="Arial Narrow" w:hAnsi="Arial Narrow"/>
                <w:i/>
                <w:iCs/>
                <w:color w:val="333333"/>
                <w:sz w:val="20"/>
                <w:szCs w:val="20"/>
              </w:rPr>
            </w:pPr>
            <w:r w:rsidRPr="00B8505D">
              <w:rPr>
                <w:rFonts w:ascii="Arial Narrow" w:hAnsi="Arial Narrow"/>
                <w:b/>
                <w:bCs/>
                <w:i/>
                <w:iCs/>
                <w:color w:val="333333"/>
                <w:sz w:val="20"/>
                <w:szCs w:val="20"/>
              </w:rPr>
              <w:t>Clinical criteria:</w:t>
            </w:r>
          </w:p>
        </w:tc>
      </w:tr>
      <w:tr w:rsidR="00152C13" w:rsidRPr="00B8505D" w14:paraId="0018CBA3"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BC001FB" w14:textId="77777777" w:rsidR="00152C13" w:rsidRPr="00B8505D" w:rsidDel="00A9685F" w:rsidRDefault="00152C13" w:rsidP="00BE57BE">
            <w:pPr>
              <w:rPr>
                <w:rFonts w:ascii="Arial Narrow" w:eastAsia="Calibri" w:hAnsi="Arial Narrow" w:cs="Arial Narrow"/>
                <w:i/>
                <w:iCs/>
                <w:sz w:val="20"/>
                <w:szCs w:val="20"/>
              </w:rPr>
            </w:pPr>
            <w:bookmarkStart w:id="92" w:name="_Hlk144891781"/>
            <w:r w:rsidRPr="00B8505D">
              <w:rPr>
                <w:rFonts w:ascii="Arial Narrow" w:eastAsia="Calibri" w:hAnsi="Arial Narrow" w:cs="Arial Narrow"/>
                <w:i/>
                <w:iCs/>
                <w:sz w:val="20"/>
                <w:szCs w:val="20"/>
              </w:rPr>
              <w:t xml:space="preserve">Patient must have previously received PBS-subsidised initial day 1 treatment with this drug for this condition </w:t>
            </w:r>
          </w:p>
        </w:tc>
      </w:tr>
      <w:bookmarkEnd w:id="92"/>
      <w:tr w:rsidR="00152C13" w:rsidRPr="00B8505D" w14:paraId="53DD06A5"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4D871FD5" w14:textId="77777777" w:rsidR="00152C13" w:rsidRPr="00B8505D" w:rsidRDefault="00152C13" w:rsidP="00BE57BE">
            <w:pPr>
              <w:rPr>
                <w:rFonts w:ascii="Arial Narrow" w:hAnsi="Arial Narrow"/>
                <w:i/>
                <w:iCs/>
                <w:color w:val="333333"/>
                <w:sz w:val="20"/>
                <w:szCs w:val="20"/>
              </w:rPr>
            </w:pPr>
            <w:r w:rsidRPr="00B8505D">
              <w:rPr>
                <w:rFonts w:ascii="Arial Narrow" w:hAnsi="Arial Narrow"/>
                <w:b/>
                <w:bCs/>
                <w:i/>
                <w:iCs/>
                <w:color w:val="333333"/>
                <w:sz w:val="20"/>
                <w:szCs w:val="20"/>
              </w:rPr>
              <w:t>AND</w:t>
            </w:r>
          </w:p>
        </w:tc>
      </w:tr>
      <w:tr w:rsidR="00152C13" w:rsidRPr="00B8505D" w14:paraId="48CF9070"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B72A924" w14:textId="77777777" w:rsidR="00152C13" w:rsidRPr="00B8505D" w:rsidRDefault="00152C13" w:rsidP="00BE57BE">
            <w:pPr>
              <w:rPr>
                <w:rFonts w:ascii="Arial Narrow" w:hAnsi="Arial Narrow"/>
                <w:i/>
                <w:iCs/>
                <w:color w:val="333333"/>
                <w:sz w:val="20"/>
                <w:szCs w:val="20"/>
              </w:rPr>
            </w:pPr>
            <w:r w:rsidRPr="00B8505D">
              <w:rPr>
                <w:rFonts w:ascii="Arial Narrow" w:hAnsi="Arial Narrow"/>
                <w:b/>
                <w:bCs/>
                <w:i/>
                <w:iCs/>
                <w:color w:val="333333"/>
                <w:sz w:val="20"/>
                <w:szCs w:val="20"/>
              </w:rPr>
              <w:t>Clinical criteria:</w:t>
            </w:r>
          </w:p>
        </w:tc>
      </w:tr>
      <w:tr w:rsidR="00152C13" w:rsidRPr="00B8505D" w14:paraId="3F7A9279"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30B233D0" w14:textId="77777777" w:rsidR="00152C13" w:rsidRPr="00B8505D" w:rsidRDefault="00152C13" w:rsidP="00BE57BE">
            <w:pPr>
              <w:rPr>
                <w:rFonts w:ascii="Arial Narrow" w:hAnsi="Arial Narrow"/>
                <w:i/>
                <w:iCs/>
                <w:color w:val="333333"/>
                <w:sz w:val="20"/>
                <w:szCs w:val="20"/>
              </w:rPr>
            </w:pPr>
            <w:r w:rsidRPr="00B8505D">
              <w:rPr>
                <w:rFonts w:ascii="Arial Narrow" w:hAnsi="Arial Narrow" w:cs="Times New Roman"/>
                <w:i/>
                <w:iCs/>
                <w:color w:val="333333"/>
                <w:sz w:val="20"/>
                <w:szCs w:val="20"/>
              </w:rPr>
              <w:t>The treatment must be the sole PBS-subsidised therapy for this condition</w:t>
            </w:r>
          </w:p>
        </w:tc>
      </w:tr>
      <w:tr w:rsidR="00152C13" w:rsidRPr="00B8505D" w14:paraId="694CD209"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ED555E3" w14:textId="77777777" w:rsidR="00152C13" w:rsidRPr="00B8505D" w:rsidRDefault="00152C13" w:rsidP="00BE57BE">
            <w:pPr>
              <w:rPr>
                <w:rFonts w:ascii="Arial Narrow" w:hAnsi="Arial Narrow" w:cs="Times New Roman"/>
                <w:b/>
                <w:bCs/>
                <w:i/>
                <w:iCs/>
                <w:color w:val="333333"/>
                <w:sz w:val="20"/>
                <w:szCs w:val="20"/>
              </w:rPr>
            </w:pPr>
          </w:p>
        </w:tc>
      </w:tr>
      <w:tr w:rsidR="00152C13" w:rsidRPr="00B8505D" w14:paraId="67F23AD0"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E48BFC9" w14:textId="77777777" w:rsidR="00152C13" w:rsidRPr="00B8505D" w:rsidRDefault="00152C13" w:rsidP="00BE57BE">
            <w:pPr>
              <w:rPr>
                <w:rFonts w:ascii="Arial Narrow" w:hAnsi="Arial Narrow" w:cs="Open Sans"/>
                <w:i/>
                <w:iCs/>
                <w:color w:val="333333"/>
                <w:sz w:val="20"/>
                <w:szCs w:val="20"/>
                <w:shd w:val="clear" w:color="auto" w:fill="FFFFFF"/>
              </w:rPr>
            </w:pPr>
            <w:r w:rsidRPr="00B8505D">
              <w:rPr>
                <w:rFonts w:ascii="Arial Narrow" w:hAnsi="Arial Narrow"/>
                <w:b/>
                <w:bCs/>
                <w:i/>
                <w:iCs/>
                <w:color w:val="333333"/>
                <w:sz w:val="20"/>
                <w:szCs w:val="20"/>
              </w:rPr>
              <w:t>Prescribing instruction:</w:t>
            </w:r>
          </w:p>
        </w:tc>
      </w:tr>
      <w:tr w:rsidR="00152C13" w:rsidRPr="00B8505D" w14:paraId="0D8ABD7B" w14:textId="77777777" w:rsidTr="00A87A77">
        <w:tblPrEx>
          <w:tblCellMar>
            <w:top w:w="15" w:type="dxa"/>
            <w:bottom w:w="15" w:type="dxa"/>
          </w:tblCellMar>
          <w:tblLook w:val="04A0" w:firstRow="1" w:lastRow="0" w:firstColumn="1" w:lastColumn="0" w:noHBand="0" w:noVBand="1"/>
        </w:tblPrEx>
        <w:trPr>
          <w:gridAfter w:val="1"/>
          <w:wAfter w:w="4" w:type="pct"/>
          <w:cantSplit/>
          <w:trHeight w:val="987"/>
        </w:trPr>
        <w:tc>
          <w:tcPr>
            <w:tcW w:w="4996" w:type="pct"/>
            <w:gridSpan w:val="4"/>
            <w:vAlign w:val="center"/>
          </w:tcPr>
          <w:p w14:paraId="3EC7AED3" w14:textId="77777777" w:rsidR="00152C13" w:rsidRPr="00B8505D" w:rsidRDefault="00152C13" w:rsidP="00BE57BE">
            <w:pPr>
              <w:rPr>
                <w:rFonts w:ascii="Arial Narrow" w:eastAsia="Calibri" w:hAnsi="Arial Narrow" w:cs="Arial Narrow"/>
                <w:i/>
                <w:iCs/>
                <w:strike/>
                <w:sz w:val="20"/>
                <w:szCs w:val="20"/>
              </w:rPr>
            </w:pPr>
            <w:r w:rsidRPr="00B8505D">
              <w:rPr>
                <w:rFonts w:ascii="Arial Narrow" w:hAnsi="Arial Narrow" w:cs="Open Sans"/>
                <w:i/>
                <w:iCs/>
                <w:color w:val="222222"/>
                <w:sz w:val="20"/>
                <w:szCs w:val="20"/>
              </w:rPr>
              <w:t>According to the TGA-approved Product Information, hospitalisation is recommended at minimum for the first 3 doses (on Days 1, 8 and 15) and for at least 16 hours after each infusion is completed. If the patient does not experience hypotension that is Grade 2 or worse (requiring medical intervention) with the third dose, subsequent doses can be administered in an appropriate outpatient/ambulatory care setting. Supervision by a health care professional is recommended for a minimum of 30 minutes following each infusion.</w:t>
            </w:r>
          </w:p>
        </w:tc>
      </w:tr>
      <w:tr w:rsidR="00152C13" w:rsidRPr="00B8505D" w14:paraId="3FADBC9D"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shd w:val="clear" w:color="auto" w:fill="auto"/>
            <w:vAlign w:val="center"/>
          </w:tcPr>
          <w:p w14:paraId="278F4DF0" w14:textId="77777777" w:rsidR="00152C13" w:rsidRPr="00B8505D" w:rsidRDefault="00152C13" w:rsidP="00BE57BE">
            <w:pPr>
              <w:rPr>
                <w:rFonts w:ascii="Arial Narrow" w:hAnsi="Arial Narrow" w:cs="Open Sans"/>
                <w:b/>
                <w:bCs/>
                <w:i/>
                <w:iCs/>
                <w:color w:val="222222"/>
                <w:sz w:val="20"/>
                <w:szCs w:val="20"/>
              </w:rPr>
            </w:pPr>
            <w:r w:rsidRPr="00B8505D">
              <w:rPr>
                <w:rFonts w:ascii="Arial Narrow" w:hAnsi="Arial Narrow"/>
                <w:b/>
                <w:bCs/>
                <w:i/>
                <w:iCs/>
                <w:color w:val="333333"/>
                <w:sz w:val="20"/>
                <w:szCs w:val="20"/>
              </w:rPr>
              <w:t>Prescribing instruction:</w:t>
            </w:r>
          </w:p>
        </w:tc>
      </w:tr>
      <w:tr w:rsidR="00152C13" w:rsidRPr="00B8505D" w14:paraId="63D09171"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shd w:val="clear" w:color="auto" w:fill="auto"/>
            <w:vAlign w:val="center"/>
          </w:tcPr>
          <w:p w14:paraId="666C4CF0" w14:textId="77777777" w:rsidR="00152C13" w:rsidRPr="00B8505D" w:rsidRDefault="00152C13" w:rsidP="00BE57BE">
            <w:pPr>
              <w:rPr>
                <w:rFonts w:ascii="Arial Narrow" w:hAnsi="Arial Narrow"/>
                <w:b/>
                <w:bCs/>
                <w:i/>
                <w:iCs/>
                <w:color w:val="333333"/>
                <w:sz w:val="20"/>
                <w:szCs w:val="20"/>
              </w:rPr>
            </w:pPr>
            <w:r w:rsidRPr="00B8505D">
              <w:rPr>
                <w:rFonts w:ascii="Arial Narrow" w:hAnsi="Arial Narrow" w:cs="Open Sans"/>
                <w:i/>
                <w:iCs/>
                <w:color w:val="222222"/>
                <w:sz w:val="20"/>
                <w:szCs w:val="20"/>
              </w:rPr>
              <w:t>This drug is not PBS-subsidised if it is administered to an in-patient in a public hospital setting.</w:t>
            </w:r>
          </w:p>
        </w:tc>
      </w:tr>
      <w:tr w:rsidR="00152C13" w:rsidRPr="00B8505D" w14:paraId="5B13FFBE"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69DE593B" w14:textId="77777777" w:rsidR="00152C13" w:rsidRPr="00B8505D" w:rsidRDefault="00152C13" w:rsidP="00BE57BE">
            <w:pPr>
              <w:rPr>
                <w:rFonts w:ascii="Arial Narrow" w:hAnsi="Arial Narrow"/>
                <w:bCs/>
                <w:i/>
                <w:iCs/>
                <w:color w:val="FF0000"/>
                <w:sz w:val="20"/>
                <w:szCs w:val="20"/>
              </w:rPr>
            </w:pPr>
            <w:r w:rsidRPr="00B8505D">
              <w:rPr>
                <w:rFonts w:ascii="Arial Narrow" w:hAnsi="Arial Narrow"/>
                <w:b/>
                <w:bCs/>
                <w:i/>
                <w:iCs/>
                <w:color w:val="333333"/>
                <w:sz w:val="20"/>
                <w:szCs w:val="20"/>
              </w:rPr>
              <w:lastRenderedPageBreak/>
              <w:t xml:space="preserve">Prescribing Instructions: </w:t>
            </w:r>
          </w:p>
          <w:p w14:paraId="12121749" w14:textId="77777777" w:rsidR="00152C13" w:rsidRPr="00B8505D" w:rsidRDefault="00152C13" w:rsidP="00BE57BE">
            <w:pPr>
              <w:rPr>
                <w:rFonts w:ascii="Arial Narrow" w:hAnsi="Arial Narrow" w:cs="Arial Narrow"/>
                <w:i/>
                <w:iCs/>
                <w:sz w:val="20"/>
                <w:szCs w:val="20"/>
              </w:rPr>
            </w:pPr>
            <w:r w:rsidRPr="00B8505D">
              <w:rPr>
                <w:rFonts w:ascii="Arial Narrow" w:hAnsi="Arial Narrow" w:cs="Times New Roman"/>
                <w:i/>
                <w:iCs/>
                <w:color w:val="333333"/>
                <w:sz w:val="20"/>
                <w:szCs w:val="20"/>
              </w:rPr>
              <w:t xml:space="preserve">Positive HLA-A*02:01 assessment must be documented in the patient’s medical records </w:t>
            </w:r>
          </w:p>
        </w:tc>
      </w:tr>
      <w:tr w:rsidR="00152C13" w:rsidRPr="00B8505D" w14:paraId="10E87F93" w14:textId="77777777" w:rsidTr="00A87A77">
        <w:tblPrEx>
          <w:tblCellMar>
            <w:top w:w="15" w:type="dxa"/>
            <w:bottom w:w="15" w:type="dxa"/>
          </w:tblCellMar>
          <w:tblLook w:val="04A0" w:firstRow="1" w:lastRow="0" w:firstColumn="1" w:lastColumn="0" w:noHBand="0" w:noVBand="1"/>
        </w:tblPrEx>
        <w:trPr>
          <w:gridAfter w:val="1"/>
          <w:wAfter w:w="4" w:type="pct"/>
          <w:cantSplit/>
          <w:trHeight w:val="383"/>
        </w:trPr>
        <w:tc>
          <w:tcPr>
            <w:tcW w:w="4996" w:type="pct"/>
            <w:gridSpan w:val="4"/>
            <w:vAlign w:val="center"/>
          </w:tcPr>
          <w:p w14:paraId="25CB28FF" w14:textId="77777777" w:rsidR="00152C13" w:rsidRPr="00B8505D" w:rsidRDefault="00152C13" w:rsidP="00BE57BE">
            <w:pPr>
              <w:rPr>
                <w:rFonts w:ascii="Arial Narrow" w:hAnsi="Arial Narrow" w:cs="Times New Roman"/>
                <w:i/>
                <w:iCs/>
                <w:color w:val="333333"/>
                <w:sz w:val="20"/>
                <w:szCs w:val="20"/>
              </w:rPr>
            </w:pPr>
            <w:r w:rsidRPr="00B8505D">
              <w:rPr>
                <w:rFonts w:ascii="Arial Narrow" w:hAnsi="Arial Narrow" w:cs="Times New Roman"/>
                <w:b/>
                <w:bCs/>
                <w:i/>
                <w:iCs/>
                <w:color w:val="333333"/>
                <w:sz w:val="20"/>
                <w:szCs w:val="20"/>
              </w:rPr>
              <w:t>Caution:</w:t>
            </w:r>
            <w:r w:rsidRPr="00B8505D">
              <w:rPr>
                <w:rFonts w:ascii="Arial Narrow" w:hAnsi="Arial Narrow" w:cs="Times New Roman"/>
                <w:i/>
                <w:iCs/>
                <w:color w:val="333333"/>
                <w:sz w:val="20"/>
                <w:szCs w:val="20"/>
              </w:rPr>
              <w:t xml:space="preserve"> </w:t>
            </w:r>
          </w:p>
          <w:p w14:paraId="7DF0909B" w14:textId="77777777" w:rsidR="00152C13" w:rsidRPr="00B8505D" w:rsidRDefault="00152C13" w:rsidP="00BE57BE">
            <w:pPr>
              <w:rPr>
                <w:rFonts w:ascii="Arial Narrow" w:hAnsi="Arial Narrow"/>
                <w:i/>
                <w:iCs/>
                <w:color w:val="333333"/>
                <w:sz w:val="20"/>
                <w:szCs w:val="20"/>
              </w:rPr>
            </w:pPr>
            <w:r w:rsidRPr="00B8505D">
              <w:rPr>
                <w:rFonts w:ascii="Arial Narrow" w:hAnsi="Arial Narrow" w:cs="Open Sans"/>
                <w:i/>
                <w:iCs/>
                <w:color w:val="222222"/>
                <w:sz w:val="20"/>
                <w:szCs w:val="20"/>
                <w:shd w:val="clear" w:color="auto" w:fill="FFFFFF"/>
              </w:rPr>
              <w:t>Careful monitoring of patients is required due to risk of developing life-threatening Cytokine Release Syndrome</w:t>
            </w:r>
            <w:r w:rsidRPr="00B8505D">
              <w:rPr>
                <w:rFonts w:ascii="Open Sans" w:hAnsi="Open Sans" w:cs="Open Sans"/>
                <w:i/>
                <w:iCs/>
                <w:color w:val="222222"/>
                <w:sz w:val="20"/>
                <w:szCs w:val="20"/>
                <w:shd w:val="clear" w:color="auto" w:fill="FFFFFF"/>
              </w:rPr>
              <w:t>.</w:t>
            </w:r>
          </w:p>
        </w:tc>
      </w:tr>
    </w:tbl>
    <w:p w14:paraId="4272E838" w14:textId="77777777" w:rsidR="00B059F3" w:rsidRDefault="00B059F3" w:rsidP="00B059F3">
      <w:pPr>
        <w:rPr>
          <w:rFonts w:eastAsia="MS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986"/>
        <w:gridCol w:w="1843"/>
        <w:gridCol w:w="1641"/>
        <w:gridCol w:w="7"/>
      </w:tblGrid>
      <w:tr w:rsidR="00B059F3" w:rsidRPr="00B8505D" w14:paraId="68661888" w14:textId="77777777" w:rsidTr="00BE57BE">
        <w:trPr>
          <w:cantSplit/>
          <w:trHeight w:val="20"/>
        </w:trPr>
        <w:tc>
          <w:tcPr>
            <w:tcW w:w="1963" w:type="pct"/>
            <w:vAlign w:val="center"/>
          </w:tcPr>
          <w:p w14:paraId="4D438090" w14:textId="77777777" w:rsidR="00B059F3" w:rsidRPr="00B8505D" w:rsidRDefault="00B059F3" w:rsidP="00BE57BE">
            <w:pPr>
              <w:keepNext/>
              <w:rPr>
                <w:rFonts w:ascii="Arial Narrow" w:hAnsi="Arial Narrow"/>
                <w:b/>
                <w:bCs/>
                <w:i/>
                <w:iCs/>
                <w:sz w:val="20"/>
                <w:szCs w:val="20"/>
              </w:rPr>
            </w:pPr>
            <w:r w:rsidRPr="00B8505D">
              <w:rPr>
                <w:rFonts w:ascii="Arial Narrow" w:hAnsi="Arial Narrow"/>
                <w:b/>
                <w:bCs/>
                <w:i/>
                <w:iCs/>
                <w:sz w:val="20"/>
                <w:szCs w:val="20"/>
              </w:rPr>
              <w:t>MEDICINAL PRODUCT</w:t>
            </w:r>
          </w:p>
          <w:p w14:paraId="31A7F472" w14:textId="77777777" w:rsidR="00B059F3" w:rsidRPr="00B8505D" w:rsidRDefault="00B059F3" w:rsidP="00BE57BE">
            <w:pPr>
              <w:keepNext/>
              <w:rPr>
                <w:rFonts w:ascii="Arial Narrow" w:hAnsi="Arial Narrow"/>
                <w:b/>
                <w:i/>
                <w:iCs/>
                <w:sz w:val="20"/>
                <w:szCs w:val="20"/>
              </w:rPr>
            </w:pPr>
            <w:r w:rsidRPr="00B8505D">
              <w:rPr>
                <w:rFonts w:ascii="Arial Narrow" w:hAnsi="Arial Narrow"/>
                <w:b/>
                <w:i/>
                <w:iCs/>
                <w:sz w:val="20"/>
                <w:szCs w:val="20"/>
              </w:rPr>
              <w:t>medicinal product pack</w:t>
            </w:r>
          </w:p>
        </w:tc>
        <w:tc>
          <w:tcPr>
            <w:tcW w:w="1101" w:type="pct"/>
            <w:vAlign w:val="center"/>
          </w:tcPr>
          <w:p w14:paraId="135994FB" w14:textId="77777777" w:rsidR="00B059F3" w:rsidRPr="00B8505D" w:rsidRDefault="00B059F3" w:rsidP="00BE57BE">
            <w:pPr>
              <w:keepNext/>
              <w:jc w:val="center"/>
              <w:rPr>
                <w:rFonts w:ascii="Arial Narrow" w:hAnsi="Arial Narrow"/>
                <w:b/>
                <w:i/>
                <w:iCs/>
                <w:sz w:val="20"/>
                <w:szCs w:val="20"/>
              </w:rPr>
            </w:pPr>
            <w:r w:rsidRPr="00B8505D">
              <w:rPr>
                <w:rFonts w:ascii="Arial Narrow" w:hAnsi="Arial Narrow"/>
                <w:b/>
                <w:i/>
                <w:iCs/>
                <w:sz w:val="20"/>
                <w:szCs w:val="20"/>
              </w:rPr>
              <w:t>PBS item code</w:t>
            </w:r>
          </w:p>
        </w:tc>
        <w:tc>
          <w:tcPr>
            <w:tcW w:w="1022" w:type="pct"/>
            <w:vAlign w:val="center"/>
          </w:tcPr>
          <w:p w14:paraId="6EB5134F" w14:textId="77777777" w:rsidR="00B059F3" w:rsidRPr="00B8505D" w:rsidRDefault="00B059F3" w:rsidP="00BE57BE">
            <w:pPr>
              <w:keepNext/>
              <w:jc w:val="center"/>
              <w:rPr>
                <w:rFonts w:ascii="Arial Narrow" w:hAnsi="Arial Narrow"/>
                <w:b/>
                <w:i/>
                <w:iCs/>
                <w:sz w:val="20"/>
                <w:szCs w:val="20"/>
              </w:rPr>
            </w:pPr>
            <w:r w:rsidRPr="00B8505D">
              <w:rPr>
                <w:rFonts w:ascii="Arial Narrow" w:hAnsi="Arial Narrow"/>
                <w:b/>
                <w:i/>
                <w:iCs/>
                <w:sz w:val="20"/>
                <w:szCs w:val="20"/>
              </w:rPr>
              <w:t>Max. Amount</w:t>
            </w:r>
          </w:p>
        </w:tc>
        <w:tc>
          <w:tcPr>
            <w:tcW w:w="914" w:type="pct"/>
            <w:gridSpan w:val="2"/>
            <w:vAlign w:val="center"/>
          </w:tcPr>
          <w:p w14:paraId="33B2AB65" w14:textId="77777777" w:rsidR="00B059F3" w:rsidRPr="00B8505D" w:rsidRDefault="00B059F3" w:rsidP="00BE57BE">
            <w:pPr>
              <w:keepNext/>
              <w:jc w:val="center"/>
              <w:rPr>
                <w:rFonts w:ascii="Arial Narrow" w:hAnsi="Arial Narrow"/>
                <w:b/>
                <w:i/>
                <w:iCs/>
                <w:sz w:val="20"/>
                <w:szCs w:val="20"/>
              </w:rPr>
            </w:pPr>
            <w:r w:rsidRPr="00B8505D">
              <w:rPr>
                <w:rFonts w:ascii="Arial Narrow" w:hAnsi="Arial Narrow"/>
                <w:b/>
                <w:i/>
                <w:iCs/>
                <w:sz w:val="20"/>
                <w:szCs w:val="20"/>
              </w:rPr>
              <w:t>№. of Rpts</w:t>
            </w:r>
          </w:p>
        </w:tc>
      </w:tr>
      <w:tr w:rsidR="00B059F3" w:rsidRPr="00B8505D" w14:paraId="6E90DDA7" w14:textId="77777777" w:rsidTr="00BE57BE">
        <w:trPr>
          <w:cantSplit/>
          <w:trHeight w:val="20"/>
        </w:trPr>
        <w:tc>
          <w:tcPr>
            <w:tcW w:w="1963" w:type="pct"/>
            <w:vAlign w:val="center"/>
          </w:tcPr>
          <w:p w14:paraId="2FC80741" w14:textId="77777777" w:rsidR="00B059F3" w:rsidRPr="00B8505D" w:rsidRDefault="00B059F3" w:rsidP="00BE57BE">
            <w:pPr>
              <w:keepNext/>
              <w:rPr>
                <w:rFonts w:ascii="Arial Narrow" w:hAnsi="Arial Narrow"/>
                <w:i/>
                <w:iCs/>
                <w:sz w:val="20"/>
                <w:szCs w:val="20"/>
              </w:rPr>
            </w:pPr>
            <w:r w:rsidRPr="00B8505D">
              <w:rPr>
                <w:rFonts w:ascii="Arial Narrow" w:hAnsi="Arial Narrow" w:cs="Arial Narrow"/>
                <w:i/>
                <w:iCs/>
                <w:sz w:val="20"/>
                <w:szCs w:val="20"/>
              </w:rPr>
              <w:t xml:space="preserve">TEBENTAFUSP </w:t>
            </w:r>
            <w:r w:rsidRPr="00B8505D">
              <w:rPr>
                <w:rFonts w:ascii="Arial Narrow" w:hAnsi="Arial Narrow" w:cs="Arial Narrow"/>
                <w:i/>
                <w:iCs/>
                <w:sz w:val="20"/>
                <w:szCs w:val="20"/>
              </w:rPr>
              <w:br/>
            </w:r>
          </w:p>
        </w:tc>
        <w:tc>
          <w:tcPr>
            <w:tcW w:w="1101" w:type="pct"/>
            <w:vAlign w:val="center"/>
          </w:tcPr>
          <w:p w14:paraId="27CB0708" w14:textId="77777777" w:rsidR="00B059F3" w:rsidRPr="00B8505D" w:rsidRDefault="00B059F3" w:rsidP="00BE57BE">
            <w:pPr>
              <w:keepNext/>
              <w:jc w:val="center"/>
              <w:rPr>
                <w:rFonts w:ascii="Arial Narrow" w:hAnsi="Arial Narrow"/>
                <w:i/>
                <w:iCs/>
                <w:sz w:val="20"/>
                <w:szCs w:val="20"/>
              </w:rPr>
            </w:pPr>
            <w:r w:rsidRPr="00B8505D">
              <w:rPr>
                <w:rFonts w:ascii="Arial Narrow" w:hAnsi="Arial Narrow"/>
                <w:i/>
                <w:iCs/>
                <w:sz w:val="20"/>
                <w:szCs w:val="20"/>
              </w:rPr>
              <w:t>{NEW (Public)}</w:t>
            </w:r>
            <w:r w:rsidRPr="00B8505D">
              <w:rPr>
                <w:rFonts w:ascii="Arial Narrow" w:hAnsi="Arial Narrow"/>
                <w:i/>
                <w:iCs/>
                <w:sz w:val="20"/>
                <w:szCs w:val="20"/>
              </w:rPr>
              <w:br/>
              <w:t>{NEW (Private)}</w:t>
            </w:r>
          </w:p>
        </w:tc>
        <w:tc>
          <w:tcPr>
            <w:tcW w:w="1022" w:type="pct"/>
            <w:vAlign w:val="center"/>
          </w:tcPr>
          <w:p w14:paraId="32D97D26" w14:textId="77777777" w:rsidR="00B059F3" w:rsidRPr="00B8505D" w:rsidRDefault="00B059F3" w:rsidP="00BE57BE">
            <w:pPr>
              <w:keepNext/>
              <w:jc w:val="center"/>
              <w:rPr>
                <w:rFonts w:ascii="Arial Narrow" w:hAnsi="Arial Narrow"/>
                <w:i/>
                <w:iCs/>
                <w:sz w:val="20"/>
                <w:szCs w:val="20"/>
              </w:rPr>
            </w:pPr>
            <w:r w:rsidRPr="00B8505D">
              <w:rPr>
                <w:rFonts w:ascii="Arial Narrow" w:hAnsi="Arial Narrow"/>
                <w:i/>
                <w:iCs/>
                <w:sz w:val="20"/>
                <w:szCs w:val="20"/>
              </w:rPr>
              <w:t>68 mcg</w:t>
            </w:r>
          </w:p>
        </w:tc>
        <w:tc>
          <w:tcPr>
            <w:tcW w:w="914" w:type="pct"/>
            <w:gridSpan w:val="2"/>
            <w:vAlign w:val="center"/>
          </w:tcPr>
          <w:p w14:paraId="5CA2D9F8" w14:textId="77777777" w:rsidR="00B059F3" w:rsidRPr="00B8505D" w:rsidRDefault="00B059F3" w:rsidP="00BE57BE">
            <w:pPr>
              <w:keepNext/>
              <w:jc w:val="center"/>
              <w:rPr>
                <w:rFonts w:ascii="Arial Narrow" w:hAnsi="Arial Narrow"/>
                <w:i/>
                <w:iCs/>
                <w:sz w:val="20"/>
                <w:szCs w:val="20"/>
              </w:rPr>
            </w:pPr>
            <w:r w:rsidRPr="00B8505D">
              <w:rPr>
                <w:rFonts w:ascii="Arial Narrow" w:hAnsi="Arial Narrow"/>
                <w:i/>
                <w:iCs/>
                <w:sz w:val="20"/>
                <w:szCs w:val="20"/>
              </w:rPr>
              <w:t>0</w:t>
            </w:r>
          </w:p>
        </w:tc>
      </w:tr>
      <w:tr w:rsidR="00B059F3" w:rsidRPr="00B8505D" w14:paraId="3E5C62B7" w14:textId="77777777" w:rsidTr="00BE57BE">
        <w:trPr>
          <w:cantSplit/>
          <w:trHeight w:val="20"/>
        </w:trPr>
        <w:tc>
          <w:tcPr>
            <w:tcW w:w="5000" w:type="pct"/>
            <w:gridSpan w:val="5"/>
            <w:vAlign w:val="center"/>
          </w:tcPr>
          <w:p w14:paraId="46943259" w14:textId="77777777" w:rsidR="00B059F3" w:rsidRPr="00B8505D" w:rsidRDefault="00B059F3" w:rsidP="00BE57BE">
            <w:pPr>
              <w:keepNext/>
              <w:rPr>
                <w:rFonts w:ascii="Arial Narrow" w:hAnsi="Arial Narrow"/>
                <w:b/>
                <w:i/>
                <w:iCs/>
                <w:sz w:val="20"/>
                <w:szCs w:val="20"/>
              </w:rPr>
            </w:pPr>
            <w:r w:rsidRPr="00B8505D">
              <w:rPr>
                <w:rFonts w:ascii="Arial Narrow" w:hAnsi="Arial Narrow"/>
                <w:b/>
                <w:i/>
                <w:iCs/>
                <w:sz w:val="20"/>
                <w:szCs w:val="20"/>
              </w:rPr>
              <w:t xml:space="preserve">Available brands </w:t>
            </w:r>
          </w:p>
        </w:tc>
      </w:tr>
      <w:tr w:rsidR="00B059F3" w:rsidRPr="00B8505D" w14:paraId="0EAD15A7" w14:textId="77777777" w:rsidTr="00BE57BE">
        <w:trPr>
          <w:cantSplit/>
          <w:trHeight w:val="20"/>
        </w:trPr>
        <w:tc>
          <w:tcPr>
            <w:tcW w:w="5000" w:type="pct"/>
            <w:gridSpan w:val="5"/>
            <w:vAlign w:val="center"/>
          </w:tcPr>
          <w:p w14:paraId="7943CCE9" w14:textId="77777777" w:rsidR="00B059F3" w:rsidRPr="00B8505D" w:rsidRDefault="00B059F3" w:rsidP="00BE57BE">
            <w:pPr>
              <w:keepNext/>
              <w:rPr>
                <w:rFonts w:ascii="Arial Narrow" w:hAnsi="Arial Narrow"/>
                <w:i/>
                <w:iCs/>
                <w:sz w:val="20"/>
                <w:szCs w:val="20"/>
              </w:rPr>
            </w:pPr>
            <w:r w:rsidRPr="00B8505D">
              <w:rPr>
                <w:rFonts w:ascii="Arial Narrow" w:hAnsi="Arial Narrow"/>
                <w:i/>
                <w:iCs/>
                <w:sz w:val="20"/>
                <w:szCs w:val="20"/>
              </w:rPr>
              <w:t>Kimmtrak</w:t>
            </w:r>
          </w:p>
          <w:p w14:paraId="3918FCF5" w14:textId="77777777" w:rsidR="00B059F3" w:rsidRPr="00B8505D" w:rsidRDefault="00B059F3" w:rsidP="00BE57BE">
            <w:pPr>
              <w:keepNext/>
              <w:rPr>
                <w:rFonts w:ascii="Arial Narrow" w:hAnsi="Arial Narrow"/>
                <w:i/>
                <w:iCs/>
                <w:sz w:val="20"/>
                <w:szCs w:val="20"/>
              </w:rPr>
            </w:pPr>
            <w:r w:rsidRPr="00B8505D">
              <w:rPr>
                <w:rFonts w:ascii="Arial Narrow" w:hAnsi="Arial Narrow"/>
                <w:i/>
                <w:iCs/>
                <w:sz w:val="20"/>
                <w:szCs w:val="20"/>
              </w:rPr>
              <w:t>tebentafusp 100 microgram/0.5 mL injection, 0.5 mL vial</w:t>
            </w:r>
          </w:p>
        </w:tc>
      </w:tr>
      <w:tr w:rsidR="00B059F3" w:rsidRPr="00B8505D" w14:paraId="0CCBF4F8" w14:textId="77777777" w:rsidTr="00BE57BE">
        <w:trPr>
          <w:cantSplit/>
          <w:trHeight w:val="20"/>
        </w:trPr>
        <w:tc>
          <w:tcPr>
            <w:tcW w:w="5000" w:type="pct"/>
            <w:gridSpan w:val="5"/>
            <w:vAlign w:val="center"/>
          </w:tcPr>
          <w:p w14:paraId="2124688F" w14:textId="77777777" w:rsidR="00B059F3" w:rsidRPr="00B8505D" w:rsidRDefault="00B059F3" w:rsidP="00BE57BE">
            <w:pPr>
              <w:rPr>
                <w:rFonts w:ascii="Arial Narrow" w:hAnsi="Arial Narrow"/>
                <w:i/>
                <w:iCs/>
                <w:color w:val="FF0000"/>
                <w:sz w:val="20"/>
                <w:szCs w:val="20"/>
              </w:rPr>
            </w:pPr>
          </w:p>
        </w:tc>
      </w:tr>
      <w:tr w:rsidR="00A87A77" w:rsidRPr="00B8505D" w14:paraId="58295A81"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369A4A83" w14:textId="77777777" w:rsidR="00A87A77" w:rsidRPr="00B8505D" w:rsidRDefault="00A87A77" w:rsidP="00BE57BE">
            <w:pPr>
              <w:keepNext/>
              <w:rPr>
                <w:rFonts w:ascii="Arial Narrow" w:hAnsi="Arial Narrow"/>
                <w:i/>
                <w:iCs/>
                <w:sz w:val="20"/>
                <w:szCs w:val="20"/>
              </w:rPr>
            </w:pPr>
            <w:r w:rsidRPr="00B8505D">
              <w:rPr>
                <w:rFonts w:ascii="Arial Narrow" w:hAnsi="Arial Narrow"/>
                <w:b/>
                <w:i/>
                <w:iCs/>
                <w:sz w:val="20"/>
                <w:szCs w:val="20"/>
              </w:rPr>
              <w:t xml:space="preserve">Category / Program: </w:t>
            </w:r>
            <w:r w:rsidRPr="00B8505D">
              <w:rPr>
                <w:rFonts w:ascii="Arial Narrow" w:hAnsi="Arial Narrow"/>
                <w:i/>
                <w:iCs/>
                <w:sz w:val="20"/>
                <w:szCs w:val="20"/>
              </w:rPr>
              <w:t xml:space="preserve">Section 100 – Efficient Funding of Chemotherapy Public/Private hospitals </w:t>
            </w:r>
          </w:p>
        </w:tc>
      </w:tr>
      <w:tr w:rsidR="00A87A77" w:rsidRPr="00B8505D" w14:paraId="0903C6D8"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26A0FC82" w14:textId="77777777" w:rsidR="00A87A77" w:rsidRPr="00B8505D" w:rsidRDefault="00A87A77" w:rsidP="00BE57BE">
            <w:pPr>
              <w:keepNext/>
              <w:rPr>
                <w:rFonts w:ascii="Arial Narrow" w:hAnsi="Arial Narrow"/>
                <w:b/>
                <w:i/>
                <w:iCs/>
                <w:sz w:val="20"/>
                <w:szCs w:val="20"/>
              </w:rPr>
            </w:pPr>
            <w:r w:rsidRPr="00B8505D">
              <w:rPr>
                <w:rFonts w:ascii="Arial Narrow" w:hAnsi="Arial Narrow"/>
                <w:b/>
                <w:i/>
                <w:iCs/>
                <w:sz w:val="20"/>
                <w:szCs w:val="20"/>
              </w:rPr>
              <w:t>Prescriber type:</w:t>
            </w:r>
            <w:r>
              <w:rPr>
                <w:rFonts w:ascii="Arial Narrow" w:hAnsi="Arial Narrow"/>
                <w:b/>
                <w:i/>
                <w:iCs/>
                <w:sz w:val="20"/>
                <w:szCs w:val="20"/>
              </w:rPr>
              <w:t xml:space="preserve"> </w:t>
            </w:r>
            <w:r w:rsidRPr="00B8505D">
              <w:rPr>
                <w:rFonts w:ascii="Arial Narrow" w:hAnsi="Arial Narrow"/>
                <w:i/>
                <w:iCs/>
                <w:sz w:val="20"/>
                <w:szCs w:val="20"/>
              </w:rPr>
              <w:fldChar w:fldCharType="begin" w:fldLock="1">
                <w:ffData>
                  <w:name w:val=""/>
                  <w:enabled/>
                  <w:calcOnExit w:val="0"/>
                  <w:checkBox>
                    <w:sizeAuto/>
                    <w:default w:val="1"/>
                  </w:checkBox>
                </w:ffData>
              </w:fldChar>
            </w:r>
            <w:r w:rsidRPr="00B8505D">
              <w:rPr>
                <w:rFonts w:ascii="Arial Narrow" w:hAnsi="Arial Narrow"/>
                <w:i/>
                <w:iCs/>
                <w:sz w:val="20"/>
                <w:szCs w:val="20"/>
              </w:rPr>
              <w:instrText xml:space="preserve"> FORMCHECKBOX </w:instrText>
            </w:r>
            <w:r w:rsidR="00FC715B">
              <w:rPr>
                <w:rFonts w:ascii="Arial Narrow" w:hAnsi="Arial Narrow"/>
                <w:i/>
                <w:iCs/>
                <w:sz w:val="20"/>
                <w:szCs w:val="20"/>
              </w:rPr>
            </w:r>
            <w:r w:rsidR="00FC715B">
              <w:rPr>
                <w:rFonts w:ascii="Arial Narrow" w:hAnsi="Arial Narrow"/>
                <w:i/>
                <w:iCs/>
                <w:sz w:val="20"/>
                <w:szCs w:val="20"/>
              </w:rPr>
              <w:fldChar w:fldCharType="separate"/>
            </w:r>
            <w:r w:rsidRPr="00B8505D">
              <w:rPr>
                <w:rFonts w:ascii="Arial Narrow" w:hAnsi="Arial Narrow"/>
                <w:i/>
                <w:iCs/>
                <w:sz w:val="20"/>
                <w:szCs w:val="20"/>
              </w:rPr>
              <w:fldChar w:fldCharType="end"/>
            </w:r>
            <w:r w:rsidRPr="00B8505D">
              <w:rPr>
                <w:rFonts w:ascii="Arial Narrow" w:hAnsi="Arial Narrow"/>
                <w:i/>
                <w:iCs/>
                <w:sz w:val="20"/>
                <w:szCs w:val="20"/>
              </w:rPr>
              <w:t>Medical Practitioners</w:t>
            </w:r>
            <w:r>
              <w:rPr>
                <w:rFonts w:ascii="Arial Narrow" w:hAnsi="Arial Narrow"/>
                <w:i/>
                <w:iCs/>
                <w:sz w:val="20"/>
                <w:szCs w:val="20"/>
              </w:rPr>
              <w:t xml:space="preserve"> </w:t>
            </w:r>
          </w:p>
        </w:tc>
      </w:tr>
      <w:tr w:rsidR="00A87A77" w:rsidRPr="00B8505D" w14:paraId="55C3420A"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43740A7D" w14:textId="77777777" w:rsidR="00A87A77" w:rsidRPr="00B8505D" w:rsidRDefault="00A87A77" w:rsidP="00BE57BE">
            <w:pPr>
              <w:rPr>
                <w:rFonts w:ascii="Arial Narrow" w:eastAsia="Calibri" w:hAnsi="Arial Narrow"/>
                <w:i/>
                <w:iCs/>
                <w:sz w:val="18"/>
                <w:szCs w:val="18"/>
              </w:rPr>
            </w:pPr>
            <w:r w:rsidRPr="00B8505D">
              <w:rPr>
                <w:rFonts w:ascii="Arial Narrow" w:hAnsi="Arial Narrow"/>
                <w:b/>
                <w:i/>
                <w:iCs/>
                <w:sz w:val="20"/>
                <w:szCs w:val="20"/>
              </w:rPr>
              <w:t xml:space="preserve">Restriction type: </w:t>
            </w:r>
            <w:r w:rsidRPr="00B8505D">
              <w:rPr>
                <w:rFonts w:ascii="Arial Narrow" w:eastAsia="Calibri" w:hAnsi="Arial Narrow"/>
                <w:i/>
                <w:iCs/>
                <w:sz w:val="20"/>
                <w:szCs w:val="20"/>
              </w:rPr>
              <w:fldChar w:fldCharType="begin" w:fldLock="1">
                <w:ffData>
                  <w:name w:val=""/>
                  <w:enabled/>
                  <w:calcOnExit w:val="0"/>
                  <w:checkBox>
                    <w:sizeAuto/>
                    <w:default w:val="1"/>
                  </w:checkBox>
                </w:ffData>
              </w:fldChar>
            </w:r>
            <w:r w:rsidRPr="00B8505D">
              <w:rPr>
                <w:rFonts w:ascii="Arial Narrow" w:eastAsia="Calibri" w:hAnsi="Arial Narrow"/>
                <w:i/>
                <w:iCs/>
                <w:sz w:val="20"/>
                <w:szCs w:val="20"/>
              </w:rPr>
              <w:instrText xml:space="preserve"> FORMCHECKBOX </w:instrText>
            </w:r>
            <w:r w:rsidR="00FC715B">
              <w:rPr>
                <w:rFonts w:ascii="Arial Narrow" w:eastAsia="Calibri" w:hAnsi="Arial Narrow"/>
                <w:i/>
                <w:iCs/>
                <w:sz w:val="20"/>
                <w:szCs w:val="20"/>
              </w:rPr>
            </w:r>
            <w:r w:rsidR="00FC715B">
              <w:rPr>
                <w:rFonts w:ascii="Arial Narrow" w:eastAsia="Calibri" w:hAnsi="Arial Narrow"/>
                <w:i/>
                <w:iCs/>
                <w:sz w:val="20"/>
                <w:szCs w:val="20"/>
              </w:rPr>
              <w:fldChar w:fldCharType="separate"/>
            </w:r>
            <w:r w:rsidRPr="00B8505D">
              <w:rPr>
                <w:rFonts w:ascii="Arial Narrow" w:eastAsia="Calibri" w:hAnsi="Arial Narrow"/>
                <w:i/>
                <w:iCs/>
                <w:sz w:val="20"/>
                <w:szCs w:val="20"/>
              </w:rPr>
              <w:fldChar w:fldCharType="end"/>
            </w:r>
            <w:r w:rsidRPr="00B8505D">
              <w:rPr>
                <w:rFonts w:ascii="Arial Narrow" w:eastAsia="Calibri" w:hAnsi="Arial Narrow"/>
                <w:i/>
                <w:iCs/>
                <w:sz w:val="18"/>
                <w:szCs w:val="18"/>
              </w:rPr>
              <w:t xml:space="preserve"> </w:t>
            </w:r>
            <w:r w:rsidRPr="00B8505D">
              <w:rPr>
                <w:rFonts w:ascii="Arial Narrow" w:eastAsia="Calibri" w:hAnsi="Arial Narrow"/>
                <w:i/>
                <w:iCs/>
                <w:sz w:val="20"/>
                <w:szCs w:val="20"/>
              </w:rPr>
              <w:t xml:space="preserve">Authority Required – </w:t>
            </w:r>
            <w:r>
              <w:rPr>
                <w:rFonts w:ascii="Arial Narrow" w:eastAsia="Calibri" w:hAnsi="Arial Narrow"/>
                <w:i/>
                <w:iCs/>
                <w:sz w:val="20"/>
                <w:szCs w:val="20"/>
              </w:rPr>
              <w:t>streamlined (new code)</w:t>
            </w:r>
          </w:p>
        </w:tc>
      </w:tr>
      <w:tr w:rsidR="00A87A77" w:rsidRPr="00B8505D" w14:paraId="72684F15" w14:textId="77777777" w:rsidTr="00A87A77">
        <w:tblPrEx>
          <w:tblCellMar>
            <w:top w:w="15" w:type="dxa"/>
            <w:bottom w:w="15" w:type="dxa"/>
          </w:tblCellMar>
          <w:tblLook w:val="04A0" w:firstRow="1" w:lastRow="0" w:firstColumn="1" w:lastColumn="0" w:noHBand="0" w:noVBand="1"/>
        </w:tblPrEx>
        <w:trPr>
          <w:gridAfter w:val="1"/>
          <w:wAfter w:w="4" w:type="pct"/>
          <w:trHeight w:val="102"/>
        </w:trPr>
        <w:tc>
          <w:tcPr>
            <w:tcW w:w="4996" w:type="pct"/>
            <w:gridSpan w:val="4"/>
            <w:vAlign w:val="center"/>
          </w:tcPr>
          <w:p w14:paraId="6AD46D0C" w14:textId="77777777" w:rsidR="00A87A77" w:rsidRPr="00B8505D" w:rsidRDefault="00A87A77" w:rsidP="00BE57BE">
            <w:pPr>
              <w:textAlignment w:val="baseline"/>
              <w:rPr>
                <w:rFonts w:ascii="Arial Narrow" w:hAnsi="Arial Narrow"/>
                <w:i/>
                <w:iCs/>
                <w:color w:val="333333"/>
                <w:sz w:val="20"/>
                <w:szCs w:val="20"/>
              </w:rPr>
            </w:pPr>
            <w:r w:rsidRPr="00B8505D">
              <w:rPr>
                <w:rFonts w:ascii="Arial Narrow" w:hAnsi="Arial Narrow" w:cs="Open Sans"/>
                <w:b/>
                <w:bCs/>
                <w:i/>
                <w:iCs/>
                <w:color w:val="333333"/>
                <w:sz w:val="20"/>
                <w:szCs w:val="20"/>
                <w:bdr w:val="none" w:sz="0" w:space="0" w:color="auto" w:frame="1"/>
              </w:rPr>
              <w:t xml:space="preserve">Administrative Advice: </w:t>
            </w:r>
            <w:r w:rsidRPr="00B8505D">
              <w:rPr>
                <w:rFonts w:ascii="Arial Narrow" w:hAnsi="Arial Narrow" w:cs="Open Sans"/>
                <w:i/>
                <w:iCs/>
                <w:color w:val="333333"/>
                <w:sz w:val="20"/>
                <w:szCs w:val="20"/>
              </w:rPr>
              <w:t>No increase in the maximum number of repeats may be authorised.</w:t>
            </w:r>
          </w:p>
        </w:tc>
      </w:tr>
      <w:tr w:rsidR="00A87A77" w:rsidRPr="00B8505D" w14:paraId="2F8280A8" w14:textId="77777777" w:rsidTr="00A87A77">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281B0459" w14:textId="77777777" w:rsidR="00A87A77" w:rsidRPr="00B8505D" w:rsidRDefault="00A87A77" w:rsidP="00BE57BE">
            <w:pPr>
              <w:keepLines/>
              <w:rPr>
                <w:rFonts w:ascii="Arial Narrow" w:hAnsi="Arial Narrow"/>
                <w:b/>
                <w:bCs/>
                <w:i/>
                <w:iCs/>
                <w:color w:val="333333"/>
                <w:sz w:val="20"/>
                <w:szCs w:val="20"/>
              </w:rPr>
            </w:pPr>
            <w:r w:rsidRPr="00B8505D">
              <w:rPr>
                <w:rFonts w:ascii="Arial Narrow" w:hAnsi="Arial Narrow"/>
                <w:b/>
                <w:bCs/>
                <w:i/>
                <w:iCs/>
                <w:color w:val="333333"/>
                <w:sz w:val="20"/>
                <w:szCs w:val="20"/>
              </w:rPr>
              <w:t xml:space="preserve">Administrative Advice: </w:t>
            </w:r>
            <w:r w:rsidRPr="00B8505D">
              <w:rPr>
                <w:rFonts w:ascii="Arial Narrow" w:hAnsi="Arial Narrow" w:cs="Open Sans"/>
                <w:i/>
                <w:iCs/>
                <w:color w:val="333333"/>
                <w:sz w:val="20"/>
                <w:szCs w:val="20"/>
              </w:rPr>
              <w:t>Special Pricing Arrangements apply.</w:t>
            </w:r>
          </w:p>
        </w:tc>
      </w:tr>
      <w:tr w:rsidR="00A87A77" w:rsidRPr="00B8505D" w14:paraId="6FBB45B7" w14:textId="77777777" w:rsidTr="00A87A77">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18F4505A" w14:textId="77777777" w:rsidR="00A87A77" w:rsidRPr="00B8505D" w:rsidRDefault="00A87A77" w:rsidP="00BE57BE">
            <w:pPr>
              <w:keepLines/>
              <w:rPr>
                <w:rFonts w:ascii="Arial Narrow" w:hAnsi="Arial Narrow"/>
                <w:b/>
                <w:bCs/>
                <w:i/>
                <w:iCs/>
                <w:color w:val="333333"/>
                <w:sz w:val="20"/>
                <w:szCs w:val="20"/>
              </w:rPr>
            </w:pPr>
            <w:r w:rsidRPr="00B8505D">
              <w:rPr>
                <w:rFonts w:ascii="Arial Narrow" w:hAnsi="Arial Narrow"/>
                <w:b/>
                <w:bCs/>
                <w:i/>
                <w:iCs/>
                <w:sz w:val="20"/>
                <w:szCs w:val="20"/>
              </w:rPr>
              <w:t xml:space="preserve">Administrative Advice: </w:t>
            </w:r>
            <w:r w:rsidRPr="00B8505D">
              <w:rPr>
                <w:rFonts w:ascii="Arial Narrow" w:hAnsi="Arial Narrow" w:cs="Open Sans"/>
                <w:i/>
                <w:iCs/>
                <w:color w:val="333333"/>
                <w:sz w:val="20"/>
                <w:szCs w:val="20"/>
              </w:rPr>
              <w:t>No increase in the maximum amount or number of units may be authorised</w:t>
            </w:r>
          </w:p>
        </w:tc>
      </w:tr>
      <w:tr w:rsidR="00A87A77" w:rsidRPr="00B8505D" w14:paraId="374B0B8A"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6B690754" w14:textId="77777777" w:rsidR="00A87A77" w:rsidRPr="00B8505D" w:rsidRDefault="00A87A77" w:rsidP="00BE57BE">
            <w:pPr>
              <w:rPr>
                <w:rFonts w:ascii="Arial Narrow" w:hAnsi="Arial Narrow"/>
                <w:b/>
                <w:bCs/>
                <w:i/>
                <w:iCs/>
                <w:color w:val="333333"/>
                <w:sz w:val="20"/>
                <w:szCs w:val="20"/>
              </w:rPr>
            </w:pPr>
            <w:r w:rsidRPr="00B8505D">
              <w:rPr>
                <w:rFonts w:ascii="Arial Narrow" w:hAnsi="Arial Narrow"/>
                <w:b/>
                <w:bCs/>
                <w:i/>
                <w:iCs/>
                <w:color w:val="333333"/>
                <w:sz w:val="20"/>
                <w:szCs w:val="20"/>
              </w:rPr>
              <w:t xml:space="preserve">Administrative Advice: </w:t>
            </w:r>
            <w:r w:rsidRPr="00B8505D">
              <w:rPr>
                <w:rFonts w:ascii="Arial Narrow" w:hAnsi="Arial Narrow" w:cs="Open Sans"/>
                <w:i/>
                <w:iCs/>
                <w:color w:val="222222"/>
                <w:sz w:val="20"/>
                <w:szCs w:val="20"/>
              </w:rPr>
              <w:t>Applications for authorisation under this restriction may be made in real time using the Online PBS Authorities system (see www.servicesaustralia.gov.au/HPOS) or by telephone by contacting Services Australia on 1800 700 270.</w:t>
            </w:r>
          </w:p>
        </w:tc>
      </w:tr>
      <w:tr w:rsidR="00A87A77" w:rsidRPr="00B8505D" w14:paraId="25AE5211"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76974E93" w14:textId="77777777" w:rsidR="00A87A77" w:rsidRPr="00B8505D" w:rsidRDefault="00A87A77" w:rsidP="00BE57BE">
            <w:pPr>
              <w:keepLines/>
              <w:rPr>
                <w:rFonts w:ascii="Arial Narrow" w:hAnsi="Arial Narrow"/>
                <w:bCs/>
                <w:i/>
                <w:iCs/>
                <w:color w:val="333333"/>
                <w:sz w:val="20"/>
                <w:szCs w:val="20"/>
              </w:rPr>
            </w:pPr>
            <w:r w:rsidRPr="00B8505D">
              <w:rPr>
                <w:rFonts w:ascii="Arial Narrow" w:hAnsi="Arial Narrow"/>
                <w:b/>
                <w:bCs/>
                <w:i/>
                <w:iCs/>
                <w:color w:val="333333"/>
                <w:sz w:val="20"/>
                <w:szCs w:val="20"/>
              </w:rPr>
              <w:t>Episodicity:</w:t>
            </w:r>
            <w:r w:rsidRPr="00B8505D">
              <w:rPr>
                <w:rFonts w:ascii="Arial Narrow" w:hAnsi="Arial Narrow"/>
                <w:bCs/>
                <w:i/>
                <w:iCs/>
                <w:color w:val="FF0000"/>
                <w:sz w:val="20"/>
                <w:szCs w:val="20"/>
              </w:rPr>
              <w:t xml:space="preserve"> </w:t>
            </w:r>
            <w:r w:rsidRPr="00B8505D">
              <w:rPr>
                <w:rFonts w:ascii="Arial Narrow" w:hAnsi="Arial Narrow"/>
                <w:bCs/>
                <w:i/>
                <w:iCs/>
                <w:sz w:val="20"/>
                <w:szCs w:val="20"/>
              </w:rPr>
              <w:t>[blank]</w:t>
            </w:r>
          </w:p>
        </w:tc>
      </w:tr>
      <w:tr w:rsidR="00A87A77" w:rsidRPr="00B8505D" w14:paraId="28D5524B"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E23A748" w14:textId="77777777" w:rsidR="00A87A77" w:rsidRPr="00B8505D" w:rsidRDefault="00A87A77" w:rsidP="00BE57BE">
            <w:pPr>
              <w:keepLines/>
              <w:rPr>
                <w:rFonts w:ascii="Arial Narrow" w:hAnsi="Arial Narrow"/>
                <w:b/>
                <w:bCs/>
                <w:i/>
                <w:iCs/>
                <w:color w:val="333333"/>
                <w:sz w:val="20"/>
                <w:szCs w:val="20"/>
              </w:rPr>
            </w:pPr>
            <w:r w:rsidRPr="00B8505D">
              <w:rPr>
                <w:rFonts w:ascii="Arial Narrow" w:hAnsi="Arial Narrow"/>
                <w:b/>
                <w:bCs/>
                <w:i/>
                <w:iCs/>
                <w:color w:val="333333"/>
                <w:sz w:val="20"/>
                <w:szCs w:val="20"/>
              </w:rPr>
              <w:t xml:space="preserve">Severity: </w:t>
            </w:r>
            <w:r w:rsidRPr="00B8505D">
              <w:rPr>
                <w:rFonts w:ascii="Arial Narrow" w:hAnsi="Arial Narrow"/>
                <w:i/>
                <w:iCs/>
                <w:color w:val="333333"/>
                <w:sz w:val="20"/>
                <w:szCs w:val="20"/>
              </w:rPr>
              <w:t>Advanced (unresectable or metastatic)</w:t>
            </w:r>
          </w:p>
        </w:tc>
      </w:tr>
      <w:tr w:rsidR="00A87A77" w:rsidRPr="00B8505D" w14:paraId="6959C780"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3FFD0947" w14:textId="77777777" w:rsidR="00A87A77" w:rsidRPr="00B8505D" w:rsidRDefault="00A87A77" w:rsidP="00BE57BE">
            <w:pPr>
              <w:keepLines/>
              <w:rPr>
                <w:rFonts w:ascii="Arial Narrow" w:hAnsi="Arial Narrow"/>
                <w:b/>
                <w:bCs/>
                <w:i/>
                <w:iCs/>
                <w:color w:val="333333"/>
                <w:sz w:val="20"/>
                <w:szCs w:val="20"/>
              </w:rPr>
            </w:pPr>
            <w:r w:rsidRPr="00B8505D">
              <w:rPr>
                <w:rFonts w:ascii="Arial Narrow" w:hAnsi="Arial Narrow"/>
                <w:b/>
                <w:bCs/>
                <w:i/>
                <w:iCs/>
                <w:color w:val="333333"/>
                <w:sz w:val="20"/>
                <w:szCs w:val="20"/>
              </w:rPr>
              <w:t>Condition:</w:t>
            </w:r>
            <w:r>
              <w:rPr>
                <w:rFonts w:ascii="Arial Narrow" w:hAnsi="Arial Narrow"/>
                <w:b/>
                <w:bCs/>
                <w:i/>
                <w:iCs/>
                <w:color w:val="333333"/>
                <w:sz w:val="20"/>
                <w:szCs w:val="20"/>
              </w:rPr>
              <w:t xml:space="preserve"> </w:t>
            </w:r>
            <w:r w:rsidRPr="00B8505D">
              <w:rPr>
                <w:rFonts w:ascii="Arial Narrow" w:hAnsi="Arial Narrow"/>
                <w:bCs/>
                <w:i/>
                <w:iCs/>
                <w:color w:val="333333"/>
                <w:sz w:val="20"/>
                <w:szCs w:val="20"/>
              </w:rPr>
              <w:t>Uveal melanoma</w:t>
            </w:r>
          </w:p>
        </w:tc>
      </w:tr>
      <w:tr w:rsidR="00A87A77" w:rsidRPr="00B8505D" w14:paraId="5EE2F5F1"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32BEDAF7" w14:textId="77777777" w:rsidR="00A87A77" w:rsidRPr="00B8505D" w:rsidRDefault="00A87A77" w:rsidP="00BE57BE">
            <w:pPr>
              <w:rPr>
                <w:rFonts w:ascii="Arial Narrow" w:hAnsi="Arial Narrow" w:cs="Times New Roman"/>
                <w:i/>
                <w:iCs/>
                <w:sz w:val="20"/>
                <w:szCs w:val="20"/>
              </w:rPr>
            </w:pPr>
            <w:r w:rsidRPr="00B8505D">
              <w:rPr>
                <w:rFonts w:ascii="Arial Narrow" w:hAnsi="Arial Narrow" w:cs="Times New Roman"/>
                <w:b/>
                <w:bCs/>
                <w:i/>
                <w:iCs/>
                <w:sz w:val="20"/>
                <w:szCs w:val="20"/>
              </w:rPr>
              <w:t>Indication:</w:t>
            </w:r>
            <w:r w:rsidRPr="00B8505D">
              <w:rPr>
                <w:rFonts w:ascii="Arial Narrow" w:hAnsi="Arial Narrow" w:cs="Times New Roman"/>
                <w:i/>
                <w:iCs/>
                <w:sz w:val="18"/>
                <w:szCs w:val="18"/>
              </w:rPr>
              <w:t xml:space="preserve"> </w:t>
            </w:r>
            <w:r w:rsidRPr="00B8505D">
              <w:rPr>
                <w:rFonts w:ascii="Arial Narrow" w:hAnsi="Arial Narrow" w:cs="Times New Roman"/>
                <w:i/>
                <w:iCs/>
                <w:sz w:val="20"/>
                <w:szCs w:val="20"/>
              </w:rPr>
              <w:t>Advanced (unresectable or metastatic) uveal melanoma</w:t>
            </w:r>
          </w:p>
        </w:tc>
      </w:tr>
      <w:tr w:rsidR="00A87A77" w:rsidRPr="00B8505D" w14:paraId="5A29741B"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1E7719E7" w14:textId="77777777" w:rsidR="00A87A77" w:rsidRPr="00B8505D" w:rsidRDefault="00A87A77" w:rsidP="00BE57BE">
            <w:pPr>
              <w:rPr>
                <w:rFonts w:ascii="Arial Narrow" w:hAnsi="Arial Narrow"/>
                <w:i/>
                <w:iCs/>
                <w:color w:val="FF0000"/>
                <w:sz w:val="20"/>
                <w:szCs w:val="20"/>
              </w:rPr>
            </w:pPr>
            <w:r w:rsidRPr="00B8505D">
              <w:rPr>
                <w:rFonts w:ascii="Arial Narrow" w:hAnsi="Arial Narrow"/>
                <w:b/>
                <w:bCs/>
                <w:i/>
                <w:iCs/>
                <w:color w:val="333333"/>
                <w:sz w:val="20"/>
                <w:szCs w:val="20"/>
              </w:rPr>
              <w:t>Treatment Phase</w:t>
            </w:r>
            <w:r w:rsidRPr="00B8505D">
              <w:rPr>
                <w:rFonts w:ascii="Arial Narrow" w:hAnsi="Arial Narrow"/>
                <w:b/>
                <w:bCs/>
                <w:i/>
                <w:iCs/>
                <w:sz w:val="20"/>
                <w:szCs w:val="20"/>
              </w:rPr>
              <w:t>:</w:t>
            </w:r>
            <w:r w:rsidRPr="00B8505D">
              <w:rPr>
                <w:rFonts w:ascii="Arial Narrow" w:hAnsi="Arial Narrow"/>
                <w:i/>
                <w:iCs/>
                <w:sz w:val="20"/>
                <w:szCs w:val="20"/>
              </w:rPr>
              <w:t xml:space="preserve"> Initial treatment – day 15</w:t>
            </w:r>
          </w:p>
        </w:tc>
      </w:tr>
      <w:tr w:rsidR="00A87A77" w:rsidRPr="00B8505D" w14:paraId="6DC778AD"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639F352A" w14:textId="77777777" w:rsidR="00A87A77" w:rsidRPr="00B8505D" w:rsidRDefault="00A87A77" w:rsidP="00BE57BE">
            <w:pPr>
              <w:rPr>
                <w:rFonts w:ascii="Arial Narrow" w:hAnsi="Arial Narrow"/>
                <w:b/>
                <w:bCs/>
                <w:i/>
                <w:iCs/>
                <w:color w:val="333333"/>
                <w:sz w:val="20"/>
                <w:szCs w:val="20"/>
              </w:rPr>
            </w:pPr>
          </w:p>
        </w:tc>
      </w:tr>
      <w:tr w:rsidR="00A87A77" w:rsidRPr="00B8505D" w14:paraId="4764341E"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3BA1C08A" w14:textId="77777777" w:rsidR="00A87A77" w:rsidRPr="00B8505D" w:rsidRDefault="00A87A77" w:rsidP="00BE57BE">
            <w:pPr>
              <w:rPr>
                <w:rFonts w:ascii="Arial Narrow" w:hAnsi="Arial Narrow"/>
                <w:i/>
                <w:iCs/>
                <w:color w:val="FF0000"/>
                <w:sz w:val="20"/>
                <w:szCs w:val="20"/>
              </w:rPr>
            </w:pPr>
            <w:r w:rsidRPr="00B8505D">
              <w:rPr>
                <w:rFonts w:ascii="Arial Narrow" w:hAnsi="Arial Narrow"/>
                <w:b/>
                <w:bCs/>
                <w:i/>
                <w:iCs/>
                <w:color w:val="333333"/>
                <w:sz w:val="20"/>
                <w:szCs w:val="20"/>
              </w:rPr>
              <w:t xml:space="preserve">Clinical criteria: </w:t>
            </w:r>
          </w:p>
        </w:tc>
      </w:tr>
      <w:tr w:rsidR="00A87A77" w:rsidRPr="00B8505D" w14:paraId="279925BB"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5597475A" w14:textId="77777777" w:rsidR="00A87A77" w:rsidRPr="00B8505D" w:rsidRDefault="00A87A77" w:rsidP="00BE57BE">
            <w:pPr>
              <w:rPr>
                <w:rFonts w:ascii="Arial Narrow" w:hAnsi="Arial Narrow" w:cs="Times New Roman"/>
                <w:i/>
                <w:iCs/>
                <w:color w:val="333333"/>
                <w:sz w:val="20"/>
                <w:szCs w:val="20"/>
              </w:rPr>
            </w:pPr>
            <w:r w:rsidRPr="00B8505D">
              <w:rPr>
                <w:rFonts w:ascii="Arial Narrow" w:eastAsia="Calibri" w:hAnsi="Arial Narrow" w:cs="Arial Narrow"/>
                <w:i/>
                <w:iCs/>
                <w:sz w:val="20"/>
                <w:szCs w:val="20"/>
              </w:rPr>
              <w:t xml:space="preserve">The patient must have </w:t>
            </w:r>
            <w:r w:rsidRPr="00B8505D">
              <w:rPr>
                <w:rFonts w:ascii="Arial Narrow" w:hAnsi="Arial Narrow" w:cs="Times New Roman"/>
                <w:i/>
                <w:iCs/>
                <w:color w:val="333333"/>
                <w:sz w:val="20"/>
                <w:szCs w:val="20"/>
              </w:rPr>
              <w:t>HLA-A*02:01-positive disease</w:t>
            </w:r>
          </w:p>
        </w:tc>
      </w:tr>
      <w:tr w:rsidR="00A87A77" w:rsidRPr="00B8505D" w14:paraId="06FA76A2"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4C703051" w14:textId="77777777" w:rsidR="00A87A77" w:rsidRPr="00B8505D" w:rsidRDefault="00A87A77" w:rsidP="00BE57BE">
            <w:pPr>
              <w:rPr>
                <w:rFonts w:ascii="Arial Narrow" w:hAnsi="Arial Narrow"/>
                <w:i/>
                <w:iCs/>
                <w:color w:val="333333"/>
                <w:sz w:val="20"/>
                <w:szCs w:val="20"/>
              </w:rPr>
            </w:pPr>
            <w:r w:rsidRPr="00B8505D">
              <w:rPr>
                <w:rFonts w:ascii="Arial Narrow" w:hAnsi="Arial Narrow"/>
                <w:b/>
                <w:bCs/>
                <w:i/>
                <w:iCs/>
                <w:color w:val="333333"/>
                <w:sz w:val="20"/>
                <w:szCs w:val="20"/>
              </w:rPr>
              <w:t>AND</w:t>
            </w:r>
          </w:p>
        </w:tc>
      </w:tr>
      <w:tr w:rsidR="00A87A77" w:rsidRPr="00B8505D" w14:paraId="79BDA745"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653D3F98" w14:textId="77777777" w:rsidR="00A87A77" w:rsidRPr="00B8505D" w:rsidRDefault="00A87A77" w:rsidP="00BE57BE">
            <w:pPr>
              <w:rPr>
                <w:rFonts w:ascii="Arial Narrow" w:hAnsi="Arial Narrow"/>
                <w:i/>
                <w:iCs/>
                <w:color w:val="333333"/>
                <w:sz w:val="20"/>
                <w:szCs w:val="20"/>
              </w:rPr>
            </w:pPr>
            <w:r w:rsidRPr="00B8505D">
              <w:rPr>
                <w:rFonts w:ascii="Arial Narrow" w:hAnsi="Arial Narrow"/>
                <w:b/>
                <w:bCs/>
                <w:i/>
                <w:iCs/>
                <w:color w:val="333333"/>
                <w:sz w:val="20"/>
                <w:szCs w:val="20"/>
              </w:rPr>
              <w:t>Clinical criteria:</w:t>
            </w:r>
          </w:p>
        </w:tc>
      </w:tr>
      <w:tr w:rsidR="00A87A77" w:rsidRPr="00B8505D" w14:paraId="6084C744"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Borders>
              <w:top w:val="single" w:sz="4" w:space="0" w:color="auto"/>
              <w:left w:val="single" w:sz="4" w:space="0" w:color="auto"/>
              <w:bottom w:val="single" w:sz="4" w:space="0" w:color="auto"/>
              <w:right w:val="single" w:sz="4" w:space="0" w:color="auto"/>
            </w:tcBorders>
            <w:vAlign w:val="center"/>
          </w:tcPr>
          <w:p w14:paraId="1D97B844" w14:textId="77777777" w:rsidR="00A87A77" w:rsidRPr="00B8505D" w:rsidDel="00A9685F" w:rsidRDefault="00A87A77" w:rsidP="00BE57BE">
            <w:pPr>
              <w:rPr>
                <w:rFonts w:ascii="Arial Narrow" w:eastAsia="Calibri" w:hAnsi="Arial Narrow" w:cs="Arial Narrow"/>
                <w:i/>
                <w:iCs/>
                <w:sz w:val="20"/>
                <w:szCs w:val="20"/>
              </w:rPr>
            </w:pPr>
            <w:r w:rsidRPr="00B8505D">
              <w:rPr>
                <w:rFonts w:ascii="Arial Narrow" w:eastAsia="Calibri" w:hAnsi="Arial Narrow" w:cs="Arial Narrow"/>
                <w:i/>
                <w:iCs/>
                <w:sz w:val="20"/>
                <w:szCs w:val="20"/>
              </w:rPr>
              <w:t xml:space="preserve">Patient must have previously received PBS-subsidised initial day 8 treatment with this drug for this condition </w:t>
            </w:r>
          </w:p>
        </w:tc>
      </w:tr>
      <w:tr w:rsidR="00A87A77" w:rsidRPr="00B8505D" w14:paraId="15D13683"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2A017AD0" w14:textId="77777777" w:rsidR="00A87A77" w:rsidRPr="00B8505D" w:rsidRDefault="00A87A77" w:rsidP="00BE57BE">
            <w:pPr>
              <w:rPr>
                <w:rFonts w:ascii="Arial Narrow" w:hAnsi="Arial Narrow"/>
                <w:i/>
                <w:iCs/>
                <w:color w:val="333333"/>
                <w:sz w:val="20"/>
                <w:szCs w:val="20"/>
              </w:rPr>
            </w:pPr>
            <w:r w:rsidRPr="00B8505D">
              <w:rPr>
                <w:rFonts w:ascii="Arial Narrow" w:hAnsi="Arial Narrow"/>
                <w:b/>
                <w:bCs/>
                <w:i/>
                <w:iCs/>
                <w:color w:val="333333"/>
                <w:sz w:val="20"/>
                <w:szCs w:val="20"/>
              </w:rPr>
              <w:t>AND</w:t>
            </w:r>
          </w:p>
        </w:tc>
      </w:tr>
      <w:tr w:rsidR="00A87A77" w:rsidRPr="00B8505D" w14:paraId="0593DF9A"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22D2A1BF" w14:textId="77777777" w:rsidR="00A87A77" w:rsidRPr="00B8505D" w:rsidRDefault="00A87A77" w:rsidP="00BE57BE">
            <w:pPr>
              <w:rPr>
                <w:rFonts w:ascii="Arial Narrow" w:hAnsi="Arial Narrow"/>
                <w:i/>
                <w:iCs/>
                <w:color w:val="333333"/>
                <w:sz w:val="20"/>
                <w:szCs w:val="20"/>
              </w:rPr>
            </w:pPr>
            <w:r w:rsidRPr="00B8505D">
              <w:rPr>
                <w:rFonts w:ascii="Arial Narrow" w:hAnsi="Arial Narrow"/>
                <w:b/>
                <w:bCs/>
                <w:i/>
                <w:iCs/>
                <w:color w:val="333333"/>
                <w:sz w:val="20"/>
                <w:szCs w:val="20"/>
              </w:rPr>
              <w:t>Clinical criteria:</w:t>
            </w:r>
          </w:p>
        </w:tc>
      </w:tr>
      <w:tr w:rsidR="00A87A77" w:rsidRPr="00B8505D" w14:paraId="5035BD7F"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33FEC76F" w14:textId="77777777" w:rsidR="00A87A77" w:rsidRPr="00B8505D" w:rsidRDefault="00A87A77" w:rsidP="00BE57BE">
            <w:pPr>
              <w:rPr>
                <w:rFonts w:ascii="Arial Narrow" w:hAnsi="Arial Narrow"/>
                <w:i/>
                <w:iCs/>
                <w:color w:val="333333"/>
                <w:sz w:val="20"/>
                <w:szCs w:val="20"/>
              </w:rPr>
            </w:pPr>
            <w:r w:rsidRPr="00B8505D">
              <w:rPr>
                <w:rFonts w:ascii="Arial Narrow" w:hAnsi="Arial Narrow" w:cs="Times New Roman"/>
                <w:i/>
                <w:iCs/>
                <w:color w:val="333333"/>
                <w:sz w:val="20"/>
                <w:szCs w:val="20"/>
              </w:rPr>
              <w:t>The treatment must be the sole PBS-subsidised therapy for this condition</w:t>
            </w:r>
          </w:p>
        </w:tc>
      </w:tr>
      <w:tr w:rsidR="00A87A77" w:rsidRPr="00B8505D" w14:paraId="60FC8543"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CF292F4" w14:textId="77777777" w:rsidR="00A87A77" w:rsidRPr="00B8505D" w:rsidRDefault="00A87A77" w:rsidP="00BE57BE">
            <w:pPr>
              <w:rPr>
                <w:rFonts w:ascii="Arial Narrow" w:hAnsi="Arial Narrow" w:cs="Times New Roman"/>
                <w:b/>
                <w:bCs/>
                <w:i/>
                <w:iCs/>
                <w:color w:val="333333"/>
                <w:sz w:val="20"/>
                <w:szCs w:val="20"/>
              </w:rPr>
            </w:pPr>
          </w:p>
        </w:tc>
      </w:tr>
      <w:tr w:rsidR="00A87A77" w:rsidRPr="00B8505D" w14:paraId="1E42C76D"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A6C77F5" w14:textId="77777777" w:rsidR="00A87A77" w:rsidRPr="00B8505D" w:rsidRDefault="00A87A77" w:rsidP="00BE57BE">
            <w:pPr>
              <w:rPr>
                <w:rFonts w:ascii="Arial Narrow" w:hAnsi="Arial Narrow" w:cs="Open Sans"/>
                <w:i/>
                <w:iCs/>
                <w:color w:val="333333"/>
                <w:sz w:val="20"/>
                <w:szCs w:val="20"/>
                <w:shd w:val="clear" w:color="auto" w:fill="FFFFFF"/>
              </w:rPr>
            </w:pPr>
            <w:r w:rsidRPr="00B8505D">
              <w:rPr>
                <w:rFonts w:ascii="Arial Narrow" w:hAnsi="Arial Narrow"/>
                <w:b/>
                <w:bCs/>
                <w:i/>
                <w:iCs/>
                <w:color w:val="333333"/>
                <w:sz w:val="20"/>
                <w:szCs w:val="20"/>
              </w:rPr>
              <w:t>Prescribing instruction:</w:t>
            </w:r>
          </w:p>
        </w:tc>
      </w:tr>
      <w:tr w:rsidR="00A87A77" w:rsidRPr="00B8505D" w14:paraId="7D2D7ADB" w14:textId="77777777" w:rsidTr="00A87A77">
        <w:tblPrEx>
          <w:tblCellMar>
            <w:top w:w="15" w:type="dxa"/>
            <w:bottom w:w="15" w:type="dxa"/>
          </w:tblCellMar>
          <w:tblLook w:val="04A0" w:firstRow="1" w:lastRow="0" w:firstColumn="1" w:lastColumn="0" w:noHBand="0" w:noVBand="1"/>
        </w:tblPrEx>
        <w:trPr>
          <w:gridAfter w:val="1"/>
          <w:wAfter w:w="4" w:type="pct"/>
          <w:cantSplit/>
          <w:trHeight w:val="987"/>
        </w:trPr>
        <w:tc>
          <w:tcPr>
            <w:tcW w:w="4996" w:type="pct"/>
            <w:gridSpan w:val="4"/>
            <w:vAlign w:val="center"/>
          </w:tcPr>
          <w:p w14:paraId="4CB2A9EB" w14:textId="77777777" w:rsidR="00A87A77" w:rsidRPr="00B8505D" w:rsidRDefault="00A87A77" w:rsidP="00BE57BE">
            <w:pPr>
              <w:rPr>
                <w:rFonts w:ascii="Arial Narrow" w:eastAsia="Calibri" w:hAnsi="Arial Narrow" w:cs="Arial Narrow"/>
                <w:i/>
                <w:iCs/>
                <w:strike/>
                <w:sz w:val="20"/>
                <w:szCs w:val="20"/>
              </w:rPr>
            </w:pPr>
            <w:r w:rsidRPr="00B8505D">
              <w:rPr>
                <w:rFonts w:ascii="Arial Narrow" w:hAnsi="Arial Narrow" w:cs="Open Sans"/>
                <w:i/>
                <w:iCs/>
                <w:color w:val="222222"/>
                <w:sz w:val="20"/>
                <w:szCs w:val="20"/>
              </w:rPr>
              <w:t>According to the TGA-approved Product Information, hospitalisation is recommended at minimum for the first 3 doses (on Days 1, 8 and 15) and for at least 16 hours after each infusion is completed. If the patient does not experience hypotension that is Grade 2 or worse (requiring medical intervention) with the third dose, subsequent doses can be administered in an appropriate outpatient/ambulatory care setting. Supervision by a health care professional is recommended for a minimum of 30 minutes following each infusion.</w:t>
            </w:r>
          </w:p>
        </w:tc>
      </w:tr>
      <w:tr w:rsidR="00A87A77" w:rsidRPr="00B8505D" w14:paraId="4DDC0388"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shd w:val="clear" w:color="auto" w:fill="auto"/>
            <w:vAlign w:val="center"/>
          </w:tcPr>
          <w:p w14:paraId="279658DE" w14:textId="77777777" w:rsidR="00A87A77" w:rsidRPr="00B8505D" w:rsidRDefault="00A87A77" w:rsidP="00BE57BE">
            <w:pPr>
              <w:rPr>
                <w:rFonts w:ascii="Arial Narrow" w:hAnsi="Arial Narrow" w:cs="Open Sans"/>
                <w:b/>
                <w:bCs/>
                <w:i/>
                <w:iCs/>
                <w:color w:val="222222"/>
                <w:sz w:val="20"/>
                <w:szCs w:val="20"/>
              </w:rPr>
            </w:pPr>
            <w:r w:rsidRPr="00B8505D">
              <w:rPr>
                <w:rFonts w:ascii="Arial Narrow" w:hAnsi="Arial Narrow"/>
                <w:b/>
                <w:bCs/>
                <w:i/>
                <w:iCs/>
                <w:color w:val="333333"/>
                <w:sz w:val="20"/>
                <w:szCs w:val="20"/>
              </w:rPr>
              <w:t>Prescribing instruction:</w:t>
            </w:r>
          </w:p>
        </w:tc>
      </w:tr>
      <w:tr w:rsidR="00A87A77" w:rsidRPr="00B8505D" w14:paraId="6FA710BD"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shd w:val="clear" w:color="auto" w:fill="auto"/>
            <w:vAlign w:val="center"/>
          </w:tcPr>
          <w:p w14:paraId="30E8D7AF" w14:textId="77777777" w:rsidR="00A87A77" w:rsidRPr="00B8505D" w:rsidRDefault="00A87A77" w:rsidP="00BE57BE">
            <w:pPr>
              <w:rPr>
                <w:rFonts w:ascii="Arial Narrow" w:hAnsi="Arial Narrow"/>
                <w:b/>
                <w:bCs/>
                <w:i/>
                <w:iCs/>
                <w:color w:val="333333"/>
                <w:sz w:val="20"/>
                <w:szCs w:val="20"/>
              </w:rPr>
            </w:pPr>
            <w:r w:rsidRPr="00B8505D">
              <w:rPr>
                <w:rFonts w:ascii="Arial Narrow" w:hAnsi="Arial Narrow" w:cs="Open Sans"/>
                <w:i/>
                <w:iCs/>
                <w:color w:val="222222"/>
                <w:sz w:val="20"/>
                <w:szCs w:val="20"/>
              </w:rPr>
              <w:t>This drug is not PBS-subsidised if it is administered to an in-patient in a public hospital setting.</w:t>
            </w:r>
          </w:p>
        </w:tc>
      </w:tr>
      <w:tr w:rsidR="00A87A77" w:rsidRPr="00B8505D" w14:paraId="198066C5" w14:textId="77777777" w:rsidTr="00A87A77">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0B86738D" w14:textId="77777777" w:rsidR="00A87A77" w:rsidRPr="00B8505D" w:rsidRDefault="00A87A77" w:rsidP="00BE57BE">
            <w:pPr>
              <w:rPr>
                <w:rFonts w:ascii="Arial Narrow" w:hAnsi="Arial Narrow"/>
                <w:bCs/>
                <w:i/>
                <w:iCs/>
                <w:color w:val="FF0000"/>
                <w:sz w:val="20"/>
                <w:szCs w:val="20"/>
              </w:rPr>
            </w:pPr>
            <w:r w:rsidRPr="00B8505D">
              <w:rPr>
                <w:rFonts w:ascii="Arial Narrow" w:hAnsi="Arial Narrow"/>
                <w:b/>
                <w:bCs/>
                <w:i/>
                <w:iCs/>
                <w:color w:val="333333"/>
                <w:sz w:val="20"/>
                <w:szCs w:val="20"/>
              </w:rPr>
              <w:t xml:space="preserve">Prescribing Instructions: </w:t>
            </w:r>
          </w:p>
          <w:p w14:paraId="400BA331" w14:textId="77777777" w:rsidR="00A87A77" w:rsidRPr="00B8505D" w:rsidRDefault="00A87A77" w:rsidP="00BE57BE">
            <w:pPr>
              <w:rPr>
                <w:rFonts w:ascii="Arial Narrow" w:hAnsi="Arial Narrow" w:cs="Arial Narrow"/>
                <w:i/>
                <w:iCs/>
                <w:sz w:val="20"/>
                <w:szCs w:val="20"/>
              </w:rPr>
            </w:pPr>
            <w:r w:rsidRPr="00B8505D">
              <w:rPr>
                <w:rFonts w:ascii="Arial Narrow" w:hAnsi="Arial Narrow" w:cs="Times New Roman"/>
                <w:i/>
                <w:iCs/>
                <w:color w:val="333333"/>
                <w:sz w:val="20"/>
                <w:szCs w:val="20"/>
              </w:rPr>
              <w:t xml:space="preserve">Positive HLA-A*02:01 assessment must be documented in the patient’s medical records </w:t>
            </w:r>
          </w:p>
        </w:tc>
      </w:tr>
      <w:tr w:rsidR="00A87A77" w:rsidRPr="00B8505D" w14:paraId="3D0EB05D" w14:textId="77777777" w:rsidTr="00A87A77">
        <w:tblPrEx>
          <w:tblCellMar>
            <w:top w:w="15" w:type="dxa"/>
            <w:bottom w:w="15" w:type="dxa"/>
          </w:tblCellMar>
          <w:tblLook w:val="04A0" w:firstRow="1" w:lastRow="0" w:firstColumn="1" w:lastColumn="0" w:noHBand="0" w:noVBand="1"/>
        </w:tblPrEx>
        <w:trPr>
          <w:gridAfter w:val="1"/>
          <w:wAfter w:w="4" w:type="pct"/>
          <w:cantSplit/>
          <w:trHeight w:val="737"/>
        </w:trPr>
        <w:tc>
          <w:tcPr>
            <w:tcW w:w="4996" w:type="pct"/>
            <w:gridSpan w:val="4"/>
            <w:vAlign w:val="center"/>
          </w:tcPr>
          <w:p w14:paraId="2A637260" w14:textId="77777777" w:rsidR="00A87A77" w:rsidRPr="00B8505D" w:rsidRDefault="00A87A77" w:rsidP="00BE57BE">
            <w:pPr>
              <w:rPr>
                <w:rFonts w:ascii="Arial Narrow" w:hAnsi="Arial Narrow" w:cs="Times New Roman"/>
                <w:i/>
                <w:iCs/>
                <w:color w:val="333333"/>
                <w:sz w:val="20"/>
                <w:szCs w:val="20"/>
              </w:rPr>
            </w:pPr>
            <w:r w:rsidRPr="00B8505D">
              <w:rPr>
                <w:rFonts w:ascii="Arial Narrow" w:hAnsi="Arial Narrow" w:cs="Times New Roman"/>
                <w:b/>
                <w:bCs/>
                <w:i/>
                <w:iCs/>
                <w:color w:val="333333"/>
                <w:sz w:val="20"/>
                <w:szCs w:val="20"/>
              </w:rPr>
              <w:lastRenderedPageBreak/>
              <w:t>Caution:</w:t>
            </w:r>
            <w:r w:rsidRPr="00B8505D">
              <w:rPr>
                <w:rFonts w:ascii="Arial Narrow" w:hAnsi="Arial Narrow" w:cs="Times New Roman"/>
                <w:i/>
                <w:iCs/>
                <w:color w:val="333333"/>
                <w:sz w:val="20"/>
                <w:szCs w:val="20"/>
              </w:rPr>
              <w:t xml:space="preserve"> </w:t>
            </w:r>
          </w:p>
          <w:p w14:paraId="442791BC" w14:textId="77777777" w:rsidR="00A87A77" w:rsidRPr="00B8505D" w:rsidRDefault="00A87A77" w:rsidP="00BE57BE">
            <w:pPr>
              <w:rPr>
                <w:rFonts w:ascii="Arial Narrow" w:hAnsi="Arial Narrow"/>
                <w:i/>
                <w:iCs/>
                <w:color w:val="333333"/>
                <w:sz w:val="20"/>
                <w:szCs w:val="20"/>
              </w:rPr>
            </w:pPr>
            <w:r w:rsidRPr="00B8505D">
              <w:rPr>
                <w:rFonts w:ascii="Arial Narrow" w:hAnsi="Arial Narrow" w:cs="Open Sans"/>
                <w:i/>
                <w:iCs/>
                <w:color w:val="222222"/>
                <w:sz w:val="20"/>
                <w:szCs w:val="20"/>
                <w:shd w:val="clear" w:color="auto" w:fill="FFFFFF"/>
              </w:rPr>
              <w:t>Careful monitoring of patients is required due to risk of developing life-threatening Cytokine Release Syndrome</w:t>
            </w:r>
            <w:r w:rsidRPr="00B8505D">
              <w:rPr>
                <w:rFonts w:ascii="Open Sans" w:hAnsi="Open Sans" w:cs="Open Sans"/>
                <w:i/>
                <w:iCs/>
                <w:color w:val="222222"/>
                <w:sz w:val="20"/>
                <w:szCs w:val="20"/>
                <w:shd w:val="clear" w:color="auto" w:fill="FFFFFF"/>
              </w:rPr>
              <w:t>.</w:t>
            </w:r>
          </w:p>
        </w:tc>
      </w:tr>
    </w:tbl>
    <w:p w14:paraId="7790BC2B" w14:textId="77777777" w:rsidR="00B059F3" w:rsidRDefault="00B059F3" w:rsidP="00B059F3">
      <w:pPr>
        <w:rPr>
          <w:rFonts w:eastAsia="MS Gothic"/>
        </w:rPr>
      </w:pPr>
    </w:p>
    <w:p w14:paraId="068FBC67" w14:textId="77777777" w:rsidR="00B059F3" w:rsidRDefault="00B059F3" w:rsidP="00B059F3">
      <w:pPr>
        <w:rPr>
          <w:rFonts w:eastAsia="MS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7"/>
        <w:gridCol w:w="2126"/>
        <w:gridCol w:w="1843"/>
        <w:gridCol w:w="1784"/>
        <w:gridCol w:w="7"/>
      </w:tblGrid>
      <w:tr w:rsidR="00B059F3" w:rsidRPr="00952B90" w14:paraId="3A2CBEEB" w14:textId="77777777" w:rsidTr="00BE57BE">
        <w:trPr>
          <w:cantSplit/>
          <w:trHeight w:val="20"/>
        </w:trPr>
        <w:tc>
          <w:tcPr>
            <w:tcW w:w="1806" w:type="pct"/>
            <w:vAlign w:val="center"/>
          </w:tcPr>
          <w:p w14:paraId="533B7BC8" w14:textId="77777777" w:rsidR="00B059F3" w:rsidRPr="00952B90" w:rsidRDefault="00B059F3" w:rsidP="00BE57BE">
            <w:pPr>
              <w:keepNext/>
              <w:rPr>
                <w:rFonts w:ascii="Arial Narrow" w:hAnsi="Arial Narrow"/>
                <w:b/>
                <w:bCs/>
                <w:sz w:val="20"/>
                <w:szCs w:val="20"/>
              </w:rPr>
            </w:pPr>
            <w:r w:rsidRPr="00952B90">
              <w:rPr>
                <w:rFonts w:ascii="Arial Narrow" w:hAnsi="Arial Narrow"/>
                <w:b/>
                <w:bCs/>
                <w:sz w:val="20"/>
                <w:szCs w:val="20"/>
              </w:rPr>
              <w:t>MEDICINAL PRODUCT</w:t>
            </w:r>
          </w:p>
          <w:p w14:paraId="2C08829F" w14:textId="77777777" w:rsidR="00B059F3" w:rsidRPr="00952B90" w:rsidRDefault="00B059F3" w:rsidP="00BE57BE">
            <w:pPr>
              <w:keepNext/>
              <w:rPr>
                <w:rFonts w:ascii="Arial Narrow" w:hAnsi="Arial Narrow"/>
                <w:b/>
                <w:sz w:val="20"/>
                <w:szCs w:val="20"/>
              </w:rPr>
            </w:pPr>
            <w:r w:rsidRPr="00952B90">
              <w:rPr>
                <w:rFonts w:ascii="Arial Narrow" w:hAnsi="Arial Narrow"/>
                <w:b/>
                <w:sz w:val="20"/>
                <w:szCs w:val="20"/>
              </w:rPr>
              <w:t>medicinal product pack</w:t>
            </w:r>
          </w:p>
        </w:tc>
        <w:tc>
          <w:tcPr>
            <w:tcW w:w="1179" w:type="pct"/>
            <w:vAlign w:val="center"/>
          </w:tcPr>
          <w:p w14:paraId="5D87D4DE" w14:textId="77777777" w:rsidR="00B059F3" w:rsidRPr="00952B90" w:rsidRDefault="00B059F3" w:rsidP="00BE57BE">
            <w:pPr>
              <w:keepNext/>
              <w:jc w:val="center"/>
              <w:rPr>
                <w:rFonts w:ascii="Arial Narrow" w:hAnsi="Arial Narrow"/>
                <w:b/>
                <w:sz w:val="20"/>
                <w:szCs w:val="20"/>
              </w:rPr>
            </w:pPr>
            <w:r w:rsidRPr="00952B90">
              <w:rPr>
                <w:rFonts w:ascii="Arial Narrow" w:hAnsi="Arial Narrow"/>
                <w:b/>
                <w:sz w:val="20"/>
                <w:szCs w:val="20"/>
              </w:rPr>
              <w:t>PBS item code</w:t>
            </w:r>
          </w:p>
        </w:tc>
        <w:tc>
          <w:tcPr>
            <w:tcW w:w="1022" w:type="pct"/>
            <w:vAlign w:val="center"/>
          </w:tcPr>
          <w:p w14:paraId="3EFE30F3" w14:textId="77777777" w:rsidR="00B059F3" w:rsidRPr="00952B90" w:rsidRDefault="00B059F3" w:rsidP="00BE57BE">
            <w:pPr>
              <w:keepNext/>
              <w:jc w:val="center"/>
              <w:rPr>
                <w:rFonts w:ascii="Arial Narrow" w:hAnsi="Arial Narrow"/>
                <w:b/>
                <w:sz w:val="20"/>
                <w:szCs w:val="20"/>
              </w:rPr>
            </w:pPr>
            <w:r w:rsidRPr="00952B90">
              <w:rPr>
                <w:rFonts w:ascii="Arial Narrow" w:hAnsi="Arial Narrow"/>
                <w:b/>
                <w:sz w:val="20"/>
                <w:szCs w:val="20"/>
              </w:rPr>
              <w:t>Max. Amount</w:t>
            </w:r>
          </w:p>
        </w:tc>
        <w:tc>
          <w:tcPr>
            <w:tcW w:w="993" w:type="pct"/>
            <w:gridSpan w:val="2"/>
            <w:vAlign w:val="center"/>
          </w:tcPr>
          <w:p w14:paraId="38A8AE1F" w14:textId="77777777" w:rsidR="00B059F3" w:rsidRPr="00952B90" w:rsidRDefault="00B059F3" w:rsidP="00BE57BE">
            <w:pPr>
              <w:keepNext/>
              <w:jc w:val="center"/>
              <w:rPr>
                <w:rFonts w:ascii="Arial Narrow" w:hAnsi="Arial Narrow"/>
                <w:b/>
                <w:sz w:val="20"/>
                <w:szCs w:val="20"/>
              </w:rPr>
            </w:pPr>
            <w:r w:rsidRPr="00952B90">
              <w:rPr>
                <w:rFonts w:ascii="Arial Narrow" w:hAnsi="Arial Narrow"/>
                <w:b/>
                <w:sz w:val="20"/>
                <w:szCs w:val="20"/>
              </w:rPr>
              <w:t>№. of Rpts</w:t>
            </w:r>
          </w:p>
        </w:tc>
      </w:tr>
      <w:tr w:rsidR="00B059F3" w:rsidRPr="00952B90" w14:paraId="4BBEF2D1" w14:textId="77777777" w:rsidTr="00BE57BE">
        <w:trPr>
          <w:cantSplit/>
          <w:trHeight w:val="20"/>
        </w:trPr>
        <w:tc>
          <w:tcPr>
            <w:tcW w:w="1806" w:type="pct"/>
            <w:vAlign w:val="center"/>
          </w:tcPr>
          <w:p w14:paraId="61A5072C" w14:textId="77777777" w:rsidR="00B059F3" w:rsidRPr="00952B90" w:rsidRDefault="00B059F3" w:rsidP="00BE57BE">
            <w:pPr>
              <w:keepNext/>
              <w:rPr>
                <w:rFonts w:ascii="Arial Narrow" w:hAnsi="Arial Narrow"/>
                <w:sz w:val="20"/>
                <w:szCs w:val="20"/>
              </w:rPr>
            </w:pPr>
            <w:r w:rsidRPr="00952B90">
              <w:rPr>
                <w:rFonts w:ascii="Arial Narrow" w:hAnsi="Arial Narrow" w:cs="Arial Narrow"/>
                <w:sz w:val="20"/>
                <w:szCs w:val="20"/>
              </w:rPr>
              <w:t xml:space="preserve">TEBENTAFUSP </w:t>
            </w:r>
            <w:r w:rsidRPr="00952B90">
              <w:rPr>
                <w:rFonts w:ascii="Arial Narrow" w:hAnsi="Arial Narrow" w:cs="Arial Narrow"/>
                <w:sz w:val="20"/>
                <w:szCs w:val="20"/>
              </w:rPr>
              <w:br/>
            </w:r>
          </w:p>
        </w:tc>
        <w:tc>
          <w:tcPr>
            <w:tcW w:w="1179" w:type="pct"/>
            <w:vAlign w:val="center"/>
          </w:tcPr>
          <w:p w14:paraId="13111FF8" w14:textId="77777777" w:rsidR="00B059F3" w:rsidRPr="00952B90" w:rsidRDefault="00B059F3" w:rsidP="00BE57BE">
            <w:pPr>
              <w:keepNext/>
              <w:jc w:val="center"/>
              <w:rPr>
                <w:rFonts w:ascii="Arial Narrow" w:hAnsi="Arial Narrow"/>
                <w:sz w:val="20"/>
                <w:szCs w:val="20"/>
              </w:rPr>
            </w:pPr>
            <w:r w:rsidRPr="00952B90">
              <w:rPr>
                <w:rFonts w:ascii="Arial Narrow" w:hAnsi="Arial Narrow"/>
                <w:sz w:val="20"/>
                <w:szCs w:val="20"/>
              </w:rPr>
              <w:t>{NEW (Public)}</w:t>
            </w:r>
            <w:r w:rsidRPr="00952B90">
              <w:rPr>
                <w:rFonts w:ascii="Arial Narrow" w:hAnsi="Arial Narrow"/>
                <w:sz w:val="20"/>
                <w:szCs w:val="20"/>
              </w:rPr>
              <w:br/>
              <w:t>{NEW (Private)}</w:t>
            </w:r>
          </w:p>
        </w:tc>
        <w:tc>
          <w:tcPr>
            <w:tcW w:w="1022" w:type="pct"/>
            <w:vAlign w:val="center"/>
          </w:tcPr>
          <w:p w14:paraId="13041FAC" w14:textId="77777777" w:rsidR="00B059F3" w:rsidRPr="00952B90" w:rsidRDefault="00B059F3" w:rsidP="00BE57BE">
            <w:pPr>
              <w:keepNext/>
              <w:jc w:val="center"/>
              <w:rPr>
                <w:rFonts w:ascii="Arial Narrow" w:hAnsi="Arial Narrow"/>
                <w:sz w:val="20"/>
                <w:szCs w:val="20"/>
              </w:rPr>
            </w:pPr>
            <w:r w:rsidRPr="00B8505D">
              <w:rPr>
                <w:rFonts w:ascii="Arial Narrow" w:hAnsi="Arial Narrow"/>
                <w:strike/>
                <w:sz w:val="20"/>
                <w:szCs w:val="20"/>
              </w:rPr>
              <w:t>400</w:t>
            </w:r>
            <w:r w:rsidRPr="00952B90">
              <w:rPr>
                <w:rFonts w:ascii="Arial Narrow" w:hAnsi="Arial Narrow"/>
                <w:sz w:val="20"/>
                <w:szCs w:val="20"/>
              </w:rPr>
              <w:t xml:space="preserve"> </w:t>
            </w:r>
            <w:r w:rsidRPr="00B8505D">
              <w:rPr>
                <w:rFonts w:ascii="Arial Narrow" w:hAnsi="Arial Narrow"/>
                <w:i/>
                <w:iCs/>
                <w:sz w:val="20"/>
                <w:szCs w:val="20"/>
              </w:rPr>
              <w:t>136</w:t>
            </w:r>
            <w:r>
              <w:rPr>
                <w:rFonts w:ascii="Arial Narrow" w:hAnsi="Arial Narrow"/>
                <w:sz w:val="20"/>
                <w:szCs w:val="20"/>
              </w:rPr>
              <w:t xml:space="preserve"> </w:t>
            </w:r>
            <w:r w:rsidRPr="00952B90">
              <w:rPr>
                <w:rFonts w:ascii="Arial Narrow" w:hAnsi="Arial Narrow"/>
                <w:sz w:val="20"/>
                <w:szCs w:val="20"/>
              </w:rPr>
              <w:t>mcg</w:t>
            </w:r>
          </w:p>
        </w:tc>
        <w:tc>
          <w:tcPr>
            <w:tcW w:w="993" w:type="pct"/>
            <w:gridSpan w:val="2"/>
            <w:vAlign w:val="center"/>
          </w:tcPr>
          <w:p w14:paraId="203FD444" w14:textId="77777777" w:rsidR="00B059F3" w:rsidRPr="00952B90" w:rsidRDefault="00B059F3" w:rsidP="00BE57BE">
            <w:pPr>
              <w:keepNext/>
              <w:jc w:val="center"/>
              <w:rPr>
                <w:rFonts w:ascii="Arial Narrow" w:hAnsi="Arial Narrow"/>
                <w:sz w:val="20"/>
                <w:szCs w:val="20"/>
              </w:rPr>
            </w:pPr>
            <w:r w:rsidRPr="00B8505D">
              <w:rPr>
                <w:rFonts w:ascii="Arial Narrow" w:hAnsi="Arial Narrow"/>
                <w:strike/>
                <w:sz w:val="20"/>
                <w:szCs w:val="20"/>
              </w:rPr>
              <w:t>3</w:t>
            </w:r>
            <w:r>
              <w:rPr>
                <w:rFonts w:ascii="Arial Narrow" w:hAnsi="Arial Narrow"/>
                <w:sz w:val="20"/>
                <w:szCs w:val="20"/>
              </w:rPr>
              <w:t xml:space="preserve"> </w:t>
            </w:r>
            <w:r w:rsidRPr="00B8505D">
              <w:rPr>
                <w:rFonts w:ascii="Arial Narrow" w:hAnsi="Arial Narrow"/>
                <w:i/>
                <w:iCs/>
                <w:sz w:val="20"/>
                <w:szCs w:val="20"/>
              </w:rPr>
              <w:t>7</w:t>
            </w:r>
          </w:p>
        </w:tc>
      </w:tr>
      <w:tr w:rsidR="00B059F3" w:rsidRPr="00952B90" w14:paraId="0B838B78" w14:textId="77777777" w:rsidTr="00BE57BE">
        <w:trPr>
          <w:cantSplit/>
          <w:trHeight w:val="20"/>
        </w:trPr>
        <w:tc>
          <w:tcPr>
            <w:tcW w:w="5000" w:type="pct"/>
            <w:gridSpan w:val="5"/>
            <w:vAlign w:val="center"/>
          </w:tcPr>
          <w:p w14:paraId="77762C04" w14:textId="77777777" w:rsidR="00B059F3" w:rsidRPr="00952B90" w:rsidRDefault="00B059F3" w:rsidP="00BE57BE">
            <w:pPr>
              <w:keepNext/>
              <w:rPr>
                <w:rFonts w:ascii="Arial Narrow" w:hAnsi="Arial Narrow"/>
                <w:b/>
                <w:sz w:val="20"/>
                <w:szCs w:val="20"/>
              </w:rPr>
            </w:pPr>
            <w:r w:rsidRPr="00952B90">
              <w:rPr>
                <w:rFonts w:ascii="Arial Narrow" w:hAnsi="Arial Narrow"/>
                <w:b/>
                <w:sz w:val="20"/>
                <w:szCs w:val="20"/>
              </w:rPr>
              <w:t xml:space="preserve">Available brands </w:t>
            </w:r>
          </w:p>
        </w:tc>
      </w:tr>
      <w:tr w:rsidR="00B059F3" w:rsidRPr="00952B90" w14:paraId="43DE3632" w14:textId="77777777" w:rsidTr="00BE57BE">
        <w:trPr>
          <w:cantSplit/>
          <w:trHeight w:val="20"/>
        </w:trPr>
        <w:tc>
          <w:tcPr>
            <w:tcW w:w="5000" w:type="pct"/>
            <w:gridSpan w:val="5"/>
            <w:vAlign w:val="center"/>
          </w:tcPr>
          <w:p w14:paraId="508A315E" w14:textId="77777777" w:rsidR="00B059F3" w:rsidRPr="00952B90" w:rsidRDefault="00B059F3" w:rsidP="00BE57BE">
            <w:pPr>
              <w:keepNext/>
              <w:rPr>
                <w:rFonts w:ascii="Arial Narrow" w:hAnsi="Arial Narrow"/>
                <w:sz w:val="20"/>
                <w:szCs w:val="20"/>
              </w:rPr>
            </w:pPr>
            <w:r w:rsidRPr="00952B90">
              <w:rPr>
                <w:rFonts w:ascii="Arial Narrow" w:hAnsi="Arial Narrow"/>
                <w:sz w:val="20"/>
                <w:szCs w:val="20"/>
              </w:rPr>
              <w:t>Kimmtrak</w:t>
            </w:r>
          </w:p>
          <w:p w14:paraId="6094B485" w14:textId="77777777" w:rsidR="00B059F3" w:rsidRPr="00952B90" w:rsidRDefault="00B059F3" w:rsidP="00BE57BE">
            <w:pPr>
              <w:keepNext/>
              <w:rPr>
                <w:rFonts w:ascii="Arial Narrow" w:hAnsi="Arial Narrow"/>
                <w:sz w:val="20"/>
                <w:szCs w:val="20"/>
              </w:rPr>
            </w:pPr>
            <w:r w:rsidRPr="00952B90">
              <w:rPr>
                <w:rFonts w:ascii="Arial Narrow" w:hAnsi="Arial Narrow"/>
                <w:sz w:val="20"/>
                <w:szCs w:val="20"/>
              </w:rPr>
              <w:t>tebentafusp 100 microgram/0.5 mL injection, 0.5 mL vial</w:t>
            </w:r>
          </w:p>
        </w:tc>
      </w:tr>
      <w:tr w:rsidR="00B059F3" w:rsidRPr="00952B90" w14:paraId="18922DA2" w14:textId="77777777" w:rsidTr="00BE57BE">
        <w:trPr>
          <w:cantSplit/>
          <w:trHeight w:val="20"/>
        </w:trPr>
        <w:tc>
          <w:tcPr>
            <w:tcW w:w="5000" w:type="pct"/>
            <w:gridSpan w:val="5"/>
            <w:vAlign w:val="center"/>
          </w:tcPr>
          <w:p w14:paraId="3ED1FAE0" w14:textId="77777777" w:rsidR="00B059F3" w:rsidRPr="00952B90" w:rsidRDefault="00B059F3" w:rsidP="00BE57BE">
            <w:pPr>
              <w:keepNext/>
              <w:rPr>
                <w:rFonts w:ascii="Arial Narrow" w:hAnsi="Arial Narrow"/>
                <w:sz w:val="20"/>
                <w:szCs w:val="20"/>
              </w:rPr>
            </w:pPr>
          </w:p>
        </w:tc>
      </w:tr>
      <w:tr w:rsidR="00A61A2F" w:rsidRPr="00952B90" w14:paraId="40FEA875"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E0A6CDA" w14:textId="77777777" w:rsidR="00A61A2F" w:rsidRPr="00952B90" w:rsidRDefault="00A61A2F" w:rsidP="00BE57BE">
            <w:pPr>
              <w:keepLines/>
              <w:rPr>
                <w:rFonts w:ascii="Arial Narrow" w:hAnsi="Arial Narrow"/>
                <w:sz w:val="20"/>
                <w:szCs w:val="20"/>
              </w:rPr>
            </w:pPr>
            <w:r w:rsidRPr="00952B90">
              <w:rPr>
                <w:rFonts w:ascii="Arial Narrow" w:hAnsi="Arial Narrow"/>
                <w:b/>
                <w:sz w:val="20"/>
                <w:szCs w:val="20"/>
              </w:rPr>
              <w:t xml:space="preserve">Category / Program: </w:t>
            </w:r>
            <w:r w:rsidRPr="00952B90">
              <w:rPr>
                <w:rFonts w:ascii="Arial Narrow" w:hAnsi="Arial Narrow"/>
                <w:sz w:val="20"/>
                <w:szCs w:val="20"/>
              </w:rPr>
              <w:t>Section 100 – Efficient Funding of Chemotherapy Public/Private hospitals</w:t>
            </w:r>
          </w:p>
        </w:tc>
      </w:tr>
      <w:tr w:rsidR="00A61A2F" w:rsidRPr="00952B90" w14:paraId="6E9A4644"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ADD15CD" w14:textId="77777777" w:rsidR="00A61A2F" w:rsidRPr="00952B90" w:rsidRDefault="00A61A2F" w:rsidP="00BE57BE">
            <w:pPr>
              <w:keepLines/>
              <w:rPr>
                <w:rFonts w:ascii="Arial Narrow" w:hAnsi="Arial Narrow"/>
                <w:b/>
                <w:sz w:val="20"/>
                <w:szCs w:val="20"/>
              </w:rPr>
            </w:pPr>
            <w:r w:rsidRPr="00952B90">
              <w:rPr>
                <w:rFonts w:ascii="Arial Narrow" w:hAnsi="Arial Narrow"/>
                <w:b/>
                <w:sz w:val="20"/>
                <w:szCs w:val="20"/>
              </w:rPr>
              <w:t>Prescriber type:</w:t>
            </w:r>
            <w:r w:rsidRPr="00952B90">
              <w:rPr>
                <w:rFonts w:ascii="Arial Narrow" w:hAnsi="Arial Narrow"/>
                <w:sz w:val="20"/>
                <w:szCs w:val="20"/>
              </w:rPr>
              <w:t xml:space="preserve"> </w:t>
            </w:r>
            <w:r w:rsidRPr="00952B90">
              <w:rPr>
                <w:rFonts w:ascii="Arial Narrow" w:hAnsi="Arial Narrow"/>
                <w:sz w:val="20"/>
                <w:szCs w:val="20"/>
              </w:rPr>
              <w:fldChar w:fldCharType="begin" w:fldLock="1">
                <w:ffData>
                  <w:name w:val=""/>
                  <w:enabled/>
                  <w:calcOnExit w:val="0"/>
                  <w:checkBox>
                    <w:sizeAuto/>
                    <w:default w:val="1"/>
                  </w:checkBox>
                </w:ffData>
              </w:fldChar>
            </w:r>
            <w:r w:rsidRPr="00952B90">
              <w:rPr>
                <w:rFonts w:ascii="Arial Narrow" w:hAnsi="Arial Narrow"/>
                <w:sz w:val="20"/>
                <w:szCs w:val="20"/>
              </w:rPr>
              <w:instrText xml:space="preserve"> FORMCHECKBOX </w:instrText>
            </w:r>
            <w:r w:rsidR="00FC715B">
              <w:rPr>
                <w:rFonts w:ascii="Arial Narrow" w:hAnsi="Arial Narrow"/>
                <w:sz w:val="20"/>
                <w:szCs w:val="20"/>
              </w:rPr>
            </w:r>
            <w:r w:rsidR="00FC715B">
              <w:rPr>
                <w:rFonts w:ascii="Arial Narrow" w:hAnsi="Arial Narrow"/>
                <w:sz w:val="20"/>
                <w:szCs w:val="20"/>
              </w:rPr>
              <w:fldChar w:fldCharType="separate"/>
            </w:r>
            <w:r w:rsidRPr="00952B90">
              <w:rPr>
                <w:rFonts w:ascii="Arial Narrow" w:hAnsi="Arial Narrow"/>
                <w:sz w:val="20"/>
                <w:szCs w:val="20"/>
              </w:rPr>
              <w:fldChar w:fldCharType="end"/>
            </w:r>
            <w:r w:rsidRPr="00952B90">
              <w:rPr>
                <w:rFonts w:ascii="Arial Narrow" w:hAnsi="Arial Narrow"/>
                <w:sz w:val="20"/>
                <w:szCs w:val="20"/>
              </w:rPr>
              <w:t>Medical Practitioners</w:t>
            </w:r>
          </w:p>
        </w:tc>
      </w:tr>
      <w:tr w:rsidR="00A61A2F" w:rsidRPr="00952B90" w14:paraId="44A4DF55" w14:textId="77777777" w:rsidTr="00A61A2F">
        <w:tblPrEx>
          <w:tblCellMar>
            <w:top w:w="15" w:type="dxa"/>
            <w:bottom w:w="15" w:type="dxa"/>
          </w:tblCellMar>
          <w:tblLook w:val="04A0" w:firstRow="1" w:lastRow="0" w:firstColumn="1" w:lastColumn="0" w:noHBand="0" w:noVBand="1"/>
        </w:tblPrEx>
        <w:trPr>
          <w:gridAfter w:val="1"/>
          <w:wAfter w:w="4" w:type="pct"/>
          <w:cantSplit/>
          <w:trHeight w:val="106"/>
        </w:trPr>
        <w:tc>
          <w:tcPr>
            <w:tcW w:w="4996" w:type="pct"/>
            <w:gridSpan w:val="4"/>
            <w:vAlign w:val="center"/>
          </w:tcPr>
          <w:p w14:paraId="590F8D19" w14:textId="77777777" w:rsidR="00A61A2F" w:rsidRPr="00952B90" w:rsidRDefault="00A61A2F" w:rsidP="00BE57BE">
            <w:pPr>
              <w:keepLines/>
              <w:rPr>
                <w:rFonts w:ascii="Arial Narrow" w:eastAsia="Calibri" w:hAnsi="Arial Narrow"/>
                <w:color w:val="FF0000"/>
                <w:sz w:val="20"/>
                <w:szCs w:val="20"/>
              </w:rPr>
            </w:pPr>
            <w:r w:rsidRPr="00952B90">
              <w:rPr>
                <w:rFonts w:ascii="Arial Narrow" w:hAnsi="Arial Narrow"/>
                <w:b/>
                <w:sz w:val="20"/>
                <w:szCs w:val="20"/>
              </w:rPr>
              <w:t xml:space="preserve">Restriction type: </w:t>
            </w:r>
            <w:r w:rsidRPr="00952B90">
              <w:rPr>
                <w:rFonts w:ascii="Arial Narrow" w:eastAsia="Calibri" w:hAnsi="Arial Narrow"/>
                <w:sz w:val="20"/>
                <w:szCs w:val="20"/>
              </w:rPr>
              <w:fldChar w:fldCharType="begin" w:fldLock="1">
                <w:ffData>
                  <w:name w:val=""/>
                  <w:enabled/>
                  <w:calcOnExit w:val="0"/>
                  <w:checkBox>
                    <w:sizeAuto/>
                    <w:default w:val="1"/>
                  </w:checkBox>
                </w:ffData>
              </w:fldChar>
            </w:r>
            <w:r w:rsidRPr="00952B90">
              <w:rPr>
                <w:rFonts w:ascii="Arial Narrow" w:eastAsia="Calibri" w:hAnsi="Arial Narrow"/>
                <w:sz w:val="20"/>
                <w:szCs w:val="20"/>
              </w:rPr>
              <w:instrText xml:space="preserve"> FORMCHECKBOX </w:instrText>
            </w:r>
            <w:r w:rsidR="00FC715B">
              <w:rPr>
                <w:rFonts w:ascii="Arial Narrow" w:eastAsia="Calibri" w:hAnsi="Arial Narrow"/>
                <w:sz w:val="20"/>
                <w:szCs w:val="20"/>
              </w:rPr>
            </w:r>
            <w:r w:rsidR="00FC715B">
              <w:rPr>
                <w:rFonts w:ascii="Arial Narrow" w:eastAsia="Calibri" w:hAnsi="Arial Narrow"/>
                <w:sz w:val="20"/>
                <w:szCs w:val="20"/>
              </w:rPr>
              <w:fldChar w:fldCharType="separate"/>
            </w:r>
            <w:r w:rsidRPr="00952B90">
              <w:rPr>
                <w:rFonts w:ascii="Arial Narrow" w:eastAsia="Calibri" w:hAnsi="Arial Narrow"/>
                <w:sz w:val="20"/>
                <w:szCs w:val="20"/>
              </w:rPr>
              <w:fldChar w:fldCharType="end"/>
            </w:r>
            <w:r w:rsidRPr="00952B90">
              <w:rPr>
                <w:rFonts w:ascii="Arial Narrow" w:eastAsia="Calibri" w:hAnsi="Arial Narrow"/>
                <w:sz w:val="20"/>
                <w:szCs w:val="20"/>
              </w:rPr>
              <w:t xml:space="preserve">Authority Required – Streamlined [new code] </w:t>
            </w:r>
          </w:p>
        </w:tc>
      </w:tr>
      <w:tr w:rsidR="00A61A2F" w:rsidRPr="00952B90" w14:paraId="71503B6B"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545C981" w14:textId="77777777" w:rsidR="00A61A2F" w:rsidRPr="00952B90" w:rsidRDefault="00A61A2F" w:rsidP="00BE57BE">
            <w:pPr>
              <w:textAlignment w:val="baseline"/>
              <w:rPr>
                <w:rFonts w:ascii="Arial Narrow" w:hAnsi="Arial Narrow"/>
                <w:b/>
                <w:sz w:val="20"/>
                <w:szCs w:val="20"/>
              </w:rPr>
            </w:pPr>
            <w:r w:rsidRPr="00952B90">
              <w:rPr>
                <w:rFonts w:ascii="Arial Narrow" w:hAnsi="Arial Narrow" w:cs="Open Sans"/>
                <w:b/>
                <w:bCs/>
                <w:color w:val="333333"/>
                <w:sz w:val="20"/>
                <w:szCs w:val="20"/>
                <w:bdr w:val="none" w:sz="0" w:space="0" w:color="auto" w:frame="1"/>
              </w:rPr>
              <w:t xml:space="preserve">Administrative Advice: </w:t>
            </w:r>
            <w:r w:rsidRPr="00952B90">
              <w:rPr>
                <w:rFonts w:ascii="Arial Narrow" w:hAnsi="Arial Narrow" w:cs="Open Sans"/>
                <w:color w:val="333333"/>
                <w:sz w:val="20"/>
                <w:szCs w:val="20"/>
              </w:rPr>
              <w:t>No increase in the maximum number of repeats may be authorised.</w:t>
            </w:r>
          </w:p>
        </w:tc>
      </w:tr>
      <w:tr w:rsidR="00A61A2F" w:rsidRPr="00952B90" w14:paraId="3119018D" w14:textId="77777777" w:rsidTr="00A61A2F">
        <w:tblPrEx>
          <w:tblCellMar>
            <w:top w:w="15" w:type="dxa"/>
            <w:bottom w:w="15" w:type="dxa"/>
          </w:tblCellMar>
          <w:tblLook w:val="04A0" w:firstRow="1" w:lastRow="0" w:firstColumn="1" w:lastColumn="0" w:noHBand="0" w:noVBand="1"/>
        </w:tblPrEx>
        <w:trPr>
          <w:gridAfter w:val="1"/>
          <w:wAfter w:w="4" w:type="pct"/>
          <w:cantSplit/>
          <w:trHeight w:val="45"/>
        </w:trPr>
        <w:tc>
          <w:tcPr>
            <w:tcW w:w="4996" w:type="pct"/>
            <w:gridSpan w:val="4"/>
            <w:vAlign w:val="center"/>
          </w:tcPr>
          <w:p w14:paraId="163602E0" w14:textId="77777777" w:rsidR="00A61A2F" w:rsidRPr="00952B90" w:rsidRDefault="00A61A2F" w:rsidP="00BE57BE">
            <w:pPr>
              <w:keepLines/>
              <w:rPr>
                <w:rFonts w:ascii="Arial Narrow" w:hAnsi="Arial Narrow"/>
                <w:b/>
                <w:sz w:val="20"/>
                <w:szCs w:val="20"/>
              </w:rPr>
            </w:pPr>
            <w:r w:rsidRPr="00952B90">
              <w:rPr>
                <w:rFonts w:ascii="Arial Narrow" w:hAnsi="Arial Narrow" w:cs="Open Sans"/>
                <w:b/>
                <w:bCs/>
                <w:color w:val="333333"/>
                <w:sz w:val="20"/>
                <w:szCs w:val="20"/>
                <w:bdr w:val="none" w:sz="0" w:space="0" w:color="auto" w:frame="1"/>
              </w:rPr>
              <w:t xml:space="preserve">Administrative Advice: </w:t>
            </w:r>
            <w:r w:rsidRPr="00952B90">
              <w:rPr>
                <w:rFonts w:ascii="Arial Narrow" w:hAnsi="Arial Narrow" w:cs="Open Sans"/>
                <w:color w:val="333333"/>
                <w:sz w:val="20"/>
                <w:szCs w:val="20"/>
              </w:rPr>
              <w:t>Special Pricing Arrangements apply.</w:t>
            </w:r>
          </w:p>
        </w:tc>
      </w:tr>
      <w:tr w:rsidR="00A61A2F" w:rsidRPr="00952B90" w14:paraId="6B245DF5" w14:textId="77777777" w:rsidTr="00A61A2F">
        <w:tblPrEx>
          <w:tblCellMar>
            <w:top w:w="15" w:type="dxa"/>
            <w:bottom w:w="15" w:type="dxa"/>
          </w:tblCellMar>
          <w:tblLook w:val="04A0" w:firstRow="1" w:lastRow="0" w:firstColumn="1" w:lastColumn="0" w:noHBand="0" w:noVBand="1"/>
        </w:tblPrEx>
        <w:trPr>
          <w:gridAfter w:val="1"/>
          <w:wAfter w:w="4" w:type="pct"/>
          <w:cantSplit/>
          <w:trHeight w:val="45"/>
        </w:trPr>
        <w:tc>
          <w:tcPr>
            <w:tcW w:w="4996" w:type="pct"/>
            <w:gridSpan w:val="4"/>
            <w:vAlign w:val="center"/>
          </w:tcPr>
          <w:p w14:paraId="0F2DCD29" w14:textId="77777777" w:rsidR="00A61A2F" w:rsidRPr="00952B90" w:rsidRDefault="00A61A2F" w:rsidP="00BE57BE">
            <w:pPr>
              <w:keepLines/>
              <w:rPr>
                <w:rFonts w:ascii="Arial Narrow" w:hAnsi="Arial Narrow"/>
                <w:b/>
                <w:bCs/>
                <w:color w:val="333333"/>
                <w:sz w:val="20"/>
                <w:szCs w:val="20"/>
              </w:rPr>
            </w:pPr>
            <w:r w:rsidRPr="00952B90">
              <w:rPr>
                <w:rFonts w:ascii="Arial Narrow" w:hAnsi="Arial Narrow" w:cs="Open Sans"/>
                <w:b/>
                <w:bCs/>
                <w:color w:val="333333"/>
                <w:sz w:val="20"/>
                <w:szCs w:val="20"/>
                <w:bdr w:val="none" w:sz="0" w:space="0" w:color="auto" w:frame="1"/>
              </w:rPr>
              <w:t>Administrative Advice:</w:t>
            </w:r>
            <w:r>
              <w:rPr>
                <w:rFonts w:ascii="Arial Narrow" w:hAnsi="Arial Narrow" w:cs="Open Sans"/>
                <w:b/>
                <w:bCs/>
                <w:color w:val="333333"/>
                <w:sz w:val="20"/>
                <w:szCs w:val="20"/>
                <w:bdr w:val="none" w:sz="0" w:space="0" w:color="auto" w:frame="1"/>
              </w:rPr>
              <w:t xml:space="preserve"> </w:t>
            </w:r>
            <w:r w:rsidRPr="00952B90">
              <w:rPr>
                <w:rFonts w:ascii="Arial Narrow" w:hAnsi="Arial Narrow" w:cs="Open Sans"/>
                <w:color w:val="333333"/>
                <w:sz w:val="20"/>
                <w:szCs w:val="20"/>
              </w:rPr>
              <w:t>No increase in the maximum amount or number of units may be authorised</w:t>
            </w:r>
          </w:p>
        </w:tc>
      </w:tr>
      <w:tr w:rsidR="00A61A2F" w:rsidRPr="00952B90" w14:paraId="7CDC6C55"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3482113F" w14:textId="77777777" w:rsidR="00A61A2F" w:rsidRPr="00952B90" w:rsidRDefault="00A61A2F" w:rsidP="00BE57BE">
            <w:pPr>
              <w:rPr>
                <w:rFonts w:ascii="Arial Narrow" w:hAnsi="Arial Narrow"/>
                <w:b/>
                <w:bCs/>
                <w:color w:val="333333"/>
                <w:sz w:val="20"/>
                <w:szCs w:val="20"/>
              </w:rPr>
            </w:pPr>
            <w:r w:rsidRPr="00952B90">
              <w:rPr>
                <w:rFonts w:ascii="Arial Narrow" w:hAnsi="Arial Narrow"/>
                <w:b/>
                <w:bCs/>
                <w:color w:val="333333"/>
                <w:sz w:val="20"/>
                <w:szCs w:val="20"/>
              </w:rPr>
              <w:t xml:space="preserve">Episodicity: </w:t>
            </w:r>
            <w:r w:rsidRPr="00952B90">
              <w:rPr>
                <w:rFonts w:ascii="Arial Narrow" w:hAnsi="Arial Narrow"/>
                <w:color w:val="333333"/>
                <w:sz w:val="20"/>
                <w:szCs w:val="20"/>
              </w:rPr>
              <w:t>[blank]</w:t>
            </w:r>
            <w:r w:rsidRPr="00952B90">
              <w:rPr>
                <w:rFonts w:ascii="Arial Narrow" w:hAnsi="Arial Narrow"/>
                <w:bCs/>
                <w:color w:val="FF0000"/>
                <w:sz w:val="20"/>
                <w:szCs w:val="20"/>
              </w:rPr>
              <w:t xml:space="preserve"> </w:t>
            </w:r>
          </w:p>
        </w:tc>
      </w:tr>
      <w:tr w:rsidR="00A61A2F" w:rsidRPr="00952B90" w14:paraId="75090327"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F4A00AF" w14:textId="77777777" w:rsidR="00A61A2F" w:rsidRPr="00952B90" w:rsidRDefault="00A61A2F" w:rsidP="00BE57BE">
            <w:pPr>
              <w:rPr>
                <w:rFonts w:ascii="Arial Narrow" w:hAnsi="Arial Narrow"/>
                <w:b/>
                <w:bCs/>
                <w:i/>
                <w:iCs/>
                <w:color w:val="333333"/>
                <w:sz w:val="20"/>
                <w:szCs w:val="20"/>
              </w:rPr>
            </w:pPr>
            <w:r w:rsidRPr="00952B90">
              <w:rPr>
                <w:rFonts w:ascii="Arial Narrow" w:hAnsi="Arial Narrow"/>
                <w:b/>
                <w:bCs/>
                <w:color w:val="333333"/>
                <w:sz w:val="20"/>
                <w:szCs w:val="20"/>
              </w:rPr>
              <w:t xml:space="preserve">Severity: </w:t>
            </w:r>
            <w:r w:rsidRPr="00952B90">
              <w:rPr>
                <w:rFonts w:ascii="Arial Narrow" w:hAnsi="Arial Narrow"/>
                <w:color w:val="333333"/>
                <w:sz w:val="20"/>
                <w:szCs w:val="20"/>
              </w:rPr>
              <w:t>Advanced disease (unresectable or metastatic)</w:t>
            </w:r>
          </w:p>
        </w:tc>
      </w:tr>
      <w:tr w:rsidR="00A61A2F" w:rsidRPr="00952B90" w14:paraId="6336509D"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1B04AE8" w14:textId="77777777" w:rsidR="00A61A2F" w:rsidRPr="00952B90" w:rsidRDefault="00A61A2F" w:rsidP="00BE57BE">
            <w:pPr>
              <w:rPr>
                <w:rFonts w:ascii="Arial Narrow" w:hAnsi="Arial Narrow"/>
                <w:b/>
                <w:bCs/>
                <w:color w:val="333333"/>
                <w:sz w:val="20"/>
                <w:szCs w:val="20"/>
              </w:rPr>
            </w:pPr>
            <w:r w:rsidRPr="00952B90">
              <w:rPr>
                <w:rFonts w:ascii="Arial Narrow" w:hAnsi="Arial Narrow"/>
                <w:b/>
                <w:bCs/>
                <w:color w:val="333333"/>
                <w:sz w:val="20"/>
                <w:szCs w:val="20"/>
              </w:rPr>
              <w:t>Condition:</w:t>
            </w:r>
            <w:r>
              <w:rPr>
                <w:rFonts w:ascii="Arial Narrow" w:hAnsi="Arial Narrow"/>
                <w:b/>
                <w:bCs/>
                <w:color w:val="333333"/>
                <w:sz w:val="20"/>
                <w:szCs w:val="20"/>
              </w:rPr>
              <w:t xml:space="preserve"> </w:t>
            </w:r>
            <w:r w:rsidRPr="00952B90">
              <w:rPr>
                <w:rFonts w:ascii="Arial Narrow" w:hAnsi="Arial Narrow"/>
                <w:bCs/>
                <w:color w:val="333333"/>
                <w:sz w:val="20"/>
                <w:szCs w:val="20"/>
              </w:rPr>
              <w:t>Uveal melanoma</w:t>
            </w:r>
          </w:p>
        </w:tc>
      </w:tr>
      <w:tr w:rsidR="00A61A2F" w:rsidRPr="00952B90" w14:paraId="4056CBF3"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0FF4E08A" w14:textId="77777777" w:rsidR="00A61A2F" w:rsidRPr="00952B90" w:rsidRDefault="00A61A2F" w:rsidP="00BE57BE">
            <w:pPr>
              <w:rPr>
                <w:rFonts w:ascii="Arial Narrow" w:hAnsi="Arial Narrow"/>
                <w:color w:val="333333"/>
                <w:sz w:val="20"/>
                <w:szCs w:val="20"/>
              </w:rPr>
            </w:pPr>
            <w:r w:rsidRPr="00952B90">
              <w:rPr>
                <w:rFonts w:ascii="Arial Narrow" w:hAnsi="Arial Narrow"/>
                <w:b/>
                <w:bCs/>
                <w:color w:val="333333"/>
                <w:sz w:val="20"/>
                <w:szCs w:val="20"/>
              </w:rPr>
              <w:t>Indication:</w:t>
            </w:r>
            <w:r w:rsidRPr="00952B90">
              <w:rPr>
                <w:rFonts w:ascii="Arial Narrow" w:hAnsi="Arial Narrow"/>
                <w:color w:val="333333"/>
                <w:sz w:val="20"/>
                <w:szCs w:val="20"/>
              </w:rPr>
              <w:t xml:space="preserve"> </w:t>
            </w:r>
            <w:r w:rsidRPr="00952B90">
              <w:rPr>
                <w:rFonts w:ascii="Arial Narrow" w:hAnsi="Arial Narrow" w:cs="Open Sans"/>
                <w:color w:val="333333"/>
                <w:sz w:val="20"/>
                <w:szCs w:val="20"/>
              </w:rPr>
              <w:t>Advanced (unresectable or metastatic) uveal melanoma</w:t>
            </w:r>
          </w:p>
        </w:tc>
      </w:tr>
      <w:tr w:rsidR="00A61A2F" w:rsidRPr="00952B90" w14:paraId="09D81FA2"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583BD145" w14:textId="77777777" w:rsidR="00A61A2F" w:rsidRPr="00952B90" w:rsidRDefault="00A61A2F" w:rsidP="00BE57BE">
            <w:pPr>
              <w:rPr>
                <w:rFonts w:ascii="Arial Narrow" w:hAnsi="Arial Narrow"/>
                <w:color w:val="FF0000"/>
                <w:sz w:val="20"/>
                <w:szCs w:val="20"/>
              </w:rPr>
            </w:pPr>
            <w:r w:rsidRPr="00952B90">
              <w:rPr>
                <w:rFonts w:ascii="Arial Narrow" w:hAnsi="Arial Narrow"/>
                <w:b/>
                <w:bCs/>
                <w:color w:val="333333"/>
                <w:sz w:val="20"/>
                <w:szCs w:val="20"/>
              </w:rPr>
              <w:t xml:space="preserve">Treatment Phase </w:t>
            </w:r>
            <w:r w:rsidRPr="00952B90">
              <w:rPr>
                <w:rFonts w:ascii="Arial Narrow" w:hAnsi="Arial Narrow"/>
                <w:sz w:val="20"/>
                <w:szCs w:val="20"/>
              </w:rPr>
              <w:t>Continuing treatment</w:t>
            </w:r>
          </w:p>
        </w:tc>
      </w:tr>
      <w:tr w:rsidR="00A61A2F" w:rsidRPr="00952B90" w14:paraId="30D645CC"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F03D384" w14:textId="77777777" w:rsidR="00A61A2F" w:rsidRPr="00952B90" w:rsidRDefault="00A61A2F" w:rsidP="00BE57BE">
            <w:pPr>
              <w:rPr>
                <w:rFonts w:ascii="Arial Narrow" w:hAnsi="Arial Narrow"/>
                <w:b/>
                <w:bCs/>
                <w:color w:val="333333"/>
                <w:sz w:val="20"/>
                <w:szCs w:val="20"/>
              </w:rPr>
            </w:pPr>
          </w:p>
        </w:tc>
      </w:tr>
      <w:tr w:rsidR="00A61A2F" w:rsidRPr="00952B90" w14:paraId="329FB775"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6D4607A2" w14:textId="77777777" w:rsidR="00A61A2F" w:rsidRPr="00952B90" w:rsidRDefault="00A61A2F" w:rsidP="00BE57BE">
            <w:pPr>
              <w:rPr>
                <w:rFonts w:ascii="Arial Narrow" w:hAnsi="Arial Narrow"/>
                <w:b/>
                <w:bCs/>
                <w:color w:val="333333"/>
                <w:sz w:val="20"/>
                <w:szCs w:val="20"/>
              </w:rPr>
            </w:pPr>
            <w:r w:rsidRPr="00952B90">
              <w:rPr>
                <w:rFonts w:ascii="Arial Narrow" w:hAnsi="Arial Narrow"/>
                <w:b/>
                <w:bCs/>
                <w:color w:val="333333"/>
                <w:sz w:val="20"/>
                <w:szCs w:val="20"/>
              </w:rPr>
              <w:t>Clinical criteria:</w:t>
            </w:r>
          </w:p>
        </w:tc>
      </w:tr>
      <w:tr w:rsidR="00A61A2F" w:rsidRPr="00952B90" w14:paraId="661E0DE4"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631F8AF" w14:textId="77777777" w:rsidR="00A61A2F" w:rsidRPr="00952B90" w:rsidRDefault="00A61A2F" w:rsidP="00BE57BE">
            <w:pPr>
              <w:rPr>
                <w:rFonts w:ascii="Arial Narrow" w:hAnsi="Arial Narrow"/>
                <w:sz w:val="20"/>
                <w:szCs w:val="20"/>
              </w:rPr>
            </w:pPr>
            <w:r w:rsidRPr="00952B90">
              <w:rPr>
                <w:rFonts w:ascii="Arial Narrow" w:hAnsi="Arial Narrow"/>
                <w:sz w:val="20"/>
                <w:szCs w:val="20"/>
              </w:rPr>
              <w:t>The treatment must be the sole PBS-subsidised therapy for this condition</w:t>
            </w:r>
          </w:p>
        </w:tc>
      </w:tr>
      <w:tr w:rsidR="00A61A2F" w:rsidRPr="00952B90" w14:paraId="139974C9"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748EC2F" w14:textId="77777777" w:rsidR="00A61A2F" w:rsidRPr="00952B90" w:rsidRDefault="00A61A2F" w:rsidP="00BE57BE">
            <w:pPr>
              <w:rPr>
                <w:rFonts w:ascii="Arial Narrow" w:hAnsi="Arial Narrow"/>
                <w:sz w:val="20"/>
                <w:szCs w:val="20"/>
              </w:rPr>
            </w:pPr>
            <w:r w:rsidRPr="00952B90">
              <w:rPr>
                <w:rFonts w:ascii="Arial Narrow" w:hAnsi="Arial Narrow"/>
                <w:b/>
                <w:bCs/>
                <w:color w:val="333333"/>
                <w:sz w:val="20"/>
                <w:szCs w:val="20"/>
              </w:rPr>
              <w:t>AND</w:t>
            </w:r>
          </w:p>
        </w:tc>
      </w:tr>
      <w:tr w:rsidR="00A61A2F" w:rsidRPr="00952B90" w14:paraId="402DA8BE"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DD50501" w14:textId="77777777" w:rsidR="00A61A2F" w:rsidRPr="00952B90" w:rsidRDefault="00A61A2F" w:rsidP="00BE57BE">
            <w:pPr>
              <w:rPr>
                <w:rFonts w:ascii="Arial Narrow" w:hAnsi="Arial Narrow"/>
                <w:sz w:val="20"/>
                <w:szCs w:val="20"/>
              </w:rPr>
            </w:pPr>
            <w:r w:rsidRPr="00952B90">
              <w:rPr>
                <w:rFonts w:ascii="Arial Narrow" w:hAnsi="Arial Narrow"/>
                <w:b/>
                <w:bCs/>
                <w:color w:val="333333"/>
                <w:sz w:val="20"/>
                <w:szCs w:val="20"/>
              </w:rPr>
              <w:t>Clinical criteria:</w:t>
            </w:r>
          </w:p>
        </w:tc>
      </w:tr>
      <w:tr w:rsidR="00A61A2F" w:rsidRPr="00952B90" w14:paraId="6A9CD267"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C3F11DC" w14:textId="77777777" w:rsidR="00A61A2F" w:rsidRPr="00952B90" w:rsidRDefault="00A61A2F" w:rsidP="00BE57BE">
            <w:pPr>
              <w:rPr>
                <w:rFonts w:ascii="Arial Narrow" w:hAnsi="Arial Narrow"/>
                <w:b/>
                <w:bCs/>
                <w:color w:val="333333"/>
                <w:sz w:val="20"/>
                <w:szCs w:val="20"/>
              </w:rPr>
            </w:pPr>
            <w:r w:rsidRPr="00952B90">
              <w:rPr>
                <w:rFonts w:ascii="Arial Narrow" w:hAnsi="Arial Narrow"/>
                <w:sz w:val="20"/>
                <w:szCs w:val="20"/>
              </w:rPr>
              <w:t>Patient must have previously received PBS-subsidised treatment with this drug for this condition.</w:t>
            </w:r>
          </w:p>
        </w:tc>
      </w:tr>
      <w:tr w:rsidR="00A61A2F" w:rsidRPr="00952B90" w14:paraId="10861560"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2D6ABB5" w14:textId="77777777" w:rsidR="00A61A2F" w:rsidRPr="00952B90" w:rsidRDefault="00A61A2F" w:rsidP="00BE57BE">
            <w:pPr>
              <w:rPr>
                <w:rFonts w:ascii="Arial Narrow" w:hAnsi="Arial Narrow"/>
                <w:b/>
                <w:bCs/>
                <w:color w:val="333333"/>
                <w:sz w:val="20"/>
                <w:szCs w:val="20"/>
              </w:rPr>
            </w:pPr>
            <w:r w:rsidRPr="00952B90">
              <w:rPr>
                <w:rFonts w:ascii="Arial Narrow" w:hAnsi="Arial Narrow"/>
                <w:b/>
                <w:bCs/>
                <w:color w:val="333333"/>
                <w:sz w:val="20"/>
                <w:szCs w:val="20"/>
              </w:rPr>
              <w:t>AND</w:t>
            </w:r>
          </w:p>
        </w:tc>
      </w:tr>
      <w:tr w:rsidR="00A61A2F" w:rsidRPr="00952B90" w14:paraId="4378FDDA"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ADA4AEC" w14:textId="77777777" w:rsidR="00A61A2F" w:rsidRPr="00952B90" w:rsidRDefault="00A61A2F" w:rsidP="00BE57BE">
            <w:pPr>
              <w:rPr>
                <w:rFonts w:ascii="Arial Narrow" w:hAnsi="Arial Narrow"/>
                <w:b/>
                <w:bCs/>
                <w:color w:val="333333"/>
                <w:sz w:val="20"/>
                <w:szCs w:val="20"/>
              </w:rPr>
            </w:pPr>
            <w:r w:rsidRPr="00952B90">
              <w:rPr>
                <w:rFonts w:ascii="Arial Narrow" w:hAnsi="Arial Narrow"/>
                <w:b/>
                <w:bCs/>
                <w:color w:val="333333"/>
                <w:sz w:val="20"/>
                <w:szCs w:val="20"/>
              </w:rPr>
              <w:t>Clinical criteria:</w:t>
            </w:r>
          </w:p>
        </w:tc>
      </w:tr>
      <w:tr w:rsidR="00A61A2F" w:rsidRPr="00952B90" w14:paraId="35D3A4E2"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D25950B" w14:textId="77777777" w:rsidR="00A61A2F" w:rsidRPr="00952B90" w:rsidRDefault="00A61A2F" w:rsidP="00BE57BE">
            <w:pPr>
              <w:rPr>
                <w:rFonts w:ascii="Arial Narrow" w:hAnsi="Arial Narrow"/>
                <w:b/>
                <w:bCs/>
                <w:color w:val="333333"/>
                <w:sz w:val="20"/>
                <w:szCs w:val="20"/>
              </w:rPr>
            </w:pPr>
            <w:r w:rsidRPr="00952B90">
              <w:rPr>
                <w:rFonts w:ascii="Arial Narrow" w:hAnsi="Arial Narrow"/>
                <w:sz w:val="20"/>
                <w:szCs w:val="20"/>
              </w:rPr>
              <w:t xml:space="preserve">Patient must not develop disease progression as determined by the treating clinician while receiving PBS subsidised treatment with this drug for this condition. </w:t>
            </w:r>
          </w:p>
        </w:tc>
      </w:tr>
      <w:tr w:rsidR="00A61A2F" w:rsidRPr="00952B90" w14:paraId="03717ABC"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74028FE" w14:textId="77777777" w:rsidR="00A61A2F" w:rsidRPr="002571B1" w:rsidRDefault="00A61A2F" w:rsidP="00BE57BE">
            <w:pPr>
              <w:rPr>
                <w:rFonts w:ascii="Arial Narrow" w:hAnsi="Arial Narrow"/>
                <w:b/>
                <w:bCs/>
                <w:i/>
                <w:iCs/>
                <w:color w:val="333333"/>
                <w:sz w:val="20"/>
                <w:szCs w:val="20"/>
              </w:rPr>
            </w:pPr>
          </w:p>
        </w:tc>
      </w:tr>
      <w:tr w:rsidR="00A61A2F" w:rsidRPr="00952B90" w14:paraId="193CE2D0"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96B2013" w14:textId="77777777" w:rsidR="00A61A2F" w:rsidRPr="00F67000" w:rsidRDefault="00A61A2F" w:rsidP="00BE57BE">
            <w:pPr>
              <w:autoSpaceDE w:val="0"/>
              <w:autoSpaceDN w:val="0"/>
              <w:adjustRightInd w:val="0"/>
              <w:rPr>
                <w:rFonts w:ascii="Arial Narrow" w:hAnsi="Arial Narrow" w:cs="Open Sans"/>
                <w:b/>
                <w:bCs/>
                <w:color w:val="222222"/>
                <w:sz w:val="20"/>
                <w:szCs w:val="20"/>
              </w:rPr>
            </w:pPr>
            <w:r w:rsidRPr="00F67000">
              <w:rPr>
                <w:rFonts w:ascii="Arial Narrow" w:hAnsi="Arial Narrow" w:cs="Open Sans"/>
                <w:b/>
                <w:bCs/>
                <w:color w:val="222222"/>
                <w:sz w:val="20"/>
                <w:szCs w:val="20"/>
              </w:rPr>
              <w:t>Prescribing instruction:</w:t>
            </w:r>
          </w:p>
          <w:p w14:paraId="6DBA257B" w14:textId="77777777" w:rsidR="00A61A2F" w:rsidRPr="00952B90" w:rsidRDefault="00A61A2F" w:rsidP="00BE57BE">
            <w:pPr>
              <w:autoSpaceDE w:val="0"/>
              <w:autoSpaceDN w:val="0"/>
              <w:adjustRightInd w:val="0"/>
              <w:rPr>
                <w:rFonts w:ascii="Arial Narrow" w:hAnsi="Arial Narrow"/>
                <w:b/>
                <w:bCs/>
                <w:sz w:val="20"/>
                <w:szCs w:val="20"/>
              </w:rPr>
            </w:pPr>
            <w:r w:rsidRPr="00952B90">
              <w:rPr>
                <w:rFonts w:ascii="Arial Narrow" w:hAnsi="Arial Narrow" w:cs="Open Sans"/>
                <w:color w:val="222222"/>
                <w:sz w:val="20"/>
                <w:szCs w:val="20"/>
              </w:rPr>
              <w:t>According to the TGA-approved Product Information, hospitalisation is recommended at minimum for the first 3 doses (on Days 1, 8 and 15) and for at least 16 hours after each infusion is completed. If the patient does not experience hypotension that is Grade 2 or worse (requiring medical intervention) with the third dose, subsequent doses can be administered in an appropriate outpatient/ambulatory care setting. Supervision by a health care professional is recommended for a minimum of 30 minutes following each infusion.</w:t>
            </w:r>
          </w:p>
        </w:tc>
      </w:tr>
      <w:tr w:rsidR="00A61A2F" w:rsidRPr="00952B90" w14:paraId="6C8CFEB8"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E07CE94" w14:textId="77777777" w:rsidR="00A61A2F" w:rsidRPr="00952B90" w:rsidRDefault="00A61A2F" w:rsidP="00BE57BE">
            <w:pPr>
              <w:autoSpaceDE w:val="0"/>
              <w:autoSpaceDN w:val="0"/>
              <w:adjustRightInd w:val="0"/>
              <w:rPr>
                <w:rFonts w:ascii="Arial Narrow" w:hAnsi="Arial Narrow"/>
                <w:b/>
                <w:bCs/>
                <w:sz w:val="20"/>
                <w:szCs w:val="20"/>
              </w:rPr>
            </w:pPr>
          </w:p>
        </w:tc>
      </w:tr>
      <w:tr w:rsidR="00A61A2F" w:rsidRPr="00952B90" w14:paraId="67155035" w14:textId="77777777" w:rsidTr="00A61A2F">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341CE3F" w14:textId="77777777" w:rsidR="00A61A2F" w:rsidRPr="00952B90" w:rsidRDefault="00A61A2F" w:rsidP="00BE57BE">
            <w:pPr>
              <w:autoSpaceDE w:val="0"/>
              <w:autoSpaceDN w:val="0"/>
              <w:adjustRightInd w:val="0"/>
              <w:rPr>
                <w:rFonts w:ascii="Arial Narrow" w:hAnsi="Arial Narrow"/>
                <w:b/>
                <w:bCs/>
                <w:sz w:val="20"/>
                <w:szCs w:val="20"/>
              </w:rPr>
            </w:pPr>
            <w:r w:rsidRPr="00952B90">
              <w:rPr>
                <w:rFonts w:ascii="Arial Narrow" w:hAnsi="Arial Narrow"/>
                <w:b/>
                <w:bCs/>
                <w:sz w:val="20"/>
                <w:szCs w:val="20"/>
              </w:rPr>
              <w:t>Caution:</w:t>
            </w:r>
          </w:p>
          <w:p w14:paraId="1E922154" w14:textId="77777777" w:rsidR="00A61A2F" w:rsidRPr="00952B90" w:rsidRDefault="00A61A2F" w:rsidP="00BE57BE">
            <w:pPr>
              <w:autoSpaceDE w:val="0"/>
              <w:autoSpaceDN w:val="0"/>
              <w:adjustRightInd w:val="0"/>
              <w:rPr>
                <w:rFonts w:ascii="Arial Narrow" w:hAnsi="Arial Narrow"/>
                <w:sz w:val="20"/>
                <w:szCs w:val="20"/>
              </w:rPr>
            </w:pPr>
            <w:r w:rsidRPr="00952B90">
              <w:rPr>
                <w:rFonts w:ascii="Arial Narrow" w:hAnsi="Arial Narrow"/>
                <w:sz w:val="20"/>
                <w:szCs w:val="20"/>
              </w:rPr>
              <w:t>Careful monitoring of patients is required due to risk of developing life-threatening Cytokine Release Syndrome (CRS).</w:t>
            </w:r>
          </w:p>
        </w:tc>
      </w:tr>
    </w:tbl>
    <w:p w14:paraId="37B2E00A" w14:textId="77777777" w:rsidR="00B059F3" w:rsidRDefault="00B059F3" w:rsidP="00B059F3"/>
    <w:p w14:paraId="6449B0DA" w14:textId="77777777" w:rsidR="00B059F3" w:rsidRDefault="00B059F3" w:rsidP="00B059F3">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p>
    <w:p w14:paraId="5A5E4878" w14:textId="3918114B" w:rsidR="004C425D" w:rsidRPr="004C425D" w:rsidRDefault="004C425D" w:rsidP="004C425D">
      <w:pPr>
        <w:pStyle w:val="2-SectionHeading"/>
      </w:pPr>
      <w:bookmarkStart w:id="93" w:name="_Hlk112834232"/>
      <w:r w:rsidRPr="00C07617">
        <w:lastRenderedPageBreak/>
        <w:t>Context for Decision</w:t>
      </w:r>
    </w:p>
    <w:p w14:paraId="6E0F05D2" w14:textId="77777777" w:rsidR="004C425D" w:rsidRPr="007129F2" w:rsidRDefault="004C425D" w:rsidP="00A61A2F">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15F4E83" w14:textId="31B20465" w:rsidR="004C425D" w:rsidRPr="004C425D" w:rsidRDefault="004C425D" w:rsidP="004C425D">
      <w:pPr>
        <w:pStyle w:val="2-SectionHeading"/>
      </w:pPr>
      <w:r>
        <w:t>Sponsor’s Comment</w:t>
      </w:r>
    </w:p>
    <w:bookmarkEnd w:id="93"/>
    <w:p w14:paraId="33FDD8AF" w14:textId="4C813216" w:rsidR="006316CB" w:rsidRPr="00525B39" w:rsidRDefault="004C425D" w:rsidP="00A61A2F">
      <w:pPr>
        <w:spacing w:after="120"/>
        <w:ind w:left="720"/>
        <w:rPr>
          <w:rFonts w:asciiTheme="minorHAnsi" w:hAnsiTheme="minorHAnsi"/>
          <w:b/>
          <w:bCs/>
          <w:snapToGrid w:val="0"/>
        </w:rPr>
      </w:pPr>
      <w:r w:rsidRPr="00C07617">
        <w:rPr>
          <w:bCs/>
        </w:rPr>
        <w:t>The sponsor had no comment.</w:t>
      </w:r>
      <w:bookmarkEnd w:id="83"/>
      <w:bookmarkEnd w:id="84"/>
    </w:p>
    <w:sectPr w:rsidR="006316CB" w:rsidRPr="00525B39" w:rsidSect="0025100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67B3" w14:textId="77777777" w:rsidR="00D843F2" w:rsidRDefault="00D843F2" w:rsidP="00124A51">
      <w:r>
        <w:separator/>
      </w:r>
    </w:p>
    <w:p w14:paraId="3496F207" w14:textId="77777777" w:rsidR="00D843F2" w:rsidRDefault="00D843F2"/>
  </w:endnote>
  <w:endnote w:type="continuationSeparator" w:id="0">
    <w:p w14:paraId="48D04D65" w14:textId="77777777" w:rsidR="00D843F2" w:rsidRDefault="00D843F2" w:rsidP="00124A51">
      <w:r>
        <w:continuationSeparator/>
      </w:r>
    </w:p>
    <w:p w14:paraId="7A35EC89" w14:textId="77777777" w:rsidR="00D843F2" w:rsidRDefault="00D84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EFCC" w14:textId="77777777" w:rsidR="003D4DE8" w:rsidRDefault="003D4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39254732" w:rsidR="00D843F2" w:rsidRPr="007C1CD9" w:rsidRDefault="00FC715B" w:rsidP="00753B29">
    <w:pPr>
      <w:pStyle w:val="Footer"/>
      <w:jc w:val="center"/>
    </w:pPr>
    <w:sdt>
      <w:sdtPr>
        <w:id w:val="1036156457"/>
        <w:docPartObj>
          <w:docPartGallery w:val="Page Numbers (Bottom of Page)"/>
          <w:docPartUnique/>
        </w:docPartObj>
      </w:sdtPr>
      <w:sdtEndPr>
        <w:rPr>
          <w:noProof/>
        </w:rPr>
      </w:sdtEndPr>
      <w:sdtContent>
        <w:r w:rsidR="00D843F2" w:rsidRPr="00DF0B64">
          <w:rPr>
            <w:b/>
            <w:bCs/>
          </w:rPr>
          <w:fldChar w:fldCharType="begin"/>
        </w:r>
        <w:r w:rsidR="00D843F2" w:rsidRPr="00DF0B64">
          <w:rPr>
            <w:b/>
            <w:bCs/>
          </w:rPr>
          <w:instrText xml:space="preserve"> PAGE   \* MERGEFORMAT </w:instrText>
        </w:r>
        <w:r w:rsidR="00D843F2" w:rsidRPr="00DF0B64">
          <w:rPr>
            <w:b/>
            <w:bCs/>
          </w:rPr>
          <w:fldChar w:fldCharType="separate"/>
        </w:r>
        <w:r w:rsidR="00D843F2" w:rsidRPr="00DF0B64">
          <w:rPr>
            <w:b/>
            <w:bCs/>
            <w:noProof/>
          </w:rPr>
          <w:t>2</w:t>
        </w:r>
        <w:r w:rsidR="00D843F2" w:rsidRPr="00DF0B64">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C540" w14:textId="77777777" w:rsidR="003D4DE8" w:rsidRDefault="003D4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7EC6" w14:textId="77777777" w:rsidR="00D843F2" w:rsidRDefault="00D843F2" w:rsidP="00124A51">
      <w:r>
        <w:separator/>
      </w:r>
    </w:p>
    <w:p w14:paraId="28EB26AE" w14:textId="77777777" w:rsidR="00D843F2" w:rsidRDefault="00D843F2"/>
  </w:footnote>
  <w:footnote w:type="continuationSeparator" w:id="0">
    <w:p w14:paraId="5457BBAC" w14:textId="77777777" w:rsidR="00D843F2" w:rsidRDefault="00D843F2" w:rsidP="00124A51">
      <w:r>
        <w:continuationSeparator/>
      </w:r>
    </w:p>
    <w:p w14:paraId="44C78A14" w14:textId="77777777" w:rsidR="00D843F2" w:rsidRDefault="00D843F2"/>
  </w:footnote>
  <w:footnote w:id="1">
    <w:p w14:paraId="0676E167" w14:textId="1C48ED53" w:rsidR="003D5DB0" w:rsidRPr="003D5DB0" w:rsidRDefault="003D5DB0">
      <w:pPr>
        <w:pStyle w:val="FootnoteText"/>
        <w:rPr>
          <w:rFonts w:cs="Calibri"/>
        </w:rPr>
      </w:pPr>
      <w:r w:rsidRPr="003D5DB0">
        <w:rPr>
          <w:rStyle w:val="FootnoteReference"/>
          <w:rFonts w:cs="Calibri"/>
        </w:rPr>
        <w:footnoteRef/>
      </w:r>
      <w:r w:rsidRPr="003D5DB0">
        <w:rPr>
          <w:rFonts w:cs="Calibri"/>
        </w:rPr>
        <w:t xml:space="preserve"> </w:t>
      </w:r>
      <w:r w:rsidRPr="003D5DB0">
        <w:rPr>
          <w:rFonts w:cs="Calibri"/>
          <w:color w:val="222222"/>
          <w:shd w:val="clear" w:color="auto" w:fill="FFFFFF"/>
        </w:rPr>
        <w:t>Sacco JJ, et al. 64MO</w:t>
      </w:r>
      <w:r>
        <w:rPr>
          <w:rFonts w:cs="Calibri"/>
          <w:color w:val="222222"/>
          <w:shd w:val="clear" w:color="auto" w:fill="FFFFFF"/>
        </w:rPr>
        <w:t>:</w:t>
      </w:r>
      <w:r w:rsidRPr="003D5DB0">
        <w:rPr>
          <w:rFonts w:cs="Calibri"/>
          <w:color w:val="222222"/>
          <w:shd w:val="clear" w:color="auto" w:fill="FFFFFF"/>
        </w:rPr>
        <w:t xml:space="preserve"> A phase (ph) II, multi-center study of the safety and efficacy of tebentafusp (tebe)(IMCgp100) in patients (pts) with metastatic uveal melanoma (mUM). </w:t>
      </w:r>
      <w:r w:rsidRPr="003D5DB0">
        <w:rPr>
          <w:rFonts w:cs="Calibri"/>
          <w:i/>
          <w:iCs/>
          <w:color w:val="222222"/>
          <w:shd w:val="clear" w:color="auto" w:fill="FFFFFF"/>
        </w:rPr>
        <w:t>Annals of Oncology</w:t>
      </w:r>
      <w:r w:rsidRPr="003D5DB0">
        <w:rPr>
          <w:rFonts w:cs="Calibri"/>
          <w:color w:val="222222"/>
          <w:shd w:val="clear" w:color="auto" w:fill="FFFFFF"/>
        </w:rPr>
        <w:t> 31 (2020): S1442-S1443</w:t>
      </w:r>
    </w:p>
  </w:footnote>
  <w:footnote w:id="2">
    <w:p w14:paraId="1D43150B" w14:textId="77777777" w:rsidR="00137915" w:rsidRPr="00D77B44" w:rsidRDefault="00137915" w:rsidP="00137915">
      <w:pPr>
        <w:pStyle w:val="FootnoteText"/>
        <w:rPr>
          <w:rFonts w:cs="Calibri"/>
        </w:rPr>
      </w:pPr>
      <w:r w:rsidRPr="00D77B44">
        <w:rPr>
          <w:rStyle w:val="FootnoteReference"/>
          <w:rFonts w:cs="Calibri"/>
        </w:rPr>
        <w:footnoteRef/>
      </w:r>
      <w:r w:rsidRPr="00D77B44">
        <w:rPr>
          <w:rFonts w:cs="Calibri"/>
        </w:rPr>
        <w:t xml:space="preserve"> </w:t>
      </w:r>
      <w:r w:rsidRPr="00D77B44">
        <w:rPr>
          <w:rStyle w:val="FooterTableFigureChar"/>
          <w:rFonts w:ascii="Calibri" w:hAnsi="Calibri" w:cs="Calibri"/>
          <w:sz w:val="20"/>
          <w:szCs w:val="20"/>
        </w:rPr>
        <w:t>Beasley A, Preen D et al., (2021), ‘Incidence and mortality of uveal melanoma in Australia (1982–2014)’, British Journal of Ophthalmology, 0:1-6.</w:t>
      </w:r>
    </w:p>
  </w:footnote>
  <w:footnote w:id="3">
    <w:p w14:paraId="318B0111" w14:textId="77777777" w:rsidR="00137915" w:rsidRPr="00D77B44" w:rsidRDefault="00137915" w:rsidP="00137915">
      <w:pPr>
        <w:pStyle w:val="FootnoteText"/>
        <w:rPr>
          <w:rFonts w:cs="Calibri"/>
        </w:rPr>
      </w:pPr>
      <w:r w:rsidRPr="00D77B44">
        <w:rPr>
          <w:rStyle w:val="FootnoteReference"/>
          <w:rFonts w:cs="Calibri"/>
        </w:rPr>
        <w:footnoteRef/>
      </w:r>
      <w:r w:rsidRPr="00D77B44">
        <w:rPr>
          <w:rFonts w:cs="Calibri"/>
        </w:rPr>
        <w:t xml:space="preserve"> </w:t>
      </w:r>
      <w:r w:rsidRPr="00D77B44">
        <w:rPr>
          <w:rStyle w:val="FooterTableFigureChar"/>
          <w:rFonts w:ascii="Calibri" w:hAnsi="Calibri" w:cs="Calibri"/>
          <w:sz w:val="20"/>
          <w:szCs w:val="20"/>
        </w:rPr>
        <w:t>Kolandjian N, Wei C et al., (2013), ‘Delayed systemic recurrence of uveal melanoma’, American Journal of Clinical Oncology, 36(5):443-449.</w:t>
      </w:r>
    </w:p>
  </w:footnote>
  <w:footnote w:id="4">
    <w:p w14:paraId="508B0C83" w14:textId="77777777" w:rsidR="00137915" w:rsidRDefault="00137915" w:rsidP="00137915">
      <w:pPr>
        <w:pStyle w:val="FootnoteText"/>
      </w:pPr>
      <w:r>
        <w:rPr>
          <w:rStyle w:val="FootnoteReference"/>
        </w:rPr>
        <w:footnoteRef/>
      </w:r>
      <w:r>
        <w:t xml:space="preserve"> </w:t>
      </w:r>
      <w:r w:rsidRPr="0000196A">
        <w:rPr>
          <w:rStyle w:val="FooterTableFigureChar"/>
        </w:rPr>
        <w:t>National Comprehensive Cancer Network, NCCN Clinical Practice Guidelines in Oncology, Melanoma: Uveal, Version 2.2022</w:t>
      </w:r>
    </w:p>
  </w:footnote>
  <w:footnote w:id="5">
    <w:p w14:paraId="0D5AC3F0" w14:textId="77777777" w:rsidR="00D77B44" w:rsidRDefault="00D77B44" w:rsidP="00D77B44">
      <w:pPr>
        <w:pStyle w:val="FootnoteText"/>
      </w:pPr>
      <w:r>
        <w:rPr>
          <w:rStyle w:val="FootnoteReference"/>
        </w:rPr>
        <w:footnoteRef/>
      </w:r>
      <w:r>
        <w:t xml:space="preserve"> </w:t>
      </w:r>
      <w:r w:rsidRPr="00112D3B">
        <w:t>Pelster M, Gruschkus S, et al., (2020), ‘Nivolumab and Ipilimumab in Metastatic Uveal Melanoma: Results From a Single-Arm Phase II Study’, Journal of Clinical Oncology 39, 6:599-607.</w:t>
      </w:r>
    </w:p>
  </w:footnote>
  <w:footnote w:id="6">
    <w:p w14:paraId="6E1B978A" w14:textId="77777777" w:rsidR="00D77B44" w:rsidRDefault="00D77B44" w:rsidP="00D77B44">
      <w:pPr>
        <w:pStyle w:val="FootnoteText"/>
      </w:pPr>
      <w:r>
        <w:rPr>
          <w:rStyle w:val="FootnoteReference"/>
        </w:rPr>
        <w:footnoteRef/>
      </w:r>
      <w:r>
        <w:t xml:space="preserve"> </w:t>
      </w:r>
      <w:r w:rsidRPr="00112D3B">
        <w:t>Piulats J, Espinos E, et al., (2021), ‘Nivolumab Plus Ipilimumab for Treatment-Naïve Metastatic Uveal Melanoma: An Open-Label, Multicenter, Phase II Trial by the Spanish Multidisciplinary Melanoma Group (GEM-1402)’, Journal of Clinical Oncology 39, 6:586-598.</w:t>
      </w:r>
    </w:p>
  </w:footnote>
  <w:footnote w:id="7">
    <w:p w14:paraId="5F2FABA4" w14:textId="5C4A598F" w:rsidR="00D91A29" w:rsidRDefault="00D91A29">
      <w:pPr>
        <w:pStyle w:val="FootnoteText"/>
      </w:pPr>
      <w:r>
        <w:rPr>
          <w:rStyle w:val="FootnoteReference"/>
        </w:rPr>
        <w:footnoteRef/>
      </w:r>
      <w:r>
        <w:t xml:space="preserve"> </w:t>
      </w:r>
      <w:r w:rsidRPr="00525B39">
        <w:rPr>
          <w:rFonts w:asciiTheme="minorHAnsi" w:hAnsiTheme="minorHAnsi"/>
          <w:bCs/>
          <w:snapToGrid w:val="0"/>
          <w:sz w:val="16"/>
        </w:rPr>
        <w:t>Cherny NI, Dafni U, Bogaerts J, et al: ESMO-Magnitude of Clinical Benefit Scale version 1.1. Annals of Oncology 28:2340-2366, 2017</w:t>
      </w:r>
    </w:p>
  </w:footnote>
  <w:footnote w:id="8">
    <w:p w14:paraId="5CD400E9" w14:textId="77777777" w:rsidR="006B0C9B" w:rsidRPr="000A0CD2" w:rsidRDefault="006B0C9B" w:rsidP="006B0C9B">
      <w:pPr>
        <w:pStyle w:val="FootnoteText"/>
        <w:rPr>
          <w:i/>
          <w:iCs/>
        </w:rPr>
      </w:pPr>
      <w:r>
        <w:rPr>
          <w:rStyle w:val="FootnoteReference"/>
        </w:rPr>
        <w:footnoteRef/>
      </w:r>
      <w:r>
        <w:t xml:space="preserve"> Rantala E, Hernberg M, and Kivela T, (2019), ‘</w:t>
      </w:r>
      <w:r w:rsidRPr="000A0CD2">
        <w:t>Overall survival after treatment for metastatic uveal melanoma: a systematic review and meta-analysis</w:t>
      </w:r>
      <w:r>
        <w:t xml:space="preserve">’, </w:t>
      </w:r>
      <w:r>
        <w:rPr>
          <w:i/>
          <w:iCs/>
        </w:rPr>
        <w:t xml:space="preserve">Melanoma Research, </w:t>
      </w:r>
      <w:r w:rsidRPr="000A0CD2">
        <w:t>29(60):561-568.</w:t>
      </w:r>
    </w:p>
  </w:footnote>
  <w:footnote w:id="9">
    <w:p w14:paraId="6A7069B3" w14:textId="3DABA6DF" w:rsidR="003D6B65" w:rsidRDefault="003D6B65">
      <w:pPr>
        <w:pStyle w:val="FootnoteText"/>
      </w:pPr>
      <w:r>
        <w:rPr>
          <w:rStyle w:val="FootnoteReference"/>
        </w:rPr>
        <w:footnoteRef/>
      </w:r>
      <w:r>
        <w:t xml:space="preserve"> Immunocore Australia advisory board: tebentafusp for the treatment of metastatic uveal melanoma – report.</w:t>
      </w:r>
    </w:p>
  </w:footnote>
  <w:footnote w:id="10">
    <w:p w14:paraId="33BE20AF" w14:textId="0E194B73" w:rsidR="00394121" w:rsidRDefault="00394121">
      <w:pPr>
        <w:pStyle w:val="FootnoteText"/>
      </w:pPr>
      <w:r>
        <w:rPr>
          <w:rStyle w:val="FootnoteReference"/>
        </w:rPr>
        <w:footnoteRef/>
      </w:r>
      <w:r>
        <w:t xml:space="preserve"> Immunocore Australia advisory board: tebentafusp for the treatment of metastatic uveal melanoma –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4903" w14:textId="77777777" w:rsidR="003D4DE8" w:rsidRDefault="003D4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7DD335B9" w:rsidR="00D843F2" w:rsidRPr="00195452" w:rsidRDefault="006316CB" w:rsidP="00D822E2">
    <w:pPr>
      <w:pStyle w:val="Header"/>
      <w:rPr>
        <w:rFonts w:asciiTheme="minorHAnsi" w:hAnsiTheme="minorHAnsi"/>
        <w:i/>
        <w:color w:val="808080"/>
      </w:rPr>
    </w:pPr>
    <w:r>
      <w:rPr>
        <w:rFonts w:asciiTheme="minorHAnsi" w:hAnsiTheme="minorHAnsi"/>
        <w:i/>
        <w:color w:val="808080"/>
      </w:rPr>
      <w:t>Public Summary Document</w:t>
    </w:r>
    <w:r w:rsidR="00DF0B64">
      <w:rPr>
        <w:rFonts w:asciiTheme="minorHAnsi" w:hAnsiTheme="minorHAnsi"/>
        <w:i/>
        <w:color w:val="808080"/>
      </w:rPr>
      <w:t xml:space="preserve"> </w:t>
    </w:r>
    <w:r w:rsidR="001D39AE">
      <w:rPr>
        <w:rFonts w:asciiTheme="minorHAnsi" w:hAnsiTheme="minorHAnsi"/>
        <w:i/>
        <w:color w:val="808080"/>
      </w:rPr>
      <w:t>–</w:t>
    </w:r>
    <w:r w:rsidR="00DF0B64">
      <w:rPr>
        <w:rFonts w:asciiTheme="minorHAnsi" w:hAnsiTheme="minorHAnsi"/>
        <w:i/>
        <w:color w:val="808080"/>
      </w:rPr>
      <w:t xml:space="preserve"> </w:t>
    </w:r>
    <w:r w:rsidR="008D24C7">
      <w:rPr>
        <w:rFonts w:asciiTheme="minorHAnsi" w:hAnsiTheme="minorHAnsi"/>
        <w:i/>
        <w:color w:val="808080"/>
      </w:rPr>
      <w:t>March</w:t>
    </w:r>
    <w:r w:rsidR="001D39AE">
      <w:rPr>
        <w:rFonts w:asciiTheme="minorHAnsi" w:hAnsiTheme="minorHAnsi"/>
        <w:i/>
        <w:color w:val="808080"/>
      </w:rPr>
      <w:t xml:space="preserve"> </w:t>
    </w:r>
    <w:r w:rsidR="008D24C7">
      <w:rPr>
        <w:rFonts w:asciiTheme="minorHAnsi" w:hAnsiTheme="minorHAnsi"/>
        <w:i/>
        <w:color w:val="808080"/>
      </w:rPr>
      <w:t>2023</w:t>
    </w:r>
    <w:r w:rsidR="00D843F2">
      <w:rPr>
        <w:rFonts w:asciiTheme="minorHAnsi" w:hAnsiTheme="minorHAnsi"/>
        <w:i/>
        <w:color w:val="808080"/>
      </w:rPr>
      <w:t xml:space="preserve"> </w:t>
    </w:r>
    <w:r w:rsidR="00D843F2" w:rsidRPr="00195452">
      <w:rPr>
        <w:rFonts w:asciiTheme="minorHAnsi" w:hAnsiTheme="minorHAnsi"/>
        <w:i/>
        <w:color w:val="808080"/>
      </w:rPr>
      <w:t>PBAC Meeting</w:t>
    </w:r>
    <w:r w:rsidR="00B059F3">
      <w:rPr>
        <w:rFonts w:asciiTheme="minorHAnsi" w:hAnsiTheme="minorHAnsi"/>
        <w:i/>
        <w:color w:val="808080"/>
      </w:rPr>
      <w:t xml:space="preserve"> with</w:t>
    </w:r>
    <w:r w:rsidR="004C425D">
      <w:rPr>
        <w:rFonts w:asciiTheme="minorHAnsi" w:hAnsiTheme="minorHAnsi"/>
        <w:i/>
        <w:color w:val="808080"/>
      </w:rPr>
      <w:t xml:space="preserve"> Corrigendum and</w:t>
    </w:r>
    <w:r w:rsidR="00B059F3">
      <w:rPr>
        <w:rFonts w:asciiTheme="minorHAnsi" w:hAnsiTheme="minorHAnsi"/>
        <w:i/>
        <w:color w:val="808080"/>
      </w:rPr>
      <w:t xml:space="preserve"> September 2023 Addendum</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8C5" w14:textId="77777777" w:rsidR="003D4DE8" w:rsidRDefault="003D4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A677D"/>
    <w:multiLevelType w:val="multilevel"/>
    <w:tmpl w:val="6E9A8652"/>
    <w:lvl w:ilvl="0">
      <w:start w:val="1"/>
      <w:numFmt w:val="decimal"/>
      <w:lvlText w:val="%1"/>
      <w:lvlJc w:val="left"/>
      <w:pPr>
        <w:ind w:left="720" w:hanging="72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FA5BE9"/>
    <w:multiLevelType w:val="hybridMultilevel"/>
    <w:tmpl w:val="A726F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463C0B"/>
    <w:multiLevelType w:val="multilevel"/>
    <w:tmpl w:val="1AE2D66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C12AEF"/>
    <w:multiLevelType w:val="multilevel"/>
    <w:tmpl w:val="1AE2D66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98F809DE"/>
    <w:lvl w:ilvl="0" w:tplc="E7FEBF58">
      <w:start w:val="1"/>
      <w:numFmt w:val="decimal"/>
      <w:lvlText w:val="%1."/>
      <w:lvlJc w:val="left"/>
      <w:pPr>
        <w:ind w:left="360" w:hanging="360"/>
      </w:pPr>
      <w:rPr>
        <w:rFonts w:hint="default"/>
        <w:b w:val="0"/>
        <w:bCs w:val="0"/>
        <w:i w:val="0"/>
        <w:iCs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9D0CEF"/>
    <w:multiLevelType w:val="hybridMultilevel"/>
    <w:tmpl w:val="F92CA944"/>
    <w:lvl w:ilvl="0" w:tplc="577E13EE">
      <w:numFmt w:val="bullet"/>
      <w:lvlText w:val="-"/>
      <w:lvlJc w:val="left"/>
      <w:pPr>
        <w:ind w:left="720" w:hanging="360"/>
      </w:pPr>
      <w:rPr>
        <w:rFonts w:ascii="Arial Narrow" w:eastAsiaTheme="minorHAns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04C48"/>
    <w:multiLevelType w:val="multilevel"/>
    <w:tmpl w:val="56B60B3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51CA1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68118A"/>
    <w:multiLevelType w:val="multilevel"/>
    <w:tmpl w:val="60B42FF6"/>
    <w:lvl w:ilvl="0">
      <w:start w:val="1"/>
      <w:numFmt w:val="decimal"/>
      <w:lvlText w:val="%1"/>
      <w:lvlJc w:val="left"/>
      <w:pPr>
        <w:ind w:left="720" w:hanging="720"/>
      </w:pPr>
      <w:rPr>
        <w:rFonts w:hint="default"/>
        <w:b/>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566769"/>
    <w:multiLevelType w:val="multilevel"/>
    <w:tmpl w:val="56B60B3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1231E2"/>
    <w:multiLevelType w:val="hybridMultilevel"/>
    <w:tmpl w:val="E8F805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9210628"/>
    <w:multiLevelType w:val="multilevel"/>
    <w:tmpl w:val="61845D3E"/>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bCs w:val="0"/>
        <w:i w:val="0"/>
        <w:iCs w:val="0"/>
        <w:caps w:val="0"/>
        <w:smallCaps w:val="0"/>
        <w:strike w:val="0"/>
        <w:dstrike w:val="0"/>
        <w:noProof w:val="0"/>
        <w:vanish w:val="0"/>
        <w:webHidden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B585B7B"/>
    <w:multiLevelType w:val="multilevel"/>
    <w:tmpl w:val="44F61532"/>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E916DD"/>
    <w:multiLevelType w:val="multilevel"/>
    <w:tmpl w:val="A170F8D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CB6DA4"/>
    <w:multiLevelType w:val="multilevel"/>
    <w:tmpl w:val="0958BF0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4D033C"/>
    <w:multiLevelType w:val="multilevel"/>
    <w:tmpl w:val="2D90433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53672A"/>
    <w:multiLevelType w:val="hybridMultilevel"/>
    <w:tmpl w:val="BAC82564"/>
    <w:lvl w:ilvl="0" w:tplc="F26A6598">
      <w:start w:val="1"/>
      <w:numFmt w:val="decimal"/>
      <w:lvlText w:val="%1."/>
      <w:lvlJc w:val="left"/>
      <w:pPr>
        <w:ind w:left="829" w:hanging="360"/>
      </w:pPr>
      <w:rPr>
        <w:i w:val="0"/>
        <w:iCs/>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736320896">
    <w:abstractNumId w:val="28"/>
  </w:num>
  <w:num w:numId="2" w16cid:durableId="925069021">
    <w:abstractNumId w:val="14"/>
  </w:num>
  <w:num w:numId="3" w16cid:durableId="2100758851">
    <w:abstractNumId w:val="15"/>
  </w:num>
  <w:num w:numId="4" w16cid:durableId="170341477">
    <w:abstractNumId w:val="0"/>
  </w:num>
  <w:num w:numId="5" w16cid:durableId="956331631">
    <w:abstractNumId w:val="23"/>
  </w:num>
  <w:num w:numId="6" w16cid:durableId="1306546356">
    <w:abstractNumId w:val="20"/>
  </w:num>
  <w:num w:numId="7" w16cid:durableId="404230523">
    <w:abstractNumId w:val="27"/>
  </w:num>
  <w:num w:numId="8" w16cid:durableId="1435516649">
    <w:abstractNumId w:val="9"/>
  </w:num>
  <w:num w:numId="9" w16cid:durableId="738747046">
    <w:abstractNumId w:val="29"/>
  </w:num>
  <w:num w:numId="10" w16cid:durableId="1316297113">
    <w:abstractNumId w:val="20"/>
  </w:num>
  <w:num w:numId="11" w16cid:durableId="187957384">
    <w:abstractNumId w:val="24"/>
  </w:num>
  <w:num w:numId="12" w16cid:durableId="2071229701">
    <w:abstractNumId w:val="3"/>
  </w:num>
  <w:num w:numId="13" w16cid:durableId="16351170">
    <w:abstractNumId w:val="18"/>
  </w:num>
  <w:num w:numId="14" w16cid:durableId="1775637569">
    <w:abstractNumId w:val="19"/>
  </w:num>
  <w:num w:numId="15" w16cid:durableId="558396690">
    <w:abstractNumId w:val="4"/>
  </w:num>
  <w:num w:numId="16" w16cid:durableId="1044020426">
    <w:abstractNumId w:val="2"/>
  </w:num>
  <w:num w:numId="17" w16cid:durableId="1320305013">
    <w:abstractNumId w:val="10"/>
  </w:num>
  <w:num w:numId="18" w16cid:durableId="1678997429">
    <w:abstractNumId w:val="12"/>
  </w:num>
  <w:num w:numId="19" w16cid:durableId="754934826">
    <w:abstractNumId w:val="8"/>
  </w:num>
  <w:num w:numId="20" w16cid:durableId="107651138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2999967">
    <w:abstractNumId w:val="25"/>
  </w:num>
  <w:num w:numId="22" w16cid:durableId="141044195">
    <w:abstractNumId w:val="26"/>
  </w:num>
  <w:num w:numId="23" w16cid:durableId="1041593575">
    <w:abstractNumId w:val="13"/>
  </w:num>
  <w:num w:numId="24" w16cid:durableId="1146891724">
    <w:abstractNumId w:val="17"/>
  </w:num>
  <w:num w:numId="25" w16cid:durableId="18820179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88504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118825">
    <w:abstractNumId w:val="28"/>
  </w:num>
  <w:num w:numId="28" w16cid:durableId="1913081297">
    <w:abstractNumId w:val="28"/>
  </w:num>
  <w:num w:numId="29" w16cid:durableId="1710714633">
    <w:abstractNumId w:val="5"/>
  </w:num>
  <w:num w:numId="30" w16cid:durableId="1763407905">
    <w:abstractNumId w:val="6"/>
  </w:num>
  <w:num w:numId="31" w16cid:durableId="1820029829">
    <w:abstractNumId w:val="7"/>
  </w:num>
  <w:num w:numId="32" w16cid:durableId="1959723251">
    <w:abstractNumId w:val="11"/>
  </w:num>
  <w:num w:numId="33" w16cid:durableId="457451908">
    <w:abstractNumId w:val="16"/>
  </w:num>
  <w:num w:numId="34" w16cid:durableId="2018187645">
    <w:abstractNumId w:val="1"/>
  </w:num>
  <w:num w:numId="35" w16cid:durableId="1213274290">
    <w:abstractNumId w:val="28"/>
  </w:num>
  <w:num w:numId="36" w16cid:durableId="895243841">
    <w:abstractNumId w:val="28"/>
  </w:num>
  <w:num w:numId="37" w16cid:durableId="70860508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wMTIxMDW2MAIBJR2l4NTi4sz8PJACw1oAlg6LgywAAAA="/>
  </w:docVars>
  <w:rsids>
    <w:rsidRoot w:val="00E65E79"/>
    <w:rsid w:val="00000790"/>
    <w:rsid w:val="0000110B"/>
    <w:rsid w:val="00002D7E"/>
    <w:rsid w:val="00003499"/>
    <w:rsid w:val="000039B7"/>
    <w:rsid w:val="000043E5"/>
    <w:rsid w:val="000056B9"/>
    <w:rsid w:val="0000639A"/>
    <w:rsid w:val="000063C5"/>
    <w:rsid w:val="00006787"/>
    <w:rsid w:val="000079A1"/>
    <w:rsid w:val="000108D1"/>
    <w:rsid w:val="000128A6"/>
    <w:rsid w:val="00013247"/>
    <w:rsid w:val="00015886"/>
    <w:rsid w:val="000162EF"/>
    <w:rsid w:val="000207C9"/>
    <w:rsid w:val="0002225F"/>
    <w:rsid w:val="00023763"/>
    <w:rsid w:val="00024EB5"/>
    <w:rsid w:val="000272A6"/>
    <w:rsid w:val="000274B8"/>
    <w:rsid w:val="00027662"/>
    <w:rsid w:val="0003001F"/>
    <w:rsid w:val="00033863"/>
    <w:rsid w:val="00035DC0"/>
    <w:rsid w:val="0003604B"/>
    <w:rsid w:val="00036829"/>
    <w:rsid w:val="00040895"/>
    <w:rsid w:val="000410A0"/>
    <w:rsid w:val="000435EE"/>
    <w:rsid w:val="00043C37"/>
    <w:rsid w:val="00045017"/>
    <w:rsid w:val="00045A2B"/>
    <w:rsid w:val="0004698F"/>
    <w:rsid w:val="00046D64"/>
    <w:rsid w:val="00046EED"/>
    <w:rsid w:val="00047BC2"/>
    <w:rsid w:val="000508C2"/>
    <w:rsid w:val="000539D0"/>
    <w:rsid w:val="00054621"/>
    <w:rsid w:val="000546D7"/>
    <w:rsid w:val="00054A8D"/>
    <w:rsid w:val="00056ECF"/>
    <w:rsid w:val="000604DF"/>
    <w:rsid w:val="000609B7"/>
    <w:rsid w:val="00062324"/>
    <w:rsid w:val="000653B5"/>
    <w:rsid w:val="00066360"/>
    <w:rsid w:val="00066AF8"/>
    <w:rsid w:val="00071248"/>
    <w:rsid w:val="000720B9"/>
    <w:rsid w:val="000737F7"/>
    <w:rsid w:val="0007672F"/>
    <w:rsid w:val="00076B54"/>
    <w:rsid w:val="000774F0"/>
    <w:rsid w:val="00080909"/>
    <w:rsid w:val="000812CA"/>
    <w:rsid w:val="00081E63"/>
    <w:rsid w:val="0008258D"/>
    <w:rsid w:val="00083E99"/>
    <w:rsid w:val="00084FA8"/>
    <w:rsid w:val="000856C5"/>
    <w:rsid w:val="00085C31"/>
    <w:rsid w:val="00086B70"/>
    <w:rsid w:val="000902D9"/>
    <w:rsid w:val="00090C7E"/>
    <w:rsid w:val="000911AC"/>
    <w:rsid w:val="00092600"/>
    <w:rsid w:val="0009262B"/>
    <w:rsid w:val="00093310"/>
    <w:rsid w:val="0009445C"/>
    <w:rsid w:val="00095200"/>
    <w:rsid w:val="00095FE5"/>
    <w:rsid w:val="00096284"/>
    <w:rsid w:val="000A1BC0"/>
    <w:rsid w:val="000A2F9E"/>
    <w:rsid w:val="000A3E47"/>
    <w:rsid w:val="000A522B"/>
    <w:rsid w:val="000A6039"/>
    <w:rsid w:val="000A7453"/>
    <w:rsid w:val="000A7D08"/>
    <w:rsid w:val="000B0121"/>
    <w:rsid w:val="000B0670"/>
    <w:rsid w:val="000B0E75"/>
    <w:rsid w:val="000B2DCB"/>
    <w:rsid w:val="000B2F4F"/>
    <w:rsid w:val="000B5CE0"/>
    <w:rsid w:val="000B6CAC"/>
    <w:rsid w:val="000B7612"/>
    <w:rsid w:val="000B78AE"/>
    <w:rsid w:val="000C3DF9"/>
    <w:rsid w:val="000C4CF2"/>
    <w:rsid w:val="000C6713"/>
    <w:rsid w:val="000D025A"/>
    <w:rsid w:val="000D1BFC"/>
    <w:rsid w:val="000D1D5D"/>
    <w:rsid w:val="000D281A"/>
    <w:rsid w:val="000D2848"/>
    <w:rsid w:val="000D326A"/>
    <w:rsid w:val="000D51FB"/>
    <w:rsid w:val="000D72FD"/>
    <w:rsid w:val="000E0640"/>
    <w:rsid w:val="000E09A7"/>
    <w:rsid w:val="000E12EF"/>
    <w:rsid w:val="000E135D"/>
    <w:rsid w:val="000E2AC6"/>
    <w:rsid w:val="000E51D9"/>
    <w:rsid w:val="000F00BA"/>
    <w:rsid w:val="000F316A"/>
    <w:rsid w:val="000F3C74"/>
    <w:rsid w:val="000F4BB8"/>
    <w:rsid w:val="000F4FA9"/>
    <w:rsid w:val="000F53FB"/>
    <w:rsid w:val="000F6FFB"/>
    <w:rsid w:val="000F7127"/>
    <w:rsid w:val="000F7B54"/>
    <w:rsid w:val="001000B3"/>
    <w:rsid w:val="00100F8A"/>
    <w:rsid w:val="00102564"/>
    <w:rsid w:val="0010307B"/>
    <w:rsid w:val="0010452E"/>
    <w:rsid w:val="00105AE2"/>
    <w:rsid w:val="001060C6"/>
    <w:rsid w:val="00106B80"/>
    <w:rsid w:val="00107844"/>
    <w:rsid w:val="0011032E"/>
    <w:rsid w:val="0011348B"/>
    <w:rsid w:val="00115982"/>
    <w:rsid w:val="00115BAF"/>
    <w:rsid w:val="00116C53"/>
    <w:rsid w:val="00121799"/>
    <w:rsid w:val="001222FC"/>
    <w:rsid w:val="00123902"/>
    <w:rsid w:val="00124186"/>
    <w:rsid w:val="00124A51"/>
    <w:rsid w:val="00126621"/>
    <w:rsid w:val="00126B1D"/>
    <w:rsid w:val="001301E9"/>
    <w:rsid w:val="00131D82"/>
    <w:rsid w:val="00132B22"/>
    <w:rsid w:val="00133D36"/>
    <w:rsid w:val="00137645"/>
    <w:rsid w:val="00137915"/>
    <w:rsid w:val="0014015A"/>
    <w:rsid w:val="00140E99"/>
    <w:rsid w:val="00143F67"/>
    <w:rsid w:val="00145234"/>
    <w:rsid w:val="00145540"/>
    <w:rsid w:val="001456B0"/>
    <w:rsid w:val="0014629C"/>
    <w:rsid w:val="00151C86"/>
    <w:rsid w:val="00152C13"/>
    <w:rsid w:val="001547AB"/>
    <w:rsid w:val="00154E62"/>
    <w:rsid w:val="00155326"/>
    <w:rsid w:val="00156F8F"/>
    <w:rsid w:val="00157130"/>
    <w:rsid w:val="001576B1"/>
    <w:rsid w:val="0016047B"/>
    <w:rsid w:val="00160905"/>
    <w:rsid w:val="00160A4C"/>
    <w:rsid w:val="00162913"/>
    <w:rsid w:val="00162CDA"/>
    <w:rsid w:val="00163EFF"/>
    <w:rsid w:val="00163F66"/>
    <w:rsid w:val="0016478E"/>
    <w:rsid w:val="00165CFB"/>
    <w:rsid w:val="00165EC4"/>
    <w:rsid w:val="001661FB"/>
    <w:rsid w:val="001671A0"/>
    <w:rsid w:val="0016767F"/>
    <w:rsid w:val="00167EDB"/>
    <w:rsid w:val="001709C1"/>
    <w:rsid w:val="00173565"/>
    <w:rsid w:val="00173B07"/>
    <w:rsid w:val="001751FA"/>
    <w:rsid w:val="0017601C"/>
    <w:rsid w:val="00181C10"/>
    <w:rsid w:val="00181D9C"/>
    <w:rsid w:val="001828A3"/>
    <w:rsid w:val="00183578"/>
    <w:rsid w:val="001837FF"/>
    <w:rsid w:val="00184B0E"/>
    <w:rsid w:val="00184C9B"/>
    <w:rsid w:val="0018752F"/>
    <w:rsid w:val="001929E9"/>
    <w:rsid w:val="00193302"/>
    <w:rsid w:val="00193838"/>
    <w:rsid w:val="00194AD8"/>
    <w:rsid w:val="00195222"/>
    <w:rsid w:val="00195452"/>
    <w:rsid w:val="001965CA"/>
    <w:rsid w:val="001975D8"/>
    <w:rsid w:val="001976CC"/>
    <w:rsid w:val="001A08E4"/>
    <w:rsid w:val="001A178E"/>
    <w:rsid w:val="001A2A23"/>
    <w:rsid w:val="001A43FA"/>
    <w:rsid w:val="001A47C5"/>
    <w:rsid w:val="001A49BE"/>
    <w:rsid w:val="001A59FB"/>
    <w:rsid w:val="001A5E9E"/>
    <w:rsid w:val="001A6354"/>
    <w:rsid w:val="001A6366"/>
    <w:rsid w:val="001A65DC"/>
    <w:rsid w:val="001A7AE8"/>
    <w:rsid w:val="001B204E"/>
    <w:rsid w:val="001B2372"/>
    <w:rsid w:val="001B23E6"/>
    <w:rsid w:val="001B3170"/>
    <w:rsid w:val="001B3443"/>
    <w:rsid w:val="001B4D20"/>
    <w:rsid w:val="001B7F84"/>
    <w:rsid w:val="001C1567"/>
    <w:rsid w:val="001C2985"/>
    <w:rsid w:val="001C2A9B"/>
    <w:rsid w:val="001C3DD6"/>
    <w:rsid w:val="001C4299"/>
    <w:rsid w:val="001C4874"/>
    <w:rsid w:val="001C5F8E"/>
    <w:rsid w:val="001C5F94"/>
    <w:rsid w:val="001C6E66"/>
    <w:rsid w:val="001D1100"/>
    <w:rsid w:val="001D1391"/>
    <w:rsid w:val="001D25D7"/>
    <w:rsid w:val="001D39AE"/>
    <w:rsid w:val="001D50B2"/>
    <w:rsid w:val="001D52E7"/>
    <w:rsid w:val="001D71F4"/>
    <w:rsid w:val="001D7645"/>
    <w:rsid w:val="001E1E86"/>
    <w:rsid w:val="001E238E"/>
    <w:rsid w:val="001E2483"/>
    <w:rsid w:val="001E2B1E"/>
    <w:rsid w:val="001E2CFF"/>
    <w:rsid w:val="001E2F24"/>
    <w:rsid w:val="001E30D4"/>
    <w:rsid w:val="001E34DF"/>
    <w:rsid w:val="001E52EB"/>
    <w:rsid w:val="001E61D2"/>
    <w:rsid w:val="001E740C"/>
    <w:rsid w:val="001F1235"/>
    <w:rsid w:val="001F1CB3"/>
    <w:rsid w:val="001F38B5"/>
    <w:rsid w:val="001F3E4A"/>
    <w:rsid w:val="001F4081"/>
    <w:rsid w:val="001F4C70"/>
    <w:rsid w:val="001F7361"/>
    <w:rsid w:val="001F7594"/>
    <w:rsid w:val="002011B0"/>
    <w:rsid w:val="00201498"/>
    <w:rsid w:val="00203181"/>
    <w:rsid w:val="00203783"/>
    <w:rsid w:val="0020385F"/>
    <w:rsid w:val="0020585E"/>
    <w:rsid w:val="002068A0"/>
    <w:rsid w:val="00207021"/>
    <w:rsid w:val="00207119"/>
    <w:rsid w:val="0020732F"/>
    <w:rsid w:val="00207665"/>
    <w:rsid w:val="00207D00"/>
    <w:rsid w:val="002105C1"/>
    <w:rsid w:val="002116FD"/>
    <w:rsid w:val="002119BD"/>
    <w:rsid w:val="00213EF5"/>
    <w:rsid w:val="00216BF5"/>
    <w:rsid w:val="00223B49"/>
    <w:rsid w:val="00223D5A"/>
    <w:rsid w:val="00224DD4"/>
    <w:rsid w:val="00226E12"/>
    <w:rsid w:val="002278A0"/>
    <w:rsid w:val="002309CC"/>
    <w:rsid w:val="00231184"/>
    <w:rsid w:val="00231BA9"/>
    <w:rsid w:val="0023209F"/>
    <w:rsid w:val="00233C01"/>
    <w:rsid w:val="0023413C"/>
    <w:rsid w:val="002346F0"/>
    <w:rsid w:val="00235973"/>
    <w:rsid w:val="0023629D"/>
    <w:rsid w:val="00237255"/>
    <w:rsid w:val="00241558"/>
    <w:rsid w:val="00241A7B"/>
    <w:rsid w:val="002424AF"/>
    <w:rsid w:val="002439DC"/>
    <w:rsid w:val="00244141"/>
    <w:rsid w:val="002441D2"/>
    <w:rsid w:val="00244DC8"/>
    <w:rsid w:val="002458BA"/>
    <w:rsid w:val="00245B38"/>
    <w:rsid w:val="00245CE9"/>
    <w:rsid w:val="0024636C"/>
    <w:rsid w:val="00247925"/>
    <w:rsid w:val="00251006"/>
    <w:rsid w:val="00251872"/>
    <w:rsid w:val="002524D5"/>
    <w:rsid w:val="00253B1D"/>
    <w:rsid w:val="00254DCF"/>
    <w:rsid w:val="0025534B"/>
    <w:rsid w:val="00255BB7"/>
    <w:rsid w:val="00255CCF"/>
    <w:rsid w:val="00256F0C"/>
    <w:rsid w:val="00257541"/>
    <w:rsid w:val="00257A39"/>
    <w:rsid w:val="00257AC4"/>
    <w:rsid w:val="00257BBE"/>
    <w:rsid w:val="00261EEF"/>
    <w:rsid w:val="00262A1A"/>
    <w:rsid w:val="00262A87"/>
    <w:rsid w:val="0026362E"/>
    <w:rsid w:val="00264D26"/>
    <w:rsid w:val="00266050"/>
    <w:rsid w:val="00267642"/>
    <w:rsid w:val="00267AEA"/>
    <w:rsid w:val="002700E6"/>
    <w:rsid w:val="0027294B"/>
    <w:rsid w:val="00273A02"/>
    <w:rsid w:val="00273EB4"/>
    <w:rsid w:val="00274682"/>
    <w:rsid w:val="0027504F"/>
    <w:rsid w:val="00275158"/>
    <w:rsid w:val="00275C5A"/>
    <w:rsid w:val="00281014"/>
    <w:rsid w:val="00282268"/>
    <w:rsid w:val="00284DD8"/>
    <w:rsid w:val="00285BCE"/>
    <w:rsid w:val="0028665D"/>
    <w:rsid w:val="00290237"/>
    <w:rsid w:val="002A14AB"/>
    <w:rsid w:val="002A2ADE"/>
    <w:rsid w:val="002A2F50"/>
    <w:rsid w:val="002A4EBA"/>
    <w:rsid w:val="002A7943"/>
    <w:rsid w:val="002B0004"/>
    <w:rsid w:val="002B05A1"/>
    <w:rsid w:val="002B09A4"/>
    <w:rsid w:val="002B1C1F"/>
    <w:rsid w:val="002B432F"/>
    <w:rsid w:val="002B62B3"/>
    <w:rsid w:val="002B6754"/>
    <w:rsid w:val="002B6CCE"/>
    <w:rsid w:val="002B6E6A"/>
    <w:rsid w:val="002B712A"/>
    <w:rsid w:val="002C2510"/>
    <w:rsid w:val="002C2775"/>
    <w:rsid w:val="002C27C1"/>
    <w:rsid w:val="002C36E3"/>
    <w:rsid w:val="002C5099"/>
    <w:rsid w:val="002C5889"/>
    <w:rsid w:val="002C5FD3"/>
    <w:rsid w:val="002C71CE"/>
    <w:rsid w:val="002D08F8"/>
    <w:rsid w:val="002D21BF"/>
    <w:rsid w:val="002D577C"/>
    <w:rsid w:val="002D7832"/>
    <w:rsid w:val="002E06FA"/>
    <w:rsid w:val="002E1071"/>
    <w:rsid w:val="002E15B9"/>
    <w:rsid w:val="002E2158"/>
    <w:rsid w:val="002E4746"/>
    <w:rsid w:val="002E4F02"/>
    <w:rsid w:val="002E7650"/>
    <w:rsid w:val="002E7722"/>
    <w:rsid w:val="002F07BA"/>
    <w:rsid w:val="002F0DA9"/>
    <w:rsid w:val="002F1014"/>
    <w:rsid w:val="002F1E3B"/>
    <w:rsid w:val="002F643C"/>
    <w:rsid w:val="002F71C0"/>
    <w:rsid w:val="002F74F1"/>
    <w:rsid w:val="00301017"/>
    <w:rsid w:val="0030155F"/>
    <w:rsid w:val="00301933"/>
    <w:rsid w:val="00304E31"/>
    <w:rsid w:val="0030587B"/>
    <w:rsid w:val="00306D98"/>
    <w:rsid w:val="0030786C"/>
    <w:rsid w:val="0031031A"/>
    <w:rsid w:val="00310981"/>
    <w:rsid w:val="00311D9B"/>
    <w:rsid w:val="003124D9"/>
    <w:rsid w:val="00312594"/>
    <w:rsid w:val="00314ED6"/>
    <w:rsid w:val="00315498"/>
    <w:rsid w:val="00316474"/>
    <w:rsid w:val="003216D0"/>
    <w:rsid w:val="00322107"/>
    <w:rsid w:val="00322355"/>
    <w:rsid w:val="00322544"/>
    <w:rsid w:val="00322846"/>
    <w:rsid w:val="00326DA7"/>
    <w:rsid w:val="003270E4"/>
    <w:rsid w:val="003309BF"/>
    <w:rsid w:val="00330DAA"/>
    <w:rsid w:val="00330F5C"/>
    <w:rsid w:val="003366C9"/>
    <w:rsid w:val="003371B0"/>
    <w:rsid w:val="00340DF1"/>
    <w:rsid w:val="00343AA3"/>
    <w:rsid w:val="003517F9"/>
    <w:rsid w:val="00351BA9"/>
    <w:rsid w:val="00353FDC"/>
    <w:rsid w:val="00354F64"/>
    <w:rsid w:val="0035620E"/>
    <w:rsid w:val="003575BE"/>
    <w:rsid w:val="00360345"/>
    <w:rsid w:val="00361A05"/>
    <w:rsid w:val="003624C4"/>
    <w:rsid w:val="003635C8"/>
    <w:rsid w:val="00363B00"/>
    <w:rsid w:val="003653D9"/>
    <w:rsid w:val="003654AC"/>
    <w:rsid w:val="00366AD0"/>
    <w:rsid w:val="003710CF"/>
    <w:rsid w:val="00372AF6"/>
    <w:rsid w:val="0037358A"/>
    <w:rsid w:val="003750F6"/>
    <w:rsid w:val="003760FC"/>
    <w:rsid w:val="00380CDC"/>
    <w:rsid w:val="0038365C"/>
    <w:rsid w:val="0038369B"/>
    <w:rsid w:val="00383B78"/>
    <w:rsid w:val="00384833"/>
    <w:rsid w:val="00385A9D"/>
    <w:rsid w:val="00387121"/>
    <w:rsid w:val="003902B1"/>
    <w:rsid w:val="00390ACD"/>
    <w:rsid w:val="0039179C"/>
    <w:rsid w:val="00392940"/>
    <w:rsid w:val="00394121"/>
    <w:rsid w:val="003965C9"/>
    <w:rsid w:val="00396896"/>
    <w:rsid w:val="00396FD0"/>
    <w:rsid w:val="003A1A7A"/>
    <w:rsid w:val="003A2392"/>
    <w:rsid w:val="003A2831"/>
    <w:rsid w:val="003A3CB6"/>
    <w:rsid w:val="003A3ED1"/>
    <w:rsid w:val="003A44DB"/>
    <w:rsid w:val="003A4C14"/>
    <w:rsid w:val="003B3971"/>
    <w:rsid w:val="003B55D1"/>
    <w:rsid w:val="003B5B61"/>
    <w:rsid w:val="003C1654"/>
    <w:rsid w:val="003C5542"/>
    <w:rsid w:val="003C7C15"/>
    <w:rsid w:val="003C7D19"/>
    <w:rsid w:val="003C7D2F"/>
    <w:rsid w:val="003D0874"/>
    <w:rsid w:val="003D0C5A"/>
    <w:rsid w:val="003D1828"/>
    <w:rsid w:val="003D1DE4"/>
    <w:rsid w:val="003D1E9A"/>
    <w:rsid w:val="003D2422"/>
    <w:rsid w:val="003D39A1"/>
    <w:rsid w:val="003D3FBF"/>
    <w:rsid w:val="003D4A30"/>
    <w:rsid w:val="003D4DE8"/>
    <w:rsid w:val="003D5DB0"/>
    <w:rsid w:val="003D6B65"/>
    <w:rsid w:val="003D7452"/>
    <w:rsid w:val="003D79BB"/>
    <w:rsid w:val="003D7C98"/>
    <w:rsid w:val="003D7D9D"/>
    <w:rsid w:val="003D7FB6"/>
    <w:rsid w:val="003E0543"/>
    <w:rsid w:val="003E5603"/>
    <w:rsid w:val="003E749E"/>
    <w:rsid w:val="003F4156"/>
    <w:rsid w:val="003F4D78"/>
    <w:rsid w:val="003F5A9D"/>
    <w:rsid w:val="003F5ADF"/>
    <w:rsid w:val="00400B29"/>
    <w:rsid w:val="00402812"/>
    <w:rsid w:val="0040504B"/>
    <w:rsid w:val="0040504D"/>
    <w:rsid w:val="004059F4"/>
    <w:rsid w:val="00407FE5"/>
    <w:rsid w:val="004101B0"/>
    <w:rsid w:val="00410326"/>
    <w:rsid w:val="00410708"/>
    <w:rsid w:val="00410EC7"/>
    <w:rsid w:val="00411215"/>
    <w:rsid w:val="00411B39"/>
    <w:rsid w:val="00411CCD"/>
    <w:rsid w:val="004127A7"/>
    <w:rsid w:val="0041318F"/>
    <w:rsid w:val="00413A1E"/>
    <w:rsid w:val="00414476"/>
    <w:rsid w:val="00414982"/>
    <w:rsid w:val="00414C2E"/>
    <w:rsid w:val="004151CF"/>
    <w:rsid w:val="00416364"/>
    <w:rsid w:val="0041701A"/>
    <w:rsid w:val="0042047F"/>
    <w:rsid w:val="00420AA6"/>
    <w:rsid w:val="00420B9F"/>
    <w:rsid w:val="00420D85"/>
    <w:rsid w:val="0042192C"/>
    <w:rsid w:val="00422260"/>
    <w:rsid w:val="0042413F"/>
    <w:rsid w:val="004319F8"/>
    <w:rsid w:val="00431E55"/>
    <w:rsid w:val="004321F6"/>
    <w:rsid w:val="00433044"/>
    <w:rsid w:val="004336DB"/>
    <w:rsid w:val="00434088"/>
    <w:rsid w:val="00435C3F"/>
    <w:rsid w:val="00435F55"/>
    <w:rsid w:val="004375B9"/>
    <w:rsid w:val="004428D0"/>
    <w:rsid w:val="00444185"/>
    <w:rsid w:val="004443A7"/>
    <w:rsid w:val="0044442C"/>
    <w:rsid w:val="00445362"/>
    <w:rsid w:val="00445941"/>
    <w:rsid w:val="004464EB"/>
    <w:rsid w:val="00447D26"/>
    <w:rsid w:val="00447DFC"/>
    <w:rsid w:val="00447E01"/>
    <w:rsid w:val="004506A1"/>
    <w:rsid w:val="00450C82"/>
    <w:rsid w:val="00451A32"/>
    <w:rsid w:val="00455D45"/>
    <w:rsid w:val="00464595"/>
    <w:rsid w:val="004658B5"/>
    <w:rsid w:val="00471EA5"/>
    <w:rsid w:val="00471EB7"/>
    <w:rsid w:val="00472A5C"/>
    <w:rsid w:val="00472A79"/>
    <w:rsid w:val="00473BE0"/>
    <w:rsid w:val="00473F19"/>
    <w:rsid w:val="0047489A"/>
    <w:rsid w:val="00475E22"/>
    <w:rsid w:val="0048088E"/>
    <w:rsid w:val="00480F2B"/>
    <w:rsid w:val="00481D49"/>
    <w:rsid w:val="00482720"/>
    <w:rsid w:val="004835E7"/>
    <w:rsid w:val="004859E1"/>
    <w:rsid w:val="004867E2"/>
    <w:rsid w:val="00490B17"/>
    <w:rsid w:val="00491B3A"/>
    <w:rsid w:val="00492CFD"/>
    <w:rsid w:val="004930FD"/>
    <w:rsid w:val="00494207"/>
    <w:rsid w:val="004945EC"/>
    <w:rsid w:val="00494DD5"/>
    <w:rsid w:val="004950DA"/>
    <w:rsid w:val="004962D2"/>
    <w:rsid w:val="004A0DA1"/>
    <w:rsid w:val="004A13D6"/>
    <w:rsid w:val="004A17CB"/>
    <w:rsid w:val="004A254B"/>
    <w:rsid w:val="004A52E9"/>
    <w:rsid w:val="004A6040"/>
    <w:rsid w:val="004A6597"/>
    <w:rsid w:val="004A72E6"/>
    <w:rsid w:val="004A7848"/>
    <w:rsid w:val="004A793B"/>
    <w:rsid w:val="004B10FD"/>
    <w:rsid w:val="004B1CB4"/>
    <w:rsid w:val="004B2763"/>
    <w:rsid w:val="004B2F18"/>
    <w:rsid w:val="004B3DDB"/>
    <w:rsid w:val="004B44FD"/>
    <w:rsid w:val="004B5CFC"/>
    <w:rsid w:val="004B6F73"/>
    <w:rsid w:val="004B6F79"/>
    <w:rsid w:val="004B774D"/>
    <w:rsid w:val="004C17B7"/>
    <w:rsid w:val="004C2AC2"/>
    <w:rsid w:val="004C3CB2"/>
    <w:rsid w:val="004C425D"/>
    <w:rsid w:val="004C4AED"/>
    <w:rsid w:val="004D07FE"/>
    <w:rsid w:val="004D2C2D"/>
    <w:rsid w:val="004D69B5"/>
    <w:rsid w:val="004D7227"/>
    <w:rsid w:val="004D7B5E"/>
    <w:rsid w:val="004E0E7F"/>
    <w:rsid w:val="004E0EB8"/>
    <w:rsid w:val="004E18E9"/>
    <w:rsid w:val="004E2ADC"/>
    <w:rsid w:val="004E43B2"/>
    <w:rsid w:val="004F1D02"/>
    <w:rsid w:val="004F22AC"/>
    <w:rsid w:val="004F2679"/>
    <w:rsid w:val="004F2E0E"/>
    <w:rsid w:val="004F2F21"/>
    <w:rsid w:val="004F37D0"/>
    <w:rsid w:val="004F3DE5"/>
    <w:rsid w:val="004F402A"/>
    <w:rsid w:val="004F6913"/>
    <w:rsid w:val="004F7865"/>
    <w:rsid w:val="00501122"/>
    <w:rsid w:val="0050174E"/>
    <w:rsid w:val="00501854"/>
    <w:rsid w:val="005018A5"/>
    <w:rsid w:val="0050219B"/>
    <w:rsid w:val="00503F17"/>
    <w:rsid w:val="00503F3A"/>
    <w:rsid w:val="00504783"/>
    <w:rsid w:val="00506928"/>
    <w:rsid w:val="005077EF"/>
    <w:rsid w:val="00511AD5"/>
    <w:rsid w:val="00511DC7"/>
    <w:rsid w:val="00512070"/>
    <w:rsid w:val="005142C5"/>
    <w:rsid w:val="0051501B"/>
    <w:rsid w:val="005152B5"/>
    <w:rsid w:val="00515886"/>
    <w:rsid w:val="00516738"/>
    <w:rsid w:val="0052123C"/>
    <w:rsid w:val="00521319"/>
    <w:rsid w:val="00521E5D"/>
    <w:rsid w:val="00522BC8"/>
    <w:rsid w:val="00523C28"/>
    <w:rsid w:val="0053176B"/>
    <w:rsid w:val="005341B3"/>
    <w:rsid w:val="00536F42"/>
    <w:rsid w:val="00537182"/>
    <w:rsid w:val="00541EDD"/>
    <w:rsid w:val="00542743"/>
    <w:rsid w:val="00542C2D"/>
    <w:rsid w:val="00545662"/>
    <w:rsid w:val="005478BD"/>
    <w:rsid w:val="005479E3"/>
    <w:rsid w:val="00551985"/>
    <w:rsid w:val="00552BD3"/>
    <w:rsid w:val="005532A0"/>
    <w:rsid w:val="00555109"/>
    <w:rsid w:val="00556A65"/>
    <w:rsid w:val="00556B35"/>
    <w:rsid w:val="0055741A"/>
    <w:rsid w:val="005611B7"/>
    <w:rsid w:val="005618D4"/>
    <w:rsid w:val="00564867"/>
    <w:rsid w:val="00565C79"/>
    <w:rsid w:val="00565DF0"/>
    <w:rsid w:val="0056696F"/>
    <w:rsid w:val="005715B4"/>
    <w:rsid w:val="00572269"/>
    <w:rsid w:val="0057244A"/>
    <w:rsid w:val="00572F26"/>
    <w:rsid w:val="005750C5"/>
    <w:rsid w:val="005752DE"/>
    <w:rsid w:val="00575D60"/>
    <w:rsid w:val="00575D8D"/>
    <w:rsid w:val="00576972"/>
    <w:rsid w:val="00577248"/>
    <w:rsid w:val="00582E4D"/>
    <w:rsid w:val="00583699"/>
    <w:rsid w:val="00585CDD"/>
    <w:rsid w:val="00587058"/>
    <w:rsid w:val="00587B50"/>
    <w:rsid w:val="00591957"/>
    <w:rsid w:val="005922B8"/>
    <w:rsid w:val="005923B0"/>
    <w:rsid w:val="00593054"/>
    <w:rsid w:val="00595633"/>
    <w:rsid w:val="00597BF9"/>
    <w:rsid w:val="005A0C11"/>
    <w:rsid w:val="005A203C"/>
    <w:rsid w:val="005A309A"/>
    <w:rsid w:val="005A373D"/>
    <w:rsid w:val="005B0B58"/>
    <w:rsid w:val="005B4E53"/>
    <w:rsid w:val="005B5857"/>
    <w:rsid w:val="005B663D"/>
    <w:rsid w:val="005C0267"/>
    <w:rsid w:val="005C19C4"/>
    <w:rsid w:val="005C1B83"/>
    <w:rsid w:val="005C25FF"/>
    <w:rsid w:val="005C2D55"/>
    <w:rsid w:val="005C346B"/>
    <w:rsid w:val="005C5786"/>
    <w:rsid w:val="005C5ABC"/>
    <w:rsid w:val="005C6EFE"/>
    <w:rsid w:val="005D044D"/>
    <w:rsid w:val="005D0ABD"/>
    <w:rsid w:val="005D0EA2"/>
    <w:rsid w:val="005D18AD"/>
    <w:rsid w:val="005D26B4"/>
    <w:rsid w:val="005D4715"/>
    <w:rsid w:val="005E1995"/>
    <w:rsid w:val="005E29B5"/>
    <w:rsid w:val="005E6CBC"/>
    <w:rsid w:val="005E72FF"/>
    <w:rsid w:val="005E73C0"/>
    <w:rsid w:val="005F07ED"/>
    <w:rsid w:val="005F2695"/>
    <w:rsid w:val="005F2706"/>
    <w:rsid w:val="005F32D1"/>
    <w:rsid w:val="005F6A8F"/>
    <w:rsid w:val="005F6BB7"/>
    <w:rsid w:val="005F7588"/>
    <w:rsid w:val="00603DB9"/>
    <w:rsid w:val="00603E9C"/>
    <w:rsid w:val="00606FBA"/>
    <w:rsid w:val="00607669"/>
    <w:rsid w:val="006076F4"/>
    <w:rsid w:val="00607AFD"/>
    <w:rsid w:val="00611B12"/>
    <w:rsid w:val="00612860"/>
    <w:rsid w:val="00612F97"/>
    <w:rsid w:val="0061345D"/>
    <w:rsid w:val="0061549B"/>
    <w:rsid w:val="00616802"/>
    <w:rsid w:val="00617E12"/>
    <w:rsid w:val="00620C25"/>
    <w:rsid w:val="00621273"/>
    <w:rsid w:val="00621477"/>
    <w:rsid w:val="00621735"/>
    <w:rsid w:val="00621ADA"/>
    <w:rsid w:val="00623F7B"/>
    <w:rsid w:val="00624BD4"/>
    <w:rsid w:val="00626E66"/>
    <w:rsid w:val="006273FE"/>
    <w:rsid w:val="0063158F"/>
    <w:rsid w:val="006316CB"/>
    <w:rsid w:val="00631D6B"/>
    <w:rsid w:val="00632183"/>
    <w:rsid w:val="006330A1"/>
    <w:rsid w:val="00633588"/>
    <w:rsid w:val="0063479F"/>
    <w:rsid w:val="006353F0"/>
    <w:rsid w:val="006357B5"/>
    <w:rsid w:val="006364A1"/>
    <w:rsid w:val="0063678E"/>
    <w:rsid w:val="00637BFD"/>
    <w:rsid w:val="00637C5C"/>
    <w:rsid w:val="00641C4E"/>
    <w:rsid w:val="00641FB3"/>
    <w:rsid w:val="006438BC"/>
    <w:rsid w:val="0064434C"/>
    <w:rsid w:val="00646536"/>
    <w:rsid w:val="006471CC"/>
    <w:rsid w:val="006472FE"/>
    <w:rsid w:val="00647A29"/>
    <w:rsid w:val="0065079F"/>
    <w:rsid w:val="00651271"/>
    <w:rsid w:val="00652A28"/>
    <w:rsid w:val="0065379F"/>
    <w:rsid w:val="00653DD9"/>
    <w:rsid w:val="00654C48"/>
    <w:rsid w:val="00656188"/>
    <w:rsid w:val="0065715A"/>
    <w:rsid w:val="006610F1"/>
    <w:rsid w:val="00661C6B"/>
    <w:rsid w:val="00662D3E"/>
    <w:rsid w:val="00666940"/>
    <w:rsid w:val="00667BE3"/>
    <w:rsid w:val="00671004"/>
    <w:rsid w:val="00672646"/>
    <w:rsid w:val="0067400A"/>
    <w:rsid w:val="00674E42"/>
    <w:rsid w:val="00676563"/>
    <w:rsid w:val="00676759"/>
    <w:rsid w:val="006813F8"/>
    <w:rsid w:val="00682112"/>
    <w:rsid w:val="00682BA6"/>
    <w:rsid w:val="00686957"/>
    <w:rsid w:val="006872BA"/>
    <w:rsid w:val="00690795"/>
    <w:rsid w:val="00690C62"/>
    <w:rsid w:val="00691648"/>
    <w:rsid w:val="006917D7"/>
    <w:rsid w:val="0069434C"/>
    <w:rsid w:val="00694F44"/>
    <w:rsid w:val="006959ED"/>
    <w:rsid w:val="00696EF9"/>
    <w:rsid w:val="00696F51"/>
    <w:rsid w:val="006979A5"/>
    <w:rsid w:val="006A016F"/>
    <w:rsid w:val="006A0DF7"/>
    <w:rsid w:val="006A4321"/>
    <w:rsid w:val="006A43D9"/>
    <w:rsid w:val="006A6B99"/>
    <w:rsid w:val="006A6E55"/>
    <w:rsid w:val="006A7E5F"/>
    <w:rsid w:val="006B0C9B"/>
    <w:rsid w:val="006B21D3"/>
    <w:rsid w:val="006B261B"/>
    <w:rsid w:val="006B2C90"/>
    <w:rsid w:val="006B35E6"/>
    <w:rsid w:val="006B465A"/>
    <w:rsid w:val="006B55CB"/>
    <w:rsid w:val="006B6DD0"/>
    <w:rsid w:val="006C0399"/>
    <w:rsid w:val="006C2A8E"/>
    <w:rsid w:val="006C316B"/>
    <w:rsid w:val="006C3255"/>
    <w:rsid w:val="006C3F26"/>
    <w:rsid w:val="006D0D17"/>
    <w:rsid w:val="006D0DA2"/>
    <w:rsid w:val="006D3C7D"/>
    <w:rsid w:val="006D4659"/>
    <w:rsid w:val="006D5D5F"/>
    <w:rsid w:val="006D68FB"/>
    <w:rsid w:val="006E2868"/>
    <w:rsid w:val="006F1456"/>
    <w:rsid w:val="006F306C"/>
    <w:rsid w:val="006F365A"/>
    <w:rsid w:val="006F63A5"/>
    <w:rsid w:val="0070142B"/>
    <w:rsid w:val="0070276E"/>
    <w:rsid w:val="00702F8F"/>
    <w:rsid w:val="007079FC"/>
    <w:rsid w:val="00711A36"/>
    <w:rsid w:val="00711D9A"/>
    <w:rsid w:val="007125D3"/>
    <w:rsid w:val="00714C26"/>
    <w:rsid w:val="0071529C"/>
    <w:rsid w:val="007170DA"/>
    <w:rsid w:val="007172AD"/>
    <w:rsid w:val="00717546"/>
    <w:rsid w:val="007204F2"/>
    <w:rsid w:val="00720801"/>
    <w:rsid w:val="00722B1B"/>
    <w:rsid w:val="0072416F"/>
    <w:rsid w:val="00727C94"/>
    <w:rsid w:val="00731B0A"/>
    <w:rsid w:val="00731EAE"/>
    <w:rsid w:val="00733073"/>
    <w:rsid w:val="00735033"/>
    <w:rsid w:val="00735328"/>
    <w:rsid w:val="0073685B"/>
    <w:rsid w:val="007376DE"/>
    <w:rsid w:val="007409C2"/>
    <w:rsid w:val="00740E3D"/>
    <w:rsid w:val="007449BF"/>
    <w:rsid w:val="007463FE"/>
    <w:rsid w:val="00746BC0"/>
    <w:rsid w:val="007510B4"/>
    <w:rsid w:val="00752142"/>
    <w:rsid w:val="007523F9"/>
    <w:rsid w:val="0075357E"/>
    <w:rsid w:val="00753B29"/>
    <w:rsid w:val="00754AE6"/>
    <w:rsid w:val="007573E8"/>
    <w:rsid w:val="00760C4E"/>
    <w:rsid w:val="00760F9E"/>
    <w:rsid w:val="007616E6"/>
    <w:rsid w:val="007627BE"/>
    <w:rsid w:val="00764F03"/>
    <w:rsid w:val="007658DC"/>
    <w:rsid w:val="00765B1A"/>
    <w:rsid w:val="00765DC1"/>
    <w:rsid w:val="007673DB"/>
    <w:rsid w:val="00767EA0"/>
    <w:rsid w:val="00771865"/>
    <w:rsid w:val="007749F9"/>
    <w:rsid w:val="00777335"/>
    <w:rsid w:val="007843F2"/>
    <w:rsid w:val="007846FA"/>
    <w:rsid w:val="00785A9F"/>
    <w:rsid w:val="00787AFD"/>
    <w:rsid w:val="00790447"/>
    <w:rsid w:val="007911BF"/>
    <w:rsid w:val="007925DF"/>
    <w:rsid w:val="00792E06"/>
    <w:rsid w:val="00797B88"/>
    <w:rsid w:val="007A08AA"/>
    <w:rsid w:val="007A0A12"/>
    <w:rsid w:val="007A132D"/>
    <w:rsid w:val="007A1345"/>
    <w:rsid w:val="007A2DDB"/>
    <w:rsid w:val="007A70BA"/>
    <w:rsid w:val="007A7C65"/>
    <w:rsid w:val="007B0D68"/>
    <w:rsid w:val="007B251D"/>
    <w:rsid w:val="007B3533"/>
    <w:rsid w:val="007B45CB"/>
    <w:rsid w:val="007B4F58"/>
    <w:rsid w:val="007B528D"/>
    <w:rsid w:val="007B63CA"/>
    <w:rsid w:val="007B77D1"/>
    <w:rsid w:val="007C07C7"/>
    <w:rsid w:val="007C1CD9"/>
    <w:rsid w:val="007C32EF"/>
    <w:rsid w:val="007C361D"/>
    <w:rsid w:val="007C4B84"/>
    <w:rsid w:val="007C70FF"/>
    <w:rsid w:val="007C7C25"/>
    <w:rsid w:val="007D004F"/>
    <w:rsid w:val="007D035F"/>
    <w:rsid w:val="007D06B2"/>
    <w:rsid w:val="007D0B38"/>
    <w:rsid w:val="007D5440"/>
    <w:rsid w:val="007D69EB"/>
    <w:rsid w:val="007E128F"/>
    <w:rsid w:val="007E20CB"/>
    <w:rsid w:val="007E373A"/>
    <w:rsid w:val="007E7E4A"/>
    <w:rsid w:val="007F1017"/>
    <w:rsid w:val="007F1682"/>
    <w:rsid w:val="007F4A3F"/>
    <w:rsid w:val="007F4A61"/>
    <w:rsid w:val="007F5255"/>
    <w:rsid w:val="007F56CC"/>
    <w:rsid w:val="007F61C2"/>
    <w:rsid w:val="00805142"/>
    <w:rsid w:val="00805FCE"/>
    <w:rsid w:val="008074FE"/>
    <w:rsid w:val="00807A8B"/>
    <w:rsid w:val="00811383"/>
    <w:rsid w:val="00812149"/>
    <w:rsid w:val="00812CAC"/>
    <w:rsid w:val="00816361"/>
    <w:rsid w:val="008166EF"/>
    <w:rsid w:val="00816FEF"/>
    <w:rsid w:val="00820047"/>
    <w:rsid w:val="00820A8C"/>
    <w:rsid w:val="008215FB"/>
    <w:rsid w:val="008220CC"/>
    <w:rsid w:val="00823174"/>
    <w:rsid w:val="00823BE7"/>
    <w:rsid w:val="00824092"/>
    <w:rsid w:val="00825751"/>
    <w:rsid w:val="00825CD8"/>
    <w:rsid w:val="00825D95"/>
    <w:rsid w:val="008264EB"/>
    <w:rsid w:val="008268CE"/>
    <w:rsid w:val="00827C23"/>
    <w:rsid w:val="00833B05"/>
    <w:rsid w:val="008362B4"/>
    <w:rsid w:val="00837A12"/>
    <w:rsid w:val="00840CA2"/>
    <w:rsid w:val="0084374F"/>
    <w:rsid w:val="00844A22"/>
    <w:rsid w:val="00847703"/>
    <w:rsid w:val="00847DF5"/>
    <w:rsid w:val="0085052A"/>
    <w:rsid w:val="00851294"/>
    <w:rsid w:val="008513D4"/>
    <w:rsid w:val="0085261A"/>
    <w:rsid w:val="0085309D"/>
    <w:rsid w:val="00856897"/>
    <w:rsid w:val="00856E9A"/>
    <w:rsid w:val="0086075D"/>
    <w:rsid w:val="0086172A"/>
    <w:rsid w:val="00862502"/>
    <w:rsid w:val="00862CC1"/>
    <w:rsid w:val="008642A7"/>
    <w:rsid w:val="008660D4"/>
    <w:rsid w:val="00871FA9"/>
    <w:rsid w:val="008728E9"/>
    <w:rsid w:val="008769F9"/>
    <w:rsid w:val="00882874"/>
    <w:rsid w:val="00882E3C"/>
    <w:rsid w:val="0088308A"/>
    <w:rsid w:val="00883787"/>
    <w:rsid w:val="008855E4"/>
    <w:rsid w:val="00886CD2"/>
    <w:rsid w:val="008910BE"/>
    <w:rsid w:val="00891E6F"/>
    <w:rsid w:val="0089275D"/>
    <w:rsid w:val="00892A36"/>
    <w:rsid w:val="00893239"/>
    <w:rsid w:val="00894489"/>
    <w:rsid w:val="00894CD6"/>
    <w:rsid w:val="008963A5"/>
    <w:rsid w:val="00896D5D"/>
    <w:rsid w:val="008A3158"/>
    <w:rsid w:val="008A3363"/>
    <w:rsid w:val="008A3371"/>
    <w:rsid w:val="008A3C3E"/>
    <w:rsid w:val="008A4A46"/>
    <w:rsid w:val="008A79DE"/>
    <w:rsid w:val="008B1757"/>
    <w:rsid w:val="008B1C33"/>
    <w:rsid w:val="008B4B6F"/>
    <w:rsid w:val="008B6E9C"/>
    <w:rsid w:val="008B7992"/>
    <w:rsid w:val="008B7D7E"/>
    <w:rsid w:val="008C22C7"/>
    <w:rsid w:val="008C5610"/>
    <w:rsid w:val="008C5739"/>
    <w:rsid w:val="008C61D2"/>
    <w:rsid w:val="008C7282"/>
    <w:rsid w:val="008C7ECB"/>
    <w:rsid w:val="008D24C7"/>
    <w:rsid w:val="008D3B86"/>
    <w:rsid w:val="008D3DB3"/>
    <w:rsid w:val="008D43FD"/>
    <w:rsid w:val="008D4755"/>
    <w:rsid w:val="008D4C3D"/>
    <w:rsid w:val="008D743C"/>
    <w:rsid w:val="008E0D3C"/>
    <w:rsid w:val="008E1B9E"/>
    <w:rsid w:val="008E25A5"/>
    <w:rsid w:val="008E2769"/>
    <w:rsid w:val="008E55AB"/>
    <w:rsid w:val="008F120A"/>
    <w:rsid w:val="008F27E0"/>
    <w:rsid w:val="008F48EB"/>
    <w:rsid w:val="008F4F0B"/>
    <w:rsid w:val="00903178"/>
    <w:rsid w:val="009043DA"/>
    <w:rsid w:val="009046C4"/>
    <w:rsid w:val="009062A5"/>
    <w:rsid w:val="00907699"/>
    <w:rsid w:val="00910FA7"/>
    <w:rsid w:val="00911272"/>
    <w:rsid w:val="00911339"/>
    <w:rsid w:val="009124DE"/>
    <w:rsid w:val="009135D6"/>
    <w:rsid w:val="009142E9"/>
    <w:rsid w:val="00914C77"/>
    <w:rsid w:val="00921ACB"/>
    <w:rsid w:val="00922A48"/>
    <w:rsid w:val="0092369B"/>
    <w:rsid w:val="00925F1F"/>
    <w:rsid w:val="00932D04"/>
    <w:rsid w:val="0093319A"/>
    <w:rsid w:val="00934988"/>
    <w:rsid w:val="00937089"/>
    <w:rsid w:val="0094430A"/>
    <w:rsid w:val="00944F8A"/>
    <w:rsid w:val="00950DF4"/>
    <w:rsid w:val="009510A2"/>
    <w:rsid w:val="00951B6E"/>
    <w:rsid w:val="00953257"/>
    <w:rsid w:val="0095474C"/>
    <w:rsid w:val="00957D92"/>
    <w:rsid w:val="00962BFA"/>
    <w:rsid w:val="00962CB9"/>
    <w:rsid w:val="00964312"/>
    <w:rsid w:val="00965B8A"/>
    <w:rsid w:val="0097071F"/>
    <w:rsid w:val="009717AC"/>
    <w:rsid w:val="009751C1"/>
    <w:rsid w:val="009811F1"/>
    <w:rsid w:val="00982B4E"/>
    <w:rsid w:val="00983E57"/>
    <w:rsid w:val="009850CD"/>
    <w:rsid w:val="00985DE2"/>
    <w:rsid w:val="0098675D"/>
    <w:rsid w:val="00987420"/>
    <w:rsid w:val="00987BA4"/>
    <w:rsid w:val="00987C84"/>
    <w:rsid w:val="009926E0"/>
    <w:rsid w:val="0099451E"/>
    <w:rsid w:val="00995EFA"/>
    <w:rsid w:val="0099634F"/>
    <w:rsid w:val="00996B1A"/>
    <w:rsid w:val="009A18F6"/>
    <w:rsid w:val="009A2DCC"/>
    <w:rsid w:val="009A353D"/>
    <w:rsid w:val="009A5ABC"/>
    <w:rsid w:val="009A7F10"/>
    <w:rsid w:val="009B3E26"/>
    <w:rsid w:val="009C1271"/>
    <w:rsid w:val="009C2EAC"/>
    <w:rsid w:val="009C3342"/>
    <w:rsid w:val="009C3706"/>
    <w:rsid w:val="009C3A3A"/>
    <w:rsid w:val="009C6CEA"/>
    <w:rsid w:val="009C7B85"/>
    <w:rsid w:val="009D0254"/>
    <w:rsid w:val="009D1A64"/>
    <w:rsid w:val="009D5B91"/>
    <w:rsid w:val="009D792E"/>
    <w:rsid w:val="009D79BD"/>
    <w:rsid w:val="009D79C6"/>
    <w:rsid w:val="009D79F2"/>
    <w:rsid w:val="009E0DFE"/>
    <w:rsid w:val="009E1538"/>
    <w:rsid w:val="009E31F6"/>
    <w:rsid w:val="009E342D"/>
    <w:rsid w:val="009E4C07"/>
    <w:rsid w:val="009E5BDA"/>
    <w:rsid w:val="009E777F"/>
    <w:rsid w:val="009F6120"/>
    <w:rsid w:val="009F7863"/>
    <w:rsid w:val="00A00780"/>
    <w:rsid w:val="00A00D76"/>
    <w:rsid w:val="00A01184"/>
    <w:rsid w:val="00A01449"/>
    <w:rsid w:val="00A037C2"/>
    <w:rsid w:val="00A03928"/>
    <w:rsid w:val="00A03D43"/>
    <w:rsid w:val="00A04380"/>
    <w:rsid w:val="00A04786"/>
    <w:rsid w:val="00A05472"/>
    <w:rsid w:val="00A05C32"/>
    <w:rsid w:val="00A0653F"/>
    <w:rsid w:val="00A06A12"/>
    <w:rsid w:val="00A078B4"/>
    <w:rsid w:val="00A11CD0"/>
    <w:rsid w:val="00A13948"/>
    <w:rsid w:val="00A1555B"/>
    <w:rsid w:val="00A155C5"/>
    <w:rsid w:val="00A16AD8"/>
    <w:rsid w:val="00A2021E"/>
    <w:rsid w:val="00A20C12"/>
    <w:rsid w:val="00A21C95"/>
    <w:rsid w:val="00A21CF3"/>
    <w:rsid w:val="00A24813"/>
    <w:rsid w:val="00A27AEC"/>
    <w:rsid w:val="00A320DB"/>
    <w:rsid w:val="00A35D16"/>
    <w:rsid w:val="00A36890"/>
    <w:rsid w:val="00A37BCD"/>
    <w:rsid w:val="00A41689"/>
    <w:rsid w:val="00A42592"/>
    <w:rsid w:val="00A43C59"/>
    <w:rsid w:val="00A50ECD"/>
    <w:rsid w:val="00A518F3"/>
    <w:rsid w:val="00A52729"/>
    <w:rsid w:val="00A53675"/>
    <w:rsid w:val="00A53FF4"/>
    <w:rsid w:val="00A564D7"/>
    <w:rsid w:val="00A56B6A"/>
    <w:rsid w:val="00A578DC"/>
    <w:rsid w:val="00A61A2F"/>
    <w:rsid w:val="00A640E2"/>
    <w:rsid w:val="00A64D65"/>
    <w:rsid w:val="00A6725B"/>
    <w:rsid w:val="00A67F44"/>
    <w:rsid w:val="00A704EE"/>
    <w:rsid w:val="00A70605"/>
    <w:rsid w:val="00A73134"/>
    <w:rsid w:val="00A7365A"/>
    <w:rsid w:val="00A76001"/>
    <w:rsid w:val="00A777B2"/>
    <w:rsid w:val="00A825D4"/>
    <w:rsid w:val="00A828C7"/>
    <w:rsid w:val="00A828F6"/>
    <w:rsid w:val="00A82B73"/>
    <w:rsid w:val="00A835DD"/>
    <w:rsid w:val="00A86E8B"/>
    <w:rsid w:val="00A87164"/>
    <w:rsid w:val="00A871A9"/>
    <w:rsid w:val="00A87A77"/>
    <w:rsid w:val="00A92780"/>
    <w:rsid w:val="00A93072"/>
    <w:rsid w:val="00A938BD"/>
    <w:rsid w:val="00A93953"/>
    <w:rsid w:val="00A959D8"/>
    <w:rsid w:val="00AA113D"/>
    <w:rsid w:val="00AA6BD5"/>
    <w:rsid w:val="00AA6BD8"/>
    <w:rsid w:val="00AA6C7D"/>
    <w:rsid w:val="00AA7FD6"/>
    <w:rsid w:val="00AB042A"/>
    <w:rsid w:val="00AB11AD"/>
    <w:rsid w:val="00AB19EF"/>
    <w:rsid w:val="00AB2495"/>
    <w:rsid w:val="00AB2D34"/>
    <w:rsid w:val="00AB3430"/>
    <w:rsid w:val="00AB37B9"/>
    <w:rsid w:val="00AB4AD1"/>
    <w:rsid w:val="00AB5E07"/>
    <w:rsid w:val="00AB6E47"/>
    <w:rsid w:val="00AB7CFA"/>
    <w:rsid w:val="00AC3327"/>
    <w:rsid w:val="00AC5B42"/>
    <w:rsid w:val="00AC5B48"/>
    <w:rsid w:val="00AD1450"/>
    <w:rsid w:val="00AD15E8"/>
    <w:rsid w:val="00AD356D"/>
    <w:rsid w:val="00AD531A"/>
    <w:rsid w:val="00AD6502"/>
    <w:rsid w:val="00AE0695"/>
    <w:rsid w:val="00AE1C6A"/>
    <w:rsid w:val="00AE3E7E"/>
    <w:rsid w:val="00AE7E53"/>
    <w:rsid w:val="00AF0544"/>
    <w:rsid w:val="00AF1315"/>
    <w:rsid w:val="00AF19BF"/>
    <w:rsid w:val="00AF234B"/>
    <w:rsid w:val="00AF2DC3"/>
    <w:rsid w:val="00AF3847"/>
    <w:rsid w:val="00B033E5"/>
    <w:rsid w:val="00B034F6"/>
    <w:rsid w:val="00B03A63"/>
    <w:rsid w:val="00B05300"/>
    <w:rsid w:val="00B059F3"/>
    <w:rsid w:val="00B07FB4"/>
    <w:rsid w:val="00B1026B"/>
    <w:rsid w:val="00B118A3"/>
    <w:rsid w:val="00B129A4"/>
    <w:rsid w:val="00B14D2C"/>
    <w:rsid w:val="00B15485"/>
    <w:rsid w:val="00B201A4"/>
    <w:rsid w:val="00B201D1"/>
    <w:rsid w:val="00B213A6"/>
    <w:rsid w:val="00B228C5"/>
    <w:rsid w:val="00B22910"/>
    <w:rsid w:val="00B235B0"/>
    <w:rsid w:val="00B24DF6"/>
    <w:rsid w:val="00B27A61"/>
    <w:rsid w:val="00B34FE2"/>
    <w:rsid w:val="00B35166"/>
    <w:rsid w:val="00B357D8"/>
    <w:rsid w:val="00B360F4"/>
    <w:rsid w:val="00B36A00"/>
    <w:rsid w:val="00B3792B"/>
    <w:rsid w:val="00B37BFC"/>
    <w:rsid w:val="00B40358"/>
    <w:rsid w:val="00B41614"/>
    <w:rsid w:val="00B42851"/>
    <w:rsid w:val="00B42F80"/>
    <w:rsid w:val="00B435CB"/>
    <w:rsid w:val="00B45795"/>
    <w:rsid w:val="00B465EC"/>
    <w:rsid w:val="00B505C8"/>
    <w:rsid w:val="00B50DB8"/>
    <w:rsid w:val="00B515FF"/>
    <w:rsid w:val="00B53439"/>
    <w:rsid w:val="00B53654"/>
    <w:rsid w:val="00B53905"/>
    <w:rsid w:val="00B546DB"/>
    <w:rsid w:val="00B54B5B"/>
    <w:rsid w:val="00B5562E"/>
    <w:rsid w:val="00B55862"/>
    <w:rsid w:val="00B55D65"/>
    <w:rsid w:val="00B56305"/>
    <w:rsid w:val="00B57000"/>
    <w:rsid w:val="00B60939"/>
    <w:rsid w:val="00B60AFD"/>
    <w:rsid w:val="00B62715"/>
    <w:rsid w:val="00B65611"/>
    <w:rsid w:val="00B70E8E"/>
    <w:rsid w:val="00B721DC"/>
    <w:rsid w:val="00B76C92"/>
    <w:rsid w:val="00B80EFD"/>
    <w:rsid w:val="00B810AB"/>
    <w:rsid w:val="00B818A4"/>
    <w:rsid w:val="00B83739"/>
    <w:rsid w:val="00B84048"/>
    <w:rsid w:val="00B84117"/>
    <w:rsid w:val="00B858F0"/>
    <w:rsid w:val="00B85AA2"/>
    <w:rsid w:val="00B8649C"/>
    <w:rsid w:val="00B8695D"/>
    <w:rsid w:val="00B87F0A"/>
    <w:rsid w:val="00B92D0B"/>
    <w:rsid w:val="00B94945"/>
    <w:rsid w:val="00B94DD6"/>
    <w:rsid w:val="00BA1551"/>
    <w:rsid w:val="00BA322D"/>
    <w:rsid w:val="00BA443E"/>
    <w:rsid w:val="00BA63FA"/>
    <w:rsid w:val="00BB00B3"/>
    <w:rsid w:val="00BB0BDD"/>
    <w:rsid w:val="00BB176C"/>
    <w:rsid w:val="00BB2A73"/>
    <w:rsid w:val="00BB2C43"/>
    <w:rsid w:val="00BB3A45"/>
    <w:rsid w:val="00BB4ACC"/>
    <w:rsid w:val="00BB558C"/>
    <w:rsid w:val="00BB703E"/>
    <w:rsid w:val="00BB732D"/>
    <w:rsid w:val="00BB7405"/>
    <w:rsid w:val="00BC1EBA"/>
    <w:rsid w:val="00BC3631"/>
    <w:rsid w:val="00BC591F"/>
    <w:rsid w:val="00BC7D6D"/>
    <w:rsid w:val="00BD2108"/>
    <w:rsid w:val="00BD68A3"/>
    <w:rsid w:val="00BD6938"/>
    <w:rsid w:val="00BD6CF3"/>
    <w:rsid w:val="00BD7F72"/>
    <w:rsid w:val="00BE0ECA"/>
    <w:rsid w:val="00BE1B9E"/>
    <w:rsid w:val="00BE2180"/>
    <w:rsid w:val="00BE21F2"/>
    <w:rsid w:val="00BE413E"/>
    <w:rsid w:val="00BE4275"/>
    <w:rsid w:val="00BF06AE"/>
    <w:rsid w:val="00BF0F95"/>
    <w:rsid w:val="00BF2433"/>
    <w:rsid w:val="00BF2E6E"/>
    <w:rsid w:val="00BF3825"/>
    <w:rsid w:val="00BF61C9"/>
    <w:rsid w:val="00BF6C94"/>
    <w:rsid w:val="00C00424"/>
    <w:rsid w:val="00C00BB0"/>
    <w:rsid w:val="00C05856"/>
    <w:rsid w:val="00C06616"/>
    <w:rsid w:val="00C1179F"/>
    <w:rsid w:val="00C125F2"/>
    <w:rsid w:val="00C127B9"/>
    <w:rsid w:val="00C128FA"/>
    <w:rsid w:val="00C12C14"/>
    <w:rsid w:val="00C146BC"/>
    <w:rsid w:val="00C14915"/>
    <w:rsid w:val="00C15F04"/>
    <w:rsid w:val="00C179B3"/>
    <w:rsid w:val="00C17E3F"/>
    <w:rsid w:val="00C200AA"/>
    <w:rsid w:val="00C237ED"/>
    <w:rsid w:val="00C24632"/>
    <w:rsid w:val="00C25418"/>
    <w:rsid w:val="00C25D9C"/>
    <w:rsid w:val="00C2778B"/>
    <w:rsid w:val="00C31649"/>
    <w:rsid w:val="00C3168B"/>
    <w:rsid w:val="00C327D8"/>
    <w:rsid w:val="00C33ED5"/>
    <w:rsid w:val="00C3434C"/>
    <w:rsid w:val="00C40385"/>
    <w:rsid w:val="00C41768"/>
    <w:rsid w:val="00C475AA"/>
    <w:rsid w:val="00C527C7"/>
    <w:rsid w:val="00C53C98"/>
    <w:rsid w:val="00C56FCF"/>
    <w:rsid w:val="00C576A1"/>
    <w:rsid w:val="00C57B6C"/>
    <w:rsid w:val="00C61A59"/>
    <w:rsid w:val="00C628A6"/>
    <w:rsid w:val="00C64344"/>
    <w:rsid w:val="00C65108"/>
    <w:rsid w:val="00C65576"/>
    <w:rsid w:val="00C66165"/>
    <w:rsid w:val="00C66B2D"/>
    <w:rsid w:val="00C7060A"/>
    <w:rsid w:val="00C7151A"/>
    <w:rsid w:val="00C717E3"/>
    <w:rsid w:val="00C71F60"/>
    <w:rsid w:val="00C72241"/>
    <w:rsid w:val="00C750C8"/>
    <w:rsid w:val="00C7560F"/>
    <w:rsid w:val="00C80A0E"/>
    <w:rsid w:val="00C8213F"/>
    <w:rsid w:val="00C8303F"/>
    <w:rsid w:val="00C85154"/>
    <w:rsid w:val="00C85A70"/>
    <w:rsid w:val="00C8797A"/>
    <w:rsid w:val="00C900B8"/>
    <w:rsid w:val="00C90197"/>
    <w:rsid w:val="00C90C71"/>
    <w:rsid w:val="00C91FD1"/>
    <w:rsid w:val="00C931CF"/>
    <w:rsid w:val="00C938CF"/>
    <w:rsid w:val="00C94053"/>
    <w:rsid w:val="00C94BC6"/>
    <w:rsid w:val="00C9624D"/>
    <w:rsid w:val="00C969DA"/>
    <w:rsid w:val="00C96E9B"/>
    <w:rsid w:val="00CA2C77"/>
    <w:rsid w:val="00CA444F"/>
    <w:rsid w:val="00CA5245"/>
    <w:rsid w:val="00CA71F4"/>
    <w:rsid w:val="00CA7B09"/>
    <w:rsid w:val="00CB12A5"/>
    <w:rsid w:val="00CB1CAC"/>
    <w:rsid w:val="00CB2F2A"/>
    <w:rsid w:val="00CB3ED7"/>
    <w:rsid w:val="00CB53D0"/>
    <w:rsid w:val="00CB5B1A"/>
    <w:rsid w:val="00CB6B22"/>
    <w:rsid w:val="00CB7921"/>
    <w:rsid w:val="00CB7F5F"/>
    <w:rsid w:val="00CC1B39"/>
    <w:rsid w:val="00CC1BFA"/>
    <w:rsid w:val="00CC2E9F"/>
    <w:rsid w:val="00CC35EA"/>
    <w:rsid w:val="00CC3848"/>
    <w:rsid w:val="00CC6D5E"/>
    <w:rsid w:val="00CD0200"/>
    <w:rsid w:val="00CD3F77"/>
    <w:rsid w:val="00CD6ADC"/>
    <w:rsid w:val="00CD7193"/>
    <w:rsid w:val="00CE1BB5"/>
    <w:rsid w:val="00CE38C8"/>
    <w:rsid w:val="00CE524F"/>
    <w:rsid w:val="00CE58CC"/>
    <w:rsid w:val="00CE6274"/>
    <w:rsid w:val="00CE77B6"/>
    <w:rsid w:val="00CF0A85"/>
    <w:rsid w:val="00CF2B8D"/>
    <w:rsid w:val="00CF3A1B"/>
    <w:rsid w:val="00CF456B"/>
    <w:rsid w:val="00CF4FEF"/>
    <w:rsid w:val="00CF5A22"/>
    <w:rsid w:val="00CF5EF5"/>
    <w:rsid w:val="00D0262E"/>
    <w:rsid w:val="00D03679"/>
    <w:rsid w:val="00D042F7"/>
    <w:rsid w:val="00D059C5"/>
    <w:rsid w:val="00D05E3D"/>
    <w:rsid w:val="00D06139"/>
    <w:rsid w:val="00D068CE"/>
    <w:rsid w:val="00D110BD"/>
    <w:rsid w:val="00D12425"/>
    <w:rsid w:val="00D13675"/>
    <w:rsid w:val="00D141E1"/>
    <w:rsid w:val="00D1456F"/>
    <w:rsid w:val="00D15314"/>
    <w:rsid w:val="00D15B48"/>
    <w:rsid w:val="00D17D6C"/>
    <w:rsid w:val="00D2155B"/>
    <w:rsid w:val="00D23D11"/>
    <w:rsid w:val="00D244B6"/>
    <w:rsid w:val="00D2754D"/>
    <w:rsid w:val="00D27B27"/>
    <w:rsid w:val="00D30D5B"/>
    <w:rsid w:val="00D33A5F"/>
    <w:rsid w:val="00D33B58"/>
    <w:rsid w:val="00D33BE9"/>
    <w:rsid w:val="00D33F93"/>
    <w:rsid w:val="00D357FF"/>
    <w:rsid w:val="00D366CF"/>
    <w:rsid w:val="00D424C7"/>
    <w:rsid w:val="00D43B2A"/>
    <w:rsid w:val="00D43CF1"/>
    <w:rsid w:val="00D43D83"/>
    <w:rsid w:val="00D47575"/>
    <w:rsid w:val="00D502C7"/>
    <w:rsid w:val="00D51EE2"/>
    <w:rsid w:val="00D5243B"/>
    <w:rsid w:val="00D533EC"/>
    <w:rsid w:val="00D56A95"/>
    <w:rsid w:val="00D57B01"/>
    <w:rsid w:val="00D6076E"/>
    <w:rsid w:val="00D61D6B"/>
    <w:rsid w:val="00D623CA"/>
    <w:rsid w:val="00D64C7F"/>
    <w:rsid w:val="00D70F16"/>
    <w:rsid w:val="00D718CC"/>
    <w:rsid w:val="00D72617"/>
    <w:rsid w:val="00D72F57"/>
    <w:rsid w:val="00D76A44"/>
    <w:rsid w:val="00D77B44"/>
    <w:rsid w:val="00D81001"/>
    <w:rsid w:val="00D815EF"/>
    <w:rsid w:val="00D81949"/>
    <w:rsid w:val="00D81F26"/>
    <w:rsid w:val="00D822E2"/>
    <w:rsid w:val="00D843F2"/>
    <w:rsid w:val="00D86231"/>
    <w:rsid w:val="00D912AB"/>
    <w:rsid w:val="00D91923"/>
    <w:rsid w:val="00D91A29"/>
    <w:rsid w:val="00D91DA5"/>
    <w:rsid w:val="00D93753"/>
    <w:rsid w:val="00DA3167"/>
    <w:rsid w:val="00DA319C"/>
    <w:rsid w:val="00DA4DC3"/>
    <w:rsid w:val="00DA77A5"/>
    <w:rsid w:val="00DB0E36"/>
    <w:rsid w:val="00DB33B7"/>
    <w:rsid w:val="00DB369C"/>
    <w:rsid w:val="00DB3DBF"/>
    <w:rsid w:val="00DB484F"/>
    <w:rsid w:val="00DB5288"/>
    <w:rsid w:val="00DC04F6"/>
    <w:rsid w:val="00DC0690"/>
    <w:rsid w:val="00DC1D65"/>
    <w:rsid w:val="00DC3C57"/>
    <w:rsid w:val="00DC5501"/>
    <w:rsid w:val="00DC5DE4"/>
    <w:rsid w:val="00DC6720"/>
    <w:rsid w:val="00DC7154"/>
    <w:rsid w:val="00DC7E8A"/>
    <w:rsid w:val="00DD0F78"/>
    <w:rsid w:val="00DD0FCB"/>
    <w:rsid w:val="00DD118E"/>
    <w:rsid w:val="00DD273C"/>
    <w:rsid w:val="00DD37B7"/>
    <w:rsid w:val="00DD3F28"/>
    <w:rsid w:val="00DD4446"/>
    <w:rsid w:val="00DD4537"/>
    <w:rsid w:val="00DD4E15"/>
    <w:rsid w:val="00DE117F"/>
    <w:rsid w:val="00DE2304"/>
    <w:rsid w:val="00DE3138"/>
    <w:rsid w:val="00DE37F8"/>
    <w:rsid w:val="00DE4273"/>
    <w:rsid w:val="00DE4FCB"/>
    <w:rsid w:val="00DE5D07"/>
    <w:rsid w:val="00DE72A7"/>
    <w:rsid w:val="00DE7832"/>
    <w:rsid w:val="00DF0B64"/>
    <w:rsid w:val="00DF1402"/>
    <w:rsid w:val="00DF18FC"/>
    <w:rsid w:val="00DF29AB"/>
    <w:rsid w:val="00DF4F7B"/>
    <w:rsid w:val="00DF5D2B"/>
    <w:rsid w:val="00DF6341"/>
    <w:rsid w:val="00E00A1F"/>
    <w:rsid w:val="00E00E8E"/>
    <w:rsid w:val="00E05630"/>
    <w:rsid w:val="00E06DBB"/>
    <w:rsid w:val="00E10149"/>
    <w:rsid w:val="00E11340"/>
    <w:rsid w:val="00E122A1"/>
    <w:rsid w:val="00E12B37"/>
    <w:rsid w:val="00E16372"/>
    <w:rsid w:val="00E16AD8"/>
    <w:rsid w:val="00E17FFA"/>
    <w:rsid w:val="00E20E4D"/>
    <w:rsid w:val="00E20ED6"/>
    <w:rsid w:val="00E21358"/>
    <w:rsid w:val="00E2249B"/>
    <w:rsid w:val="00E22A0D"/>
    <w:rsid w:val="00E244F6"/>
    <w:rsid w:val="00E251A8"/>
    <w:rsid w:val="00E2535F"/>
    <w:rsid w:val="00E258DB"/>
    <w:rsid w:val="00E2771E"/>
    <w:rsid w:val="00E311EF"/>
    <w:rsid w:val="00E32180"/>
    <w:rsid w:val="00E34948"/>
    <w:rsid w:val="00E34A62"/>
    <w:rsid w:val="00E37569"/>
    <w:rsid w:val="00E401B2"/>
    <w:rsid w:val="00E41E30"/>
    <w:rsid w:val="00E42115"/>
    <w:rsid w:val="00E42F73"/>
    <w:rsid w:val="00E43D70"/>
    <w:rsid w:val="00E44B36"/>
    <w:rsid w:val="00E466F3"/>
    <w:rsid w:val="00E47B2C"/>
    <w:rsid w:val="00E51560"/>
    <w:rsid w:val="00E51821"/>
    <w:rsid w:val="00E521CC"/>
    <w:rsid w:val="00E53FC8"/>
    <w:rsid w:val="00E54347"/>
    <w:rsid w:val="00E55424"/>
    <w:rsid w:val="00E55915"/>
    <w:rsid w:val="00E55BB5"/>
    <w:rsid w:val="00E611DF"/>
    <w:rsid w:val="00E61A4C"/>
    <w:rsid w:val="00E65E79"/>
    <w:rsid w:val="00E66004"/>
    <w:rsid w:val="00E66BA2"/>
    <w:rsid w:val="00E67416"/>
    <w:rsid w:val="00E718B6"/>
    <w:rsid w:val="00E723BA"/>
    <w:rsid w:val="00E73581"/>
    <w:rsid w:val="00E833F7"/>
    <w:rsid w:val="00E83BDF"/>
    <w:rsid w:val="00E841A9"/>
    <w:rsid w:val="00E86FCC"/>
    <w:rsid w:val="00E87A1D"/>
    <w:rsid w:val="00E9094A"/>
    <w:rsid w:val="00E91D35"/>
    <w:rsid w:val="00E926A5"/>
    <w:rsid w:val="00E962CC"/>
    <w:rsid w:val="00EA0AE6"/>
    <w:rsid w:val="00EA17C3"/>
    <w:rsid w:val="00EA2187"/>
    <w:rsid w:val="00EA2CAA"/>
    <w:rsid w:val="00EA302C"/>
    <w:rsid w:val="00EA3768"/>
    <w:rsid w:val="00EA3864"/>
    <w:rsid w:val="00EA3BAD"/>
    <w:rsid w:val="00EA6FB7"/>
    <w:rsid w:val="00EA7F1C"/>
    <w:rsid w:val="00EB15B6"/>
    <w:rsid w:val="00EB3D06"/>
    <w:rsid w:val="00EB4916"/>
    <w:rsid w:val="00EC00C9"/>
    <w:rsid w:val="00EC0DD9"/>
    <w:rsid w:val="00EC2649"/>
    <w:rsid w:val="00EC31ED"/>
    <w:rsid w:val="00EC5836"/>
    <w:rsid w:val="00EC688C"/>
    <w:rsid w:val="00ED0D23"/>
    <w:rsid w:val="00ED12E3"/>
    <w:rsid w:val="00ED1B6B"/>
    <w:rsid w:val="00ED2AF2"/>
    <w:rsid w:val="00ED3A2C"/>
    <w:rsid w:val="00ED4217"/>
    <w:rsid w:val="00ED4B04"/>
    <w:rsid w:val="00ED51D3"/>
    <w:rsid w:val="00ED57EA"/>
    <w:rsid w:val="00ED5BD4"/>
    <w:rsid w:val="00EE07D3"/>
    <w:rsid w:val="00EE14CE"/>
    <w:rsid w:val="00EE1996"/>
    <w:rsid w:val="00EE1C01"/>
    <w:rsid w:val="00EE22AF"/>
    <w:rsid w:val="00EE3AEB"/>
    <w:rsid w:val="00EF0171"/>
    <w:rsid w:val="00EF1B25"/>
    <w:rsid w:val="00EF1DA0"/>
    <w:rsid w:val="00EF4747"/>
    <w:rsid w:val="00EF4BF8"/>
    <w:rsid w:val="00EF6A33"/>
    <w:rsid w:val="00F01E6E"/>
    <w:rsid w:val="00F02253"/>
    <w:rsid w:val="00F03C2E"/>
    <w:rsid w:val="00F04A66"/>
    <w:rsid w:val="00F04B4B"/>
    <w:rsid w:val="00F0516C"/>
    <w:rsid w:val="00F067A2"/>
    <w:rsid w:val="00F07B9E"/>
    <w:rsid w:val="00F1116F"/>
    <w:rsid w:val="00F1263A"/>
    <w:rsid w:val="00F139C5"/>
    <w:rsid w:val="00F151DF"/>
    <w:rsid w:val="00F15B77"/>
    <w:rsid w:val="00F21236"/>
    <w:rsid w:val="00F239DF"/>
    <w:rsid w:val="00F24837"/>
    <w:rsid w:val="00F2575F"/>
    <w:rsid w:val="00F25C6E"/>
    <w:rsid w:val="00F263BD"/>
    <w:rsid w:val="00F27565"/>
    <w:rsid w:val="00F3081F"/>
    <w:rsid w:val="00F310D4"/>
    <w:rsid w:val="00F31D5A"/>
    <w:rsid w:val="00F33975"/>
    <w:rsid w:val="00F33DE9"/>
    <w:rsid w:val="00F34C3F"/>
    <w:rsid w:val="00F35478"/>
    <w:rsid w:val="00F35E6D"/>
    <w:rsid w:val="00F3619A"/>
    <w:rsid w:val="00F36569"/>
    <w:rsid w:val="00F40AAA"/>
    <w:rsid w:val="00F40BA7"/>
    <w:rsid w:val="00F40F9D"/>
    <w:rsid w:val="00F41ACD"/>
    <w:rsid w:val="00F42191"/>
    <w:rsid w:val="00F45075"/>
    <w:rsid w:val="00F46CB6"/>
    <w:rsid w:val="00F4756D"/>
    <w:rsid w:val="00F47900"/>
    <w:rsid w:val="00F47DE8"/>
    <w:rsid w:val="00F542C1"/>
    <w:rsid w:val="00F55074"/>
    <w:rsid w:val="00F550E3"/>
    <w:rsid w:val="00F55E73"/>
    <w:rsid w:val="00F55EDA"/>
    <w:rsid w:val="00F56C80"/>
    <w:rsid w:val="00F60092"/>
    <w:rsid w:val="00F61C18"/>
    <w:rsid w:val="00F61E98"/>
    <w:rsid w:val="00F65F4B"/>
    <w:rsid w:val="00F67A69"/>
    <w:rsid w:val="00F70BFF"/>
    <w:rsid w:val="00F70C9D"/>
    <w:rsid w:val="00F73E08"/>
    <w:rsid w:val="00F74B0A"/>
    <w:rsid w:val="00F74CD9"/>
    <w:rsid w:val="00F773CD"/>
    <w:rsid w:val="00F77759"/>
    <w:rsid w:val="00F80A7B"/>
    <w:rsid w:val="00F80E5D"/>
    <w:rsid w:val="00F81E78"/>
    <w:rsid w:val="00F83916"/>
    <w:rsid w:val="00F841CC"/>
    <w:rsid w:val="00F851CE"/>
    <w:rsid w:val="00F860F2"/>
    <w:rsid w:val="00F91219"/>
    <w:rsid w:val="00F92444"/>
    <w:rsid w:val="00F9393E"/>
    <w:rsid w:val="00F947A0"/>
    <w:rsid w:val="00F95C1E"/>
    <w:rsid w:val="00F96FD0"/>
    <w:rsid w:val="00F97A78"/>
    <w:rsid w:val="00FA0B20"/>
    <w:rsid w:val="00FA24E7"/>
    <w:rsid w:val="00FA5EE6"/>
    <w:rsid w:val="00FA7956"/>
    <w:rsid w:val="00FB01FD"/>
    <w:rsid w:val="00FB0824"/>
    <w:rsid w:val="00FB2FCB"/>
    <w:rsid w:val="00FB4C9C"/>
    <w:rsid w:val="00FB5BAF"/>
    <w:rsid w:val="00FB7C55"/>
    <w:rsid w:val="00FC07FB"/>
    <w:rsid w:val="00FC1074"/>
    <w:rsid w:val="00FC1884"/>
    <w:rsid w:val="00FC2046"/>
    <w:rsid w:val="00FC371D"/>
    <w:rsid w:val="00FC5F0B"/>
    <w:rsid w:val="00FC715B"/>
    <w:rsid w:val="00FD2100"/>
    <w:rsid w:val="00FD436C"/>
    <w:rsid w:val="00FD446D"/>
    <w:rsid w:val="00FD4F2C"/>
    <w:rsid w:val="00FD6394"/>
    <w:rsid w:val="00FE055B"/>
    <w:rsid w:val="00FE0E6C"/>
    <w:rsid w:val="00FE1CDC"/>
    <w:rsid w:val="00FE70C3"/>
    <w:rsid w:val="00FF0EC4"/>
    <w:rsid w:val="00FF178A"/>
    <w:rsid w:val="00FF1A8B"/>
    <w:rsid w:val="00FF2898"/>
    <w:rsid w:val="00FF2AD9"/>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8113"/>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1DC"/>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SYNEVi,Caption PRIMA,Bayer Caption,IB Caption,Medical Caption,Bayer,Bayer Caption1,IB Caption1,Medical Caption1,Bayer Caption2,IB Caption2,Medical Caption2,Bayer Caption3,IB Caption3,Medical Caption3,Bayer Caption4,IB Caption4,Bayer1"/>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SYNEVi Char,Caption PRIMA Char,Bayer Caption Char,IB Caption Char,Medical Caption Char,Bayer Char,Bayer Caption1 Char,IB Caption1 Char,Medical Caption1 Char,Bayer Caption2 Char,IB Caption2 Char,Medical Caption2 Char,IB Caption3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_CC_Bullet,Bullet1,Section 5,L"/>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new style,PBAC table,RTI AMCP Table,Lash Style Table,HTAtableplain,Tabellengitternetz 9pt"/>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165CF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165CFB"/>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E09A7"/>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E09A7"/>
    <w:rPr>
      <w:rFonts w:ascii="Arial Narrow" w:hAnsi="Arial Narrow" w:cs="Arial"/>
      <w:snapToGrid w:val="0"/>
      <w:sz w:val="18"/>
      <w:szCs w:val="22"/>
    </w:rPr>
  </w:style>
  <w:style w:type="paragraph" w:styleId="FootnoteText">
    <w:name w:val="footnote text"/>
    <w:basedOn w:val="Normal"/>
    <w:link w:val="FootnoteTextChar"/>
    <w:semiHidden/>
    <w:unhideWhenUsed/>
    <w:rsid w:val="006B0C9B"/>
    <w:rPr>
      <w:sz w:val="20"/>
      <w:szCs w:val="20"/>
    </w:rPr>
  </w:style>
  <w:style w:type="character" w:customStyle="1" w:styleId="FootnoteTextChar">
    <w:name w:val="Footnote Text Char"/>
    <w:basedOn w:val="DefaultParagraphFont"/>
    <w:link w:val="FootnoteText"/>
    <w:semiHidden/>
    <w:rsid w:val="006B0C9B"/>
    <w:rPr>
      <w:rFonts w:ascii="Calibri" w:hAnsi="Calibri" w:cs="Arial"/>
    </w:rPr>
  </w:style>
  <w:style w:type="character" w:styleId="FootnoteReference">
    <w:name w:val="footnote reference"/>
    <w:basedOn w:val="DefaultParagraphFont"/>
    <w:unhideWhenUsed/>
    <w:rsid w:val="006B0C9B"/>
    <w:rPr>
      <w:vertAlign w:val="superscript"/>
    </w:rPr>
  </w:style>
  <w:style w:type="character" w:customStyle="1" w:styleId="Heading1Char">
    <w:name w:val="Heading 1 Char"/>
    <w:basedOn w:val="DefaultParagraphFont"/>
    <w:link w:val="Heading1"/>
    <w:uiPriority w:val="1"/>
    <w:rsid w:val="00D059C5"/>
    <w:rPr>
      <w:rFonts w:ascii="Calibri" w:hAnsi="Calibri" w:cs="Arial"/>
      <w:b/>
      <w:caps/>
      <w:sz w:val="32"/>
      <w:szCs w:val="24"/>
    </w:rPr>
  </w:style>
  <w:style w:type="character" w:customStyle="1" w:styleId="Heading3Char">
    <w:name w:val="Heading 3 Char"/>
    <w:basedOn w:val="DefaultParagraphFont"/>
    <w:link w:val="Heading3"/>
    <w:rsid w:val="00D059C5"/>
    <w:rPr>
      <w:rFonts w:ascii="Calibri" w:hAnsi="Calibri" w:cs="Arial"/>
      <w:sz w:val="24"/>
      <w:szCs w:val="24"/>
      <w:u w:val="single"/>
    </w:rPr>
  </w:style>
  <w:style w:type="character" w:customStyle="1" w:styleId="Heading4Char">
    <w:name w:val="Heading 4 Char"/>
    <w:basedOn w:val="DefaultParagraphFont"/>
    <w:link w:val="Heading4"/>
    <w:rsid w:val="00D059C5"/>
    <w:rPr>
      <w:rFonts w:ascii="Calibri" w:hAnsi="Calibri" w:cs="Arial"/>
      <w:b/>
      <w:bCs/>
      <w:i/>
      <w:sz w:val="26"/>
      <w:szCs w:val="28"/>
    </w:rPr>
  </w:style>
  <w:style w:type="character" w:customStyle="1" w:styleId="Heading5Char">
    <w:name w:val="Heading 5 Char"/>
    <w:basedOn w:val="DefaultParagraphFont"/>
    <w:link w:val="Heading5"/>
    <w:rsid w:val="00D059C5"/>
    <w:rPr>
      <w:rFonts w:ascii="Calibri" w:hAnsi="Calibri" w:cs="Arial"/>
      <w:b/>
      <w:bCs/>
      <w:iCs/>
      <w:sz w:val="26"/>
      <w:szCs w:val="26"/>
    </w:rPr>
  </w:style>
  <w:style w:type="character" w:customStyle="1" w:styleId="Heading6Char">
    <w:name w:val="Heading 6 Char"/>
    <w:basedOn w:val="DefaultParagraphFont"/>
    <w:link w:val="Heading6"/>
    <w:rsid w:val="00D059C5"/>
    <w:rPr>
      <w:rFonts w:ascii="Calibri" w:hAnsi="Calibri" w:cs="Arial"/>
      <w:b/>
      <w:bCs/>
      <w:i/>
      <w:sz w:val="24"/>
      <w:szCs w:val="24"/>
    </w:rPr>
  </w:style>
  <w:style w:type="paragraph" w:customStyle="1" w:styleId="Tablecentre">
    <w:name w:val="Table centre"/>
    <w:basedOn w:val="TableText0"/>
    <w:rsid w:val="00D059C5"/>
    <w:pPr>
      <w:keepNext w:val="0"/>
      <w:spacing w:line="276" w:lineRule="auto"/>
      <w:jc w:val="center"/>
    </w:pPr>
    <w:rPr>
      <w:rFonts w:asciiTheme="minorHAnsi" w:eastAsiaTheme="minorHAnsi" w:hAnsiTheme="minorHAnsi" w:cstheme="minorHAnsi"/>
      <w:bCs w:val="0"/>
      <w:szCs w:val="20"/>
      <w:lang w:val="en-US" w:eastAsia="en-US"/>
    </w:rPr>
  </w:style>
  <w:style w:type="character" w:styleId="UnresolvedMention">
    <w:name w:val="Unresolved Mention"/>
    <w:basedOn w:val="DefaultParagraphFont"/>
    <w:uiPriority w:val="99"/>
    <w:semiHidden/>
    <w:unhideWhenUsed/>
    <w:rsid w:val="00D059C5"/>
    <w:rPr>
      <w:color w:val="605E5C"/>
      <w:shd w:val="clear" w:color="auto" w:fill="E1DFDD"/>
    </w:rPr>
  </w:style>
  <w:style w:type="character" w:customStyle="1" w:styleId="TableFigureCaptionChar">
    <w:name w:val="Table/Figure Caption Char"/>
    <w:basedOn w:val="DefaultParagraphFont"/>
    <w:link w:val="TableFigureCaption"/>
    <w:locked/>
    <w:rsid w:val="00D059C5"/>
    <w:rPr>
      <w:rFonts w:ascii="Arial Narrow" w:eastAsiaTheme="majorEastAsia" w:hAnsi="Arial Narrow" w:cstheme="majorBidi"/>
      <w:b/>
      <w:bCs/>
      <w:szCs w:val="24"/>
    </w:rPr>
  </w:style>
  <w:style w:type="paragraph" w:customStyle="1" w:styleId="TableFigureCaption">
    <w:name w:val="Table/Figure Caption"/>
    <w:link w:val="TableFigureCaptionChar"/>
    <w:qFormat/>
    <w:rsid w:val="00D059C5"/>
    <w:pPr>
      <w:keepNext/>
    </w:pPr>
    <w:rPr>
      <w:rFonts w:ascii="Arial Narrow" w:eastAsiaTheme="majorEastAsia" w:hAnsi="Arial Narrow" w:cstheme="majorBidi"/>
      <w:b/>
      <w:bCs/>
      <w:szCs w:val="24"/>
    </w:rPr>
  </w:style>
  <w:style w:type="paragraph" w:customStyle="1" w:styleId="3-SubsectionHeading">
    <w:name w:val="3-Subsection Heading"/>
    <w:basedOn w:val="Heading2"/>
    <w:next w:val="Normal"/>
    <w:link w:val="3-SubsectionHeadingChar"/>
    <w:qFormat/>
    <w:rsid w:val="00DF0B6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F0B64"/>
    <w:rPr>
      <w:rFonts w:asciiTheme="minorHAnsi" w:eastAsiaTheme="majorEastAsia" w:hAnsiTheme="minorHAnsi" w:cstheme="majorBidi"/>
      <w:b/>
      <w:i/>
      <w:snapToGrid/>
      <w:spacing w:val="5"/>
      <w:kern w:val="28"/>
      <w:sz w:val="28"/>
      <w:szCs w:val="36"/>
      <w:lang w:eastAsia="en-US"/>
    </w:rPr>
  </w:style>
  <w:style w:type="paragraph" w:customStyle="1" w:styleId="COMH1numbered">
    <w:name w:val="COM H1 numbered"/>
    <w:next w:val="Normal"/>
    <w:qFormat/>
    <w:rsid w:val="007673DB"/>
    <w:pPr>
      <w:keepNext/>
      <w:snapToGrid w:val="0"/>
      <w:spacing w:before="240" w:after="120"/>
      <w:ind w:left="720" w:hanging="720"/>
      <w:outlineLvl w:val="0"/>
    </w:pPr>
    <w:rPr>
      <w:rFonts w:asciiTheme="minorHAnsi" w:hAnsiTheme="minorHAnsi" w:cs="Arial"/>
      <w:b/>
      <w:sz w:val="32"/>
      <w:szCs w:val="32"/>
    </w:rPr>
  </w:style>
  <w:style w:type="paragraph" w:customStyle="1" w:styleId="COMexecsumnumberedpara">
    <w:name w:val="COM exec sum numbered para"/>
    <w:basedOn w:val="ListParagraph"/>
    <w:qFormat/>
    <w:rsid w:val="007673DB"/>
    <w:pPr>
      <w:tabs>
        <w:tab w:val="num" w:pos="360"/>
      </w:tabs>
      <w:snapToGrid w:val="0"/>
      <w:ind w:left="720"/>
    </w:pPr>
    <w:rPr>
      <w:snapToGrid/>
    </w:rPr>
  </w:style>
  <w:style w:type="table" w:customStyle="1" w:styleId="TableGrid1">
    <w:name w:val="Table Grid1"/>
    <w:basedOn w:val="TableNormal"/>
    <w:next w:val="TableGrid"/>
    <w:uiPriority w:val="59"/>
    <w:rsid w:val="004336DB"/>
    <w:pPr>
      <w:spacing w:after="200" w:line="276" w:lineRule="auto"/>
    </w:pPr>
    <w:rPr>
      <w:rFonts w:ascii="Calibri" w:eastAsia="MS Mincho"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352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387914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976674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0149547">
      <w:bodyDiv w:val="1"/>
      <w:marLeft w:val="0"/>
      <w:marRight w:val="0"/>
      <w:marTop w:val="0"/>
      <w:marBottom w:val="0"/>
      <w:divBdr>
        <w:top w:val="none" w:sz="0" w:space="0" w:color="auto"/>
        <w:left w:val="none" w:sz="0" w:space="0" w:color="auto"/>
        <w:bottom w:val="none" w:sz="0" w:space="0" w:color="auto"/>
        <w:right w:val="none" w:sz="0" w:space="0" w:color="auto"/>
      </w:divBdr>
    </w:div>
    <w:div w:id="86706701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1817643">
      <w:bodyDiv w:val="1"/>
      <w:marLeft w:val="0"/>
      <w:marRight w:val="0"/>
      <w:marTop w:val="0"/>
      <w:marBottom w:val="0"/>
      <w:divBdr>
        <w:top w:val="none" w:sz="0" w:space="0" w:color="auto"/>
        <w:left w:val="none" w:sz="0" w:space="0" w:color="auto"/>
        <w:bottom w:val="none" w:sz="0" w:space="0" w:color="auto"/>
        <w:right w:val="none" w:sz="0" w:space="0" w:color="auto"/>
      </w:divBdr>
    </w:div>
    <w:div w:id="1361734721">
      <w:bodyDiv w:val="1"/>
      <w:marLeft w:val="0"/>
      <w:marRight w:val="0"/>
      <w:marTop w:val="0"/>
      <w:marBottom w:val="0"/>
      <w:divBdr>
        <w:top w:val="none" w:sz="0" w:space="0" w:color="auto"/>
        <w:left w:val="none" w:sz="0" w:space="0" w:color="auto"/>
        <w:bottom w:val="none" w:sz="0" w:space="0" w:color="auto"/>
        <w:right w:val="none" w:sz="0" w:space="0" w:color="auto"/>
      </w:divBdr>
    </w:div>
    <w:div w:id="1376278006">
      <w:bodyDiv w:val="1"/>
      <w:marLeft w:val="0"/>
      <w:marRight w:val="0"/>
      <w:marTop w:val="0"/>
      <w:marBottom w:val="0"/>
      <w:divBdr>
        <w:top w:val="none" w:sz="0" w:space="0" w:color="auto"/>
        <w:left w:val="none" w:sz="0" w:space="0" w:color="auto"/>
        <w:bottom w:val="none" w:sz="0" w:space="0" w:color="auto"/>
        <w:right w:val="none" w:sz="0" w:space="0" w:color="auto"/>
      </w:divBdr>
    </w:div>
    <w:div w:id="1565722957">
      <w:bodyDiv w:val="1"/>
      <w:marLeft w:val="0"/>
      <w:marRight w:val="0"/>
      <w:marTop w:val="0"/>
      <w:marBottom w:val="0"/>
      <w:divBdr>
        <w:top w:val="none" w:sz="0" w:space="0" w:color="auto"/>
        <w:left w:val="none" w:sz="0" w:space="0" w:color="auto"/>
        <w:bottom w:val="none" w:sz="0" w:space="0" w:color="auto"/>
        <w:right w:val="none" w:sz="0" w:space="0" w:color="auto"/>
      </w:divBdr>
    </w:div>
    <w:div w:id="1702242759">
      <w:bodyDiv w:val="1"/>
      <w:marLeft w:val="0"/>
      <w:marRight w:val="0"/>
      <w:marTop w:val="0"/>
      <w:marBottom w:val="0"/>
      <w:divBdr>
        <w:top w:val="none" w:sz="0" w:space="0" w:color="auto"/>
        <w:left w:val="none" w:sz="0" w:space="0" w:color="auto"/>
        <w:bottom w:val="none" w:sz="0" w:space="0" w:color="auto"/>
        <w:right w:val="none" w:sz="0" w:space="0" w:color="auto"/>
      </w:divBdr>
    </w:div>
    <w:div w:id="1759905237">
      <w:bodyDiv w:val="1"/>
      <w:marLeft w:val="0"/>
      <w:marRight w:val="0"/>
      <w:marTop w:val="0"/>
      <w:marBottom w:val="0"/>
      <w:divBdr>
        <w:top w:val="none" w:sz="0" w:space="0" w:color="auto"/>
        <w:left w:val="none" w:sz="0" w:space="0" w:color="auto"/>
        <w:bottom w:val="none" w:sz="0" w:space="0" w:color="auto"/>
        <w:right w:val="none" w:sz="0" w:space="0" w:color="auto"/>
      </w:divBdr>
    </w:div>
    <w:div w:id="1843541645">
      <w:bodyDiv w:val="1"/>
      <w:marLeft w:val="0"/>
      <w:marRight w:val="0"/>
      <w:marTop w:val="0"/>
      <w:marBottom w:val="0"/>
      <w:divBdr>
        <w:top w:val="none" w:sz="0" w:space="0" w:color="auto"/>
        <w:left w:val="none" w:sz="0" w:space="0" w:color="auto"/>
        <w:bottom w:val="none" w:sz="0" w:space="0" w:color="auto"/>
        <w:right w:val="none" w:sz="0" w:space="0" w:color="auto"/>
      </w:divBdr>
    </w:div>
    <w:div w:id="1887443874">
      <w:bodyDiv w:val="1"/>
      <w:marLeft w:val="0"/>
      <w:marRight w:val="0"/>
      <w:marTop w:val="0"/>
      <w:marBottom w:val="0"/>
      <w:divBdr>
        <w:top w:val="none" w:sz="0" w:space="0" w:color="auto"/>
        <w:left w:val="none" w:sz="0" w:space="0" w:color="auto"/>
        <w:bottom w:val="none" w:sz="0" w:space="0" w:color="auto"/>
        <w:right w:val="none" w:sz="0" w:space="0" w:color="auto"/>
      </w:divBdr>
    </w:div>
    <w:div w:id="188764183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52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17911</Words>
  <Characters>101801</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2023-12-14T03:30:00Z</dcterms:created>
  <dcterms:modified xsi:type="dcterms:W3CDTF">2023-12-14T03:30:00Z</dcterms:modified>
</cp:coreProperties>
</file>