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28FEC9D9" w:rsidR="00B60939" w:rsidRPr="004A6040" w:rsidRDefault="00DF3695" w:rsidP="004A6040">
      <w:pPr>
        <w:pStyle w:val="COMH1-non-numbered"/>
      </w:pPr>
      <w:bookmarkStart w:id="0" w:name="_Toc124858693"/>
      <w:r w:rsidRPr="001E0000">
        <w:rPr>
          <w:sz w:val="36"/>
        </w:rPr>
        <w:t>7.05</w:t>
      </w:r>
      <w:r w:rsidR="00163F66">
        <w:tab/>
      </w:r>
      <w:r w:rsidR="00A02C4A" w:rsidRPr="001E0000">
        <w:rPr>
          <w:sz w:val="36"/>
        </w:rPr>
        <w:t>ROMOSOZUMAB</w:t>
      </w:r>
      <w:r w:rsidR="00163F66" w:rsidRPr="001E0000">
        <w:rPr>
          <w:sz w:val="36"/>
        </w:rPr>
        <w:t>,</w:t>
      </w:r>
      <w:r w:rsidR="00163F66" w:rsidRPr="001E0000">
        <w:rPr>
          <w:sz w:val="36"/>
        </w:rPr>
        <w:br/>
      </w:r>
      <w:r w:rsidR="009A59B0" w:rsidRPr="001E0000">
        <w:rPr>
          <w:sz w:val="36"/>
        </w:rPr>
        <w:t>Injection 105 mg in 1.17 mL single use pre-filled syringe,</w:t>
      </w:r>
      <w:r w:rsidR="009A59B0" w:rsidRPr="001E0000">
        <w:rPr>
          <w:sz w:val="36"/>
        </w:rPr>
        <w:br/>
        <w:t>Evenity®,</w:t>
      </w:r>
      <w:r w:rsidR="009A59B0" w:rsidRPr="001E0000">
        <w:rPr>
          <w:sz w:val="36"/>
        </w:rPr>
        <w:br/>
        <w:t>Amgen Australia Pty Limited.</w:t>
      </w:r>
      <w:bookmarkEnd w:id="0"/>
    </w:p>
    <w:p w14:paraId="11C00795" w14:textId="0FD2F334" w:rsidR="00B50DB8" w:rsidRPr="00531ACE" w:rsidRDefault="00B50DB8" w:rsidP="00BE7594">
      <w:pPr>
        <w:pStyle w:val="COMH1numbered"/>
      </w:pPr>
      <w:bookmarkStart w:id="1" w:name="_Toc124858695"/>
      <w:r w:rsidRPr="00531ACE">
        <w:t xml:space="preserve">Purpose of </w:t>
      </w:r>
      <w:r w:rsidR="00CD7193" w:rsidRPr="00531ACE">
        <w:t>s</w:t>
      </w:r>
      <w:r w:rsidR="00BB3A45" w:rsidRPr="00531ACE">
        <w:t>ubmission</w:t>
      </w:r>
      <w:bookmarkEnd w:id="1"/>
    </w:p>
    <w:p w14:paraId="2E9E030B" w14:textId="6644323E" w:rsidR="008C73D8" w:rsidRPr="003074AF" w:rsidRDefault="008C73D8" w:rsidP="00BE7594">
      <w:pPr>
        <w:pStyle w:val="COMexecsumnumberedpara"/>
      </w:pPr>
      <w:r>
        <w:t xml:space="preserve">The Standard Re-entry </w:t>
      </w:r>
      <w:r w:rsidR="00F054AF">
        <w:t>re</w:t>
      </w:r>
      <w:r>
        <w:t xml:space="preserve">submission </w:t>
      </w:r>
      <w:r w:rsidRPr="004E18E9">
        <w:t>requested</w:t>
      </w:r>
      <w:r w:rsidRPr="009B04E1">
        <w:t xml:space="preserve"> a General Schedule Authority Required (Telephone/electronic) listing for the treatment of severe established osteoporosis.</w:t>
      </w:r>
      <w:r w:rsidRPr="000052E4">
        <w:rPr>
          <w:i/>
          <w:iCs/>
        </w:rPr>
        <w:t xml:space="preserve"> </w:t>
      </w:r>
      <w:r w:rsidRPr="003074AF">
        <w:t>The PBAC previously considered romosozumab for severe osteoporosis in November 2018 (</w:t>
      </w:r>
      <w:r w:rsidR="009D7391" w:rsidRPr="003074AF">
        <w:t>first- and second-line</w:t>
      </w:r>
      <w:r w:rsidRPr="003074AF">
        <w:t xml:space="preserve"> settings), July 2019 (</w:t>
      </w:r>
      <w:r w:rsidR="009D7391" w:rsidRPr="003074AF">
        <w:t>second-line</w:t>
      </w:r>
      <w:r w:rsidRPr="003074AF">
        <w:t xml:space="preserve"> setting), March 2020 (</w:t>
      </w:r>
      <w:r w:rsidR="009D7391" w:rsidRPr="003074AF">
        <w:t>second-line</w:t>
      </w:r>
      <w:r w:rsidRPr="003074AF">
        <w:t xml:space="preserve"> setting), and July 2022 (first</w:t>
      </w:r>
      <w:r w:rsidR="006A0EC0" w:rsidRPr="003074AF">
        <w:t>-</w:t>
      </w:r>
      <w:r w:rsidR="00E17882">
        <w:t xml:space="preserve"> </w:t>
      </w:r>
      <w:r w:rsidRPr="003074AF">
        <w:t xml:space="preserve">and expanded </w:t>
      </w:r>
      <w:r w:rsidR="009D7391" w:rsidRPr="003074AF">
        <w:t>second-line</w:t>
      </w:r>
      <w:r w:rsidRPr="003074AF">
        <w:t xml:space="preserve"> settings). Romosozumab is currently listed on the PBS for severe osteoporosis under a restricted </w:t>
      </w:r>
      <w:r w:rsidR="009D7391" w:rsidRPr="003074AF">
        <w:t>second-line</w:t>
      </w:r>
      <w:r w:rsidRPr="003074AF">
        <w:t xml:space="preserve"> setting.  </w:t>
      </w:r>
    </w:p>
    <w:p w14:paraId="7EE792B6" w14:textId="77777777" w:rsidR="008C73D8" w:rsidRDefault="008C73D8" w:rsidP="00BE7594">
      <w:pPr>
        <w:pStyle w:val="COMexecsumnumberedpara"/>
      </w:pPr>
      <w:r w:rsidRPr="005750C5">
        <w:t xml:space="preserve">Listing was requested on the basis of a </w:t>
      </w:r>
      <w:r>
        <w:t>cost-effectiveness</w:t>
      </w:r>
      <w:r w:rsidRPr="005750C5">
        <w:t xml:space="preserve"> analysis versus</w:t>
      </w:r>
      <w:r>
        <w:t xml:space="preserve"> alendronate.</w:t>
      </w:r>
      <w:r w:rsidRPr="005750C5">
        <w:t xml:space="preserve"> </w:t>
      </w:r>
    </w:p>
    <w:p w14:paraId="14F44888" w14:textId="3823BDBA" w:rsidR="008C73D8" w:rsidRPr="003C2DE2" w:rsidRDefault="008C73D8" w:rsidP="008C73D8">
      <w:pPr>
        <w:pStyle w:val="COMtablefigcaption"/>
      </w:pPr>
      <w:r>
        <w:t xml:space="preserve">Table </w:t>
      </w:r>
      <w:fldSimple w:instr=" SEQ Table \* ARABIC " w:fldLock="1">
        <w:r w:rsidR="00B20BD0">
          <w:rPr>
            <w:noProof/>
          </w:rPr>
          <w:t>1</w:t>
        </w:r>
      </w:fldSimple>
      <w:r>
        <w:t>:</w:t>
      </w:r>
      <w:r w:rsidRPr="003C2DE2">
        <w:t xml:space="preserve"> Key components of the clinical issue addressed </w:t>
      </w:r>
      <w:r>
        <w:t>in</w:t>
      </w:r>
      <w:r w:rsidRPr="003C2DE2">
        <w:t xml:space="preserve"> the </w:t>
      </w:r>
      <w:r>
        <w:t>re</w:t>
      </w:r>
      <w:r w:rsidRPr="003C2DE2">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7351"/>
      </w:tblGrid>
      <w:tr w:rsidR="008C73D8" w:rsidRPr="00691913" w14:paraId="408EB228" w14:textId="77777777" w:rsidTr="0036487A">
        <w:trPr>
          <w:cantSplit/>
          <w:tblHeader/>
        </w:trPr>
        <w:tc>
          <w:tcPr>
            <w:tcW w:w="924" w:type="pct"/>
            <w:shd w:val="clear" w:color="auto" w:fill="auto"/>
          </w:tcPr>
          <w:p w14:paraId="7A8F38FC" w14:textId="77777777" w:rsidR="008C73D8" w:rsidRPr="008B1757" w:rsidRDefault="008C73D8" w:rsidP="0036487A">
            <w:pPr>
              <w:pStyle w:val="COMTableheadingrow"/>
              <w:rPr>
                <w:szCs w:val="20"/>
              </w:rPr>
            </w:pPr>
            <w:r w:rsidRPr="008B1757">
              <w:t>Component</w:t>
            </w:r>
          </w:p>
        </w:tc>
        <w:tc>
          <w:tcPr>
            <w:tcW w:w="4076" w:type="pct"/>
            <w:shd w:val="clear" w:color="auto" w:fill="auto"/>
          </w:tcPr>
          <w:p w14:paraId="638A027F" w14:textId="77777777" w:rsidR="008C73D8" w:rsidRPr="008B1757" w:rsidRDefault="008C73D8" w:rsidP="0036487A">
            <w:pPr>
              <w:pStyle w:val="COMTableheadingrow"/>
            </w:pPr>
            <w:r w:rsidRPr="008B1757">
              <w:t>Description</w:t>
            </w:r>
          </w:p>
        </w:tc>
      </w:tr>
      <w:tr w:rsidR="008C73D8" w:rsidRPr="00691913" w14:paraId="1A1C5381" w14:textId="77777777" w:rsidTr="0036487A">
        <w:trPr>
          <w:cantSplit/>
        </w:trPr>
        <w:tc>
          <w:tcPr>
            <w:tcW w:w="924" w:type="pct"/>
            <w:shd w:val="clear" w:color="auto" w:fill="auto"/>
          </w:tcPr>
          <w:p w14:paraId="3D557136" w14:textId="77777777" w:rsidR="008C73D8" w:rsidRPr="00691913" w:rsidRDefault="008C73D8" w:rsidP="0036487A">
            <w:pPr>
              <w:pStyle w:val="COMTabletext"/>
            </w:pPr>
            <w:r w:rsidRPr="00691913">
              <w:t>Population</w:t>
            </w:r>
          </w:p>
        </w:tc>
        <w:tc>
          <w:tcPr>
            <w:tcW w:w="4076" w:type="pct"/>
            <w:shd w:val="clear" w:color="auto" w:fill="auto"/>
          </w:tcPr>
          <w:p w14:paraId="11E505CD" w14:textId="4CA9F245" w:rsidR="008C73D8" w:rsidRPr="001E1E86" w:rsidRDefault="003F653E" w:rsidP="0036487A">
            <w:pPr>
              <w:pStyle w:val="COMTabletext"/>
              <w:rPr>
                <w:szCs w:val="20"/>
              </w:rPr>
            </w:pPr>
            <w:r>
              <w:t xml:space="preserve">Patients with severe osteoporosis who are at very high risk of fracture defined as those with a BMD T-score of ≤-2.5 and have either: a recent hip or symptomatic vertebral fracture, or multiple fractures (including 1 recent symptomatic fracture) </w:t>
            </w:r>
            <w:r w:rsidRPr="007C1CC1">
              <w:rPr>
                <w:strike/>
              </w:rPr>
              <w:t>AND received less than 12 months treatment with anti-resorptive therapy</w:t>
            </w:r>
            <w:r>
              <w:t xml:space="preserve">; </w:t>
            </w:r>
            <w:r w:rsidRPr="00826AC0">
              <w:rPr>
                <w:strike/>
              </w:rPr>
              <w:t>OR at least 1 symptomatic new fracture after 12 months anti-resorptive therapy.</w:t>
            </w:r>
          </w:p>
        </w:tc>
      </w:tr>
      <w:tr w:rsidR="008C73D8" w:rsidRPr="00691913" w14:paraId="695B9160" w14:textId="77777777" w:rsidTr="0036487A">
        <w:trPr>
          <w:cantSplit/>
        </w:trPr>
        <w:tc>
          <w:tcPr>
            <w:tcW w:w="924" w:type="pct"/>
            <w:shd w:val="clear" w:color="auto" w:fill="auto"/>
          </w:tcPr>
          <w:p w14:paraId="4BBC4106" w14:textId="77777777" w:rsidR="008C73D8" w:rsidRPr="00691913" w:rsidRDefault="008C73D8" w:rsidP="0036487A">
            <w:pPr>
              <w:pStyle w:val="COMTabletext"/>
            </w:pPr>
            <w:r w:rsidRPr="00691913">
              <w:t>Intervention</w:t>
            </w:r>
          </w:p>
        </w:tc>
        <w:tc>
          <w:tcPr>
            <w:tcW w:w="4076" w:type="pct"/>
            <w:shd w:val="clear" w:color="auto" w:fill="auto"/>
          </w:tcPr>
          <w:p w14:paraId="10174FC2" w14:textId="73878C97" w:rsidR="008C73D8" w:rsidRPr="0056340F" w:rsidRDefault="00551B03" w:rsidP="0036487A">
            <w:pPr>
              <w:pStyle w:val="COMTabletext"/>
            </w:pPr>
            <w:r w:rsidRPr="00551B03">
              <w:t>Romosozumab 210 mg monthly subcutaneous injection for 12 months followed by ongoing anti-resorptive therapy</w:t>
            </w:r>
          </w:p>
        </w:tc>
      </w:tr>
      <w:tr w:rsidR="008C73D8" w:rsidRPr="00691913" w14:paraId="2FBF5A8B" w14:textId="77777777" w:rsidTr="0036487A">
        <w:trPr>
          <w:cantSplit/>
        </w:trPr>
        <w:tc>
          <w:tcPr>
            <w:tcW w:w="924" w:type="pct"/>
            <w:shd w:val="clear" w:color="auto" w:fill="auto"/>
          </w:tcPr>
          <w:p w14:paraId="78E51026" w14:textId="77777777" w:rsidR="008C73D8" w:rsidRPr="00691913" w:rsidRDefault="008C73D8" w:rsidP="0036487A">
            <w:pPr>
              <w:pStyle w:val="COMTabletext"/>
            </w:pPr>
            <w:r w:rsidRPr="00691913">
              <w:t>Comparator</w:t>
            </w:r>
          </w:p>
        </w:tc>
        <w:tc>
          <w:tcPr>
            <w:tcW w:w="4076" w:type="pct"/>
            <w:shd w:val="clear" w:color="auto" w:fill="auto"/>
          </w:tcPr>
          <w:p w14:paraId="06A980D0" w14:textId="06A508CF" w:rsidR="008C73D8" w:rsidRPr="0056340F" w:rsidRDefault="00551B03" w:rsidP="0036487A">
            <w:pPr>
              <w:pStyle w:val="COMTabletext"/>
            </w:pPr>
            <w:r w:rsidRPr="00551B03">
              <w:t>Alendronate 70 mg weekly oral tablet, ongoing</w:t>
            </w:r>
          </w:p>
        </w:tc>
      </w:tr>
      <w:tr w:rsidR="008C73D8" w:rsidRPr="00691913" w14:paraId="4E851AA1" w14:textId="77777777" w:rsidTr="0036487A">
        <w:trPr>
          <w:cantSplit/>
        </w:trPr>
        <w:tc>
          <w:tcPr>
            <w:tcW w:w="924" w:type="pct"/>
            <w:shd w:val="clear" w:color="auto" w:fill="auto"/>
          </w:tcPr>
          <w:p w14:paraId="5B015C10" w14:textId="77777777" w:rsidR="008C73D8" w:rsidRPr="00691913" w:rsidRDefault="008C73D8" w:rsidP="0036487A">
            <w:pPr>
              <w:pStyle w:val="COMTabletext"/>
            </w:pPr>
            <w:r w:rsidRPr="00691913">
              <w:t>Outcomes</w:t>
            </w:r>
          </w:p>
        </w:tc>
        <w:tc>
          <w:tcPr>
            <w:tcW w:w="4076" w:type="pct"/>
            <w:shd w:val="clear" w:color="auto" w:fill="auto"/>
          </w:tcPr>
          <w:p w14:paraId="5E35BC49" w14:textId="77777777" w:rsidR="008C73D8" w:rsidRPr="0056340F" w:rsidRDefault="008C73D8" w:rsidP="0036487A">
            <w:pPr>
              <w:pStyle w:val="COMTabletext"/>
            </w:pPr>
            <w:r w:rsidRPr="0056340F">
              <w:t>Prevention of osteoporosis-related fractures that lead to reduced morbidity and mortality.</w:t>
            </w:r>
          </w:p>
        </w:tc>
      </w:tr>
      <w:tr w:rsidR="008C73D8" w:rsidRPr="00691913" w14:paraId="5A4A87D7" w14:textId="77777777" w:rsidTr="0036487A">
        <w:trPr>
          <w:cantSplit/>
        </w:trPr>
        <w:tc>
          <w:tcPr>
            <w:tcW w:w="924" w:type="pct"/>
            <w:shd w:val="clear" w:color="auto" w:fill="auto"/>
          </w:tcPr>
          <w:p w14:paraId="635B71B8" w14:textId="77777777" w:rsidR="008C73D8" w:rsidRPr="00691913" w:rsidRDefault="008C73D8" w:rsidP="0036487A">
            <w:pPr>
              <w:pStyle w:val="COMTabletext"/>
            </w:pPr>
            <w:r w:rsidRPr="00691913">
              <w:t>Clinical claim</w:t>
            </w:r>
          </w:p>
        </w:tc>
        <w:tc>
          <w:tcPr>
            <w:tcW w:w="4076" w:type="pct"/>
            <w:shd w:val="clear" w:color="auto" w:fill="auto"/>
          </w:tcPr>
          <w:p w14:paraId="46269AE0" w14:textId="77777777" w:rsidR="008C73D8" w:rsidRPr="0056340F" w:rsidRDefault="008C73D8" w:rsidP="0036487A">
            <w:pPr>
              <w:pStyle w:val="COMTabletext"/>
            </w:pPr>
            <w:r w:rsidRPr="0056340F">
              <w:t>In terms of fracture risk reduction, the efficacy achieved with romosozumab (12-month treatment course) followed by alendronate is superior to that achieved with alendronate alone.</w:t>
            </w:r>
          </w:p>
          <w:p w14:paraId="521066F4" w14:textId="77777777" w:rsidR="008C73D8" w:rsidRPr="0056340F" w:rsidRDefault="008C73D8" w:rsidP="0036487A">
            <w:pPr>
              <w:pStyle w:val="COMTabletext"/>
            </w:pPr>
            <w:r w:rsidRPr="0056340F">
              <w:t>Romosozumab could have an inferior safety profile compared with alendronate due to the potential identified risk of CV events with romosozumab.</w:t>
            </w:r>
          </w:p>
        </w:tc>
      </w:tr>
    </w:tbl>
    <w:p w14:paraId="784A1DD7" w14:textId="77777777" w:rsidR="008C73D8" w:rsidRDefault="008C73D8" w:rsidP="008C73D8">
      <w:pPr>
        <w:pStyle w:val="COMTablefooter"/>
      </w:pPr>
      <w:r>
        <w:t xml:space="preserve">Source: Table 1.1-2, p14 </w:t>
      </w:r>
      <w:r w:rsidRPr="00D13A3E">
        <w:t xml:space="preserve">of the </w:t>
      </w:r>
      <w:r>
        <w:t>resubmission.</w:t>
      </w:r>
    </w:p>
    <w:p w14:paraId="4802AE99" w14:textId="258C947F" w:rsidR="00931349" w:rsidRDefault="00BE3519" w:rsidP="00931349">
      <w:pPr>
        <w:pStyle w:val="COMTablefooter"/>
      </w:pPr>
      <w:r w:rsidRPr="00BE3519">
        <w:rPr>
          <w:strike/>
        </w:rPr>
        <w:t>Strikethrough</w:t>
      </w:r>
      <w:r w:rsidR="008C73D8">
        <w:t xml:space="preserve"> text indicates changes to the requested population from the July 2022 resubmission.</w:t>
      </w:r>
    </w:p>
    <w:p w14:paraId="6B4AB6C2" w14:textId="0D927E44" w:rsidR="005C25FF" w:rsidRPr="00407F2D" w:rsidRDefault="005C25FF" w:rsidP="00BE7594">
      <w:pPr>
        <w:pStyle w:val="COMH1numbered"/>
      </w:pPr>
      <w:bookmarkStart w:id="2" w:name="_Toc124858696"/>
      <w:r w:rsidRPr="00407F2D">
        <w:t>Background</w:t>
      </w:r>
      <w:bookmarkEnd w:id="2"/>
    </w:p>
    <w:p w14:paraId="2C521D6D" w14:textId="53DB3792" w:rsidR="005C25FF" w:rsidRPr="004151CF" w:rsidRDefault="005C25FF" w:rsidP="0045707B">
      <w:pPr>
        <w:pStyle w:val="COMH2-non-numbered"/>
      </w:pPr>
      <w:bookmarkStart w:id="3" w:name="_Toc22897638"/>
      <w:bookmarkStart w:id="4" w:name="_Toc124858697"/>
      <w:r w:rsidRPr="004151CF">
        <w:t>Registration status</w:t>
      </w:r>
      <w:bookmarkEnd w:id="3"/>
      <w:bookmarkEnd w:id="4"/>
    </w:p>
    <w:p w14:paraId="60EE8631" w14:textId="77777777" w:rsidR="00772269" w:rsidRDefault="00772269" w:rsidP="00BE7594">
      <w:pPr>
        <w:pStyle w:val="ExecSumBodyText"/>
        <w:numPr>
          <w:ilvl w:val="1"/>
          <w:numId w:val="4"/>
        </w:numPr>
        <w:spacing w:after="0"/>
      </w:pPr>
      <w:bookmarkStart w:id="5" w:name="_Toc22897639"/>
      <w:r>
        <w:t>Romosozumab was approved by the TGA on 21 June 2019 for the following indications:</w:t>
      </w:r>
    </w:p>
    <w:p w14:paraId="399EF3B9" w14:textId="72FA26CD" w:rsidR="00772269" w:rsidRDefault="00772269" w:rsidP="00817158">
      <w:pPr>
        <w:pStyle w:val="ExecSumBodyText"/>
        <w:numPr>
          <w:ilvl w:val="0"/>
          <w:numId w:val="7"/>
        </w:numPr>
        <w:spacing w:after="0"/>
      </w:pPr>
      <w:r>
        <w:t>Treatment of osteoporosis in postmenopausal women at high risk of fracture</w:t>
      </w:r>
      <w:r w:rsidR="0095011C">
        <w:t>.</w:t>
      </w:r>
    </w:p>
    <w:p w14:paraId="21F8C598" w14:textId="01AF828F" w:rsidR="00772269" w:rsidRDefault="00772269" w:rsidP="00817158">
      <w:pPr>
        <w:pStyle w:val="ExecSumBodyText"/>
        <w:numPr>
          <w:ilvl w:val="0"/>
          <w:numId w:val="7"/>
        </w:numPr>
      </w:pPr>
      <w:r>
        <w:t>Treatment to increase bone mass in men with osteoporosis at high risk of fracture</w:t>
      </w:r>
      <w:r w:rsidR="0095011C">
        <w:t>.</w:t>
      </w:r>
      <w:r>
        <w:t xml:space="preserve"> </w:t>
      </w:r>
    </w:p>
    <w:p w14:paraId="5FC11356" w14:textId="77777777" w:rsidR="00772269" w:rsidRPr="00262BDA" w:rsidRDefault="00772269" w:rsidP="00BE7594">
      <w:pPr>
        <w:pStyle w:val="ExecSumBodyText"/>
        <w:numPr>
          <w:ilvl w:val="1"/>
          <w:numId w:val="4"/>
        </w:numPr>
      </w:pPr>
      <w:r w:rsidRPr="004D2D5E">
        <w:t>The product information includes special warnings and precautions for use due to the potential risk of serious events of myocardial infarction and stroke.</w:t>
      </w:r>
    </w:p>
    <w:p w14:paraId="3E2A6EAB" w14:textId="22C83B12" w:rsidR="005C25FF" w:rsidRPr="00621ADA" w:rsidRDefault="005C25FF" w:rsidP="004E18E9">
      <w:pPr>
        <w:pStyle w:val="COMH2-non-numbered"/>
      </w:pPr>
      <w:bookmarkStart w:id="6" w:name="_Toc124858698"/>
      <w:r w:rsidRPr="00621ADA">
        <w:lastRenderedPageBreak/>
        <w:t>Previous PBAC consideration</w:t>
      </w:r>
      <w:bookmarkEnd w:id="5"/>
      <w:bookmarkEnd w:id="6"/>
    </w:p>
    <w:p w14:paraId="38E9E3AD" w14:textId="3F9D64B3" w:rsidR="009E1802" w:rsidRPr="009E1802" w:rsidRDefault="009E1802" w:rsidP="00BE7594">
      <w:pPr>
        <w:pStyle w:val="COMexecsumnumberedpara"/>
      </w:pPr>
      <w:r>
        <w:rPr>
          <w:snapToGrid/>
        </w:rPr>
        <w:fldChar w:fldCharType="begin" w:fldLock="1"/>
      </w:r>
      <w:r>
        <w:rPr>
          <w:snapToGrid/>
        </w:rPr>
        <w:instrText xml:space="preserve"> REF _Ref121129250 \h </w:instrText>
      </w:r>
      <w:r>
        <w:rPr>
          <w:snapToGrid/>
        </w:rPr>
      </w:r>
      <w:r>
        <w:rPr>
          <w:snapToGrid/>
        </w:rPr>
        <w:fldChar w:fldCharType="separate"/>
      </w:r>
      <w:r w:rsidR="00605CB9" w:rsidRPr="009E1802">
        <w:t xml:space="preserve">Table </w:t>
      </w:r>
      <w:r w:rsidR="00605CB9">
        <w:rPr>
          <w:noProof/>
        </w:rPr>
        <w:t>2</w:t>
      </w:r>
      <w:r>
        <w:rPr>
          <w:snapToGrid/>
        </w:rPr>
        <w:fldChar w:fldCharType="end"/>
      </w:r>
      <w:r>
        <w:rPr>
          <w:snapToGrid/>
        </w:rPr>
        <w:t xml:space="preserve"> summarises key matters of concern from the July 2022 romosozumab submission that are relevant to the current resubmission for a line-agnostic </w:t>
      </w:r>
      <w:r w:rsidR="0095011C">
        <w:rPr>
          <w:snapToGrid/>
        </w:rPr>
        <w:t>l</w:t>
      </w:r>
      <w:r>
        <w:rPr>
          <w:snapToGrid/>
        </w:rPr>
        <w:t>isting.</w:t>
      </w:r>
    </w:p>
    <w:p w14:paraId="2A23A49F" w14:textId="2C76A78B" w:rsidR="005C25FF" w:rsidRDefault="00696EF9" w:rsidP="00341828">
      <w:pPr>
        <w:pStyle w:val="COMtablefigcaption"/>
      </w:pPr>
      <w:bookmarkStart w:id="7" w:name="_Ref121129250"/>
      <w:r w:rsidRPr="009E1802">
        <w:t xml:space="preserve">Table </w:t>
      </w:r>
      <w:fldSimple w:instr=" SEQ Table \* ARABIC " w:fldLock="1">
        <w:r w:rsidR="00B20BD0">
          <w:rPr>
            <w:noProof/>
          </w:rPr>
          <w:t>2</w:t>
        </w:r>
      </w:fldSimple>
      <w:bookmarkEnd w:id="7"/>
      <w:r w:rsidRPr="009E1802">
        <w:t>:</w:t>
      </w:r>
      <w:r w:rsidR="005C25FF" w:rsidRPr="009E1802">
        <w:t xml:space="preserve">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3636"/>
      </w:tblGrid>
      <w:tr w:rsidR="00AD4A1D" w:rsidRPr="00203181" w14:paraId="2FE1E3C8" w14:textId="77777777" w:rsidTr="00F7049D">
        <w:trPr>
          <w:cantSplit/>
          <w:tblHeader/>
        </w:trPr>
        <w:tc>
          <w:tcPr>
            <w:tcW w:w="2984" w:type="pct"/>
            <w:vAlign w:val="center"/>
          </w:tcPr>
          <w:p w14:paraId="637BECCF" w14:textId="77777777" w:rsidR="00AD4A1D" w:rsidRPr="00203181" w:rsidRDefault="00AD4A1D" w:rsidP="006947F2">
            <w:pPr>
              <w:pStyle w:val="COMTableheadingrow"/>
              <w:keepNext w:val="0"/>
              <w:rPr>
                <w:highlight w:val="cyan"/>
              </w:rPr>
            </w:pPr>
            <w:r w:rsidRPr="009E1802">
              <w:t>Matter of concern</w:t>
            </w:r>
          </w:p>
        </w:tc>
        <w:tc>
          <w:tcPr>
            <w:tcW w:w="2016" w:type="pct"/>
            <w:vAlign w:val="center"/>
          </w:tcPr>
          <w:p w14:paraId="2438BE1B" w14:textId="77777777" w:rsidR="00AD4A1D" w:rsidRPr="00203181" w:rsidRDefault="00AD4A1D" w:rsidP="006947F2">
            <w:pPr>
              <w:pStyle w:val="COMTableheadingrow"/>
              <w:keepNext w:val="0"/>
              <w:rPr>
                <w:highlight w:val="cyan"/>
              </w:rPr>
            </w:pPr>
            <w:r w:rsidRPr="009E1802">
              <w:t>How the resubmission addresses it</w:t>
            </w:r>
          </w:p>
        </w:tc>
      </w:tr>
      <w:tr w:rsidR="00AD4A1D" w:rsidRPr="00203181" w14:paraId="3D5D257A" w14:textId="77777777" w:rsidTr="00F7049D">
        <w:trPr>
          <w:cantSplit/>
        </w:trPr>
        <w:tc>
          <w:tcPr>
            <w:tcW w:w="2984" w:type="pct"/>
          </w:tcPr>
          <w:p w14:paraId="0D28B1B2" w14:textId="554C736A" w:rsidR="00AD4A1D" w:rsidRPr="001E1E86" w:rsidRDefault="00AD4A1D" w:rsidP="006947F2">
            <w:pPr>
              <w:pStyle w:val="COMTabletext"/>
              <w:keepNext w:val="0"/>
              <w:rPr>
                <w:szCs w:val="20"/>
                <w:highlight w:val="cyan"/>
              </w:rPr>
            </w:pPr>
            <w:r w:rsidRPr="0036436A">
              <w:rPr>
                <w:rFonts w:eastAsia="Batang"/>
                <w:iCs/>
                <w:snapToGrid w:val="0"/>
                <w:lang w:eastAsia="ko-KR"/>
              </w:rPr>
              <w:t xml:space="preserve">The PBAC secretariat suggested it may be reasonable to consider a combined single restriction for secondary prevention that identifies the various very high-risk groups proposed as separate </w:t>
            </w:r>
            <w:r w:rsidR="009D7391">
              <w:rPr>
                <w:rFonts w:eastAsia="Batang"/>
                <w:iCs/>
                <w:snapToGrid w:val="0"/>
                <w:lang w:eastAsia="ko-KR"/>
              </w:rPr>
              <w:t>first- and second-line</w:t>
            </w:r>
            <w:r w:rsidRPr="0036436A">
              <w:rPr>
                <w:rFonts w:eastAsia="Batang"/>
                <w:iCs/>
                <w:snapToGrid w:val="0"/>
                <w:lang w:eastAsia="ko-KR"/>
              </w:rPr>
              <w:t xml:space="preserve"> restrictions</w:t>
            </w:r>
            <w:r>
              <w:rPr>
                <w:rFonts w:eastAsia="Batang"/>
                <w:iCs/>
                <w:snapToGrid w:val="0"/>
                <w:lang w:eastAsia="ko-KR"/>
              </w:rPr>
              <w:t xml:space="preserve"> (</w:t>
            </w:r>
            <w:r w:rsidR="001A2EC9">
              <w:rPr>
                <w:rFonts w:eastAsia="Batang"/>
                <w:iCs/>
                <w:snapToGrid w:val="0"/>
                <w:lang w:eastAsia="ko-KR"/>
              </w:rPr>
              <w:t xml:space="preserve">para </w:t>
            </w:r>
            <w:r>
              <w:rPr>
                <w:rFonts w:eastAsia="Batang"/>
                <w:iCs/>
                <w:snapToGrid w:val="0"/>
                <w:lang w:eastAsia="ko-KR"/>
              </w:rPr>
              <w:t xml:space="preserve">3.5, romosozumab </w:t>
            </w:r>
            <w:r w:rsidR="00DB0149" w:rsidRPr="00FF5744">
              <w:t xml:space="preserve">Public Summary Document </w:t>
            </w:r>
            <w:r w:rsidR="00DB0149">
              <w:t>(</w:t>
            </w:r>
            <w:r>
              <w:rPr>
                <w:rFonts w:eastAsia="Batang"/>
                <w:iCs/>
                <w:snapToGrid w:val="0"/>
                <w:lang w:eastAsia="ko-KR"/>
              </w:rPr>
              <w:t>PSD</w:t>
            </w:r>
            <w:r w:rsidR="00DB0149">
              <w:rPr>
                <w:rFonts w:eastAsia="Batang"/>
                <w:iCs/>
                <w:snapToGrid w:val="0"/>
                <w:lang w:eastAsia="ko-KR"/>
              </w:rPr>
              <w:t>)</w:t>
            </w:r>
            <w:r>
              <w:rPr>
                <w:rFonts w:eastAsia="Batang"/>
                <w:iCs/>
                <w:snapToGrid w:val="0"/>
                <w:lang w:eastAsia="ko-KR"/>
              </w:rPr>
              <w:t>, July 2022 PBAC meeting)</w:t>
            </w:r>
          </w:p>
        </w:tc>
        <w:tc>
          <w:tcPr>
            <w:tcW w:w="2016" w:type="pct"/>
            <w:vAlign w:val="center"/>
          </w:tcPr>
          <w:p w14:paraId="6D35A08D" w14:textId="71622554" w:rsidR="00AD4A1D" w:rsidRPr="00021CE4" w:rsidRDefault="00AD4A1D" w:rsidP="006947F2">
            <w:pPr>
              <w:pStyle w:val="COMTabletext"/>
              <w:keepNext w:val="0"/>
              <w:rPr>
                <w:iCs/>
                <w:highlight w:val="cyan"/>
              </w:rPr>
            </w:pPr>
            <w:r w:rsidRPr="00021CE4">
              <w:rPr>
                <w:rFonts w:eastAsia="Batang"/>
                <w:iCs/>
                <w:snapToGrid w:val="0"/>
                <w:lang w:eastAsia="ko-KR"/>
              </w:rPr>
              <w:t>A revised line-agnostic listing was proposed.</w:t>
            </w:r>
          </w:p>
        </w:tc>
      </w:tr>
      <w:tr w:rsidR="00AD4A1D" w:rsidRPr="00203181" w14:paraId="17BD1C9C" w14:textId="77777777" w:rsidTr="00F7049D">
        <w:trPr>
          <w:cantSplit/>
        </w:trPr>
        <w:tc>
          <w:tcPr>
            <w:tcW w:w="2984" w:type="pct"/>
          </w:tcPr>
          <w:p w14:paraId="4077C2C7" w14:textId="28CEF254" w:rsidR="00AD4A1D" w:rsidRPr="00341828" w:rsidRDefault="00AD4A1D" w:rsidP="006947F2">
            <w:pPr>
              <w:pStyle w:val="Default"/>
              <w:rPr>
                <w:rFonts w:eastAsia="Batang"/>
              </w:rPr>
            </w:pPr>
            <w:r w:rsidRPr="00341828">
              <w:rPr>
                <w:rFonts w:ascii="Arial Narrow" w:eastAsia="Batang" w:hAnsi="Arial Narrow" w:cstheme="majorBidi"/>
                <w:bCs/>
                <w:iCs/>
                <w:snapToGrid w:val="0"/>
                <w:color w:val="auto"/>
                <w:sz w:val="20"/>
                <w:lang w:eastAsia="ko-KR"/>
              </w:rPr>
              <w:t xml:space="preserve">The PBAC previously noted numerous issues with the data presented to support the restricted </w:t>
            </w:r>
            <w:r w:rsidR="009D7391">
              <w:rPr>
                <w:rFonts w:ascii="Arial Narrow" w:eastAsia="Batang" w:hAnsi="Arial Narrow" w:cstheme="majorBidi"/>
                <w:bCs/>
                <w:iCs/>
                <w:snapToGrid w:val="0"/>
                <w:color w:val="auto"/>
                <w:sz w:val="20"/>
                <w:lang w:eastAsia="ko-KR"/>
              </w:rPr>
              <w:t>second-line</w:t>
            </w:r>
            <w:r w:rsidRPr="00341828">
              <w:rPr>
                <w:rFonts w:ascii="Arial Narrow" w:eastAsia="Batang" w:hAnsi="Arial Narrow" w:cstheme="majorBidi"/>
                <w:bCs/>
                <w:iCs/>
                <w:snapToGrid w:val="0"/>
                <w:color w:val="auto"/>
                <w:sz w:val="20"/>
                <w:lang w:eastAsia="ko-KR"/>
              </w:rPr>
              <w:t xml:space="preserve"> listing of romosozumab including lack of comparative data in patients with prior </w:t>
            </w:r>
            <w:r w:rsidR="009D7391">
              <w:rPr>
                <w:rFonts w:ascii="Arial Narrow" w:eastAsia="Batang" w:hAnsi="Arial Narrow" w:cstheme="majorBidi"/>
                <w:bCs/>
                <w:iCs/>
                <w:snapToGrid w:val="0"/>
                <w:color w:val="auto"/>
                <w:sz w:val="20"/>
                <w:lang w:eastAsia="ko-KR"/>
              </w:rPr>
              <w:t>anti-resorptive</w:t>
            </w:r>
            <w:r w:rsidRPr="00341828">
              <w:rPr>
                <w:rFonts w:ascii="Arial Narrow" w:eastAsia="Batang" w:hAnsi="Arial Narrow" w:cstheme="majorBidi"/>
                <w:bCs/>
                <w:iCs/>
                <w:snapToGrid w:val="0"/>
                <w:color w:val="auto"/>
                <w:sz w:val="20"/>
                <w:lang w:eastAsia="ko-KR"/>
              </w:rPr>
              <w:t xml:space="preserve"> therapy and lack of comparative data on residual effectiveness with and without subsequent anti-resorptive therapy (para 7.3, romosozumab PSD, November 2018 PBAC meeting). The ESC noted that no new data were presented in the </w:t>
            </w:r>
            <w:r w:rsidR="00F7049D">
              <w:rPr>
                <w:rFonts w:ascii="Arial Narrow" w:eastAsia="Batang" w:hAnsi="Arial Narrow" w:cstheme="majorBidi"/>
                <w:bCs/>
                <w:iCs/>
                <w:snapToGrid w:val="0"/>
                <w:color w:val="auto"/>
                <w:sz w:val="20"/>
                <w:lang w:eastAsia="ko-KR"/>
              </w:rPr>
              <w:t xml:space="preserve">July 2022 </w:t>
            </w:r>
            <w:r w:rsidRPr="00341828">
              <w:rPr>
                <w:rFonts w:ascii="Arial Narrow" w:eastAsia="Batang" w:hAnsi="Arial Narrow" w:cstheme="majorBidi"/>
                <w:bCs/>
                <w:iCs/>
                <w:snapToGrid w:val="0"/>
                <w:color w:val="auto"/>
                <w:sz w:val="20"/>
                <w:lang w:eastAsia="ko-KR"/>
              </w:rPr>
              <w:t xml:space="preserve">resubmission to address these concerns or support the expanded use of romosozumab in the </w:t>
            </w:r>
            <w:r w:rsidR="009D7391">
              <w:rPr>
                <w:rFonts w:ascii="Arial Narrow" w:eastAsia="Batang" w:hAnsi="Arial Narrow" w:cstheme="majorBidi"/>
                <w:bCs/>
                <w:iCs/>
                <w:snapToGrid w:val="0"/>
                <w:color w:val="auto"/>
                <w:sz w:val="20"/>
                <w:lang w:eastAsia="ko-KR"/>
              </w:rPr>
              <w:t>second-line</w:t>
            </w:r>
            <w:r w:rsidRPr="00341828">
              <w:rPr>
                <w:rFonts w:ascii="Arial Narrow" w:eastAsia="Batang" w:hAnsi="Arial Narrow" w:cstheme="majorBidi"/>
                <w:bCs/>
                <w:iCs/>
                <w:snapToGrid w:val="0"/>
                <w:color w:val="auto"/>
                <w:sz w:val="20"/>
                <w:lang w:eastAsia="ko-KR"/>
              </w:rPr>
              <w:t xml:space="preserve"> setting (</w:t>
            </w:r>
            <w:r w:rsidR="001A2EC9">
              <w:rPr>
                <w:rFonts w:ascii="Arial Narrow" w:eastAsia="Batang" w:hAnsi="Arial Narrow" w:cstheme="majorBidi"/>
                <w:bCs/>
                <w:iCs/>
                <w:snapToGrid w:val="0"/>
                <w:color w:val="auto"/>
                <w:sz w:val="20"/>
                <w:lang w:eastAsia="ko-KR"/>
              </w:rPr>
              <w:t>p</w:t>
            </w:r>
            <w:r w:rsidRPr="00341828">
              <w:rPr>
                <w:rFonts w:ascii="Arial Narrow" w:eastAsia="Batang" w:hAnsi="Arial Narrow" w:cstheme="majorBidi"/>
                <w:bCs/>
                <w:iCs/>
                <w:snapToGrid w:val="0"/>
                <w:color w:val="auto"/>
                <w:sz w:val="20"/>
                <w:lang w:eastAsia="ko-KR"/>
              </w:rPr>
              <w:t>ara 3.15, romosozumab PSD, July 2022 PBAC meeting).</w:t>
            </w:r>
          </w:p>
        </w:tc>
        <w:tc>
          <w:tcPr>
            <w:tcW w:w="2016" w:type="pct"/>
            <w:vAlign w:val="center"/>
          </w:tcPr>
          <w:p w14:paraId="4D783604" w14:textId="7C6B0C72" w:rsidR="00AD4A1D" w:rsidRPr="00021CE4" w:rsidRDefault="00AD4A1D" w:rsidP="006947F2">
            <w:pPr>
              <w:pStyle w:val="COMTabletext"/>
              <w:keepNext w:val="0"/>
              <w:rPr>
                <w:rFonts w:eastAsia="Batang"/>
                <w:iCs/>
                <w:snapToGrid w:val="0"/>
                <w:lang w:eastAsia="ko-KR"/>
              </w:rPr>
            </w:pPr>
            <w:r w:rsidRPr="00021CE4">
              <w:rPr>
                <w:rFonts w:eastAsia="Batang"/>
                <w:iCs/>
                <w:snapToGrid w:val="0"/>
                <w:lang w:eastAsia="ko-KR"/>
              </w:rPr>
              <w:t xml:space="preserve">No new data were presented in the current resubmission to support the expanded use of romosozumab in the </w:t>
            </w:r>
            <w:r w:rsidR="009D7391">
              <w:rPr>
                <w:rFonts w:eastAsia="Batang"/>
                <w:iCs/>
                <w:snapToGrid w:val="0"/>
                <w:lang w:eastAsia="ko-KR"/>
              </w:rPr>
              <w:t>second-line</w:t>
            </w:r>
            <w:r w:rsidRPr="00021CE4">
              <w:rPr>
                <w:rFonts w:eastAsia="Batang"/>
                <w:iCs/>
                <w:snapToGrid w:val="0"/>
                <w:lang w:eastAsia="ko-KR"/>
              </w:rPr>
              <w:t xml:space="preserve"> setting.</w:t>
            </w:r>
          </w:p>
        </w:tc>
      </w:tr>
      <w:tr w:rsidR="00AD4A1D" w:rsidRPr="00203181" w14:paraId="6B864263" w14:textId="77777777" w:rsidTr="00F7049D">
        <w:trPr>
          <w:cantSplit/>
        </w:trPr>
        <w:tc>
          <w:tcPr>
            <w:tcW w:w="2984" w:type="pct"/>
          </w:tcPr>
          <w:p w14:paraId="00207659" w14:textId="540DEEC9" w:rsidR="00AD4A1D" w:rsidRPr="0036436A" w:rsidRDefault="00AD4A1D" w:rsidP="006947F2">
            <w:pPr>
              <w:pStyle w:val="COMTabletext"/>
              <w:keepNext w:val="0"/>
              <w:rPr>
                <w:rFonts w:eastAsia="Batang"/>
                <w:iCs/>
                <w:snapToGrid w:val="0"/>
                <w:lang w:eastAsia="ko-KR"/>
              </w:rPr>
            </w:pPr>
            <w:r w:rsidRPr="009120F0">
              <w:rPr>
                <w:iCs/>
                <w:snapToGrid w:val="0"/>
              </w:rPr>
              <w:t>PBAC considered there was high uncertainty in the</w:t>
            </w:r>
            <w:r w:rsidR="00F7049D">
              <w:rPr>
                <w:iCs/>
                <w:snapToGrid w:val="0"/>
              </w:rPr>
              <w:t xml:space="preserve"> economic model’s</w:t>
            </w:r>
            <w:r w:rsidRPr="009120F0">
              <w:rPr>
                <w:iCs/>
                <w:snapToGrid w:val="0"/>
              </w:rPr>
              <w:t xml:space="preserve"> extrapolation of treatment effects over 6 years given the lack of long-term efficacy data beyond the 3-year trial duration</w:t>
            </w:r>
            <w:r>
              <w:rPr>
                <w:iCs/>
                <w:snapToGrid w:val="0"/>
              </w:rPr>
              <w:t>, uncertain</w:t>
            </w:r>
            <w:r w:rsidRPr="009120F0">
              <w:rPr>
                <w:iCs/>
                <w:snapToGrid w:val="0"/>
              </w:rPr>
              <w:t xml:space="preserve"> magnitude of treatment effects</w:t>
            </w:r>
            <w:r>
              <w:rPr>
                <w:iCs/>
                <w:snapToGrid w:val="0"/>
              </w:rPr>
              <w:t>,</w:t>
            </w:r>
            <w:r w:rsidRPr="009120F0">
              <w:rPr>
                <w:iCs/>
                <w:snapToGrid w:val="0"/>
              </w:rPr>
              <w:t xml:space="preserve"> and dependen</w:t>
            </w:r>
            <w:r w:rsidR="00F7049D">
              <w:rPr>
                <w:iCs/>
                <w:snapToGrid w:val="0"/>
              </w:rPr>
              <w:t>ce</w:t>
            </w:r>
            <w:r w:rsidRPr="009120F0">
              <w:rPr>
                <w:iCs/>
                <w:snapToGrid w:val="0"/>
              </w:rPr>
              <w:t xml:space="preserve"> on persistence to anti-resorptive therapy. The PBAC agreed with the ESC that convergence at 4 years would be more likely to reflect a real-world setting</w:t>
            </w:r>
            <w:r>
              <w:rPr>
                <w:iCs/>
                <w:snapToGrid w:val="0"/>
              </w:rPr>
              <w:t>.</w:t>
            </w:r>
            <w:r w:rsidRPr="009120F0">
              <w:rPr>
                <w:iCs/>
                <w:snapToGrid w:val="0"/>
              </w:rPr>
              <w:t xml:space="preserve"> PBAC considered the 95% yearly persistence to anti-resorptive therapy appeared inconsistent with clinical practice</w:t>
            </w:r>
            <w:r>
              <w:rPr>
                <w:iCs/>
                <w:snapToGrid w:val="0"/>
              </w:rPr>
              <w:t xml:space="preserve">, and </w:t>
            </w:r>
            <w:r w:rsidRPr="009120F0">
              <w:rPr>
                <w:iCs/>
                <w:snapToGrid w:val="0"/>
              </w:rPr>
              <w:t>agreed with the ESC that a 20% discontinuation rate would likely be the minimum</w:t>
            </w:r>
            <w:r>
              <w:rPr>
                <w:iCs/>
                <w:snapToGrid w:val="0"/>
              </w:rPr>
              <w:t xml:space="preserve"> </w:t>
            </w:r>
            <w:r w:rsidRPr="009120F0">
              <w:rPr>
                <w:iCs/>
                <w:snapToGrid w:val="0"/>
              </w:rPr>
              <w:t>discontinuation rate anticipated in clinical practice</w:t>
            </w:r>
            <w:r>
              <w:rPr>
                <w:iCs/>
                <w:snapToGrid w:val="0"/>
              </w:rPr>
              <w:t xml:space="preserve"> (</w:t>
            </w:r>
            <w:r w:rsidR="001A2EC9">
              <w:rPr>
                <w:iCs/>
                <w:snapToGrid w:val="0"/>
              </w:rPr>
              <w:t>p</w:t>
            </w:r>
            <w:r>
              <w:rPr>
                <w:iCs/>
                <w:snapToGrid w:val="0"/>
              </w:rPr>
              <w:t>ara 7.10, romosozumab PSD, July 2022 PBAC meeting)</w:t>
            </w:r>
            <w:r w:rsidRPr="009120F0">
              <w:rPr>
                <w:iCs/>
                <w:snapToGrid w:val="0"/>
              </w:rPr>
              <w:t>.</w:t>
            </w:r>
          </w:p>
        </w:tc>
        <w:tc>
          <w:tcPr>
            <w:tcW w:w="2016" w:type="pct"/>
          </w:tcPr>
          <w:p w14:paraId="0EFAA68B" w14:textId="1D823DC9" w:rsidR="00AD4A1D" w:rsidRDefault="00AD4A1D" w:rsidP="006947F2">
            <w:pPr>
              <w:pStyle w:val="COMTabletext"/>
              <w:keepNext w:val="0"/>
            </w:pPr>
            <w:r>
              <w:t>Treatment d</w:t>
            </w:r>
            <w:r w:rsidRPr="00397AE9">
              <w:t>iscontinuation rates have been increased from 5% to 20% for both romosozumab and alendronate</w:t>
            </w:r>
            <w:r>
              <w:t>.</w:t>
            </w:r>
            <w:r w:rsidR="009F668B">
              <w:t xml:space="preserve"> </w:t>
            </w:r>
            <w:r>
              <w:t xml:space="preserve">The </w:t>
            </w:r>
            <w:r w:rsidRPr="007C2383">
              <w:t>resubmission maintain</w:t>
            </w:r>
            <w:r>
              <w:t>ed</w:t>
            </w:r>
            <w:r w:rsidRPr="007C2383">
              <w:t xml:space="preserve"> that convergence over 6 years is reasonable based on </w:t>
            </w:r>
            <w:r>
              <w:t xml:space="preserve">ARCH </w:t>
            </w:r>
            <w:r w:rsidRPr="007C2383">
              <w:t xml:space="preserve">trial data </w:t>
            </w:r>
            <w:r>
              <w:t xml:space="preserve">that shows sustained treatment benefit beyond discontinuation of romosozumab after 12 months, </w:t>
            </w:r>
            <w:r w:rsidRPr="007C2383">
              <w:t>and implementation of the higher discontinuation rate.</w:t>
            </w:r>
          </w:p>
          <w:p w14:paraId="40D3D945" w14:textId="77777777" w:rsidR="00AD4A1D" w:rsidRDefault="00AD4A1D" w:rsidP="006947F2">
            <w:pPr>
              <w:pStyle w:val="COMTabletext"/>
              <w:keepNext w:val="0"/>
            </w:pPr>
          </w:p>
          <w:p w14:paraId="7868E781" w14:textId="651C7781" w:rsidR="00AD4A1D" w:rsidRPr="009E1802" w:rsidRDefault="00AD4A1D" w:rsidP="006947F2">
            <w:pPr>
              <w:pStyle w:val="COMTabletext"/>
              <w:keepNext w:val="0"/>
              <w:rPr>
                <w:rFonts w:eastAsia="Batang"/>
                <w:i/>
                <w:snapToGrid w:val="0"/>
                <w:lang w:eastAsia="ko-KR"/>
              </w:rPr>
            </w:pPr>
            <w:r>
              <w:t xml:space="preserve">The effective ex-manufacturer price has been reduced from </w:t>
            </w:r>
            <w:r w:rsidRPr="00D27486">
              <w:t>$</w:t>
            </w:r>
            <w:r w:rsidR="009E0870" w:rsidRPr="009E0870">
              <w:rPr>
                <w:color w:val="000000"/>
                <w:spacing w:val="29"/>
                <w:shd w:val="solid" w:color="000000" w:fill="000000"/>
                <w:fitText w:val="547" w:id="-1232957696"/>
                <w14:textFill>
                  <w14:solidFill>
                    <w14:srgbClr w14:val="000000">
                      <w14:alpha w14:val="100000"/>
                    </w14:srgbClr>
                  </w14:solidFill>
                </w14:textFill>
              </w:rPr>
              <w:t>|||||||</w:t>
            </w:r>
            <w:r w:rsidR="009E0870" w:rsidRPr="009E0870">
              <w:rPr>
                <w:color w:val="000000"/>
                <w:shd w:val="solid" w:color="000000" w:fill="000000"/>
                <w:fitText w:val="547" w:id="-1232957696"/>
                <w14:textFill>
                  <w14:solidFill>
                    <w14:srgbClr w14:val="000000">
                      <w14:alpha w14:val="100000"/>
                    </w14:srgbClr>
                  </w14:solidFill>
                </w14:textFill>
              </w:rPr>
              <w:t>|</w:t>
            </w:r>
            <w:r w:rsidRPr="00D27486">
              <w:t>to $</w:t>
            </w:r>
            <w:r w:rsidR="009E0870" w:rsidRPr="009E0870">
              <w:rPr>
                <w:color w:val="000000"/>
                <w:spacing w:val="29"/>
                <w:shd w:val="solid" w:color="000000" w:fill="000000"/>
                <w:fitText w:val="547" w:id="-1232957695"/>
                <w14:textFill>
                  <w14:solidFill>
                    <w14:srgbClr w14:val="000000">
                      <w14:alpha w14:val="100000"/>
                    </w14:srgbClr>
                  </w14:solidFill>
                </w14:textFill>
              </w:rPr>
              <w:t>|||||||</w:t>
            </w:r>
            <w:r w:rsidR="009E0870" w:rsidRPr="009E0870">
              <w:rPr>
                <w:color w:val="000000"/>
                <w:shd w:val="solid" w:color="000000" w:fill="000000"/>
                <w:fitText w:val="547" w:id="-1232957695"/>
                <w14:textFill>
                  <w14:solidFill>
                    <w14:srgbClr w14:val="000000">
                      <w14:alpha w14:val="100000"/>
                    </w14:srgbClr>
                  </w14:solidFill>
                </w14:textFill>
              </w:rPr>
              <w:t>|</w:t>
            </w:r>
            <w:r>
              <w:t xml:space="preserve">. The revised incremental cost per QALY gained is </w:t>
            </w:r>
            <w:r w:rsidR="00630555" w:rsidRPr="00630555">
              <w:t>$45,000</w:t>
            </w:r>
            <w:r w:rsidR="00A57C9A">
              <w:t> </w:t>
            </w:r>
            <w:r w:rsidR="00630555" w:rsidRPr="00630555">
              <w:t>to</w:t>
            </w:r>
            <w:r w:rsidR="00D16346">
              <w:t> </w:t>
            </w:r>
            <w:r w:rsidR="00630555" w:rsidRPr="00630555">
              <w:t>&lt;</w:t>
            </w:r>
            <w:r w:rsidR="00D16346">
              <w:t> </w:t>
            </w:r>
            <w:r w:rsidR="00630555" w:rsidRPr="00630555">
              <w:t>$55,000</w:t>
            </w:r>
            <w:r>
              <w:t>.</w:t>
            </w:r>
          </w:p>
        </w:tc>
      </w:tr>
      <w:tr w:rsidR="00E0159E" w:rsidRPr="00203181" w14:paraId="4A0DE7C3" w14:textId="77777777" w:rsidTr="00F7049D">
        <w:trPr>
          <w:cantSplit/>
        </w:trPr>
        <w:tc>
          <w:tcPr>
            <w:tcW w:w="2984" w:type="pct"/>
          </w:tcPr>
          <w:p w14:paraId="71C03B26" w14:textId="1D9CD967" w:rsidR="00E0159E" w:rsidRDefault="00E0159E" w:rsidP="006947F2">
            <w:pPr>
              <w:pStyle w:val="COMTabletext"/>
              <w:keepNext w:val="0"/>
            </w:pPr>
            <w:r w:rsidRPr="00210990">
              <w:t>The PBAC noted</w:t>
            </w:r>
            <w:r>
              <w:t xml:space="preserve"> that</w:t>
            </w:r>
            <w:r w:rsidRPr="00210990">
              <w:t xml:space="preserve"> an economic analysis was not presented for romosozumab in the expanded </w:t>
            </w:r>
            <w:r w:rsidR="009D7391">
              <w:t>second-line</w:t>
            </w:r>
            <w:r w:rsidRPr="00210990">
              <w:t xml:space="preserve"> setting</w:t>
            </w:r>
            <w:r>
              <w:t xml:space="preserve"> and the cost-effectiveness of romosozumab in this population was unable to be adequately assessed using the data presented. </w:t>
            </w:r>
            <w:r w:rsidR="003D5482">
              <w:rPr>
                <w:iCs/>
                <w:snapToGrid w:val="0"/>
              </w:rPr>
              <w:t>(</w:t>
            </w:r>
            <w:r w:rsidR="001A2EC9">
              <w:rPr>
                <w:iCs/>
                <w:snapToGrid w:val="0"/>
              </w:rPr>
              <w:t>p</w:t>
            </w:r>
            <w:r w:rsidR="003D5482">
              <w:rPr>
                <w:iCs/>
                <w:snapToGrid w:val="0"/>
              </w:rPr>
              <w:t>ara 7.11, romosozumab PSD, July 2022 PBAC meeting)</w:t>
            </w:r>
            <w:r w:rsidR="003D5482" w:rsidRPr="009120F0">
              <w:rPr>
                <w:iCs/>
                <w:snapToGrid w:val="0"/>
              </w:rPr>
              <w:t>.</w:t>
            </w:r>
          </w:p>
          <w:p w14:paraId="6200DF6E" w14:textId="5CFB5C53" w:rsidR="00E0159E" w:rsidRPr="009120F0" w:rsidRDefault="00E0159E" w:rsidP="006947F2">
            <w:pPr>
              <w:pStyle w:val="COMTabletext"/>
              <w:keepNext w:val="0"/>
              <w:rPr>
                <w:iCs/>
                <w:snapToGrid w:val="0"/>
              </w:rPr>
            </w:pPr>
            <w:r>
              <w:t>The PBAC considered that a weighted average price between first- and second-line settings using cost-minimisation to anti-resorptive therapy to determine a price for the expanded second-line setting should be explored</w:t>
            </w:r>
            <w:r w:rsidR="003D5482">
              <w:t xml:space="preserve"> </w:t>
            </w:r>
            <w:r w:rsidR="003D5482">
              <w:rPr>
                <w:iCs/>
                <w:snapToGrid w:val="0"/>
              </w:rPr>
              <w:t>(</w:t>
            </w:r>
            <w:r w:rsidR="001A2EC9">
              <w:rPr>
                <w:iCs/>
                <w:snapToGrid w:val="0"/>
              </w:rPr>
              <w:t>p</w:t>
            </w:r>
            <w:r w:rsidR="003D5482">
              <w:rPr>
                <w:iCs/>
                <w:snapToGrid w:val="0"/>
              </w:rPr>
              <w:t>ara 7.13, romosozumab PSD, July 2022 PBAC meeting)</w:t>
            </w:r>
            <w:r w:rsidR="003D5482" w:rsidRPr="009120F0">
              <w:rPr>
                <w:iCs/>
                <w:snapToGrid w:val="0"/>
              </w:rPr>
              <w:t>.</w:t>
            </w:r>
          </w:p>
        </w:tc>
        <w:tc>
          <w:tcPr>
            <w:tcW w:w="2016" w:type="pct"/>
          </w:tcPr>
          <w:p w14:paraId="78791332" w14:textId="77777777" w:rsidR="00E0159E" w:rsidRDefault="00E0159E" w:rsidP="006947F2">
            <w:pPr>
              <w:pStyle w:val="COMTabletext"/>
              <w:keepNext w:val="0"/>
            </w:pPr>
            <w:r w:rsidRPr="00A755AE">
              <w:t>The resubmission maintain</w:t>
            </w:r>
            <w:r>
              <w:t>ed</w:t>
            </w:r>
            <w:r w:rsidRPr="00A755AE">
              <w:t xml:space="preserve"> that the cost-effectiveness of romosozumab in the first-line setting is applicable to the expanded second-line population</w:t>
            </w:r>
            <w:r>
              <w:t>.</w:t>
            </w:r>
          </w:p>
          <w:p w14:paraId="57E24A64" w14:textId="77777777" w:rsidR="00E0159E" w:rsidRDefault="00E0159E" w:rsidP="006947F2">
            <w:pPr>
              <w:pStyle w:val="COMTabletext"/>
              <w:keepNext w:val="0"/>
            </w:pPr>
          </w:p>
          <w:p w14:paraId="56886816" w14:textId="0E2A56B1" w:rsidR="00E0159E" w:rsidRDefault="00E0159E" w:rsidP="006947F2">
            <w:pPr>
              <w:pStyle w:val="COMTabletext"/>
              <w:keepNext w:val="0"/>
            </w:pPr>
            <w:r w:rsidRPr="006D2EED">
              <w:t xml:space="preserve">An effective </w:t>
            </w:r>
            <w:r w:rsidRPr="00D27486">
              <w:t>DPMQ of $</w:t>
            </w:r>
            <w:r w:rsidR="009E0870" w:rsidRPr="009E0870">
              <w:rPr>
                <w:color w:val="000000"/>
                <w:spacing w:val="29"/>
                <w:shd w:val="solid" w:color="000000" w:fill="000000"/>
                <w:fitText w:val="547" w:id="-1232957694"/>
                <w14:textFill>
                  <w14:solidFill>
                    <w14:srgbClr w14:val="000000">
                      <w14:alpha w14:val="100000"/>
                    </w14:srgbClr>
                  </w14:solidFill>
                </w14:textFill>
              </w:rPr>
              <w:t>|||||||</w:t>
            </w:r>
            <w:r w:rsidR="009E0870" w:rsidRPr="009E0870">
              <w:rPr>
                <w:color w:val="000000"/>
                <w:shd w:val="solid" w:color="000000" w:fill="000000"/>
                <w:fitText w:val="547" w:id="-1232957694"/>
                <w14:textFill>
                  <w14:solidFill>
                    <w14:srgbClr w14:val="000000">
                      <w14:alpha w14:val="100000"/>
                    </w14:srgbClr>
                  </w14:solidFill>
                </w14:textFill>
              </w:rPr>
              <w:t>|</w:t>
            </w:r>
            <w:r w:rsidR="00EA6C19">
              <w:t>wa</w:t>
            </w:r>
            <w:r w:rsidRPr="006D2EED">
              <w:t>s proposed for</w:t>
            </w:r>
            <w:r>
              <w:t xml:space="preserve"> </w:t>
            </w:r>
            <w:r w:rsidRPr="006D2EED">
              <w:t>romosozumab across all lines of therapy</w:t>
            </w:r>
            <w:r>
              <w:t>, which</w:t>
            </w:r>
            <w:r w:rsidRPr="006D2EED">
              <w:t xml:space="preserve"> represents a reduction v</w:t>
            </w:r>
            <w:r>
              <w:t>ersu</w:t>
            </w:r>
            <w:r w:rsidRPr="006D2EED">
              <w:t xml:space="preserve">s the current </w:t>
            </w:r>
            <w:r>
              <w:t>second-line</w:t>
            </w:r>
            <w:r w:rsidRPr="006D2EED">
              <w:t xml:space="preserve"> price</w:t>
            </w:r>
            <w:r>
              <w:t xml:space="preserve"> (effective DPMQ $</w:t>
            </w:r>
            <w:r w:rsidR="009E0870" w:rsidRPr="009E0870">
              <w:rPr>
                <w:color w:val="000000"/>
                <w:spacing w:val="29"/>
                <w:shd w:val="solid" w:color="000000" w:fill="000000"/>
                <w:fitText w:val="547" w:id="-1232957693"/>
                <w14:textFill>
                  <w14:solidFill>
                    <w14:srgbClr w14:val="000000">
                      <w14:alpha w14:val="100000"/>
                    </w14:srgbClr>
                  </w14:solidFill>
                </w14:textFill>
              </w:rPr>
              <w:t>|||||||</w:t>
            </w:r>
            <w:r w:rsidR="009E0870" w:rsidRPr="009E0870">
              <w:rPr>
                <w:color w:val="000000"/>
                <w:shd w:val="solid" w:color="000000" w:fill="000000"/>
                <w:fitText w:val="547" w:id="-1232957693"/>
                <w14:textFill>
                  <w14:solidFill>
                    <w14:srgbClr w14:val="000000">
                      <w14:alpha w14:val="100000"/>
                    </w14:srgbClr>
                  </w14:solidFill>
                </w14:textFill>
              </w:rPr>
              <w:t>|</w:t>
            </w:r>
            <w:r>
              <w:t>)</w:t>
            </w:r>
            <w:r w:rsidRPr="006D2EED">
              <w:t>.</w:t>
            </w:r>
          </w:p>
        </w:tc>
      </w:tr>
      <w:tr w:rsidR="00AD4A1D" w:rsidRPr="00203181" w14:paraId="7A9C8133" w14:textId="77777777" w:rsidTr="00F7049D">
        <w:trPr>
          <w:cantSplit/>
        </w:trPr>
        <w:tc>
          <w:tcPr>
            <w:tcW w:w="2984" w:type="pct"/>
          </w:tcPr>
          <w:p w14:paraId="3D8E693B" w14:textId="5F4AF5A7" w:rsidR="00AD4A1D" w:rsidRPr="009120F0" w:rsidRDefault="00AD4A1D" w:rsidP="006947F2">
            <w:pPr>
              <w:pStyle w:val="COMTabletext"/>
              <w:keepNext w:val="0"/>
              <w:rPr>
                <w:rFonts w:eastAsia="Times New Roman" w:cs="Arial"/>
                <w:bCs w:val="0"/>
                <w:snapToGrid w:val="0"/>
                <w:szCs w:val="20"/>
              </w:rPr>
            </w:pPr>
            <w:r w:rsidRPr="009120F0">
              <w:rPr>
                <w:rFonts w:eastAsia="Times New Roman" w:cs="Arial"/>
                <w:bCs w:val="0"/>
                <w:snapToGrid w:val="0"/>
                <w:szCs w:val="20"/>
              </w:rPr>
              <w:t>The PBAC considered the approach used to estimate the eligible population</w:t>
            </w:r>
            <w:r w:rsidR="00F7049D">
              <w:rPr>
                <w:rFonts w:eastAsia="Times New Roman" w:cs="Arial"/>
                <w:bCs w:val="0"/>
                <w:snapToGrid w:val="0"/>
                <w:szCs w:val="20"/>
              </w:rPr>
              <w:t xml:space="preserve"> in the financial estimates </w:t>
            </w:r>
            <w:r w:rsidRPr="009120F0">
              <w:rPr>
                <w:rFonts w:eastAsia="Times New Roman" w:cs="Arial"/>
                <w:bCs w:val="0"/>
                <w:snapToGrid w:val="0"/>
                <w:szCs w:val="20"/>
              </w:rPr>
              <w:t xml:space="preserve">failed to identify the pool of patients who would be eligible for treatment with romosozumab. In addition, the PBAC considered the treated population estimates were highly uncertain, based on previously assumed uptake rates for the restricted </w:t>
            </w:r>
            <w:r w:rsidR="009D7391">
              <w:rPr>
                <w:rFonts w:eastAsia="Times New Roman" w:cs="Arial"/>
                <w:bCs w:val="0"/>
                <w:snapToGrid w:val="0"/>
                <w:szCs w:val="20"/>
              </w:rPr>
              <w:t>second-line</w:t>
            </w:r>
            <w:r w:rsidRPr="009120F0">
              <w:rPr>
                <w:rFonts w:eastAsia="Times New Roman" w:cs="Arial"/>
                <w:bCs w:val="0"/>
                <w:snapToGrid w:val="0"/>
                <w:szCs w:val="20"/>
              </w:rPr>
              <w:t xml:space="preserve"> setting that may not be applicable to the requested </w:t>
            </w:r>
            <w:r w:rsidR="009D7391">
              <w:rPr>
                <w:rFonts w:eastAsia="Times New Roman" w:cs="Arial"/>
                <w:bCs w:val="0"/>
                <w:snapToGrid w:val="0"/>
                <w:szCs w:val="20"/>
              </w:rPr>
              <w:t>first-line</w:t>
            </w:r>
            <w:r w:rsidRPr="009120F0">
              <w:rPr>
                <w:rFonts w:eastAsia="Times New Roman" w:cs="Arial"/>
                <w:bCs w:val="0"/>
                <w:snapToGrid w:val="0"/>
                <w:szCs w:val="20"/>
              </w:rPr>
              <w:t xml:space="preserve"> and expanded </w:t>
            </w:r>
            <w:r w:rsidR="009D7391">
              <w:rPr>
                <w:rFonts w:eastAsia="Times New Roman" w:cs="Arial"/>
                <w:bCs w:val="0"/>
                <w:snapToGrid w:val="0"/>
                <w:szCs w:val="20"/>
              </w:rPr>
              <w:t>second-line</w:t>
            </w:r>
            <w:r w:rsidRPr="009120F0">
              <w:rPr>
                <w:rFonts w:eastAsia="Times New Roman" w:cs="Arial"/>
                <w:bCs w:val="0"/>
                <w:snapToGrid w:val="0"/>
                <w:szCs w:val="20"/>
              </w:rPr>
              <w:t xml:space="preserve"> settings</w:t>
            </w:r>
            <w:r>
              <w:rPr>
                <w:rFonts w:eastAsia="Times New Roman" w:cs="Arial"/>
                <w:bCs w:val="0"/>
                <w:snapToGrid w:val="0"/>
                <w:szCs w:val="20"/>
              </w:rPr>
              <w:t xml:space="preserve"> (</w:t>
            </w:r>
            <w:r w:rsidR="001A2EC9">
              <w:rPr>
                <w:rFonts w:eastAsia="Times New Roman" w:cs="Arial"/>
                <w:bCs w:val="0"/>
                <w:snapToGrid w:val="0"/>
                <w:szCs w:val="20"/>
              </w:rPr>
              <w:t>p</w:t>
            </w:r>
            <w:r>
              <w:rPr>
                <w:rFonts w:eastAsia="Times New Roman" w:cs="Arial"/>
                <w:bCs w:val="0"/>
                <w:snapToGrid w:val="0"/>
                <w:szCs w:val="20"/>
              </w:rPr>
              <w:t>ara 7.12, romosozumab PSD, July 2022 PBAC meeting)</w:t>
            </w:r>
            <w:r w:rsidRPr="009120F0">
              <w:rPr>
                <w:rFonts w:eastAsia="Times New Roman" w:cs="Arial"/>
                <w:bCs w:val="0"/>
                <w:snapToGrid w:val="0"/>
                <w:szCs w:val="20"/>
              </w:rPr>
              <w:t>.</w:t>
            </w:r>
          </w:p>
        </w:tc>
        <w:tc>
          <w:tcPr>
            <w:tcW w:w="2016" w:type="pct"/>
          </w:tcPr>
          <w:p w14:paraId="1B67DD2B" w14:textId="1252CE9C" w:rsidR="00AD4A1D" w:rsidRPr="006A715F" w:rsidRDefault="00AD4A1D" w:rsidP="006947F2">
            <w:pPr>
              <w:pStyle w:val="COMTabletext"/>
              <w:keepNext w:val="0"/>
              <w:rPr>
                <w:rFonts w:eastAsia="Times New Roman" w:cs="Arial"/>
                <w:bCs w:val="0"/>
                <w:snapToGrid w:val="0"/>
                <w:szCs w:val="20"/>
              </w:rPr>
            </w:pPr>
            <w:r w:rsidRPr="006A715F">
              <w:rPr>
                <w:rFonts w:eastAsia="Times New Roman" w:cs="Arial"/>
                <w:bCs w:val="0"/>
                <w:snapToGrid w:val="0"/>
                <w:szCs w:val="20"/>
              </w:rPr>
              <w:t xml:space="preserve">The resubmission updated utilisation and financial estimates although used similar </w:t>
            </w:r>
            <w:r w:rsidR="00ED4CB5">
              <w:rPr>
                <w:rFonts w:eastAsia="Times New Roman" w:cs="Arial"/>
                <w:bCs w:val="0"/>
                <w:snapToGrid w:val="0"/>
                <w:szCs w:val="20"/>
              </w:rPr>
              <w:t>subpopulations, steps and</w:t>
            </w:r>
            <w:r w:rsidRPr="006A715F">
              <w:rPr>
                <w:rFonts w:eastAsia="Times New Roman" w:cs="Arial"/>
                <w:bCs w:val="0"/>
                <w:snapToGrid w:val="0"/>
                <w:szCs w:val="20"/>
              </w:rPr>
              <w:t xml:space="preserve"> data sources to the July 2022 resubmission.</w:t>
            </w:r>
            <w:r w:rsidR="00DF44C5">
              <w:rPr>
                <w:rFonts w:eastAsia="Times New Roman" w:cs="Arial"/>
                <w:bCs w:val="0"/>
                <w:snapToGrid w:val="0"/>
                <w:szCs w:val="20"/>
              </w:rPr>
              <w:t xml:space="preserve"> Uptake rates were unchanged from the July 2022 resubmission.</w:t>
            </w:r>
          </w:p>
        </w:tc>
      </w:tr>
      <w:tr w:rsidR="00AD4A1D" w:rsidRPr="00203181" w14:paraId="2726BAA0" w14:textId="77777777" w:rsidTr="00F7049D">
        <w:trPr>
          <w:cantSplit/>
        </w:trPr>
        <w:tc>
          <w:tcPr>
            <w:tcW w:w="2984" w:type="pct"/>
          </w:tcPr>
          <w:p w14:paraId="15DA94C3" w14:textId="6D9A960D" w:rsidR="00AD4A1D" w:rsidRPr="009120F0" w:rsidRDefault="00AD4A1D" w:rsidP="006947F2">
            <w:pPr>
              <w:pStyle w:val="COMTabletext"/>
              <w:keepNext w:val="0"/>
              <w:rPr>
                <w:rFonts w:eastAsia="Times New Roman" w:cs="Arial"/>
                <w:bCs w:val="0"/>
                <w:snapToGrid w:val="0"/>
                <w:szCs w:val="20"/>
              </w:rPr>
            </w:pPr>
            <w:r w:rsidRPr="00061E21">
              <w:rPr>
                <w:rFonts w:eastAsia="Times New Roman" w:cs="Arial"/>
                <w:bCs w:val="0"/>
                <w:snapToGrid w:val="0"/>
                <w:szCs w:val="20"/>
              </w:rPr>
              <w:lastRenderedPageBreak/>
              <w:t>Propose an appropriate risk sharing arrangement to address any residual uncertainty regarding the population size, that takes into account that the current romosozumab listing is subject to a % rebate for expenditure above the subsidisation caps, and Commonwealth expenditure in the current population has been significantly lower than estimated at time of listing</w:t>
            </w:r>
            <w:r>
              <w:rPr>
                <w:rFonts w:eastAsia="Times New Roman" w:cs="Arial"/>
                <w:bCs w:val="0"/>
                <w:snapToGrid w:val="0"/>
                <w:szCs w:val="20"/>
              </w:rPr>
              <w:t xml:space="preserve"> (</w:t>
            </w:r>
            <w:r w:rsidR="001A2EC9">
              <w:rPr>
                <w:rFonts w:eastAsia="Times New Roman" w:cs="Arial"/>
                <w:bCs w:val="0"/>
                <w:snapToGrid w:val="0"/>
                <w:szCs w:val="20"/>
              </w:rPr>
              <w:t>p</w:t>
            </w:r>
            <w:r>
              <w:rPr>
                <w:rFonts w:eastAsia="Times New Roman" w:cs="Arial"/>
                <w:bCs w:val="0"/>
                <w:snapToGrid w:val="0"/>
                <w:szCs w:val="20"/>
              </w:rPr>
              <w:t>ara 7.13, romosozumab PSD, July 2022 PBAC meeting)</w:t>
            </w:r>
            <w:r w:rsidRPr="00061E21">
              <w:rPr>
                <w:rFonts w:eastAsia="Times New Roman" w:cs="Arial"/>
                <w:bCs w:val="0"/>
                <w:snapToGrid w:val="0"/>
                <w:szCs w:val="20"/>
              </w:rPr>
              <w:t>.</w:t>
            </w:r>
          </w:p>
        </w:tc>
        <w:tc>
          <w:tcPr>
            <w:tcW w:w="2016" w:type="pct"/>
          </w:tcPr>
          <w:p w14:paraId="7D89B662" w14:textId="62D135BD" w:rsidR="00AD4A1D" w:rsidRPr="006A715F" w:rsidRDefault="00AD4A1D" w:rsidP="006947F2">
            <w:pPr>
              <w:pStyle w:val="COMTabletext"/>
              <w:keepNext w:val="0"/>
              <w:rPr>
                <w:rFonts w:eastAsia="Times New Roman" w:cs="Arial"/>
                <w:bCs w:val="0"/>
                <w:snapToGrid w:val="0"/>
                <w:szCs w:val="20"/>
              </w:rPr>
            </w:pPr>
            <w:r w:rsidRPr="006A715F">
              <w:rPr>
                <w:rFonts w:eastAsia="Times New Roman" w:cs="Arial"/>
                <w:bCs w:val="0"/>
                <w:snapToGrid w:val="0"/>
                <w:szCs w:val="20"/>
              </w:rPr>
              <w:t xml:space="preserve">An updated risk sharing arrangement was proposed, incorporating a </w:t>
            </w:r>
            <w:r w:rsidR="009E0870" w:rsidRPr="009E0870">
              <w:rPr>
                <w:rFonts w:eastAsia="Times New Roman" w:cs="Arial"/>
                <w:bCs w:val="0"/>
                <w:snapToGrid w:val="0"/>
                <w:color w:val="000000"/>
                <w:spacing w:val="29"/>
                <w:szCs w:val="20"/>
                <w:shd w:val="solid" w:color="000000" w:fill="000000"/>
                <w:fitText w:val="547" w:id="-1232957692"/>
                <w14:textFill>
                  <w14:solidFill>
                    <w14:srgbClr w14:val="000000">
                      <w14:alpha w14:val="100000"/>
                    </w14:srgbClr>
                  </w14:solidFill>
                </w14:textFill>
              </w:rPr>
              <w:t>|||||||</w:t>
            </w:r>
            <w:r w:rsidR="009E0870" w:rsidRPr="009E0870">
              <w:rPr>
                <w:rFonts w:eastAsia="Times New Roman" w:cs="Arial"/>
                <w:bCs w:val="0"/>
                <w:snapToGrid w:val="0"/>
                <w:color w:val="000000"/>
                <w:szCs w:val="20"/>
                <w:shd w:val="solid" w:color="000000" w:fill="000000"/>
                <w:fitText w:val="547" w:id="-1232957692"/>
                <w14:textFill>
                  <w14:solidFill>
                    <w14:srgbClr w14:val="000000">
                      <w14:alpha w14:val="100000"/>
                    </w14:srgbClr>
                  </w14:solidFill>
                </w14:textFill>
              </w:rPr>
              <w:t>|</w:t>
            </w:r>
            <w:r w:rsidRPr="006A715F">
              <w:rPr>
                <w:rFonts w:eastAsia="Times New Roman" w:cs="Arial"/>
                <w:bCs w:val="0"/>
                <w:snapToGrid w:val="0"/>
                <w:szCs w:val="20"/>
              </w:rPr>
              <w:t>% rebate for expenditure above the subsidisation caps.</w:t>
            </w:r>
          </w:p>
        </w:tc>
      </w:tr>
    </w:tbl>
    <w:p w14:paraId="7C86148D" w14:textId="797EDDB6" w:rsidR="00341828" w:rsidRDefault="00262931" w:rsidP="00341828">
      <w:pPr>
        <w:pStyle w:val="COMTablefooter"/>
      </w:pPr>
      <w:r>
        <w:t>Source: Table 1.1-1, pp13-14 of the resubmission</w:t>
      </w:r>
      <w:r w:rsidR="009120F0">
        <w:t>; Romosozumab Public Summary Document, July 2022 PBAC meeting</w:t>
      </w:r>
      <w:r w:rsidR="00341828">
        <w:t>.</w:t>
      </w:r>
    </w:p>
    <w:p w14:paraId="130C7B04" w14:textId="5D752989" w:rsidR="00341828" w:rsidRDefault="00341828" w:rsidP="00341828">
      <w:pPr>
        <w:pStyle w:val="COMTablefooter"/>
      </w:pPr>
      <w:r>
        <w:t>Abbreviations: ICER, incremental cost-effectiveness ratio.</w:t>
      </w:r>
    </w:p>
    <w:p w14:paraId="72C75644" w14:textId="26B37807" w:rsidR="00E15396" w:rsidRPr="00500BDE" w:rsidRDefault="00E15396" w:rsidP="00500BDE">
      <w:pPr>
        <w:ind w:firstLine="709"/>
        <w:rPr>
          <w:rFonts w:asciiTheme="minorHAnsi" w:hAnsiTheme="minorHAnsi"/>
          <w:i/>
        </w:rPr>
      </w:pPr>
      <w:bookmarkStart w:id="8" w:name="_Hlk76375324"/>
      <w:r w:rsidRPr="00C33D30">
        <w:rPr>
          <w:rFonts w:asciiTheme="minorHAnsi" w:hAnsiTheme="minorHAnsi"/>
          <w:i/>
        </w:rPr>
        <w:t>For more detail on PBAC’s view, see section 7 PBAC outcome.</w:t>
      </w:r>
      <w:bookmarkEnd w:id="8"/>
    </w:p>
    <w:p w14:paraId="76E4EF3C" w14:textId="66B1CEE0" w:rsidR="00B60939" w:rsidRPr="00882085" w:rsidRDefault="00B50DB8" w:rsidP="00BE7594">
      <w:pPr>
        <w:pStyle w:val="COMH1numbered"/>
      </w:pPr>
      <w:bookmarkStart w:id="9" w:name="_Toc107902078"/>
      <w:bookmarkStart w:id="10" w:name="_Toc124858699"/>
      <w:bookmarkEnd w:id="9"/>
      <w:r w:rsidRPr="00407F2D">
        <w:t>Requested listing</w:t>
      </w:r>
      <w:bookmarkEnd w:id="10"/>
    </w:p>
    <w:p w14:paraId="72B48973" w14:textId="0350F6BF" w:rsidR="0019420D" w:rsidRDefault="007B1D11" w:rsidP="00E56B9C">
      <w:pPr>
        <w:pStyle w:val="COMexecsumnumberedpara"/>
      </w:pPr>
      <w:r w:rsidRPr="00DF44C5">
        <w:t>At the July 2022 PBAC meeting, the PBAC secretariat suggested it may be reasonable to consider a combined single restriction for secondary prevention that identifies the various very high-risk groups proposed as separate first- and second-line restrictions (</w:t>
      </w:r>
      <w:r w:rsidR="001A2EC9">
        <w:t>p</w:t>
      </w:r>
      <w:r w:rsidRPr="00DF44C5">
        <w:t>ara 3.5, romosozumab PSD, July 2022 PBAC meeting).</w:t>
      </w:r>
      <w:r w:rsidR="007D5274" w:rsidRPr="00DF44C5">
        <w:t xml:space="preserve"> The PBAC considered a combined single restriction that included reference to minimal trauma fractures as part of identification of very </w:t>
      </w:r>
      <w:r w:rsidR="00FB4AFE" w:rsidRPr="00DF44C5">
        <w:t>high-risk</w:t>
      </w:r>
      <w:r w:rsidR="007D5274" w:rsidRPr="00DF44C5">
        <w:t xml:space="preserve"> patients was consistent with existing osteoporosis listings and would likely be appropriate (</w:t>
      </w:r>
      <w:r w:rsidR="001A2EC9">
        <w:t>p</w:t>
      </w:r>
      <w:r w:rsidR="007D5274" w:rsidRPr="00DF44C5">
        <w:t>ara 7.3, romosozumab PSD, July 2022 PBAC meeting).</w:t>
      </w:r>
      <w:r w:rsidR="003D69AC" w:rsidRPr="00DF44C5">
        <w:t xml:space="preserve"> </w:t>
      </w:r>
      <w:r w:rsidR="00772269" w:rsidRPr="00DF44C5">
        <w:t>The resubmission proposed a combined, line-agnostic restriction for patients with severe osteoporosis</w:t>
      </w:r>
      <w:r w:rsidR="00CF3149" w:rsidRPr="00CF3149">
        <w:rPr>
          <w:i/>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2032"/>
        <w:gridCol w:w="983"/>
        <w:gridCol w:w="983"/>
        <w:gridCol w:w="703"/>
        <w:gridCol w:w="1316"/>
      </w:tblGrid>
      <w:tr w:rsidR="00772269" w:rsidRPr="001428E9" w14:paraId="71EF1B3C" w14:textId="77777777" w:rsidTr="004A4DDD">
        <w:trPr>
          <w:cantSplit/>
          <w:trHeight w:val="20"/>
        </w:trPr>
        <w:tc>
          <w:tcPr>
            <w:tcW w:w="1663" w:type="pct"/>
            <w:vAlign w:val="center"/>
          </w:tcPr>
          <w:p w14:paraId="764F875F" w14:textId="77777777" w:rsidR="00772269" w:rsidRPr="001428E9" w:rsidRDefault="00772269" w:rsidP="006947F2">
            <w:pPr>
              <w:rPr>
                <w:rFonts w:ascii="Arial Narrow" w:hAnsi="Arial Narrow"/>
                <w:b/>
                <w:bCs/>
                <w:sz w:val="20"/>
                <w:szCs w:val="20"/>
              </w:rPr>
            </w:pPr>
            <w:r w:rsidRPr="001428E9">
              <w:rPr>
                <w:rFonts w:ascii="Arial Narrow" w:hAnsi="Arial Narrow"/>
                <w:b/>
                <w:bCs/>
                <w:sz w:val="20"/>
                <w:szCs w:val="20"/>
              </w:rPr>
              <w:t>MEDICINAL PRODUCT</w:t>
            </w:r>
          </w:p>
          <w:p w14:paraId="64094936" w14:textId="7373D2AC" w:rsidR="007142F4" w:rsidRPr="007142F4" w:rsidRDefault="00772269" w:rsidP="006947F2">
            <w:pPr>
              <w:rPr>
                <w:rFonts w:ascii="Arial Narrow" w:hAnsi="Arial Narrow"/>
                <w:b/>
                <w:bCs/>
                <w:sz w:val="20"/>
                <w:szCs w:val="20"/>
              </w:rPr>
            </w:pPr>
            <w:r w:rsidRPr="001428E9">
              <w:rPr>
                <w:rFonts w:ascii="Arial Narrow" w:hAnsi="Arial Narrow"/>
                <w:b/>
                <w:bCs/>
                <w:sz w:val="20"/>
                <w:szCs w:val="20"/>
              </w:rPr>
              <w:t>medicinal product pack</w:t>
            </w:r>
          </w:p>
        </w:tc>
        <w:tc>
          <w:tcPr>
            <w:tcW w:w="1127" w:type="pct"/>
            <w:vAlign w:val="center"/>
          </w:tcPr>
          <w:p w14:paraId="534A86A4" w14:textId="77777777" w:rsidR="00772269" w:rsidRPr="00C61A59" w:rsidRDefault="00772269" w:rsidP="006947F2">
            <w:pPr>
              <w:pStyle w:val="COMTabletext"/>
              <w:keepNext w:val="0"/>
              <w:rPr>
                <w:b/>
                <w:bCs w:val="0"/>
                <w:szCs w:val="20"/>
              </w:rPr>
            </w:pPr>
            <w:r w:rsidRPr="00C61A59">
              <w:rPr>
                <w:b/>
                <w:bCs w:val="0"/>
                <w:snapToGrid w:val="0"/>
              </w:rPr>
              <w:t xml:space="preserve">Dispensed Price for Max. Qty </w:t>
            </w:r>
          </w:p>
        </w:tc>
        <w:tc>
          <w:tcPr>
            <w:tcW w:w="545" w:type="pct"/>
            <w:vAlign w:val="center"/>
          </w:tcPr>
          <w:p w14:paraId="6D1C1C3D" w14:textId="77777777" w:rsidR="00772269" w:rsidRPr="001428E9" w:rsidRDefault="00772269" w:rsidP="006947F2">
            <w:pPr>
              <w:jc w:val="center"/>
              <w:rPr>
                <w:rFonts w:ascii="Arial Narrow" w:hAnsi="Arial Narrow"/>
                <w:b/>
                <w:sz w:val="20"/>
                <w:szCs w:val="20"/>
              </w:rPr>
            </w:pPr>
            <w:r w:rsidRPr="001428E9">
              <w:rPr>
                <w:rFonts w:ascii="Arial Narrow" w:hAnsi="Arial Narrow"/>
                <w:b/>
                <w:sz w:val="20"/>
                <w:szCs w:val="20"/>
              </w:rPr>
              <w:t>Max. qty packs</w:t>
            </w:r>
          </w:p>
        </w:tc>
        <w:tc>
          <w:tcPr>
            <w:tcW w:w="545" w:type="pct"/>
            <w:vAlign w:val="center"/>
          </w:tcPr>
          <w:p w14:paraId="6A74481E" w14:textId="77777777" w:rsidR="00772269" w:rsidRPr="001428E9" w:rsidRDefault="00772269" w:rsidP="006947F2">
            <w:pPr>
              <w:jc w:val="center"/>
              <w:rPr>
                <w:rFonts w:ascii="Arial Narrow" w:hAnsi="Arial Narrow"/>
                <w:b/>
                <w:sz w:val="20"/>
                <w:szCs w:val="20"/>
              </w:rPr>
            </w:pPr>
            <w:r w:rsidRPr="001428E9">
              <w:rPr>
                <w:rFonts w:ascii="Arial Narrow" w:hAnsi="Arial Narrow"/>
                <w:b/>
                <w:sz w:val="20"/>
                <w:szCs w:val="20"/>
              </w:rPr>
              <w:t>Max. qty units</w:t>
            </w:r>
          </w:p>
        </w:tc>
        <w:tc>
          <w:tcPr>
            <w:tcW w:w="390" w:type="pct"/>
            <w:vAlign w:val="center"/>
          </w:tcPr>
          <w:p w14:paraId="09FF9FC3" w14:textId="77777777" w:rsidR="00772269" w:rsidRPr="001428E9" w:rsidRDefault="00772269" w:rsidP="006947F2">
            <w:pPr>
              <w:jc w:val="center"/>
              <w:rPr>
                <w:rFonts w:ascii="Arial Narrow" w:hAnsi="Arial Narrow"/>
                <w:b/>
                <w:sz w:val="20"/>
                <w:szCs w:val="20"/>
              </w:rPr>
            </w:pPr>
            <w:r w:rsidRPr="001428E9">
              <w:rPr>
                <w:rFonts w:ascii="Arial Narrow" w:hAnsi="Arial Narrow"/>
                <w:b/>
                <w:sz w:val="20"/>
                <w:szCs w:val="20"/>
              </w:rPr>
              <w:t>№.of</w:t>
            </w:r>
          </w:p>
          <w:p w14:paraId="2EA0AECB" w14:textId="77777777" w:rsidR="00772269" w:rsidRPr="001428E9" w:rsidRDefault="00772269" w:rsidP="006947F2">
            <w:pPr>
              <w:jc w:val="center"/>
              <w:rPr>
                <w:rFonts w:ascii="Arial Narrow" w:hAnsi="Arial Narrow"/>
                <w:b/>
                <w:sz w:val="20"/>
                <w:szCs w:val="20"/>
              </w:rPr>
            </w:pPr>
            <w:r w:rsidRPr="001428E9">
              <w:rPr>
                <w:rFonts w:ascii="Arial Narrow" w:hAnsi="Arial Narrow"/>
                <w:b/>
                <w:sz w:val="20"/>
                <w:szCs w:val="20"/>
              </w:rPr>
              <w:t>Rpts</w:t>
            </w:r>
          </w:p>
        </w:tc>
        <w:tc>
          <w:tcPr>
            <w:tcW w:w="730" w:type="pct"/>
            <w:vAlign w:val="center"/>
          </w:tcPr>
          <w:p w14:paraId="655E6900" w14:textId="77777777" w:rsidR="00772269" w:rsidRPr="001428E9" w:rsidRDefault="00772269" w:rsidP="006947F2">
            <w:pPr>
              <w:rPr>
                <w:rFonts w:ascii="Arial Narrow" w:hAnsi="Arial Narrow"/>
                <w:b/>
                <w:sz w:val="20"/>
                <w:szCs w:val="20"/>
                <w:lang w:val="fr-FR"/>
              </w:rPr>
            </w:pPr>
            <w:r w:rsidRPr="001428E9">
              <w:rPr>
                <w:rFonts w:ascii="Arial Narrow" w:hAnsi="Arial Narrow"/>
                <w:b/>
                <w:sz w:val="20"/>
                <w:szCs w:val="20"/>
              </w:rPr>
              <w:t>Available brands</w:t>
            </w:r>
          </w:p>
        </w:tc>
      </w:tr>
      <w:tr w:rsidR="00772269" w:rsidRPr="001428E9" w14:paraId="54472351" w14:textId="77777777" w:rsidTr="004A4DDD">
        <w:trPr>
          <w:cantSplit/>
          <w:trHeight w:val="20"/>
        </w:trPr>
        <w:tc>
          <w:tcPr>
            <w:tcW w:w="5000" w:type="pct"/>
            <w:gridSpan w:val="6"/>
            <w:vAlign w:val="center"/>
          </w:tcPr>
          <w:p w14:paraId="7CF4BEC2" w14:textId="77777777" w:rsidR="00772269" w:rsidRPr="001428E9" w:rsidRDefault="00772269" w:rsidP="006947F2">
            <w:pPr>
              <w:pStyle w:val="COMTabletext"/>
              <w:keepNext w:val="0"/>
              <w:rPr>
                <w:rFonts w:cs="Arial"/>
                <w:szCs w:val="20"/>
              </w:rPr>
            </w:pPr>
            <w:r>
              <w:t>ROMOSOZUMAB</w:t>
            </w:r>
            <w:r w:rsidRPr="003A4C14">
              <w:rPr>
                <w:rFonts w:cs="Arial"/>
                <w:color w:val="0066FF"/>
                <w:szCs w:val="20"/>
              </w:rPr>
              <w:t xml:space="preserve"> </w:t>
            </w:r>
          </w:p>
        </w:tc>
      </w:tr>
      <w:tr w:rsidR="00772269" w:rsidRPr="003A4C14" w14:paraId="43D6E938" w14:textId="77777777" w:rsidTr="004A4DDD">
        <w:trPr>
          <w:cantSplit/>
          <w:trHeight w:val="20"/>
        </w:trPr>
        <w:tc>
          <w:tcPr>
            <w:tcW w:w="1663" w:type="pct"/>
            <w:vAlign w:val="center"/>
          </w:tcPr>
          <w:p w14:paraId="4822CA98" w14:textId="281318E1" w:rsidR="00772269" w:rsidRPr="003A4C14" w:rsidRDefault="00772269" w:rsidP="006947F2">
            <w:pPr>
              <w:rPr>
                <w:rFonts w:ascii="Arial Narrow" w:hAnsi="Arial Narrow"/>
                <w:color w:val="0066FF"/>
                <w:sz w:val="20"/>
                <w:szCs w:val="20"/>
              </w:rPr>
            </w:pPr>
            <w:r>
              <w:rPr>
                <w:rFonts w:ascii="Arial Narrow" w:eastAsiaTheme="majorEastAsia" w:hAnsi="Arial Narrow" w:cstheme="majorBidi"/>
                <w:bCs/>
                <w:sz w:val="20"/>
              </w:rPr>
              <w:t xml:space="preserve">Romosozumab, </w:t>
            </w:r>
            <w:r w:rsidRPr="009A68E4">
              <w:rPr>
                <w:rFonts w:ascii="Arial Narrow" w:eastAsiaTheme="majorEastAsia" w:hAnsi="Arial Narrow" w:cstheme="majorBidi"/>
                <w:bCs/>
                <w:sz w:val="20"/>
              </w:rPr>
              <w:t>105mg/1.17mL injection, 2 x 1.17mL pre-filled syringes</w:t>
            </w:r>
          </w:p>
        </w:tc>
        <w:tc>
          <w:tcPr>
            <w:tcW w:w="1127" w:type="pct"/>
          </w:tcPr>
          <w:p w14:paraId="79C2FFD5" w14:textId="77777777" w:rsidR="00772269" w:rsidRPr="00565C79" w:rsidRDefault="00772269" w:rsidP="006947F2">
            <w:pPr>
              <w:pStyle w:val="COMTabletext"/>
              <w:keepNext w:val="0"/>
              <w:jc w:val="center"/>
            </w:pPr>
            <w:r w:rsidRPr="00565C79">
              <w:t>$</w:t>
            </w:r>
            <w:r>
              <w:t xml:space="preserve">404.81 </w:t>
            </w:r>
            <w:r w:rsidRPr="00565C79">
              <w:t>published price</w:t>
            </w:r>
          </w:p>
          <w:p w14:paraId="48DD8DAF" w14:textId="502F6E5F" w:rsidR="00772269" w:rsidRPr="001428E9" w:rsidRDefault="00772269" w:rsidP="006947F2">
            <w:pPr>
              <w:pStyle w:val="COMTabletext"/>
              <w:keepNext w:val="0"/>
              <w:jc w:val="center"/>
              <w:rPr>
                <w:szCs w:val="20"/>
              </w:rPr>
            </w:pPr>
            <w:r w:rsidRPr="00565C79">
              <w:t>$</w:t>
            </w:r>
            <w:r w:rsidR="009E0870" w:rsidRPr="009E0870">
              <w:rPr>
                <w:color w:val="000000"/>
                <w:spacing w:val="56"/>
                <w:shd w:val="solid" w:color="000000" w:fill="000000"/>
                <w:fitText w:val="537" w:id="-1232957691"/>
                <w14:textFill>
                  <w14:solidFill>
                    <w14:srgbClr w14:val="000000">
                      <w14:alpha w14:val="100000"/>
                    </w14:srgbClr>
                  </w14:solidFill>
                </w14:textFill>
              </w:rPr>
              <w:t>|||||</w:t>
            </w:r>
            <w:r w:rsidR="009E0870" w:rsidRPr="009E0870">
              <w:rPr>
                <w:color w:val="000000"/>
                <w:spacing w:val="2"/>
                <w:shd w:val="solid" w:color="000000" w:fill="000000"/>
                <w:fitText w:val="537" w:id="-1232957691"/>
                <w14:textFill>
                  <w14:solidFill>
                    <w14:srgbClr w14:val="000000">
                      <w14:alpha w14:val="100000"/>
                    </w14:srgbClr>
                  </w14:solidFill>
                </w14:textFill>
              </w:rPr>
              <w:t>|</w:t>
            </w:r>
            <w:r w:rsidRPr="00565C79">
              <w:t xml:space="preserve"> effective price</w:t>
            </w:r>
          </w:p>
        </w:tc>
        <w:tc>
          <w:tcPr>
            <w:tcW w:w="545" w:type="pct"/>
            <w:vAlign w:val="center"/>
          </w:tcPr>
          <w:p w14:paraId="76913D6D" w14:textId="77777777" w:rsidR="00772269" w:rsidRPr="001428E9" w:rsidRDefault="00772269" w:rsidP="006947F2">
            <w:pPr>
              <w:jc w:val="center"/>
              <w:rPr>
                <w:rFonts w:ascii="Arial Narrow" w:hAnsi="Arial Narrow"/>
                <w:sz w:val="20"/>
                <w:szCs w:val="20"/>
              </w:rPr>
            </w:pPr>
            <w:r>
              <w:rPr>
                <w:rFonts w:ascii="Arial Narrow" w:hAnsi="Arial Narrow"/>
                <w:sz w:val="20"/>
              </w:rPr>
              <w:t>1</w:t>
            </w:r>
          </w:p>
        </w:tc>
        <w:tc>
          <w:tcPr>
            <w:tcW w:w="545" w:type="pct"/>
            <w:vAlign w:val="center"/>
          </w:tcPr>
          <w:p w14:paraId="3CEE6A0C" w14:textId="77777777" w:rsidR="00772269" w:rsidRPr="001428E9" w:rsidRDefault="00772269" w:rsidP="006947F2">
            <w:pPr>
              <w:jc w:val="center"/>
              <w:rPr>
                <w:rFonts w:ascii="Arial Narrow" w:hAnsi="Arial Narrow"/>
                <w:sz w:val="20"/>
                <w:szCs w:val="20"/>
              </w:rPr>
            </w:pPr>
            <w:r>
              <w:rPr>
                <w:rFonts w:ascii="Arial Narrow" w:hAnsi="Arial Narrow"/>
                <w:sz w:val="20"/>
              </w:rPr>
              <w:t>2</w:t>
            </w:r>
          </w:p>
        </w:tc>
        <w:tc>
          <w:tcPr>
            <w:tcW w:w="390" w:type="pct"/>
            <w:vAlign w:val="center"/>
          </w:tcPr>
          <w:p w14:paraId="2167141F" w14:textId="77777777" w:rsidR="00772269" w:rsidRPr="001428E9" w:rsidRDefault="00772269" w:rsidP="006947F2">
            <w:pPr>
              <w:jc w:val="center"/>
              <w:rPr>
                <w:rFonts w:ascii="Arial Narrow" w:hAnsi="Arial Narrow"/>
                <w:sz w:val="20"/>
                <w:szCs w:val="20"/>
              </w:rPr>
            </w:pPr>
            <w:r>
              <w:rPr>
                <w:rFonts w:ascii="Arial Narrow" w:hAnsi="Arial Narrow"/>
                <w:sz w:val="20"/>
              </w:rPr>
              <w:t>5</w:t>
            </w:r>
          </w:p>
        </w:tc>
        <w:tc>
          <w:tcPr>
            <w:tcW w:w="730" w:type="pct"/>
            <w:vAlign w:val="center"/>
          </w:tcPr>
          <w:p w14:paraId="0A7BA0DD" w14:textId="3F5BE9AC" w:rsidR="00772269" w:rsidRPr="003A4C14" w:rsidRDefault="00772269" w:rsidP="006947F2">
            <w:pPr>
              <w:rPr>
                <w:rFonts w:ascii="Arial Narrow" w:hAnsi="Arial Narrow"/>
                <w:color w:val="0066FF"/>
                <w:sz w:val="20"/>
                <w:szCs w:val="20"/>
              </w:rPr>
            </w:pPr>
            <w:r>
              <w:rPr>
                <w:rFonts w:ascii="Arial Narrow" w:hAnsi="Arial Narrow"/>
                <w:sz w:val="20"/>
                <w:szCs w:val="20"/>
              </w:rPr>
              <w:t>Evenity</w:t>
            </w:r>
          </w:p>
        </w:tc>
      </w:tr>
      <w:tr w:rsidR="00231B7D" w:rsidRPr="003476DE" w14:paraId="1CCF6033"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tcPr>
          <w:p w14:paraId="75F03FE0" w14:textId="73C94FFC" w:rsidR="00231B7D" w:rsidRPr="003476DE" w:rsidRDefault="00231B7D" w:rsidP="006947F2">
            <w:pPr>
              <w:pStyle w:val="COMTabletext"/>
              <w:keepNext w:val="0"/>
              <w:rPr>
                <w:szCs w:val="20"/>
              </w:rPr>
            </w:pPr>
            <w:r w:rsidRPr="003476DE">
              <w:rPr>
                <w:b/>
                <w:szCs w:val="20"/>
              </w:rPr>
              <w:t xml:space="preserve">Category / Program: </w:t>
            </w:r>
            <w:r w:rsidRPr="003476DE">
              <w:rPr>
                <w:szCs w:val="20"/>
              </w:rPr>
              <w:t>General Schedule</w:t>
            </w:r>
            <w:r w:rsidR="008336B4" w:rsidRPr="00262BDA">
              <w:t xml:space="preserve"> (Code GE)</w:t>
            </w:r>
          </w:p>
        </w:tc>
      </w:tr>
      <w:tr w:rsidR="00231B7D" w:rsidRPr="003476DE" w14:paraId="5166B6B0"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tcPr>
          <w:p w14:paraId="5AAA46B0" w14:textId="07F3044A" w:rsidR="00231B7D" w:rsidRPr="003476DE" w:rsidRDefault="00231B7D" w:rsidP="006947F2">
            <w:pPr>
              <w:pStyle w:val="COMTabletext"/>
              <w:keepNext w:val="0"/>
              <w:rPr>
                <w:b/>
                <w:szCs w:val="20"/>
              </w:rPr>
            </w:pPr>
            <w:r w:rsidRPr="003476DE">
              <w:rPr>
                <w:b/>
                <w:szCs w:val="20"/>
              </w:rPr>
              <w:t xml:space="preserve">Prescriber type: </w:t>
            </w:r>
            <w:r w:rsidRPr="003476DE">
              <w:rPr>
                <w:szCs w:val="20"/>
              </w:rPr>
              <w:fldChar w:fldCharType="begin" w:fldLock="1">
                <w:ffData>
                  <w:name w:val=""/>
                  <w:enabled/>
                  <w:calcOnExit w:val="0"/>
                  <w:checkBox>
                    <w:sizeAuto/>
                    <w:default w:val="1"/>
                  </w:checkBox>
                </w:ffData>
              </w:fldChar>
            </w:r>
            <w:r w:rsidRPr="003476DE">
              <w:rPr>
                <w:szCs w:val="20"/>
              </w:rPr>
              <w:instrText xml:space="preserve"> FORMCHECKBOX </w:instrText>
            </w:r>
            <w:r w:rsidR="00D16346">
              <w:rPr>
                <w:szCs w:val="20"/>
              </w:rPr>
            </w:r>
            <w:r w:rsidR="00D16346">
              <w:rPr>
                <w:szCs w:val="20"/>
              </w:rPr>
              <w:fldChar w:fldCharType="separate"/>
            </w:r>
            <w:r w:rsidRPr="003476DE">
              <w:rPr>
                <w:szCs w:val="20"/>
              </w:rPr>
              <w:fldChar w:fldCharType="end"/>
            </w:r>
            <w:r w:rsidRPr="003476DE">
              <w:rPr>
                <w:szCs w:val="20"/>
              </w:rPr>
              <w:t xml:space="preserve">Medical Practitioners </w:t>
            </w:r>
          </w:p>
        </w:tc>
      </w:tr>
      <w:tr w:rsidR="00231B7D" w:rsidRPr="003476DE" w14:paraId="5281835C"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tcPr>
          <w:p w14:paraId="6C7B553A" w14:textId="342D9FDF" w:rsidR="00231B7D" w:rsidRPr="003476DE" w:rsidRDefault="00231B7D" w:rsidP="006947F2">
            <w:pPr>
              <w:pStyle w:val="COMTabletext"/>
              <w:keepNext w:val="0"/>
              <w:rPr>
                <w:rFonts w:eastAsia="Times New Roman"/>
                <w:szCs w:val="20"/>
              </w:rPr>
            </w:pPr>
            <w:r w:rsidRPr="003476DE">
              <w:rPr>
                <w:b/>
                <w:szCs w:val="20"/>
              </w:rPr>
              <w:t xml:space="preserve">Restriction type: </w:t>
            </w:r>
            <w:r w:rsidRPr="003476DE">
              <w:rPr>
                <w:rFonts w:eastAsia="Times New Roman"/>
                <w:szCs w:val="20"/>
              </w:rPr>
              <w:fldChar w:fldCharType="begin" w:fldLock="1">
                <w:ffData>
                  <w:name w:val="Check3"/>
                  <w:enabled/>
                  <w:calcOnExit w:val="0"/>
                  <w:checkBox>
                    <w:sizeAuto/>
                    <w:default w:val="1"/>
                  </w:checkBox>
                </w:ffData>
              </w:fldChar>
            </w:r>
            <w:r w:rsidRPr="003476DE">
              <w:rPr>
                <w:rFonts w:eastAsia="Times New Roman"/>
                <w:szCs w:val="20"/>
              </w:rPr>
              <w:instrText xml:space="preserve"> FORMCHECKBOX </w:instrText>
            </w:r>
            <w:r w:rsidR="00D16346">
              <w:rPr>
                <w:rFonts w:eastAsia="Times New Roman"/>
                <w:szCs w:val="20"/>
              </w:rPr>
            </w:r>
            <w:r w:rsidR="00D16346">
              <w:rPr>
                <w:rFonts w:eastAsia="Times New Roman"/>
                <w:szCs w:val="20"/>
              </w:rPr>
              <w:fldChar w:fldCharType="separate"/>
            </w:r>
            <w:r w:rsidRPr="003476DE">
              <w:rPr>
                <w:rFonts w:eastAsia="Times New Roman"/>
                <w:szCs w:val="20"/>
              </w:rPr>
              <w:fldChar w:fldCharType="end"/>
            </w:r>
            <w:r w:rsidRPr="003476DE">
              <w:rPr>
                <w:rFonts w:eastAsia="Times New Roman"/>
                <w:szCs w:val="20"/>
              </w:rPr>
              <w:t xml:space="preserve"> </w:t>
            </w:r>
            <w:r w:rsidR="008336B4" w:rsidRPr="000D70FB">
              <w:t>Authority Required – Telephone, Electronic</w:t>
            </w:r>
          </w:p>
        </w:tc>
      </w:tr>
      <w:tr w:rsidR="00231B7D" w:rsidRPr="003476DE" w14:paraId="0E0BC399"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D9952D6" w14:textId="77777777" w:rsidR="00231B7D" w:rsidRPr="003476DE" w:rsidRDefault="00231B7D" w:rsidP="006947F2">
            <w:pPr>
              <w:pStyle w:val="COMTabletext"/>
              <w:keepNext w:val="0"/>
              <w:rPr>
                <w:b/>
                <w:szCs w:val="20"/>
              </w:rPr>
            </w:pPr>
            <w:r w:rsidRPr="003476DE">
              <w:rPr>
                <w:b/>
                <w:szCs w:val="20"/>
              </w:rPr>
              <w:t xml:space="preserve">Condition: </w:t>
            </w:r>
            <w:r w:rsidRPr="003476DE">
              <w:rPr>
                <w:bCs w:val="0"/>
                <w:szCs w:val="20"/>
              </w:rPr>
              <w:t>Osteoporosis</w:t>
            </w:r>
            <w:r w:rsidRPr="003476DE">
              <w:rPr>
                <w:szCs w:val="20"/>
              </w:rPr>
              <w:t xml:space="preserve"> </w:t>
            </w:r>
          </w:p>
        </w:tc>
      </w:tr>
      <w:tr w:rsidR="00231B7D" w:rsidRPr="003476DE" w14:paraId="72AF796A"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45B6E9D" w14:textId="77777777" w:rsidR="00231B7D" w:rsidRPr="003476DE" w:rsidRDefault="00231B7D" w:rsidP="006947F2">
            <w:pPr>
              <w:pStyle w:val="COMTabletext"/>
              <w:keepNext w:val="0"/>
              <w:rPr>
                <w:szCs w:val="20"/>
              </w:rPr>
            </w:pPr>
            <w:r w:rsidRPr="003476DE">
              <w:rPr>
                <w:b/>
                <w:szCs w:val="20"/>
              </w:rPr>
              <w:t>Indication:</w:t>
            </w:r>
            <w:r w:rsidRPr="003476DE">
              <w:rPr>
                <w:szCs w:val="20"/>
              </w:rPr>
              <w:t xml:space="preserve"> Severe established osteoporosis</w:t>
            </w:r>
          </w:p>
        </w:tc>
      </w:tr>
      <w:tr w:rsidR="008336B4" w:rsidRPr="003476DE" w14:paraId="6E107263"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E4C3EC3" w14:textId="1BA5CC10" w:rsidR="008336B4" w:rsidRPr="003476DE" w:rsidRDefault="00BA6191" w:rsidP="006947F2">
            <w:pPr>
              <w:pStyle w:val="COMTabletext"/>
              <w:keepNext w:val="0"/>
              <w:rPr>
                <w:b/>
                <w:szCs w:val="20"/>
              </w:rPr>
            </w:pPr>
            <w:r>
              <w:rPr>
                <w:b/>
                <w:szCs w:val="20"/>
              </w:rPr>
              <w:t>INITIAL RESTRICTION</w:t>
            </w:r>
          </w:p>
        </w:tc>
      </w:tr>
      <w:tr w:rsidR="00231B7D" w:rsidRPr="003476DE" w14:paraId="77589A91"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1A883B53" w14:textId="77777777" w:rsidR="00231B7D" w:rsidRPr="003476DE" w:rsidRDefault="00231B7D" w:rsidP="006947F2">
            <w:pPr>
              <w:pStyle w:val="COMTabletext"/>
              <w:keepNext w:val="0"/>
              <w:rPr>
                <w:szCs w:val="20"/>
              </w:rPr>
            </w:pPr>
            <w:r w:rsidRPr="003476DE">
              <w:rPr>
                <w:b/>
                <w:szCs w:val="20"/>
              </w:rPr>
              <w:t>Clinical criteria:</w:t>
            </w:r>
          </w:p>
        </w:tc>
      </w:tr>
      <w:tr w:rsidR="00231B7D" w:rsidRPr="003476DE" w14:paraId="22E762B2"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1D2EAE74" w14:textId="77777777" w:rsidR="00231B7D" w:rsidRPr="003476DE" w:rsidRDefault="00231B7D" w:rsidP="006947F2">
            <w:pPr>
              <w:pStyle w:val="COMTabletext"/>
              <w:keepNext w:val="0"/>
              <w:rPr>
                <w:szCs w:val="20"/>
              </w:rPr>
            </w:pPr>
            <w:r w:rsidRPr="003476DE">
              <w:rPr>
                <w:szCs w:val="20"/>
              </w:rPr>
              <w:t>Patient must be at a very high risk of fracture;</w:t>
            </w:r>
          </w:p>
        </w:tc>
      </w:tr>
      <w:tr w:rsidR="00231B7D" w:rsidRPr="003476DE" w14:paraId="2DDBF841"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21C2163D" w14:textId="77777777" w:rsidR="00231B7D" w:rsidRPr="003476DE" w:rsidRDefault="00231B7D" w:rsidP="006947F2">
            <w:pPr>
              <w:pStyle w:val="COMTabletext"/>
              <w:keepNext w:val="0"/>
              <w:rPr>
                <w:szCs w:val="20"/>
              </w:rPr>
            </w:pPr>
            <w:r w:rsidRPr="003476DE">
              <w:rPr>
                <w:b/>
                <w:szCs w:val="20"/>
              </w:rPr>
              <w:t>AND</w:t>
            </w:r>
          </w:p>
        </w:tc>
      </w:tr>
      <w:tr w:rsidR="00231B7D" w:rsidRPr="003476DE" w14:paraId="3AD8BA57"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6ACFA423" w14:textId="77777777" w:rsidR="00231B7D" w:rsidRPr="003476DE" w:rsidRDefault="00231B7D" w:rsidP="006947F2">
            <w:pPr>
              <w:pStyle w:val="COMTabletext"/>
              <w:keepNext w:val="0"/>
              <w:rPr>
                <w:szCs w:val="20"/>
              </w:rPr>
            </w:pPr>
            <w:r w:rsidRPr="003476DE">
              <w:rPr>
                <w:b/>
                <w:szCs w:val="20"/>
              </w:rPr>
              <w:t>Clinical criteria:</w:t>
            </w:r>
          </w:p>
        </w:tc>
      </w:tr>
      <w:tr w:rsidR="00231B7D" w:rsidRPr="003476DE" w14:paraId="47E9DA1E"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7717D8A" w14:textId="77777777" w:rsidR="00231B7D" w:rsidRPr="003476DE" w:rsidRDefault="00231B7D" w:rsidP="006947F2">
            <w:pPr>
              <w:pStyle w:val="COMTabletext"/>
              <w:keepNext w:val="0"/>
              <w:rPr>
                <w:bCs w:val="0"/>
                <w:szCs w:val="20"/>
              </w:rPr>
            </w:pPr>
            <w:r w:rsidRPr="003476DE">
              <w:rPr>
                <w:bCs w:val="0"/>
                <w:szCs w:val="20"/>
              </w:rPr>
              <w:t xml:space="preserve">Patient must have a bone mineral density (BMD) T-score of </w:t>
            </w:r>
            <w:r w:rsidRPr="00254203">
              <w:rPr>
                <w:bCs w:val="0"/>
                <w:szCs w:val="20"/>
              </w:rPr>
              <w:t>-2.5 or less</w:t>
            </w:r>
            <w:r w:rsidRPr="003476DE">
              <w:rPr>
                <w:bCs w:val="0"/>
                <w:szCs w:val="20"/>
              </w:rPr>
              <w:t>;</w:t>
            </w:r>
          </w:p>
        </w:tc>
      </w:tr>
      <w:tr w:rsidR="00231B7D" w:rsidRPr="003476DE" w14:paraId="484D6CBA"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1619992" w14:textId="77777777" w:rsidR="00231B7D" w:rsidRPr="003476DE" w:rsidRDefault="00231B7D" w:rsidP="006947F2">
            <w:pPr>
              <w:pStyle w:val="COMTabletext"/>
              <w:keepNext w:val="0"/>
              <w:rPr>
                <w:b/>
                <w:szCs w:val="20"/>
              </w:rPr>
            </w:pPr>
            <w:r w:rsidRPr="003476DE">
              <w:rPr>
                <w:b/>
                <w:szCs w:val="20"/>
              </w:rPr>
              <w:t>AND</w:t>
            </w:r>
          </w:p>
        </w:tc>
      </w:tr>
      <w:tr w:rsidR="00231B7D" w:rsidRPr="003476DE" w14:paraId="0445A171"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5D50EA9E" w14:textId="77777777" w:rsidR="00231B7D" w:rsidRPr="003476DE" w:rsidRDefault="00231B7D" w:rsidP="006947F2">
            <w:pPr>
              <w:pStyle w:val="COMTabletext"/>
              <w:keepNext w:val="0"/>
              <w:rPr>
                <w:szCs w:val="20"/>
              </w:rPr>
            </w:pPr>
            <w:r w:rsidRPr="003476DE">
              <w:rPr>
                <w:b/>
                <w:szCs w:val="20"/>
              </w:rPr>
              <w:t>Clinical criteria:</w:t>
            </w:r>
          </w:p>
        </w:tc>
      </w:tr>
      <w:tr w:rsidR="00231B7D" w:rsidRPr="003476DE" w14:paraId="3F19F174"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E4F310E" w14:textId="77777777" w:rsidR="00231B7D" w:rsidRPr="003476DE" w:rsidRDefault="00231B7D" w:rsidP="006947F2">
            <w:pPr>
              <w:pStyle w:val="COMTabletext"/>
              <w:keepNext w:val="0"/>
              <w:rPr>
                <w:bCs w:val="0"/>
                <w:szCs w:val="20"/>
              </w:rPr>
            </w:pPr>
            <w:r w:rsidRPr="003476DE">
              <w:rPr>
                <w:bCs w:val="0"/>
                <w:szCs w:val="20"/>
              </w:rPr>
              <w:t xml:space="preserve">Patient must have had </w:t>
            </w:r>
            <w:r w:rsidRPr="00254203">
              <w:rPr>
                <w:bCs w:val="0"/>
                <w:szCs w:val="20"/>
              </w:rPr>
              <w:t>a</w:t>
            </w:r>
            <w:r w:rsidRPr="003476DE">
              <w:rPr>
                <w:bCs w:val="0"/>
                <w:szCs w:val="20"/>
              </w:rPr>
              <w:t xml:space="preserve"> fracture due to minimal trauma;</w:t>
            </w:r>
          </w:p>
        </w:tc>
      </w:tr>
      <w:tr w:rsidR="00231B7D" w:rsidRPr="003476DE" w14:paraId="7260A0AE"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150C349" w14:textId="77777777" w:rsidR="00231B7D" w:rsidRPr="003476DE" w:rsidRDefault="00231B7D" w:rsidP="006947F2">
            <w:pPr>
              <w:pStyle w:val="COMTabletext"/>
              <w:keepNext w:val="0"/>
              <w:rPr>
                <w:b/>
                <w:szCs w:val="20"/>
              </w:rPr>
            </w:pPr>
            <w:r w:rsidRPr="003476DE">
              <w:rPr>
                <w:b/>
                <w:szCs w:val="20"/>
              </w:rPr>
              <w:t>AND</w:t>
            </w:r>
          </w:p>
        </w:tc>
      </w:tr>
      <w:tr w:rsidR="00231B7D" w:rsidRPr="003476DE" w14:paraId="49FE712B"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00013943" w14:textId="77777777" w:rsidR="00231B7D" w:rsidRPr="003476DE" w:rsidRDefault="00231B7D" w:rsidP="006947F2">
            <w:pPr>
              <w:pStyle w:val="COMTabletext"/>
              <w:keepNext w:val="0"/>
              <w:rPr>
                <w:szCs w:val="20"/>
              </w:rPr>
            </w:pPr>
            <w:r w:rsidRPr="003476DE">
              <w:rPr>
                <w:b/>
                <w:szCs w:val="20"/>
              </w:rPr>
              <w:t>Clinical criteria:</w:t>
            </w:r>
          </w:p>
        </w:tc>
      </w:tr>
      <w:tr w:rsidR="00231B7D" w:rsidRPr="003476DE" w14:paraId="0E42F43E"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1485072" w14:textId="77777777" w:rsidR="00231B7D" w:rsidRPr="00254203" w:rsidRDefault="00231B7D" w:rsidP="006947F2">
            <w:pPr>
              <w:pStyle w:val="COMTabletext"/>
              <w:keepNext w:val="0"/>
              <w:rPr>
                <w:bCs w:val="0"/>
                <w:szCs w:val="20"/>
              </w:rPr>
            </w:pPr>
            <w:r w:rsidRPr="00254203">
              <w:rPr>
                <w:bCs w:val="0"/>
                <w:szCs w:val="20"/>
              </w:rPr>
              <w:t>Patient must have had at least 1 hip or symptomatic vertebral fracture in the previous 24 months, OR</w:t>
            </w:r>
          </w:p>
        </w:tc>
      </w:tr>
      <w:tr w:rsidR="00231B7D" w:rsidRPr="003476DE" w14:paraId="62F225FB"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9A0A54C" w14:textId="77777777" w:rsidR="00231B7D" w:rsidRPr="00254203" w:rsidRDefault="00231B7D" w:rsidP="006947F2">
            <w:pPr>
              <w:pStyle w:val="COMTabletext"/>
              <w:keepNext w:val="0"/>
              <w:rPr>
                <w:bCs w:val="0"/>
                <w:szCs w:val="20"/>
              </w:rPr>
            </w:pPr>
            <w:r w:rsidRPr="00254203">
              <w:rPr>
                <w:bCs w:val="0"/>
                <w:szCs w:val="20"/>
              </w:rPr>
              <w:t>Patient must have had at least 2 fractures including 1 symptomatic new fracture in the previous 24 months,</w:t>
            </w:r>
          </w:p>
        </w:tc>
      </w:tr>
      <w:tr w:rsidR="00231B7D" w:rsidRPr="003476DE" w14:paraId="0BFE2E86"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EA7F20F" w14:textId="77777777" w:rsidR="00231B7D" w:rsidRPr="003476DE" w:rsidRDefault="00231B7D" w:rsidP="006947F2">
            <w:pPr>
              <w:pStyle w:val="COMTabletext"/>
              <w:keepNext w:val="0"/>
              <w:rPr>
                <w:b/>
                <w:szCs w:val="20"/>
              </w:rPr>
            </w:pPr>
            <w:r w:rsidRPr="003476DE">
              <w:rPr>
                <w:b/>
                <w:szCs w:val="20"/>
              </w:rPr>
              <w:t>AND</w:t>
            </w:r>
          </w:p>
        </w:tc>
      </w:tr>
      <w:tr w:rsidR="00231B7D" w:rsidRPr="003476DE" w14:paraId="3B9D6EE3"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314B94EF" w14:textId="77777777" w:rsidR="00231B7D" w:rsidRPr="003476DE" w:rsidRDefault="00231B7D" w:rsidP="006947F2">
            <w:pPr>
              <w:pStyle w:val="COMTabletext"/>
              <w:keepNext w:val="0"/>
              <w:rPr>
                <w:szCs w:val="20"/>
              </w:rPr>
            </w:pPr>
            <w:r w:rsidRPr="003476DE">
              <w:rPr>
                <w:b/>
                <w:szCs w:val="20"/>
              </w:rPr>
              <w:t>Clinical criteria:</w:t>
            </w:r>
          </w:p>
        </w:tc>
      </w:tr>
      <w:tr w:rsidR="00231B7D" w:rsidRPr="003476DE" w14:paraId="0CCD3007"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1B3E10B" w14:textId="77777777" w:rsidR="00231B7D" w:rsidRPr="003476DE" w:rsidRDefault="00231B7D" w:rsidP="006947F2">
            <w:pPr>
              <w:pStyle w:val="COMTabletext"/>
              <w:keepNext w:val="0"/>
              <w:rPr>
                <w:bCs w:val="0"/>
                <w:szCs w:val="20"/>
              </w:rPr>
            </w:pPr>
            <w:r w:rsidRPr="003476DE">
              <w:rPr>
                <w:bCs w:val="0"/>
                <w:szCs w:val="20"/>
              </w:rPr>
              <w:lastRenderedPageBreak/>
              <w:t>The treatment must be the sole PBS-subsidised therapy for this condition;</w:t>
            </w:r>
          </w:p>
        </w:tc>
      </w:tr>
      <w:tr w:rsidR="00231B7D" w:rsidRPr="003476DE" w14:paraId="51849398"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6B82588" w14:textId="77777777" w:rsidR="00231B7D" w:rsidRPr="003476DE" w:rsidRDefault="00231B7D" w:rsidP="006947F2">
            <w:pPr>
              <w:pStyle w:val="COMTabletext"/>
              <w:keepNext w:val="0"/>
              <w:rPr>
                <w:b/>
                <w:szCs w:val="20"/>
              </w:rPr>
            </w:pPr>
            <w:r w:rsidRPr="003476DE">
              <w:rPr>
                <w:b/>
                <w:szCs w:val="20"/>
              </w:rPr>
              <w:t>AND</w:t>
            </w:r>
          </w:p>
        </w:tc>
      </w:tr>
      <w:tr w:rsidR="00231B7D" w:rsidRPr="003476DE" w14:paraId="4FAD374F"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661F091B" w14:textId="77777777" w:rsidR="00231B7D" w:rsidRPr="00254203" w:rsidRDefault="00231B7D" w:rsidP="006947F2">
            <w:pPr>
              <w:pStyle w:val="COMTabletext"/>
              <w:keepNext w:val="0"/>
              <w:rPr>
                <w:szCs w:val="20"/>
              </w:rPr>
            </w:pPr>
            <w:r w:rsidRPr="00254203">
              <w:rPr>
                <w:b/>
                <w:szCs w:val="20"/>
              </w:rPr>
              <w:t>Clinical criteria:</w:t>
            </w:r>
          </w:p>
        </w:tc>
      </w:tr>
      <w:tr w:rsidR="00231B7D" w:rsidRPr="003476DE" w14:paraId="199D7EBC"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32FBE1F" w14:textId="77777777" w:rsidR="00231B7D" w:rsidRPr="00254203" w:rsidRDefault="00231B7D" w:rsidP="006947F2">
            <w:pPr>
              <w:pStyle w:val="COMTabletext"/>
              <w:keepNext w:val="0"/>
              <w:rPr>
                <w:bCs w:val="0"/>
                <w:szCs w:val="20"/>
              </w:rPr>
            </w:pPr>
            <w:r w:rsidRPr="00254203">
              <w:rPr>
                <w:bCs w:val="0"/>
                <w:szCs w:val="20"/>
              </w:rPr>
              <w:t>The treatment must not exceed a lifetime maximum of 12 months of PBS-subsidised therapy;</w:t>
            </w:r>
          </w:p>
        </w:tc>
      </w:tr>
      <w:tr w:rsidR="00231B7D" w:rsidRPr="003476DE" w14:paraId="70CB1794"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A13B31C" w14:textId="77777777" w:rsidR="00231B7D" w:rsidRPr="003476DE" w:rsidRDefault="00231B7D" w:rsidP="006947F2">
            <w:pPr>
              <w:pStyle w:val="COMTabletext"/>
              <w:keepNext w:val="0"/>
              <w:rPr>
                <w:b/>
                <w:szCs w:val="20"/>
              </w:rPr>
            </w:pPr>
            <w:r w:rsidRPr="003476DE">
              <w:rPr>
                <w:b/>
                <w:szCs w:val="20"/>
              </w:rPr>
              <w:t>AND</w:t>
            </w:r>
          </w:p>
        </w:tc>
      </w:tr>
      <w:tr w:rsidR="00231B7D" w:rsidRPr="003476DE" w14:paraId="5753ECA2"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3A5483E0" w14:textId="77777777" w:rsidR="00231B7D" w:rsidRPr="003476DE" w:rsidRDefault="00231B7D" w:rsidP="006947F2">
            <w:pPr>
              <w:pStyle w:val="COMTabletext"/>
              <w:keepNext w:val="0"/>
              <w:rPr>
                <w:szCs w:val="20"/>
              </w:rPr>
            </w:pPr>
            <w:r w:rsidRPr="003476DE">
              <w:rPr>
                <w:b/>
                <w:szCs w:val="20"/>
              </w:rPr>
              <w:t>Clinical criteria:</w:t>
            </w:r>
          </w:p>
        </w:tc>
      </w:tr>
      <w:tr w:rsidR="00231B7D" w:rsidRPr="003476DE" w14:paraId="173EC48D"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9A9EEE6" w14:textId="2C444D57" w:rsidR="00231B7D" w:rsidRPr="003476DE" w:rsidRDefault="00231B7D" w:rsidP="006947F2">
            <w:pPr>
              <w:pStyle w:val="COMTabletext"/>
              <w:keepNext w:val="0"/>
              <w:rPr>
                <w:szCs w:val="20"/>
              </w:rPr>
            </w:pPr>
            <w:r w:rsidRPr="003476DE">
              <w:rPr>
                <w:szCs w:val="20"/>
              </w:rPr>
              <w:t>Patient must not have received treatment with PBS-subsidised teriparatide; OR patient must have developed intolerance to teriparatide of a severity necessitating permanent treatment withdrawal within the first 6 months of therapy.</w:t>
            </w:r>
          </w:p>
        </w:tc>
      </w:tr>
      <w:tr w:rsidR="00231B7D" w:rsidRPr="003476DE" w14:paraId="4E3BF454"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5E070447" w14:textId="77777777" w:rsidR="00231B7D" w:rsidRPr="003476DE" w:rsidRDefault="00231B7D" w:rsidP="006947F2">
            <w:pPr>
              <w:pStyle w:val="COMTabletext"/>
              <w:keepNext w:val="0"/>
              <w:rPr>
                <w:szCs w:val="20"/>
              </w:rPr>
            </w:pPr>
            <w:r w:rsidRPr="003476DE">
              <w:rPr>
                <w:b/>
                <w:szCs w:val="20"/>
              </w:rPr>
              <w:t>Treatment criteria:</w:t>
            </w:r>
          </w:p>
        </w:tc>
      </w:tr>
      <w:tr w:rsidR="00231B7D" w:rsidRPr="003476DE" w14:paraId="780EC321"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6D1920DE" w14:textId="77777777" w:rsidR="00231B7D" w:rsidRPr="003476DE" w:rsidRDefault="00231B7D" w:rsidP="006947F2">
            <w:pPr>
              <w:pStyle w:val="COMTabletext"/>
              <w:keepNext w:val="0"/>
              <w:rPr>
                <w:i/>
                <w:iCs/>
                <w:szCs w:val="20"/>
              </w:rPr>
            </w:pPr>
            <w:r w:rsidRPr="003476DE">
              <w:rPr>
                <w:szCs w:val="20"/>
              </w:rPr>
              <w:t>Must be treated by a consultant physician</w:t>
            </w:r>
          </w:p>
        </w:tc>
      </w:tr>
      <w:tr w:rsidR="008336B4" w:rsidRPr="003476DE" w14:paraId="3FC7ECBC"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6380FED" w14:textId="54839139" w:rsidR="008336B4" w:rsidRPr="008336B4" w:rsidRDefault="00BA6191" w:rsidP="006947F2">
            <w:pPr>
              <w:pStyle w:val="COMTabletext"/>
              <w:keepNext w:val="0"/>
              <w:rPr>
                <w:b/>
                <w:bCs w:val="0"/>
                <w:szCs w:val="20"/>
              </w:rPr>
            </w:pPr>
            <w:r w:rsidRPr="008336B4">
              <w:rPr>
                <w:b/>
                <w:bCs w:val="0"/>
                <w:szCs w:val="20"/>
              </w:rPr>
              <w:t>CONTINUING TREATMENT RESTRICTION</w:t>
            </w:r>
          </w:p>
        </w:tc>
      </w:tr>
      <w:tr w:rsidR="00917A99" w:rsidRPr="000A3ECF" w14:paraId="3B4C97D2" w14:textId="77777777" w:rsidTr="004A4D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6"/>
            <w:tcBorders>
              <w:top w:val="single" w:sz="4" w:space="0" w:color="auto"/>
              <w:left w:val="single" w:sz="4" w:space="0" w:color="auto"/>
              <w:bottom w:val="single" w:sz="4" w:space="0" w:color="auto"/>
              <w:right w:val="single" w:sz="4" w:space="0" w:color="auto"/>
            </w:tcBorders>
          </w:tcPr>
          <w:p w14:paraId="713C8F26" w14:textId="77777777" w:rsidR="00917A99" w:rsidRPr="000A3ECF" w:rsidRDefault="00917A99" w:rsidP="006947F2">
            <w:pPr>
              <w:pStyle w:val="TableText0"/>
              <w:keepNext w:val="0"/>
              <w:rPr>
                <w:b/>
              </w:rPr>
            </w:pPr>
            <w:r w:rsidRPr="00262BDA">
              <w:rPr>
                <w:b/>
              </w:rPr>
              <w:t>Clinical criteria:</w:t>
            </w:r>
          </w:p>
        </w:tc>
      </w:tr>
      <w:tr w:rsidR="00917A99" w:rsidRPr="002B4D07" w14:paraId="50ECA88F" w14:textId="77777777" w:rsidTr="004A4D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6"/>
            <w:tcBorders>
              <w:top w:val="single" w:sz="4" w:space="0" w:color="auto"/>
              <w:left w:val="single" w:sz="4" w:space="0" w:color="auto"/>
              <w:bottom w:val="single" w:sz="4" w:space="0" w:color="auto"/>
              <w:right w:val="single" w:sz="4" w:space="0" w:color="auto"/>
            </w:tcBorders>
          </w:tcPr>
          <w:p w14:paraId="0469263D" w14:textId="77777777" w:rsidR="00917A99" w:rsidRPr="002B4D07" w:rsidRDefault="00917A99" w:rsidP="006947F2">
            <w:pPr>
              <w:pStyle w:val="TableText0"/>
              <w:keepNext w:val="0"/>
              <w:rPr>
                <w:rFonts w:cs="Arial"/>
              </w:rPr>
            </w:pPr>
            <w:r w:rsidRPr="002B4D07">
              <w:rPr>
                <w:rFonts w:cs="Arial"/>
              </w:rPr>
              <w:t>Patient must have previously received PBS-subsidised treatment with this drug for this condition</w:t>
            </w:r>
            <w:r>
              <w:rPr>
                <w:rFonts w:cs="Arial"/>
              </w:rPr>
              <w:t>;</w:t>
            </w:r>
          </w:p>
        </w:tc>
      </w:tr>
      <w:tr w:rsidR="00917A99" w:rsidRPr="000A3ECF" w14:paraId="26431298" w14:textId="77777777" w:rsidTr="004A4D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6"/>
            <w:tcBorders>
              <w:top w:val="single" w:sz="4" w:space="0" w:color="auto"/>
              <w:left w:val="single" w:sz="4" w:space="0" w:color="auto"/>
              <w:bottom w:val="single" w:sz="4" w:space="0" w:color="auto"/>
              <w:right w:val="single" w:sz="4" w:space="0" w:color="auto"/>
            </w:tcBorders>
          </w:tcPr>
          <w:p w14:paraId="220B4AD8" w14:textId="77777777" w:rsidR="00917A99" w:rsidRPr="000A3ECF" w:rsidRDefault="00917A99" w:rsidP="006947F2">
            <w:pPr>
              <w:pStyle w:val="TableText0"/>
              <w:keepNext w:val="0"/>
              <w:rPr>
                <w:rFonts w:cs="Arial"/>
                <w:b/>
                <w:bCs w:val="0"/>
              </w:rPr>
            </w:pPr>
            <w:r w:rsidRPr="000A3ECF">
              <w:rPr>
                <w:rFonts w:cs="Arial"/>
                <w:b/>
                <w:bCs w:val="0"/>
              </w:rPr>
              <w:t>AND</w:t>
            </w:r>
          </w:p>
        </w:tc>
      </w:tr>
      <w:tr w:rsidR="00917A99" w:rsidRPr="003476DE" w14:paraId="388CED2A"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62D07B0" w14:textId="77777777" w:rsidR="00917A99" w:rsidRPr="003476DE" w:rsidRDefault="00917A99" w:rsidP="006947F2">
            <w:pPr>
              <w:pStyle w:val="COMTabletext"/>
              <w:keepNext w:val="0"/>
              <w:rPr>
                <w:szCs w:val="20"/>
              </w:rPr>
            </w:pPr>
            <w:r w:rsidRPr="003476DE">
              <w:rPr>
                <w:b/>
                <w:szCs w:val="20"/>
              </w:rPr>
              <w:t>Clinical criteria:</w:t>
            </w:r>
          </w:p>
        </w:tc>
      </w:tr>
      <w:tr w:rsidR="00917A99" w:rsidRPr="001E3A1C" w14:paraId="0B61AAEF" w14:textId="77777777" w:rsidTr="004A4D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6"/>
            <w:tcBorders>
              <w:top w:val="single" w:sz="4" w:space="0" w:color="auto"/>
              <w:left w:val="single" w:sz="4" w:space="0" w:color="auto"/>
              <w:bottom w:val="single" w:sz="4" w:space="0" w:color="auto"/>
              <w:right w:val="single" w:sz="4" w:space="0" w:color="auto"/>
            </w:tcBorders>
          </w:tcPr>
          <w:p w14:paraId="11733269" w14:textId="77777777" w:rsidR="00917A99" w:rsidRPr="001E3A1C" w:rsidRDefault="00917A99" w:rsidP="006947F2">
            <w:pPr>
              <w:pStyle w:val="TableText0"/>
              <w:keepNext w:val="0"/>
              <w:rPr>
                <w:rFonts w:cs="Arial"/>
                <w:highlight w:val="green"/>
              </w:rPr>
            </w:pPr>
            <w:r w:rsidRPr="000D70FB">
              <w:rPr>
                <w:rFonts w:cs="Arial"/>
              </w:rPr>
              <w:t>The treatment must be the sole PBS-subsidised therapy for this condition;</w:t>
            </w:r>
          </w:p>
        </w:tc>
      </w:tr>
      <w:tr w:rsidR="00917A99" w:rsidRPr="002B4D07" w14:paraId="0E0B1A76" w14:textId="77777777" w:rsidTr="004A4D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6"/>
            <w:tcBorders>
              <w:top w:val="single" w:sz="4" w:space="0" w:color="auto"/>
              <w:left w:val="single" w:sz="4" w:space="0" w:color="auto"/>
              <w:bottom w:val="single" w:sz="4" w:space="0" w:color="auto"/>
              <w:right w:val="single" w:sz="4" w:space="0" w:color="auto"/>
            </w:tcBorders>
          </w:tcPr>
          <w:p w14:paraId="3CE73C8F" w14:textId="77777777" w:rsidR="00917A99" w:rsidRPr="002B4D07" w:rsidRDefault="00917A99" w:rsidP="006947F2">
            <w:pPr>
              <w:pStyle w:val="TableText0"/>
              <w:keepNext w:val="0"/>
              <w:rPr>
                <w:rFonts w:cs="Arial"/>
              </w:rPr>
            </w:pPr>
            <w:r w:rsidRPr="000A3ECF">
              <w:rPr>
                <w:rFonts w:cs="Arial"/>
                <w:b/>
                <w:bCs w:val="0"/>
              </w:rPr>
              <w:t>AND</w:t>
            </w:r>
          </w:p>
        </w:tc>
      </w:tr>
      <w:tr w:rsidR="00917A99" w:rsidRPr="003476DE" w14:paraId="165408BF"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5B02D28B" w14:textId="77777777" w:rsidR="00917A99" w:rsidRPr="003476DE" w:rsidRDefault="00917A99" w:rsidP="006947F2">
            <w:pPr>
              <w:pStyle w:val="COMTabletext"/>
              <w:keepNext w:val="0"/>
              <w:rPr>
                <w:szCs w:val="20"/>
              </w:rPr>
            </w:pPr>
            <w:r w:rsidRPr="003476DE">
              <w:rPr>
                <w:b/>
                <w:szCs w:val="20"/>
              </w:rPr>
              <w:t>Clinical criteria:</w:t>
            </w:r>
          </w:p>
        </w:tc>
      </w:tr>
      <w:tr w:rsidR="00917A99" w:rsidRPr="002B4D07" w14:paraId="28809C74" w14:textId="77777777" w:rsidTr="004A4D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6"/>
            <w:tcBorders>
              <w:top w:val="single" w:sz="4" w:space="0" w:color="auto"/>
              <w:left w:val="single" w:sz="4" w:space="0" w:color="auto"/>
              <w:bottom w:val="single" w:sz="4" w:space="0" w:color="auto"/>
              <w:right w:val="single" w:sz="4" w:space="0" w:color="auto"/>
            </w:tcBorders>
          </w:tcPr>
          <w:p w14:paraId="30E05098" w14:textId="31DBB404" w:rsidR="00917A99" w:rsidRPr="002B4D07" w:rsidRDefault="00917A99" w:rsidP="006947F2">
            <w:pPr>
              <w:pStyle w:val="TableText0"/>
              <w:keepNext w:val="0"/>
              <w:rPr>
                <w:rFonts w:cs="Arial"/>
              </w:rPr>
            </w:pPr>
            <w:r w:rsidRPr="002B4D07">
              <w:rPr>
                <w:rFonts w:cs="Arial"/>
              </w:rPr>
              <w:t>The treatment must not exceed a lifetime maximum of 12 months therapy</w:t>
            </w:r>
            <w:r w:rsidR="007F3F3F">
              <w:rPr>
                <w:rFonts w:cs="Arial"/>
              </w:rPr>
              <w:t xml:space="preserve"> of PBS-subsidised therapy</w:t>
            </w:r>
            <w:r w:rsidRPr="002B4D07">
              <w:rPr>
                <w:rFonts w:cs="Arial"/>
              </w:rPr>
              <w:t>.</w:t>
            </w:r>
          </w:p>
        </w:tc>
      </w:tr>
      <w:tr w:rsidR="00917A99" w:rsidRPr="001E3A1C" w14:paraId="1524E4B9" w14:textId="77777777" w:rsidTr="004A4D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6"/>
            <w:tcBorders>
              <w:top w:val="single" w:sz="4" w:space="0" w:color="auto"/>
              <w:left w:val="single" w:sz="4" w:space="0" w:color="auto"/>
              <w:bottom w:val="single" w:sz="4" w:space="0" w:color="auto"/>
              <w:right w:val="single" w:sz="4" w:space="0" w:color="auto"/>
            </w:tcBorders>
          </w:tcPr>
          <w:p w14:paraId="68FEE1AF" w14:textId="77777777" w:rsidR="00917A99" w:rsidRPr="001E3A1C" w:rsidRDefault="00917A99" w:rsidP="006947F2">
            <w:pPr>
              <w:pStyle w:val="TableText0"/>
              <w:keepNext w:val="0"/>
              <w:rPr>
                <w:rFonts w:cs="Arial"/>
                <w:b/>
                <w:bCs w:val="0"/>
              </w:rPr>
            </w:pPr>
            <w:r>
              <w:rPr>
                <w:rFonts w:cs="Arial"/>
                <w:b/>
                <w:bCs w:val="0"/>
              </w:rPr>
              <w:t>Treatment criteria:</w:t>
            </w:r>
          </w:p>
        </w:tc>
      </w:tr>
      <w:tr w:rsidR="00917A99" w:rsidRPr="002B4D07" w14:paraId="6B3A8A78" w14:textId="77777777" w:rsidTr="004A4D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6"/>
            <w:tcBorders>
              <w:top w:val="single" w:sz="4" w:space="0" w:color="auto"/>
              <w:left w:val="single" w:sz="4" w:space="0" w:color="auto"/>
              <w:bottom w:val="single" w:sz="4" w:space="0" w:color="auto"/>
              <w:right w:val="single" w:sz="4" w:space="0" w:color="auto"/>
            </w:tcBorders>
          </w:tcPr>
          <w:p w14:paraId="43674122" w14:textId="77777777" w:rsidR="00917A99" w:rsidRPr="002B4D07" w:rsidRDefault="00917A99" w:rsidP="006947F2">
            <w:pPr>
              <w:pStyle w:val="TableText0"/>
              <w:keepNext w:val="0"/>
              <w:rPr>
                <w:rFonts w:cs="Arial"/>
              </w:rPr>
            </w:pPr>
            <w:r>
              <w:rPr>
                <w:rFonts w:cs="Arial"/>
              </w:rPr>
              <w:t>Must be treated by a medical practitioner identifying as either: (i) a Consultant Physician, (ii) a General Practitioner.</w:t>
            </w:r>
          </w:p>
        </w:tc>
      </w:tr>
      <w:tr w:rsidR="009A3DA5" w:rsidRPr="00046D64" w14:paraId="37DF503E"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tcPr>
          <w:p w14:paraId="53066862" w14:textId="5D1B1263" w:rsidR="009A3DA5" w:rsidRPr="008336B4" w:rsidRDefault="00BA6191" w:rsidP="006947F2">
            <w:pPr>
              <w:pStyle w:val="COMTabletext"/>
              <w:keepNext w:val="0"/>
              <w:rPr>
                <w:b/>
                <w:bCs w:val="0"/>
              </w:rPr>
            </w:pPr>
            <w:r w:rsidRPr="008336B4">
              <w:rPr>
                <w:b/>
                <w:bCs w:val="0"/>
              </w:rPr>
              <w:t>GRANDFATHERED TREATMENT</w:t>
            </w:r>
            <w:r>
              <w:rPr>
                <w:b/>
                <w:bCs w:val="0"/>
              </w:rPr>
              <w:t xml:space="preserve"> RESTRICTION</w:t>
            </w:r>
          </w:p>
        </w:tc>
      </w:tr>
      <w:tr w:rsidR="009A3DA5" w:rsidRPr="00046D64" w14:paraId="6DBE95AE"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7B8205D" w14:textId="77777777" w:rsidR="009A3DA5" w:rsidRPr="00046D64" w:rsidRDefault="009A3DA5" w:rsidP="006947F2">
            <w:pPr>
              <w:pStyle w:val="COMTabletext"/>
              <w:keepNext w:val="0"/>
            </w:pPr>
            <w:r w:rsidRPr="00046D64">
              <w:rPr>
                <w:b/>
              </w:rPr>
              <w:t>Clinical criteria:</w:t>
            </w:r>
          </w:p>
        </w:tc>
      </w:tr>
      <w:tr w:rsidR="009A3DA5" w:rsidRPr="00FA20B4" w14:paraId="4C6EB327"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38124D4" w14:textId="77777777" w:rsidR="009A3DA5" w:rsidRPr="00FA20B4" w:rsidRDefault="009A3DA5" w:rsidP="006947F2">
            <w:pPr>
              <w:pStyle w:val="COMTabletext"/>
              <w:keepNext w:val="0"/>
              <w:rPr>
                <w:bCs w:val="0"/>
              </w:rPr>
            </w:pPr>
            <w:r w:rsidRPr="00FA20B4">
              <w:rPr>
                <w:bCs w:val="0"/>
              </w:rPr>
              <w:t>Patient must have received non-PBS subsidised treatment with this drug for this PBS indication prior to [insert listing date];</w:t>
            </w:r>
          </w:p>
        </w:tc>
      </w:tr>
      <w:tr w:rsidR="009A3DA5" w:rsidRPr="00046D64" w14:paraId="04495164"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DDBCCB6" w14:textId="77777777" w:rsidR="009A3DA5" w:rsidRPr="00046D64" w:rsidRDefault="009A3DA5" w:rsidP="006947F2">
            <w:pPr>
              <w:pStyle w:val="COMTabletext"/>
              <w:keepNext w:val="0"/>
              <w:rPr>
                <w:b/>
              </w:rPr>
            </w:pPr>
            <w:r>
              <w:rPr>
                <w:b/>
              </w:rPr>
              <w:t>AND</w:t>
            </w:r>
          </w:p>
        </w:tc>
      </w:tr>
      <w:tr w:rsidR="009A3DA5" w:rsidRPr="003476DE" w14:paraId="7C0DCDF7"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0BC412B1" w14:textId="77777777" w:rsidR="009A3DA5" w:rsidRPr="003476DE" w:rsidRDefault="009A3DA5" w:rsidP="006947F2">
            <w:pPr>
              <w:pStyle w:val="COMTabletext"/>
              <w:keepNext w:val="0"/>
              <w:rPr>
                <w:szCs w:val="20"/>
              </w:rPr>
            </w:pPr>
            <w:r w:rsidRPr="003476DE">
              <w:rPr>
                <w:b/>
                <w:szCs w:val="20"/>
              </w:rPr>
              <w:t>Clinical criteria:</w:t>
            </w:r>
          </w:p>
        </w:tc>
      </w:tr>
      <w:tr w:rsidR="009A3DA5" w:rsidRPr="00046D64" w14:paraId="700E7066"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38A36961" w14:textId="77777777" w:rsidR="009A3DA5" w:rsidRPr="00046D64" w:rsidRDefault="009A3DA5" w:rsidP="006947F2">
            <w:pPr>
              <w:pStyle w:val="COMTabletext"/>
              <w:keepNext w:val="0"/>
            </w:pPr>
            <w:r w:rsidRPr="00E80400">
              <w:t>Patient must be at a very high risk of fracture;</w:t>
            </w:r>
          </w:p>
        </w:tc>
      </w:tr>
      <w:tr w:rsidR="009A3DA5" w:rsidRPr="00046D64" w14:paraId="57B57347"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4FAE1CD" w14:textId="77777777" w:rsidR="009A3DA5" w:rsidRPr="00046D64" w:rsidRDefault="009A3DA5" w:rsidP="006947F2">
            <w:pPr>
              <w:pStyle w:val="COMTabletext"/>
              <w:keepNext w:val="0"/>
            </w:pPr>
            <w:r w:rsidRPr="00046D64">
              <w:rPr>
                <w:b/>
              </w:rPr>
              <w:t>AND</w:t>
            </w:r>
          </w:p>
        </w:tc>
      </w:tr>
      <w:tr w:rsidR="009A3DA5" w:rsidRPr="003476DE" w14:paraId="0F774E14"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671443BB" w14:textId="77777777" w:rsidR="009A3DA5" w:rsidRPr="003476DE" w:rsidRDefault="009A3DA5" w:rsidP="006947F2">
            <w:pPr>
              <w:pStyle w:val="COMTabletext"/>
              <w:keepNext w:val="0"/>
              <w:rPr>
                <w:szCs w:val="20"/>
              </w:rPr>
            </w:pPr>
            <w:r w:rsidRPr="003476DE">
              <w:rPr>
                <w:b/>
                <w:szCs w:val="20"/>
              </w:rPr>
              <w:t>Clinical criteria:</w:t>
            </w:r>
          </w:p>
        </w:tc>
      </w:tr>
      <w:tr w:rsidR="009A3DA5" w:rsidRPr="00E80400" w14:paraId="31236055"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EFB1361" w14:textId="77777777" w:rsidR="009A3DA5" w:rsidRPr="00E80400" w:rsidRDefault="009A3DA5" w:rsidP="006947F2">
            <w:pPr>
              <w:pStyle w:val="COMTabletext"/>
              <w:keepNext w:val="0"/>
              <w:rPr>
                <w:bCs w:val="0"/>
              </w:rPr>
            </w:pPr>
            <w:r w:rsidRPr="00E80400">
              <w:rPr>
                <w:bCs w:val="0"/>
              </w:rPr>
              <w:t xml:space="preserve">Patient must have a bone mineral density (BMD) T-score </w:t>
            </w:r>
            <w:r w:rsidRPr="00FA20B4">
              <w:rPr>
                <w:bCs w:val="0"/>
              </w:rPr>
              <w:t>of -2.5 or less</w:t>
            </w:r>
            <w:r>
              <w:rPr>
                <w:bCs w:val="0"/>
              </w:rPr>
              <w:t xml:space="preserve"> prior to starting non-PBS-subsidised treatment with this drug for this condition</w:t>
            </w:r>
            <w:r w:rsidRPr="00E80400">
              <w:rPr>
                <w:bCs w:val="0"/>
              </w:rPr>
              <w:t>;</w:t>
            </w:r>
          </w:p>
        </w:tc>
      </w:tr>
      <w:tr w:rsidR="009A3DA5" w:rsidRPr="00046D64" w14:paraId="10D7541B"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5336C87" w14:textId="77777777" w:rsidR="009A3DA5" w:rsidRPr="00046D64" w:rsidRDefault="009A3DA5" w:rsidP="006947F2">
            <w:pPr>
              <w:pStyle w:val="COMTabletext"/>
              <w:keepNext w:val="0"/>
              <w:rPr>
                <w:b/>
              </w:rPr>
            </w:pPr>
            <w:r>
              <w:rPr>
                <w:b/>
              </w:rPr>
              <w:t>AND</w:t>
            </w:r>
          </w:p>
        </w:tc>
      </w:tr>
      <w:tr w:rsidR="009A3DA5" w:rsidRPr="003476DE" w14:paraId="4E0BB19E"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2FC25A37" w14:textId="77777777" w:rsidR="009A3DA5" w:rsidRPr="003476DE" w:rsidRDefault="009A3DA5" w:rsidP="006947F2">
            <w:pPr>
              <w:pStyle w:val="COMTabletext"/>
              <w:keepNext w:val="0"/>
              <w:rPr>
                <w:szCs w:val="20"/>
              </w:rPr>
            </w:pPr>
            <w:r w:rsidRPr="003476DE">
              <w:rPr>
                <w:b/>
                <w:szCs w:val="20"/>
              </w:rPr>
              <w:t>Clinical criteria:</w:t>
            </w:r>
          </w:p>
        </w:tc>
      </w:tr>
      <w:tr w:rsidR="009A3DA5" w:rsidRPr="00E80400" w14:paraId="5BEC7212"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1A9D8BC" w14:textId="77777777" w:rsidR="009A3DA5" w:rsidRPr="00E80400" w:rsidRDefault="009A3DA5" w:rsidP="006947F2">
            <w:pPr>
              <w:pStyle w:val="COMTabletext"/>
              <w:keepNext w:val="0"/>
              <w:rPr>
                <w:bCs w:val="0"/>
              </w:rPr>
            </w:pPr>
            <w:r>
              <w:rPr>
                <w:bCs w:val="0"/>
              </w:rPr>
              <w:t>Patient must have had a fracture due to minimal trauma prior to starting non-PBS-subsidised treatment with this drug for this condition;</w:t>
            </w:r>
          </w:p>
        </w:tc>
      </w:tr>
      <w:tr w:rsidR="009A3DA5" w:rsidRPr="00046D64" w14:paraId="0C77D4F6"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8E10B36" w14:textId="77777777" w:rsidR="009A3DA5" w:rsidRPr="00046D64" w:rsidRDefault="009A3DA5" w:rsidP="006947F2">
            <w:pPr>
              <w:pStyle w:val="COMTabletext"/>
              <w:keepNext w:val="0"/>
              <w:rPr>
                <w:b/>
              </w:rPr>
            </w:pPr>
            <w:r>
              <w:rPr>
                <w:b/>
              </w:rPr>
              <w:t>AND</w:t>
            </w:r>
          </w:p>
        </w:tc>
      </w:tr>
      <w:tr w:rsidR="009A3DA5" w:rsidRPr="003476DE" w14:paraId="45DFEBDD"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6C3199A3" w14:textId="77777777" w:rsidR="009A3DA5" w:rsidRPr="003476DE" w:rsidRDefault="009A3DA5" w:rsidP="006947F2">
            <w:pPr>
              <w:pStyle w:val="COMTabletext"/>
              <w:keepNext w:val="0"/>
              <w:rPr>
                <w:szCs w:val="20"/>
              </w:rPr>
            </w:pPr>
            <w:r w:rsidRPr="003476DE">
              <w:rPr>
                <w:b/>
                <w:szCs w:val="20"/>
              </w:rPr>
              <w:t>Clinical criteria:</w:t>
            </w:r>
          </w:p>
        </w:tc>
      </w:tr>
      <w:tr w:rsidR="009A3DA5" w:rsidRPr="0091208D" w14:paraId="508FB089"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A685B9F" w14:textId="77777777" w:rsidR="009A3DA5" w:rsidRPr="0091208D" w:rsidRDefault="009A3DA5" w:rsidP="006947F2">
            <w:pPr>
              <w:pStyle w:val="COMTabletext"/>
              <w:keepNext w:val="0"/>
              <w:rPr>
                <w:bCs w:val="0"/>
                <w:highlight w:val="green"/>
              </w:rPr>
            </w:pPr>
            <w:r w:rsidRPr="004B6B0D">
              <w:rPr>
                <w:bCs w:val="0"/>
              </w:rPr>
              <w:t>Patient must have had at least 1 hip or symptomatic vertebral fracture in the 24 months prior to starting non-PBS-subsidised treatment with this drug for this condition, OR</w:t>
            </w:r>
          </w:p>
        </w:tc>
      </w:tr>
      <w:tr w:rsidR="009A3DA5" w:rsidRPr="0091208D" w14:paraId="138ABB65"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3746671" w14:textId="77777777" w:rsidR="009A3DA5" w:rsidRPr="0091208D" w:rsidRDefault="009A3DA5" w:rsidP="006947F2">
            <w:pPr>
              <w:pStyle w:val="COMTabletext"/>
              <w:keepNext w:val="0"/>
              <w:rPr>
                <w:bCs w:val="0"/>
                <w:highlight w:val="green"/>
              </w:rPr>
            </w:pPr>
            <w:r w:rsidRPr="004B6B0D">
              <w:rPr>
                <w:bCs w:val="0"/>
              </w:rPr>
              <w:t>Patient must have had at least 2 fractures including 1 symptomatic new fracture in the 24 months prior to starting non-PBS-subsidised treatment with this drug for this condition;</w:t>
            </w:r>
          </w:p>
        </w:tc>
      </w:tr>
      <w:tr w:rsidR="009A3DA5" w:rsidRPr="00046D64" w14:paraId="5FA7CC04"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C43C9F6" w14:textId="77777777" w:rsidR="009A3DA5" w:rsidRPr="00046D64" w:rsidRDefault="009A3DA5" w:rsidP="006947F2">
            <w:pPr>
              <w:pStyle w:val="COMTabletext"/>
              <w:keepNext w:val="0"/>
              <w:rPr>
                <w:b/>
              </w:rPr>
            </w:pPr>
            <w:r>
              <w:rPr>
                <w:b/>
              </w:rPr>
              <w:t>AND</w:t>
            </w:r>
          </w:p>
        </w:tc>
      </w:tr>
      <w:tr w:rsidR="009A3DA5" w:rsidRPr="003476DE" w14:paraId="1F0EBA6B"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434A93A3" w14:textId="77777777" w:rsidR="009A3DA5" w:rsidRPr="003476DE" w:rsidRDefault="009A3DA5" w:rsidP="006947F2">
            <w:pPr>
              <w:pStyle w:val="COMTabletext"/>
              <w:keepNext w:val="0"/>
              <w:rPr>
                <w:szCs w:val="20"/>
              </w:rPr>
            </w:pPr>
            <w:r w:rsidRPr="003476DE">
              <w:rPr>
                <w:b/>
                <w:szCs w:val="20"/>
              </w:rPr>
              <w:t>Clinical criteria:</w:t>
            </w:r>
          </w:p>
        </w:tc>
      </w:tr>
      <w:tr w:rsidR="009A3DA5" w:rsidRPr="004E23D1" w14:paraId="44AFCBD3"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3126B6C" w14:textId="77777777" w:rsidR="009A3DA5" w:rsidRPr="004E23D1" w:rsidRDefault="009A3DA5" w:rsidP="006947F2">
            <w:pPr>
              <w:pStyle w:val="COMTabletext"/>
              <w:keepNext w:val="0"/>
              <w:rPr>
                <w:bCs w:val="0"/>
              </w:rPr>
            </w:pPr>
            <w:r w:rsidRPr="004E23D1">
              <w:rPr>
                <w:bCs w:val="0"/>
              </w:rPr>
              <w:t>The treatment must be the sole PBS-subsidised therapy for this condition;</w:t>
            </w:r>
          </w:p>
        </w:tc>
      </w:tr>
      <w:tr w:rsidR="009A3DA5" w14:paraId="41C2DA03"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72B4355" w14:textId="77777777" w:rsidR="009A3DA5" w:rsidRDefault="009A3DA5" w:rsidP="006947F2">
            <w:pPr>
              <w:pStyle w:val="COMTabletext"/>
              <w:keepNext w:val="0"/>
              <w:rPr>
                <w:b/>
              </w:rPr>
            </w:pPr>
            <w:r>
              <w:rPr>
                <w:b/>
              </w:rPr>
              <w:t>AND</w:t>
            </w:r>
          </w:p>
        </w:tc>
      </w:tr>
      <w:tr w:rsidR="009A3DA5" w:rsidRPr="000D70FB" w14:paraId="0B53411A"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6B327F87" w14:textId="77777777" w:rsidR="009A3DA5" w:rsidRPr="000D70FB" w:rsidRDefault="009A3DA5" w:rsidP="006947F2">
            <w:pPr>
              <w:pStyle w:val="COMTabletext"/>
              <w:keepNext w:val="0"/>
              <w:rPr>
                <w:szCs w:val="20"/>
              </w:rPr>
            </w:pPr>
            <w:r w:rsidRPr="000D70FB">
              <w:rPr>
                <w:b/>
                <w:szCs w:val="20"/>
              </w:rPr>
              <w:t>Clinical criteria:</w:t>
            </w:r>
          </w:p>
        </w:tc>
      </w:tr>
      <w:tr w:rsidR="009A3DA5" w:rsidRPr="000D70FB" w14:paraId="41E5E79D"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3F53B05" w14:textId="77777777" w:rsidR="009A3DA5" w:rsidRPr="000D70FB" w:rsidRDefault="009A3DA5" w:rsidP="006947F2">
            <w:pPr>
              <w:pStyle w:val="COMTabletext"/>
              <w:keepNext w:val="0"/>
              <w:rPr>
                <w:bCs w:val="0"/>
              </w:rPr>
            </w:pPr>
            <w:r w:rsidRPr="000D70FB">
              <w:rPr>
                <w:bCs w:val="0"/>
              </w:rPr>
              <w:t>The treatment must not exceed a lifetime maximum of 12 months of PBS-subsidised therapy;</w:t>
            </w:r>
          </w:p>
        </w:tc>
      </w:tr>
      <w:tr w:rsidR="009A3DA5" w14:paraId="2DE0F700"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BF33FBD" w14:textId="77777777" w:rsidR="009A3DA5" w:rsidRDefault="009A3DA5" w:rsidP="006947F2">
            <w:pPr>
              <w:pStyle w:val="COMTabletext"/>
              <w:keepNext w:val="0"/>
              <w:rPr>
                <w:b/>
              </w:rPr>
            </w:pPr>
            <w:r>
              <w:rPr>
                <w:b/>
              </w:rPr>
              <w:t>AND</w:t>
            </w:r>
          </w:p>
        </w:tc>
      </w:tr>
      <w:tr w:rsidR="009A3DA5" w:rsidRPr="003476DE" w14:paraId="3889F621"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2A707D77" w14:textId="77777777" w:rsidR="009A3DA5" w:rsidRPr="003476DE" w:rsidRDefault="009A3DA5" w:rsidP="006947F2">
            <w:pPr>
              <w:pStyle w:val="COMTabletext"/>
              <w:keepNext w:val="0"/>
              <w:rPr>
                <w:szCs w:val="20"/>
              </w:rPr>
            </w:pPr>
            <w:r w:rsidRPr="003476DE">
              <w:rPr>
                <w:b/>
                <w:szCs w:val="20"/>
              </w:rPr>
              <w:lastRenderedPageBreak/>
              <w:t>Clinical criteria:</w:t>
            </w:r>
          </w:p>
        </w:tc>
      </w:tr>
      <w:tr w:rsidR="009A3DA5" w:rsidRPr="00046D64" w14:paraId="5ADB5C89"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FB416CC" w14:textId="77777777" w:rsidR="009A3DA5" w:rsidRPr="00046D64" w:rsidRDefault="009A3DA5" w:rsidP="006947F2">
            <w:pPr>
              <w:pStyle w:val="COMTabletext"/>
              <w:keepNext w:val="0"/>
            </w:pPr>
            <w:r>
              <w:t>Patients must not have received treatment with PBS-subsidised teriparatide; OR patient must have developed intolerance to teriparatide of a severity necessitating permanent treatment withdrawal within the first 6 months of therapy.</w:t>
            </w:r>
          </w:p>
        </w:tc>
      </w:tr>
      <w:tr w:rsidR="009A3DA5" w:rsidRPr="00046D64" w14:paraId="5964193D"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2C79D81A" w14:textId="77777777" w:rsidR="009A3DA5" w:rsidRPr="00046D64" w:rsidRDefault="009A3DA5" w:rsidP="006947F2">
            <w:pPr>
              <w:pStyle w:val="COMTabletext"/>
              <w:keepNext w:val="0"/>
            </w:pPr>
            <w:r w:rsidRPr="00046D64">
              <w:rPr>
                <w:b/>
              </w:rPr>
              <w:t>Treatment criteria:</w:t>
            </w:r>
          </w:p>
        </w:tc>
      </w:tr>
      <w:tr w:rsidR="009A3DA5" w:rsidRPr="00A9452B" w14:paraId="727FFC08"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029110C" w14:textId="77777777" w:rsidR="009A3DA5" w:rsidRPr="00A9452B" w:rsidRDefault="009A3DA5" w:rsidP="006947F2">
            <w:pPr>
              <w:pStyle w:val="COMTabletext"/>
              <w:keepNext w:val="0"/>
              <w:rPr>
                <w:i/>
                <w:iCs/>
              </w:rPr>
            </w:pPr>
            <w:r w:rsidRPr="00A9452B">
              <w:t>Must be treated by a consultant physician</w:t>
            </w:r>
          </w:p>
        </w:tc>
      </w:tr>
      <w:tr w:rsidR="009A3DA5" w:rsidRPr="00046D64" w14:paraId="5B3A2A7A" w14:textId="77777777" w:rsidTr="004A4DDD">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32F4B6B8" w14:textId="379C1DA4" w:rsidR="009A3DA5" w:rsidRPr="00601D40" w:rsidRDefault="009A3DA5" w:rsidP="006947F2">
            <w:pPr>
              <w:rPr>
                <w:rFonts w:ascii="Arial Narrow" w:hAnsi="Arial Narrow"/>
                <w:sz w:val="20"/>
                <w:szCs w:val="20"/>
              </w:rPr>
            </w:pPr>
            <w:r w:rsidRPr="00601D40">
              <w:rPr>
                <w:rFonts w:ascii="Arial Narrow" w:hAnsi="Arial Narrow"/>
                <w:b/>
                <w:sz w:val="20"/>
                <w:szCs w:val="20"/>
              </w:rPr>
              <w:t xml:space="preserve">Prescribing Instructions: </w:t>
            </w:r>
            <w:r w:rsidRPr="00601D40">
              <w:rPr>
                <w:rFonts w:ascii="Arial Narrow" w:hAnsi="Arial Narrow"/>
                <w:sz w:val="20"/>
                <w:szCs w:val="20"/>
              </w:rP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p w14:paraId="71127567" w14:textId="77777777" w:rsidR="009A3DA5" w:rsidRPr="00601D40" w:rsidRDefault="009A3DA5" w:rsidP="006947F2">
            <w:pPr>
              <w:rPr>
                <w:rFonts w:ascii="Arial Narrow" w:hAnsi="Arial Narrow"/>
                <w:sz w:val="20"/>
                <w:szCs w:val="20"/>
              </w:rPr>
            </w:pPr>
          </w:p>
          <w:p w14:paraId="6C2ED1F9" w14:textId="77777777" w:rsidR="009A3DA5" w:rsidRPr="00046D64" w:rsidRDefault="009A3DA5" w:rsidP="006947F2">
            <w:pPr>
              <w:pStyle w:val="COMTabletext"/>
              <w:keepNext w:val="0"/>
            </w:pPr>
            <w:r w:rsidRPr="00601D40">
              <w:rPr>
                <w:szCs w:val="20"/>
              </w:rPr>
              <w:t>Details of fracture history including the date(s), site(s), the symptoms associated with the fracture(s) and the score of the qualifying BMD measurement must be provided at the time of application.</w:t>
            </w:r>
          </w:p>
        </w:tc>
      </w:tr>
    </w:tbl>
    <w:p w14:paraId="3AEEE5C1" w14:textId="77777777" w:rsidR="00ED4483" w:rsidRPr="00040D09" w:rsidRDefault="00ED4483" w:rsidP="004B1CB4"/>
    <w:p w14:paraId="0BE4D5DE" w14:textId="6AFC721A" w:rsidR="006D78B0" w:rsidRPr="00810C1E" w:rsidRDefault="006D78B0" w:rsidP="00BE7594">
      <w:pPr>
        <w:pStyle w:val="COMexecsumnumberedpara"/>
        <w:rPr>
          <w:color w:val="0066FF"/>
        </w:rPr>
      </w:pPr>
      <w:bookmarkStart w:id="11" w:name="_Ref130127278"/>
      <w:r w:rsidRPr="00202B3F">
        <w:t xml:space="preserve">The proposed published price is the same as the current price of romosozumab on the PBS for the treatment of severe osteoporosis in the second-line setting. The resubmission stated </w:t>
      </w:r>
      <w:r w:rsidRPr="00BB5864">
        <w:t>that the proposed effective DPMQ of $</w:t>
      </w:r>
      <w:r w:rsidR="009E0870" w:rsidRPr="009E0870">
        <w:rPr>
          <w:color w:val="000000"/>
          <w:w w:val="24"/>
          <w:shd w:val="solid" w:color="000000" w:fill="000000"/>
          <w:fitText w:val="80" w:id="-1232957690"/>
          <w14:textFill>
            <w14:solidFill>
              <w14:srgbClr w14:val="000000">
                <w14:alpha w14:val="100000"/>
              </w14:srgbClr>
            </w14:solidFill>
          </w14:textFill>
        </w:rPr>
        <w:t xml:space="preserve">|  </w:t>
      </w:r>
      <w:r w:rsidR="009E0870" w:rsidRPr="009E0870">
        <w:rPr>
          <w:color w:val="000000"/>
          <w:spacing w:val="1"/>
          <w:w w:val="24"/>
          <w:shd w:val="solid" w:color="000000" w:fill="000000"/>
          <w:fitText w:val="80" w:id="-1232957690"/>
          <w14:textFill>
            <w14:solidFill>
              <w14:srgbClr w14:val="000000">
                <w14:alpha w14:val="100000"/>
              </w14:srgbClr>
            </w14:solidFill>
          </w14:textFill>
        </w:rPr>
        <w:t>|</w:t>
      </w:r>
      <w:r w:rsidRPr="00BB5864">
        <w:t>(lower than the existing effective price of $</w:t>
      </w:r>
      <w:r w:rsidR="009E0870" w:rsidRPr="009E0870">
        <w:rPr>
          <w:color w:val="000000"/>
          <w:w w:val="24"/>
          <w:shd w:val="solid" w:color="000000" w:fill="000000"/>
          <w:fitText w:val="80" w:id="-1232957689"/>
          <w14:textFill>
            <w14:solidFill>
              <w14:srgbClr w14:val="000000">
                <w14:alpha w14:val="100000"/>
              </w14:srgbClr>
            </w14:solidFill>
          </w14:textFill>
        </w:rPr>
        <w:t xml:space="preserve">|  </w:t>
      </w:r>
      <w:r w:rsidR="009E0870" w:rsidRPr="009E0870">
        <w:rPr>
          <w:color w:val="000000"/>
          <w:spacing w:val="1"/>
          <w:w w:val="24"/>
          <w:shd w:val="solid" w:color="000000" w:fill="000000"/>
          <w:fitText w:val="80" w:id="-1232957689"/>
          <w14:textFill>
            <w14:solidFill>
              <w14:srgbClr w14:val="000000">
                <w14:alpha w14:val="100000"/>
              </w14:srgbClr>
            </w14:solidFill>
          </w14:textFill>
        </w:rPr>
        <w:t>|</w:t>
      </w:r>
      <w:r w:rsidRPr="00BB5864">
        <w:t xml:space="preserve">) would apply to both current and proposed listings. </w:t>
      </w:r>
      <w:r w:rsidR="00B85807" w:rsidRPr="00BB5864">
        <w:t xml:space="preserve"> </w:t>
      </w:r>
      <w:r w:rsidR="007F3F3F" w:rsidRPr="00BB5864">
        <w:t>The Pre-Sub-Committee Response (</w:t>
      </w:r>
      <w:r w:rsidR="007F3F3F" w:rsidRPr="00810C1E">
        <w:t xml:space="preserve">PSCR) </w:t>
      </w:r>
      <w:r w:rsidR="00072D75">
        <w:t xml:space="preserve">and pre-PBAC response </w:t>
      </w:r>
      <w:r w:rsidR="007F3F3F" w:rsidRPr="00810C1E">
        <w:t>reiterated that the sponsor has reduced the price of romosozumab to the extent possible and is unable to accommodate any further price reduction.</w:t>
      </w:r>
      <w:bookmarkEnd w:id="11"/>
    </w:p>
    <w:p w14:paraId="5C340C3F" w14:textId="77777777" w:rsidR="00CC4811" w:rsidRPr="003074AF" w:rsidRDefault="00CC4811" w:rsidP="00994273">
      <w:pPr>
        <w:pStyle w:val="COMexecsumnumberedpara"/>
      </w:pPr>
      <w:r w:rsidRPr="003074AF">
        <w:t>The requested restrictions are narrower than the TGA indication (patients with osteoporosis at a high risk of fracture) as they are limited to secondary prevention, in a subset of patients with severe osteoporosis at very high risk of fracture who meet specific clinical criteria relating to fracture history (number, location, severity, recency) and BMD T-scores.</w:t>
      </w:r>
    </w:p>
    <w:p w14:paraId="068F83E7" w14:textId="0764C826" w:rsidR="00CC4811" w:rsidRDefault="00CC4811" w:rsidP="00994273">
      <w:pPr>
        <w:pStyle w:val="COMexecsumnumberedpara"/>
      </w:pPr>
      <w:r>
        <w:t>A comparison of the clinical criteria proposed in the July 2022 pre-PBAC response and in the current resubmission are presented in</w:t>
      </w:r>
      <w:r w:rsidR="00D52429">
        <w:t xml:space="preserve"> </w:t>
      </w:r>
      <w:r w:rsidR="00D52429">
        <w:fldChar w:fldCharType="begin" w:fldLock="1"/>
      </w:r>
      <w:r w:rsidR="00D52429">
        <w:instrText xml:space="preserve"> REF _Ref121664691 \h </w:instrText>
      </w:r>
      <w:r w:rsidR="00D52429">
        <w:fldChar w:fldCharType="separate"/>
      </w:r>
      <w:r w:rsidR="00605CB9" w:rsidRPr="007D2D5F">
        <w:t xml:space="preserve">Table </w:t>
      </w:r>
      <w:r w:rsidR="00605CB9">
        <w:rPr>
          <w:noProof/>
        </w:rPr>
        <w:t>3</w:t>
      </w:r>
      <w:r w:rsidR="00D52429">
        <w:fldChar w:fldCharType="end"/>
      </w:r>
      <w:r>
        <w:t>.</w:t>
      </w:r>
    </w:p>
    <w:p w14:paraId="57E285EF" w14:textId="7AC505C3" w:rsidR="00CC4811" w:rsidRDefault="00CC4811" w:rsidP="004A4DDD">
      <w:pPr>
        <w:pStyle w:val="COMtablefigcaption"/>
        <w:keepLines/>
      </w:pPr>
      <w:bookmarkStart w:id="12" w:name="_Ref121664691"/>
      <w:r w:rsidRPr="007D2D5F">
        <w:t xml:space="preserve">Table </w:t>
      </w:r>
      <w:fldSimple w:instr=" SEQ Table \* ARABIC " w:fldLock="1">
        <w:r w:rsidR="00B20BD0">
          <w:rPr>
            <w:noProof/>
          </w:rPr>
          <w:t>3</w:t>
        </w:r>
      </w:fldSimple>
      <w:bookmarkEnd w:id="12"/>
      <w:r w:rsidRPr="007D2D5F">
        <w:t xml:space="preserve">: </w:t>
      </w:r>
      <w:r>
        <w:t xml:space="preserve">Comparison of fracture criteria for initial restriction proposed </w:t>
      </w:r>
      <w:r w:rsidR="00D27486">
        <w:t>in</w:t>
      </w:r>
      <w:r>
        <w:t xml:space="preserve"> the July 2022 pre-PBAC </w:t>
      </w:r>
      <w:r w:rsidR="00D27486">
        <w:t xml:space="preserve">response </w:t>
      </w:r>
      <w:r>
        <w:t>and in current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8"/>
        <w:gridCol w:w="4509"/>
      </w:tblGrid>
      <w:tr w:rsidR="00CC4811" w:rsidRPr="00380F09" w14:paraId="49676AD9" w14:textId="77777777" w:rsidTr="0077002B">
        <w:trPr>
          <w:trHeight w:val="93"/>
        </w:trPr>
        <w:tc>
          <w:tcPr>
            <w:tcW w:w="4508" w:type="dxa"/>
          </w:tcPr>
          <w:p w14:paraId="2838F944" w14:textId="77777777" w:rsidR="00CC4811" w:rsidRPr="00380F09" w:rsidRDefault="00CC4811" w:rsidP="004A4DDD">
            <w:pPr>
              <w:keepNext/>
              <w:keepLines/>
              <w:autoSpaceDE w:val="0"/>
              <w:autoSpaceDN w:val="0"/>
              <w:adjustRightInd w:val="0"/>
              <w:jc w:val="left"/>
              <w:rPr>
                <w:rFonts w:ascii="Arial Narrow" w:hAnsi="Arial Narrow"/>
                <w:color w:val="000000"/>
                <w:sz w:val="20"/>
                <w:szCs w:val="20"/>
              </w:rPr>
            </w:pPr>
            <w:r>
              <w:rPr>
                <w:rFonts w:ascii="Arial Narrow" w:hAnsi="Arial Narrow"/>
                <w:b/>
                <w:bCs/>
                <w:color w:val="000000"/>
                <w:sz w:val="20"/>
                <w:szCs w:val="20"/>
              </w:rPr>
              <w:t>Criteria proposed at July 2022 pre-PBAC meeting</w:t>
            </w:r>
          </w:p>
        </w:tc>
        <w:tc>
          <w:tcPr>
            <w:tcW w:w="4509" w:type="dxa"/>
          </w:tcPr>
          <w:p w14:paraId="2CBF7E92" w14:textId="77777777" w:rsidR="00CC4811" w:rsidRPr="00380F09" w:rsidRDefault="00CC4811" w:rsidP="004A4DDD">
            <w:pPr>
              <w:keepNext/>
              <w:keepLines/>
              <w:autoSpaceDE w:val="0"/>
              <w:autoSpaceDN w:val="0"/>
              <w:adjustRightInd w:val="0"/>
              <w:jc w:val="left"/>
              <w:rPr>
                <w:rFonts w:ascii="Arial Narrow" w:hAnsi="Arial Narrow"/>
                <w:b/>
                <w:bCs/>
                <w:color w:val="000000"/>
                <w:sz w:val="20"/>
                <w:szCs w:val="20"/>
              </w:rPr>
            </w:pPr>
            <w:r>
              <w:rPr>
                <w:rFonts w:ascii="Arial Narrow" w:hAnsi="Arial Narrow"/>
                <w:b/>
                <w:bCs/>
                <w:color w:val="000000"/>
                <w:sz w:val="20"/>
                <w:szCs w:val="20"/>
              </w:rPr>
              <w:t>Criteria proposed in current resubmission</w:t>
            </w:r>
          </w:p>
        </w:tc>
      </w:tr>
      <w:tr w:rsidR="00CC4811" w:rsidRPr="00380F09" w14:paraId="6DF03397" w14:textId="77777777" w:rsidTr="0077002B">
        <w:trPr>
          <w:trHeight w:val="451"/>
        </w:trPr>
        <w:tc>
          <w:tcPr>
            <w:tcW w:w="4508" w:type="dxa"/>
          </w:tcPr>
          <w:p w14:paraId="1F7AEF6F" w14:textId="462E98FD" w:rsidR="00CC4811" w:rsidRDefault="00CC4811" w:rsidP="004A4DDD">
            <w:pPr>
              <w:keepNext/>
              <w:keepLines/>
              <w:autoSpaceDE w:val="0"/>
              <w:autoSpaceDN w:val="0"/>
              <w:adjustRightInd w:val="0"/>
              <w:jc w:val="left"/>
              <w:rPr>
                <w:rFonts w:ascii="Arial Narrow" w:hAnsi="Arial Narrow"/>
                <w:color w:val="000000"/>
                <w:sz w:val="20"/>
                <w:szCs w:val="20"/>
              </w:rPr>
            </w:pPr>
            <w:r>
              <w:rPr>
                <w:rFonts w:ascii="Arial Narrow" w:hAnsi="Arial Narrow"/>
                <w:color w:val="000000"/>
                <w:sz w:val="20"/>
                <w:szCs w:val="20"/>
              </w:rPr>
              <w:t>First or second-line</w:t>
            </w:r>
          </w:p>
          <w:p w14:paraId="2CE6D33F" w14:textId="3C7946DA" w:rsidR="00781288" w:rsidRDefault="00CC4811" w:rsidP="004A4DDD">
            <w:pPr>
              <w:keepNext/>
              <w:keepLines/>
              <w:autoSpaceDE w:val="0"/>
              <w:autoSpaceDN w:val="0"/>
              <w:adjustRightInd w:val="0"/>
              <w:jc w:val="left"/>
              <w:rPr>
                <w:rFonts w:ascii="Arial Narrow" w:hAnsi="Arial Narrow"/>
                <w:color w:val="000000"/>
                <w:sz w:val="20"/>
                <w:szCs w:val="20"/>
              </w:rPr>
            </w:pPr>
            <w:r w:rsidRPr="00380F09">
              <w:rPr>
                <w:rFonts w:ascii="Arial Narrow" w:hAnsi="Arial Narrow"/>
                <w:color w:val="000000"/>
                <w:sz w:val="20"/>
                <w:szCs w:val="20"/>
              </w:rPr>
              <w:t>•</w:t>
            </w:r>
            <w:r w:rsidR="00781288">
              <w:rPr>
                <w:rFonts w:ascii="Arial Narrow" w:hAnsi="Arial Narrow"/>
                <w:color w:val="000000"/>
                <w:sz w:val="20"/>
                <w:szCs w:val="20"/>
              </w:rPr>
              <w:t xml:space="preserve"> Patient must have had at least 1 symptomatic minimal trauma fracture</w:t>
            </w:r>
            <w:r w:rsidRPr="00380F09">
              <w:rPr>
                <w:rFonts w:ascii="Arial Narrow" w:hAnsi="Arial Narrow"/>
                <w:color w:val="000000"/>
                <w:sz w:val="20"/>
                <w:szCs w:val="20"/>
              </w:rPr>
              <w:t xml:space="preserve"> </w:t>
            </w:r>
          </w:p>
          <w:p w14:paraId="4A403EAE" w14:textId="74843FDD" w:rsidR="00CC4811" w:rsidRPr="00380F09" w:rsidRDefault="00C61C73" w:rsidP="004A4DDD">
            <w:pPr>
              <w:keepNext/>
              <w:keepLines/>
              <w:autoSpaceDE w:val="0"/>
              <w:autoSpaceDN w:val="0"/>
              <w:adjustRightInd w:val="0"/>
              <w:jc w:val="left"/>
              <w:rPr>
                <w:rFonts w:ascii="Arial Narrow" w:hAnsi="Arial Narrow"/>
                <w:color w:val="000000"/>
                <w:sz w:val="20"/>
                <w:szCs w:val="20"/>
              </w:rPr>
            </w:pPr>
            <w:r w:rsidRPr="00380F09">
              <w:rPr>
                <w:rFonts w:ascii="Arial Narrow" w:hAnsi="Arial Narrow"/>
                <w:color w:val="000000"/>
                <w:sz w:val="20"/>
                <w:szCs w:val="20"/>
              </w:rPr>
              <w:t>•</w:t>
            </w:r>
            <w:r>
              <w:rPr>
                <w:rFonts w:ascii="Arial Narrow" w:hAnsi="Arial Narrow"/>
                <w:color w:val="000000"/>
                <w:sz w:val="20"/>
                <w:szCs w:val="20"/>
              </w:rPr>
              <w:t xml:space="preserve"> </w:t>
            </w:r>
            <w:r w:rsidR="00CC4811" w:rsidRPr="00380F09">
              <w:rPr>
                <w:rFonts w:ascii="Arial Narrow" w:hAnsi="Arial Narrow"/>
                <w:color w:val="000000"/>
                <w:sz w:val="20"/>
                <w:szCs w:val="20"/>
              </w:rPr>
              <w:t xml:space="preserve">Patient must have had at least 1 hip or symptomatic vertebral fracture in the previous 24 months, OR </w:t>
            </w:r>
          </w:p>
          <w:p w14:paraId="1DB16C62" w14:textId="77777777" w:rsidR="00CC4811" w:rsidRDefault="00CC4811" w:rsidP="004A4DDD">
            <w:pPr>
              <w:keepNext/>
              <w:keepLines/>
              <w:autoSpaceDE w:val="0"/>
              <w:autoSpaceDN w:val="0"/>
              <w:adjustRightInd w:val="0"/>
              <w:jc w:val="left"/>
              <w:rPr>
                <w:rFonts w:ascii="Arial Narrow" w:hAnsi="Arial Narrow"/>
                <w:color w:val="000000"/>
                <w:sz w:val="20"/>
                <w:szCs w:val="20"/>
              </w:rPr>
            </w:pPr>
            <w:r w:rsidRPr="00380F09">
              <w:rPr>
                <w:rFonts w:ascii="Arial Narrow" w:hAnsi="Arial Narrow"/>
                <w:color w:val="000000"/>
                <w:sz w:val="20"/>
                <w:szCs w:val="20"/>
              </w:rPr>
              <w:t xml:space="preserve">• Patient must have had </w:t>
            </w:r>
            <w:r w:rsidRPr="000D3A30">
              <w:rPr>
                <w:rFonts w:ascii="Arial Narrow" w:hAnsi="Arial Narrow"/>
                <w:color w:val="000000"/>
                <w:sz w:val="20"/>
                <w:szCs w:val="20"/>
                <w:u w:val="single"/>
              </w:rPr>
              <w:t>multiple symptomatic fractures including 1 in the previous 24 months</w:t>
            </w:r>
            <w:r w:rsidRPr="00380F09">
              <w:rPr>
                <w:rFonts w:ascii="Arial Narrow" w:hAnsi="Arial Narrow"/>
                <w:color w:val="000000"/>
                <w:sz w:val="20"/>
                <w:szCs w:val="20"/>
              </w:rPr>
              <w:t>, OR</w:t>
            </w:r>
          </w:p>
          <w:p w14:paraId="3A97B6E8" w14:textId="77777777" w:rsidR="00CC4811" w:rsidRDefault="00CC4811" w:rsidP="004A4DDD">
            <w:pPr>
              <w:keepNext/>
              <w:keepLines/>
              <w:autoSpaceDE w:val="0"/>
              <w:autoSpaceDN w:val="0"/>
              <w:adjustRightInd w:val="0"/>
              <w:jc w:val="left"/>
              <w:rPr>
                <w:rFonts w:ascii="Arial Narrow" w:hAnsi="Arial Narrow"/>
                <w:color w:val="000000"/>
                <w:sz w:val="20"/>
                <w:szCs w:val="20"/>
              </w:rPr>
            </w:pPr>
          </w:p>
          <w:p w14:paraId="6950AACF" w14:textId="77777777" w:rsidR="00CC4811" w:rsidRPr="00380F09" w:rsidRDefault="00CC4811" w:rsidP="004A4DDD">
            <w:pPr>
              <w:keepNext/>
              <w:keepLines/>
              <w:autoSpaceDE w:val="0"/>
              <w:autoSpaceDN w:val="0"/>
              <w:adjustRightInd w:val="0"/>
              <w:jc w:val="left"/>
              <w:rPr>
                <w:rFonts w:ascii="Arial Narrow" w:hAnsi="Arial Narrow"/>
                <w:color w:val="000000"/>
                <w:sz w:val="20"/>
                <w:szCs w:val="20"/>
              </w:rPr>
            </w:pPr>
            <w:r>
              <w:rPr>
                <w:rFonts w:ascii="Arial Narrow" w:hAnsi="Arial Narrow"/>
                <w:color w:val="000000"/>
                <w:sz w:val="20"/>
                <w:szCs w:val="20"/>
              </w:rPr>
              <w:t>Second-line</w:t>
            </w:r>
            <w:r w:rsidRPr="00380F09">
              <w:rPr>
                <w:rFonts w:ascii="Arial Narrow" w:hAnsi="Arial Narrow"/>
                <w:color w:val="000000"/>
                <w:sz w:val="20"/>
                <w:szCs w:val="20"/>
              </w:rPr>
              <w:t xml:space="preserve"> </w:t>
            </w:r>
          </w:p>
          <w:p w14:paraId="56B5C0CF" w14:textId="77777777" w:rsidR="00CC4811" w:rsidRPr="00380F09" w:rsidRDefault="00CC4811" w:rsidP="004A4DDD">
            <w:pPr>
              <w:keepNext/>
              <w:keepLines/>
              <w:autoSpaceDE w:val="0"/>
              <w:autoSpaceDN w:val="0"/>
              <w:adjustRightInd w:val="0"/>
              <w:jc w:val="left"/>
              <w:rPr>
                <w:rFonts w:ascii="Arial Narrow" w:hAnsi="Arial Narrow"/>
                <w:color w:val="000000"/>
                <w:sz w:val="20"/>
                <w:szCs w:val="20"/>
              </w:rPr>
            </w:pPr>
            <w:r w:rsidRPr="00380F09">
              <w:rPr>
                <w:rFonts w:ascii="Arial Narrow" w:hAnsi="Arial Narrow"/>
                <w:color w:val="000000"/>
                <w:sz w:val="20"/>
                <w:szCs w:val="20"/>
              </w:rPr>
              <w:t xml:space="preserve">• </w:t>
            </w:r>
            <w:r w:rsidRPr="005B72F2">
              <w:rPr>
                <w:rFonts w:ascii="Arial Narrow" w:hAnsi="Arial Narrow"/>
                <w:strike/>
                <w:color w:val="000000"/>
                <w:sz w:val="20"/>
                <w:szCs w:val="20"/>
              </w:rPr>
              <w:t>Patient must have experienced at least 1 symptomatic new fracture after at least 12 months continuous therapy with an anti-resorptive agent at adequate doses.</w:t>
            </w:r>
            <w:r w:rsidRPr="00380F09">
              <w:rPr>
                <w:rFonts w:ascii="Arial Narrow" w:hAnsi="Arial Narrow"/>
                <w:color w:val="000000"/>
                <w:sz w:val="20"/>
                <w:szCs w:val="20"/>
              </w:rPr>
              <w:t xml:space="preserve"> </w:t>
            </w:r>
          </w:p>
        </w:tc>
        <w:tc>
          <w:tcPr>
            <w:tcW w:w="4509" w:type="dxa"/>
          </w:tcPr>
          <w:p w14:paraId="15B29779" w14:textId="0FC5278F" w:rsidR="00CC4811" w:rsidRDefault="00CC4811" w:rsidP="004A4DDD">
            <w:pPr>
              <w:keepNext/>
              <w:keepLines/>
              <w:contextualSpacing/>
              <w:jc w:val="left"/>
              <w:rPr>
                <w:rFonts w:ascii="Arial Narrow" w:hAnsi="Arial Narrow"/>
                <w:color w:val="000000"/>
                <w:sz w:val="20"/>
                <w:szCs w:val="20"/>
              </w:rPr>
            </w:pPr>
            <w:r>
              <w:rPr>
                <w:rFonts w:ascii="Arial Narrow" w:hAnsi="Arial Narrow"/>
                <w:color w:val="000000"/>
                <w:sz w:val="20"/>
                <w:szCs w:val="20"/>
              </w:rPr>
              <w:t xml:space="preserve">First or </w:t>
            </w:r>
            <w:r w:rsidR="00C94E7C">
              <w:rPr>
                <w:rFonts w:ascii="Arial Narrow" w:hAnsi="Arial Narrow"/>
                <w:color w:val="000000"/>
                <w:sz w:val="20"/>
                <w:szCs w:val="20"/>
              </w:rPr>
              <w:t>s</w:t>
            </w:r>
            <w:r>
              <w:rPr>
                <w:rFonts w:ascii="Arial Narrow" w:hAnsi="Arial Narrow"/>
                <w:color w:val="000000"/>
                <w:sz w:val="20"/>
                <w:szCs w:val="20"/>
              </w:rPr>
              <w:t>econd-line</w:t>
            </w:r>
          </w:p>
          <w:p w14:paraId="7F69C15D" w14:textId="77777777" w:rsidR="00CC4811" w:rsidRDefault="00CC4811" w:rsidP="004A4DDD">
            <w:pPr>
              <w:keepNext/>
              <w:keepLines/>
              <w:contextualSpacing/>
              <w:jc w:val="left"/>
              <w:rPr>
                <w:rFonts w:ascii="Arial Narrow" w:hAnsi="Arial Narrow"/>
                <w:color w:val="000000"/>
                <w:sz w:val="20"/>
                <w:szCs w:val="20"/>
              </w:rPr>
            </w:pPr>
            <w:r w:rsidRPr="00BA7013">
              <w:rPr>
                <w:rFonts w:ascii="Arial Narrow" w:hAnsi="Arial Narrow"/>
                <w:color w:val="000000"/>
                <w:sz w:val="20"/>
                <w:szCs w:val="20"/>
              </w:rPr>
              <w:t>•</w:t>
            </w:r>
            <w:r>
              <w:rPr>
                <w:rFonts w:ascii="Arial Narrow" w:hAnsi="Arial Narrow"/>
                <w:color w:val="000000"/>
                <w:sz w:val="20"/>
                <w:szCs w:val="20"/>
              </w:rPr>
              <w:t xml:space="preserve"> Patient must have had a fracture due to minimal trauma AND</w:t>
            </w:r>
          </w:p>
          <w:p w14:paraId="172C06C5" w14:textId="77777777" w:rsidR="00CC4811" w:rsidRPr="00BA7013" w:rsidRDefault="00CC4811" w:rsidP="004A4DDD">
            <w:pPr>
              <w:keepNext/>
              <w:keepLines/>
              <w:contextualSpacing/>
              <w:jc w:val="left"/>
              <w:rPr>
                <w:rFonts w:ascii="Arial Narrow" w:hAnsi="Arial Narrow"/>
                <w:sz w:val="20"/>
                <w:szCs w:val="16"/>
              </w:rPr>
            </w:pPr>
            <w:r w:rsidRPr="00BA7013">
              <w:rPr>
                <w:rFonts w:ascii="Arial Narrow" w:hAnsi="Arial Narrow"/>
                <w:color w:val="000000"/>
                <w:sz w:val="20"/>
                <w:szCs w:val="20"/>
              </w:rPr>
              <w:t>•</w:t>
            </w:r>
            <w:r>
              <w:rPr>
                <w:rFonts w:ascii="Arial Narrow" w:hAnsi="Arial Narrow"/>
                <w:color w:val="000000"/>
                <w:sz w:val="20"/>
                <w:szCs w:val="20"/>
              </w:rPr>
              <w:t xml:space="preserve"> </w:t>
            </w:r>
            <w:r w:rsidRPr="00BA7013">
              <w:rPr>
                <w:rFonts w:ascii="Arial Narrow" w:hAnsi="Arial Narrow"/>
                <w:sz w:val="20"/>
                <w:szCs w:val="16"/>
              </w:rPr>
              <w:t>Patient must have had at least 1 hip or symptomatic vertebral fracture in the previous 24 months, OR</w:t>
            </w:r>
          </w:p>
          <w:p w14:paraId="0F0C8252" w14:textId="77777777" w:rsidR="00CC4811" w:rsidRPr="00BA7013" w:rsidRDefault="00CC4811" w:rsidP="004A4DDD">
            <w:pPr>
              <w:keepNext/>
              <w:keepLines/>
              <w:autoSpaceDE w:val="0"/>
              <w:autoSpaceDN w:val="0"/>
              <w:adjustRightInd w:val="0"/>
              <w:jc w:val="left"/>
              <w:rPr>
                <w:rFonts w:ascii="Arial Narrow" w:hAnsi="Arial Narrow"/>
              </w:rPr>
            </w:pPr>
            <w:r w:rsidRPr="00BA7013">
              <w:rPr>
                <w:rFonts w:ascii="Arial Narrow" w:hAnsi="Arial Narrow"/>
                <w:color w:val="000000"/>
                <w:sz w:val="20"/>
                <w:szCs w:val="20"/>
              </w:rPr>
              <w:t>•</w:t>
            </w:r>
            <w:r>
              <w:rPr>
                <w:rFonts w:ascii="Arial Narrow" w:hAnsi="Arial Narrow"/>
                <w:color w:val="000000"/>
                <w:sz w:val="20"/>
                <w:szCs w:val="20"/>
              </w:rPr>
              <w:t xml:space="preserve"> </w:t>
            </w:r>
            <w:r w:rsidRPr="00BA7013">
              <w:rPr>
                <w:rFonts w:ascii="Arial Narrow" w:hAnsi="Arial Narrow"/>
                <w:sz w:val="20"/>
                <w:szCs w:val="16"/>
              </w:rPr>
              <w:t xml:space="preserve">Patient must have had </w:t>
            </w:r>
            <w:r w:rsidRPr="000D3A30">
              <w:rPr>
                <w:rFonts w:ascii="Arial Narrow" w:hAnsi="Arial Narrow"/>
                <w:sz w:val="20"/>
                <w:szCs w:val="16"/>
                <w:u w:val="single"/>
              </w:rPr>
              <w:t>at least 2 fractures</w:t>
            </w:r>
            <w:r w:rsidRPr="00BA7013">
              <w:rPr>
                <w:rFonts w:ascii="Arial Narrow" w:hAnsi="Arial Narrow"/>
                <w:sz w:val="20"/>
                <w:szCs w:val="16"/>
              </w:rPr>
              <w:t xml:space="preserve"> </w:t>
            </w:r>
            <w:r w:rsidRPr="000D3A30">
              <w:rPr>
                <w:rFonts w:ascii="Arial Narrow" w:hAnsi="Arial Narrow"/>
                <w:sz w:val="20"/>
                <w:szCs w:val="16"/>
                <w:u w:val="single"/>
              </w:rPr>
              <w:t>including 1 symptomatic new fracture in the previous 24 months</w:t>
            </w:r>
          </w:p>
        </w:tc>
      </w:tr>
    </w:tbl>
    <w:p w14:paraId="32F823B7" w14:textId="7B47E7AC" w:rsidR="00CC4811" w:rsidRDefault="00CC4811" w:rsidP="004A4DDD">
      <w:pPr>
        <w:pStyle w:val="TableFooter"/>
        <w:keepNext/>
        <w:keepLines/>
      </w:pPr>
      <w:r>
        <w:t xml:space="preserve">Source: </w:t>
      </w:r>
      <w:r w:rsidR="001A2EC9">
        <w:t>p</w:t>
      </w:r>
      <w:r>
        <w:t>ara 3.5, romosozumab PSD, July 2022 PBAC meeting; Section 1.4.1, pp21-22 of the resubmission</w:t>
      </w:r>
    </w:p>
    <w:p w14:paraId="747EE0B2" w14:textId="77777777" w:rsidR="00CC4811" w:rsidRPr="005B72F2" w:rsidRDefault="00CC4811" w:rsidP="004A4DDD">
      <w:pPr>
        <w:pStyle w:val="TableFooter"/>
        <w:keepNext/>
        <w:keepLines/>
      </w:pPr>
      <w:r>
        <w:rPr>
          <w:u w:val="single"/>
        </w:rPr>
        <w:t>Underlined</w:t>
      </w:r>
      <w:r>
        <w:t xml:space="preserve"> and strikethrough text highlights differences between the specified criteria.</w:t>
      </w:r>
    </w:p>
    <w:p w14:paraId="427EF5DD" w14:textId="77777777" w:rsidR="00CC4811" w:rsidRDefault="00CC4811" w:rsidP="00CC4811">
      <w:pPr>
        <w:pStyle w:val="TableFooter"/>
      </w:pPr>
    </w:p>
    <w:p w14:paraId="1A05EEEB" w14:textId="6C8FD85C" w:rsidR="00A10218" w:rsidRPr="003074AF" w:rsidRDefault="00A10218" w:rsidP="00A10218">
      <w:pPr>
        <w:pStyle w:val="COMexecsumnumberedpara"/>
      </w:pPr>
      <w:r w:rsidRPr="003074AF">
        <w:t>The current proposed restriction remov</w:t>
      </w:r>
      <w:r w:rsidR="00A0278D" w:rsidRPr="003074AF">
        <w:t>ed</w:t>
      </w:r>
      <w:r w:rsidRPr="003074AF">
        <w:t xml:space="preserve"> the criterion allowing one symptomatic new fracture (at any fracture location) after at least 12 months continuous therapy with an anti-resorptive agent.</w:t>
      </w:r>
    </w:p>
    <w:p w14:paraId="7A27F112" w14:textId="2710F8D9" w:rsidR="00A10218" w:rsidRDefault="0008293D" w:rsidP="00A10218">
      <w:pPr>
        <w:pStyle w:val="COMexecsumnumberedpara"/>
      </w:pPr>
      <w:r w:rsidRPr="003074AF">
        <w:lastRenderedPageBreak/>
        <w:t>T</w:t>
      </w:r>
      <w:r w:rsidR="00A10218" w:rsidRPr="003074AF">
        <w:t xml:space="preserve">he wording of the current proposed restriction for first- or second-line patients with multiple fractures would allow patients with any type of prior fracture (whether symptomatic or not) to be eligible for treatment, as long as </w:t>
      </w:r>
      <w:r w:rsidR="001A059B" w:rsidRPr="003074AF">
        <w:t>one</w:t>
      </w:r>
      <w:r w:rsidR="00A10218" w:rsidRPr="003074AF">
        <w:t xml:space="preserve"> fracture within </w:t>
      </w:r>
      <w:r w:rsidR="00884EDF">
        <w:t xml:space="preserve">the </w:t>
      </w:r>
      <w:r w:rsidR="00A10218" w:rsidRPr="003074AF">
        <w:t xml:space="preserve">previous 24 months is symptomatic. The resubmission did not provide any explanation or justification for this change from the wording proposed </w:t>
      </w:r>
      <w:r w:rsidR="00D27486" w:rsidRPr="003074AF">
        <w:t>in</w:t>
      </w:r>
      <w:r w:rsidR="00A10218" w:rsidRPr="003074AF">
        <w:t xml:space="preserve"> the </w:t>
      </w:r>
      <w:r w:rsidR="00072D75">
        <w:t xml:space="preserve">July 2022 </w:t>
      </w:r>
      <w:r w:rsidR="00A10218" w:rsidRPr="003074AF">
        <w:t xml:space="preserve">pre-PBAC </w:t>
      </w:r>
      <w:r w:rsidR="00D27486" w:rsidRPr="003074AF">
        <w:t>response</w:t>
      </w:r>
      <w:r w:rsidR="00A10218" w:rsidRPr="003074AF">
        <w:t>.</w:t>
      </w:r>
    </w:p>
    <w:p w14:paraId="34B17410" w14:textId="51FCECA9" w:rsidR="00D87D3C" w:rsidRPr="00810C1E" w:rsidRDefault="00D87D3C" w:rsidP="00D87D3C">
      <w:pPr>
        <w:pStyle w:val="COMexecsumnumberedpara"/>
      </w:pPr>
      <w:r w:rsidRPr="00810C1E">
        <w:t xml:space="preserve">The PSCR noted the July 2022 pre-PBAC </w:t>
      </w:r>
      <w:r w:rsidR="00823CA9" w:rsidRPr="00810C1E">
        <w:t>meeting</w:t>
      </w:r>
      <w:r w:rsidRPr="00810C1E">
        <w:t xml:space="preserve"> restriction stipulated a </w:t>
      </w:r>
      <w:bookmarkStart w:id="13" w:name="_Hlk130226108"/>
      <w:r w:rsidRPr="00810C1E">
        <w:t xml:space="preserve">‘symptomatic’ minimal trauma fracture </w:t>
      </w:r>
      <w:bookmarkEnd w:id="13"/>
      <w:r w:rsidRPr="00810C1E">
        <w:t xml:space="preserve">whereas in the resubmission it was simply stated that a patient must have had a fracture due to minimal trauma. </w:t>
      </w:r>
      <w:r w:rsidR="00823CA9" w:rsidRPr="00810C1E">
        <w:t xml:space="preserve">The PSCR stated that the word ‘symptomatic’ was inadvertently omitted from this criterion in the March 2023 submission and requested it be reinstated. </w:t>
      </w:r>
    </w:p>
    <w:p w14:paraId="1515167C" w14:textId="77777777" w:rsidR="005A37EE" w:rsidRDefault="005A37EE" w:rsidP="00BA6191">
      <w:pPr>
        <w:pStyle w:val="COMexecsumnumberedpara"/>
        <w:spacing w:after="0"/>
      </w:pPr>
      <w:r>
        <w:t>The resubmission positioned romosozumab as an alternative to anti-resorptive therapy for treatment-naïve or experienced patients who are diagnosed with osteoporosis and are eligible for PBS-subsidised therapy and who meet the following criteria:</w:t>
      </w:r>
    </w:p>
    <w:p w14:paraId="7342EB01" w14:textId="5BA76350" w:rsidR="005C04F7" w:rsidRDefault="005C04F7" w:rsidP="005A37EE">
      <w:pPr>
        <w:pStyle w:val="COMexecsummbulletlist"/>
        <w:spacing w:after="0"/>
        <w:ind w:hanging="357"/>
      </w:pPr>
      <w:r>
        <w:t>A fracture due to minimal trauma; and</w:t>
      </w:r>
    </w:p>
    <w:p w14:paraId="650C55F5" w14:textId="1D76D7D6" w:rsidR="005A37EE" w:rsidRDefault="005A37EE" w:rsidP="005A37EE">
      <w:pPr>
        <w:pStyle w:val="COMexecsummbulletlist"/>
        <w:spacing w:after="0"/>
        <w:ind w:hanging="357"/>
      </w:pPr>
      <w:r>
        <w:t xml:space="preserve">BMD T-score </w:t>
      </w:r>
      <w:r w:rsidRPr="00973927">
        <w:t>≤-2.5</w:t>
      </w:r>
      <w:r>
        <w:t>, with multiple total fractures including at least one recent symptomatic fracture (prior 24 months); or</w:t>
      </w:r>
    </w:p>
    <w:p w14:paraId="254A79B6" w14:textId="77777777" w:rsidR="005A37EE" w:rsidRPr="00075E57" w:rsidRDefault="005A37EE" w:rsidP="005A37EE">
      <w:pPr>
        <w:pStyle w:val="COMexecsummbulletlist"/>
        <w:ind w:hanging="357"/>
      </w:pPr>
      <w:r>
        <w:t xml:space="preserve">BMD T-score </w:t>
      </w:r>
      <w:r w:rsidRPr="00973927">
        <w:t>≤-2.5</w:t>
      </w:r>
      <w:r>
        <w:t xml:space="preserve"> and a single recent hip or symptomatic vertebral fracture.</w:t>
      </w:r>
    </w:p>
    <w:p w14:paraId="352C0F90" w14:textId="483AD161" w:rsidR="005A37EE" w:rsidRDefault="005A37EE" w:rsidP="005A37EE">
      <w:pPr>
        <w:pStyle w:val="COMexecsumnumberedpara"/>
        <w:rPr>
          <w:color w:val="0066FF"/>
        </w:rPr>
      </w:pPr>
      <w:r>
        <w:t xml:space="preserve">The resubmission argued that beginning treatment with romosozumab followed by anti-resorptive therapy is a strategy that effectively reduces the risk of important fractures and produces faster and greater increases in </w:t>
      </w:r>
      <w:r w:rsidR="003A2194">
        <w:t>BMD</w:t>
      </w:r>
      <w:r>
        <w:t xml:space="preserve"> and bone strength than with any current osteoporosis treatment. </w:t>
      </w:r>
      <w:r w:rsidRPr="003074AF">
        <w:t>The proposed place in therapy for first-line patients was essentially unchanged from the July 2022 resubmission and appeared to be based on a synthesis of factors incorporating fracture location, number of fractures, clinical symptoms, recency of fracture and BMD T-score.</w:t>
      </w:r>
      <w:r w:rsidRPr="002E4F02" w:rsidDel="00195452">
        <w:rPr>
          <w:color w:val="0066FF"/>
        </w:rPr>
        <w:t xml:space="preserve"> </w:t>
      </w:r>
    </w:p>
    <w:p w14:paraId="22C269EA" w14:textId="77777777" w:rsidR="00FE14DF" w:rsidRPr="00BA494C" w:rsidRDefault="00FE14DF" w:rsidP="00FE14DF">
      <w:pPr>
        <w:pStyle w:val="ExecSumBodyText"/>
        <w:numPr>
          <w:ilvl w:val="1"/>
          <w:numId w:val="4"/>
        </w:numPr>
        <w:rPr>
          <w:i/>
          <w:iCs/>
        </w:rPr>
      </w:pPr>
      <w:r w:rsidRPr="00E73A49">
        <w:t>The resubmission claimed that updated international guidelines support the</w:t>
      </w:r>
      <w:r>
        <w:t xml:space="preserve"> earlier</w:t>
      </w:r>
      <w:r w:rsidRPr="00E73A49">
        <w:t xml:space="preserve"> use of anabolic agents in patients with very high and/or imminent risk.</w:t>
      </w:r>
      <w:r w:rsidRPr="00BA494C">
        <w:t xml:space="preserve"> </w:t>
      </w:r>
      <w:r w:rsidRPr="003074AF">
        <w:t>The characterisation of very high risk varied between guidelines and was generally based on fracture history, BMD and fracture probability calculated using risk algorithms that incorporate a variety of clinical factors. Treatment thresholds were country-specific and likely reflect broader factors such as willingness to pay, health care resources, reimbursement policies and geographical variations in fracture incidence.</w:t>
      </w:r>
    </w:p>
    <w:p w14:paraId="20A55603" w14:textId="66926721" w:rsidR="00C703F0" w:rsidRPr="00C703F0" w:rsidRDefault="00C703F0" w:rsidP="005A37EE">
      <w:pPr>
        <w:pStyle w:val="COMexecsumnumberedpara"/>
      </w:pPr>
      <w:r w:rsidRPr="00C703F0">
        <w:t xml:space="preserve">Traditionally, guidelines have classified fracture risk as high or very high based on fracture history, age and BMD T-scores. However, there is increasing recognition of the time-dependent nature of fracture risk and that patients with a recent major osteoporotic fracture are at </w:t>
      </w:r>
      <w:r w:rsidR="00B84E35">
        <w:t>‘</w:t>
      </w:r>
      <w:r w:rsidRPr="00C703F0">
        <w:t>imminent risk</w:t>
      </w:r>
      <w:r w:rsidR="00B84E35">
        <w:t>’</w:t>
      </w:r>
      <w:r w:rsidRPr="00C703F0">
        <w:t xml:space="preserve"> with an increased risk of fracture immediately after the incident fracture. The resubmission cited emerging evidence based on observational data suggesting the risk of a subsequent fracture was highest in the immediate post-fracture interval (1-2 years) and decreased markedly over a 10-year period (Kanis 2018). The resubmission claimed that anabolic agents provide the </w:t>
      </w:r>
      <w:r w:rsidRPr="00C703F0">
        <w:lastRenderedPageBreak/>
        <w:t>greatest probability of rapidly normalising BMD and reducing the risk of subsequent fractures in patients with imminent risk. The resubmission claimed that this proposition is supported by data from head-to-head trials demonstrating the superiority of anabolic agents compared to anti-resorptive therapy.</w:t>
      </w:r>
      <w:r w:rsidR="003C63DF">
        <w:t xml:space="preserve"> </w:t>
      </w:r>
      <w:r w:rsidR="009B14DA" w:rsidRPr="009B14DA">
        <w:t xml:space="preserve">The ESC </w:t>
      </w:r>
      <w:r w:rsidR="00793F5D">
        <w:t xml:space="preserve">previously </w:t>
      </w:r>
      <w:r w:rsidR="009B14DA" w:rsidRPr="009B14DA">
        <w:t>considered these claims were inadequately supported in the</w:t>
      </w:r>
      <w:r w:rsidR="00793F5D">
        <w:t xml:space="preserve"> July 2022</w:t>
      </w:r>
      <w:r w:rsidR="009B14DA" w:rsidRPr="009B14DA">
        <w:t xml:space="preserve"> resubmission, with no data presented supporting the treatment benefit of romosozumab in patients at imminent fracture risk</w:t>
      </w:r>
      <w:r w:rsidR="00793F5D">
        <w:t xml:space="preserve"> (</w:t>
      </w:r>
      <w:r w:rsidR="001A2EC9">
        <w:t>p</w:t>
      </w:r>
      <w:r w:rsidR="00793F5D">
        <w:t>ara 3.7, romosozumab, July 2022 PBAC meeting)</w:t>
      </w:r>
      <w:r w:rsidR="009B14DA" w:rsidRPr="009B14DA">
        <w:t>.</w:t>
      </w:r>
    </w:p>
    <w:p w14:paraId="765DD5FC" w14:textId="6F0FF691" w:rsidR="005A37EE" w:rsidRPr="003074AF" w:rsidRDefault="005A37EE" w:rsidP="005A37EE">
      <w:pPr>
        <w:pStyle w:val="COMexecsumnumberedpara"/>
        <w:rPr>
          <w:color w:val="0066FF"/>
        </w:rPr>
      </w:pPr>
      <w:bookmarkStart w:id="14" w:name="_Ref130117394"/>
      <w:r>
        <w:t xml:space="preserve">The proposed positioning of romosozumab in the second-line setting was based on consistency across lines of therapy in the proposed PBS restriction, resulting in a relaxation of clinical criteria in the current PBS listing for romosozumab that require patients to have multiple minimal trauma fractures and a BMD threshold of </w:t>
      </w:r>
      <w:r w:rsidRPr="00973927">
        <w:rPr>
          <w:rFonts w:cs="Calibri"/>
        </w:rPr>
        <w:t>≤-</w:t>
      </w:r>
      <w:r>
        <w:rPr>
          <w:rFonts w:cs="Calibri"/>
        </w:rPr>
        <w:t xml:space="preserve">3.0 in addition to having an on-treatment symptomatic fracture. </w:t>
      </w:r>
      <w:r w:rsidRPr="003074AF">
        <w:t xml:space="preserve">While the application of consistent eligibility criteria across both first- and second-line settings may reduce the complexities associated with overlapping populations, the resubmission provided no evidence </w:t>
      </w:r>
      <w:r w:rsidR="00F93A6C" w:rsidRPr="003074AF">
        <w:t xml:space="preserve">or support from clinical guidelines </w:t>
      </w:r>
      <w:r w:rsidR="00874957" w:rsidRPr="003074AF">
        <w:t xml:space="preserve">to quantify the </w:t>
      </w:r>
      <w:r w:rsidR="00F93A6C" w:rsidRPr="003074AF">
        <w:t>risk of fracture</w:t>
      </w:r>
      <w:r w:rsidRPr="003074AF">
        <w:t xml:space="preserve"> in the expanded second-line population.</w:t>
      </w:r>
      <w:r w:rsidR="00072D75">
        <w:t xml:space="preserve"> The pre-PBAC response acknowledged the lack of second-line fracture outcome data and stated th</w:t>
      </w:r>
      <w:r w:rsidR="00877DEA">
        <w:t xml:space="preserve">at </w:t>
      </w:r>
      <w:r w:rsidR="00072D75">
        <w:t xml:space="preserve">an alternative would be to revise the proposed listing </w:t>
      </w:r>
      <w:r w:rsidR="00877DEA">
        <w:t>such that second-line access be limited to the currently eligible population.</w:t>
      </w:r>
      <w:bookmarkEnd w:id="14"/>
      <w:r w:rsidR="00877DEA">
        <w:t xml:space="preserve"> </w:t>
      </w:r>
    </w:p>
    <w:p w14:paraId="3A8B8767" w14:textId="113392D2" w:rsidR="00CC4811" w:rsidRPr="003074AF" w:rsidRDefault="00CC4811" w:rsidP="00CC4811">
      <w:pPr>
        <w:pStyle w:val="COMexecsumnumberedpara"/>
        <w:rPr>
          <w:color w:val="3366FF"/>
        </w:rPr>
      </w:pPr>
      <w:r>
        <w:t>The</w:t>
      </w:r>
      <w:r w:rsidR="00DE10A0">
        <w:t xml:space="preserve"> resubmission requested grandfathering provisions for patients meeting the proposed clinical criteria. </w:t>
      </w:r>
      <w:r w:rsidR="002664F2">
        <w:t>The</w:t>
      </w:r>
      <w:r>
        <w:t xml:space="preserve"> sponsor estimated that approximately </w:t>
      </w:r>
      <w:r w:rsidR="00C475C1">
        <w:t>&lt;</w:t>
      </w:r>
      <w:r w:rsidR="00D16346">
        <w:t> </w:t>
      </w:r>
      <w:r w:rsidR="00041751">
        <w:t>500</w:t>
      </w:r>
      <w:r w:rsidR="00C475C1">
        <w:t xml:space="preserve"> </w:t>
      </w:r>
      <w:r>
        <w:t xml:space="preserve">patients are currently privately funding romosozumab, but anticipated an increase in patient numbers with the introduction of a shared cost program, forecast to reach approximately </w:t>
      </w:r>
      <w:r w:rsidR="009A5C72" w:rsidRPr="009A5C72">
        <w:t>500</w:t>
      </w:r>
      <w:r w:rsidR="00E6004C">
        <w:t> </w:t>
      </w:r>
      <w:r w:rsidR="009A5C72" w:rsidRPr="009A5C72">
        <w:t>to</w:t>
      </w:r>
      <w:r w:rsidR="00D16346">
        <w:t> </w:t>
      </w:r>
      <w:r w:rsidR="009A5C72" w:rsidRPr="009A5C72">
        <w:t>&lt;</w:t>
      </w:r>
      <w:r w:rsidR="00E6004C">
        <w:t> </w:t>
      </w:r>
      <w:r w:rsidR="009A5C72" w:rsidRPr="009A5C72">
        <w:t>5,000</w:t>
      </w:r>
      <w:r w:rsidR="00E6004C">
        <w:t> </w:t>
      </w:r>
      <w:r>
        <w:t xml:space="preserve"> patients in the next year. The resubmission stated that most of these patients are anticipated to be first</w:t>
      </w:r>
      <w:r w:rsidR="00FE4D70">
        <w:t>-</w:t>
      </w:r>
      <w:r>
        <w:t xml:space="preserve">line patients who meet the proposed PBS eligibility criteria. </w:t>
      </w:r>
      <w:r w:rsidRPr="003074AF">
        <w:t>The resubmission did not provide any further details to substantiate these estimates.</w:t>
      </w:r>
    </w:p>
    <w:p w14:paraId="5851B1D5" w14:textId="4CBC3AD8" w:rsidR="00CC4811" w:rsidRPr="003074AF" w:rsidRDefault="00CC4811" w:rsidP="00CC4811">
      <w:pPr>
        <w:pStyle w:val="COMexecsumnumberedpara"/>
      </w:pPr>
      <w:r w:rsidRPr="00062592">
        <w:t xml:space="preserve">The resubmission requested an Authority Required (telephone/online PBS Authorities system) listing for all proposed restrictions. </w:t>
      </w:r>
      <w:r w:rsidRPr="003074AF">
        <w:t>The ESC previously considered an Authority Required (telephone/online PBS Authorities system) listing may be more appropriate than a Streamlined Authority listing for both initial and continuing treatment restrictions to allow compliance with the requirement for a lifetime maximum of 12 months therapy to be checked by Services Australia (</w:t>
      </w:r>
      <w:r w:rsidR="001A2EC9" w:rsidRPr="003074AF">
        <w:t>p</w:t>
      </w:r>
      <w:r w:rsidRPr="003074AF">
        <w:t>ara 3.17, romosozumab PSD, July 2022 PBAC meeting).</w:t>
      </w:r>
    </w:p>
    <w:p w14:paraId="56D7DAF9" w14:textId="5A15CBAD" w:rsidR="00CC4811" w:rsidRPr="003074AF" w:rsidRDefault="00CC4811" w:rsidP="00CC4811">
      <w:pPr>
        <w:pStyle w:val="COMexecsumnumberedpara"/>
      </w:pPr>
      <w:r w:rsidRPr="003074AF">
        <w:t xml:space="preserve">It was difficult to reconcile the proposed BMD and fracture criteria with the </w:t>
      </w:r>
      <w:r w:rsidR="002664F2" w:rsidRPr="003074AF">
        <w:t xml:space="preserve">key clinical evidence from the </w:t>
      </w:r>
      <w:r w:rsidRPr="003074AF">
        <w:t>ARCH trial that recruited patients who met the following criteria:</w:t>
      </w:r>
    </w:p>
    <w:p w14:paraId="31F85494" w14:textId="77777777" w:rsidR="00CC4811" w:rsidRPr="003074AF" w:rsidRDefault="00CC4811" w:rsidP="00CC4811">
      <w:pPr>
        <w:pStyle w:val="COMexecsummbulletlist"/>
      </w:pPr>
      <w:r w:rsidRPr="003074AF">
        <w:t>BMD T-score ≤-2.5 AND EITHER at least one moderate or severe vertebral fracture OR at least 2 mild vertebral fractures, OR</w:t>
      </w:r>
    </w:p>
    <w:p w14:paraId="1ED18E9B" w14:textId="1B83F612" w:rsidR="00CC4811" w:rsidRDefault="00CC4811" w:rsidP="00CC4811">
      <w:pPr>
        <w:pStyle w:val="COMexecsummbulletlist"/>
      </w:pPr>
      <w:r w:rsidRPr="003074AF">
        <w:lastRenderedPageBreak/>
        <w:t>BMD T-score ≤ -2.0 AND EITHER at least 2 moderate or severe vertebral fractures OR a fracture of the proximal femur that occurred within 3 to 24 months prior to randomisation.</w:t>
      </w:r>
    </w:p>
    <w:p w14:paraId="3083D327" w14:textId="376EDE05" w:rsidR="00E15396" w:rsidRPr="00E15396" w:rsidRDefault="00E15396" w:rsidP="00E15396">
      <w:pPr>
        <w:pStyle w:val="ListParagraph"/>
        <w:numPr>
          <w:ilvl w:val="0"/>
          <w:numId w:val="0"/>
        </w:numPr>
        <w:ind w:left="720"/>
        <w:rPr>
          <w:i/>
          <w:iCs/>
        </w:rPr>
      </w:pPr>
      <w:r w:rsidRPr="00E15396">
        <w:rPr>
          <w:i/>
          <w:iCs/>
        </w:rPr>
        <w:t>For more detail on PBAC’s view, see section 7 PBAC outcome.</w:t>
      </w:r>
    </w:p>
    <w:p w14:paraId="7075B85C" w14:textId="321C9B30" w:rsidR="00B50DB8" w:rsidRPr="00407F2D" w:rsidDel="00195452" w:rsidRDefault="00203181" w:rsidP="00BE7594">
      <w:pPr>
        <w:pStyle w:val="COMH1numbered"/>
      </w:pPr>
      <w:bookmarkStart w:id="15" w:name="_Toc124858700"/>
      <w:r w:rsidDel="00195452">
        <w:t xml:space="preserve">Population and </w:t>
      </w:r>
      <w:r w:rsidR="008E0D3C" w:rsidDel="00195452">
        <w:t>d</w:t>
      </w:r>
      <w:r w:rsidDel="00195452">
        <w:t>isease</w:t>
      </w:r>
      <w:bookmarkEnd w:id="15"/>
    </w:p>
    <w:p w14:paraId="21FDD135" w14:textId="1B3C7A62" w:rsidR="00894489" w:rsidRPr="002E4F02" w:rsidDel="00195452" w:rsidRDefault="00690BDC" w:rsidP="00BE7594">
      <w:pPr>
        <w:pStyle w:val="COMexecsumnumberedpara"/>
        <w:rPr>
          <w:color w:val="0066FF"/>
        </w:rPr>
      </w:pPr>
      <w:r w:rsidRPr="00F37D60">
        <w:t xml:space="preserve">Osteoporosis is a condition that occurs when the bones lose minerals more quickly than the body can replace them, leading to enhanced bone fragility (due to reduced bone mass and micro-architectural deterioration of bone tissue) and consequent increase in fracture risk. Loss of bone strength occurs gradually over many years and </w:t>
      </w:r>
      <w:r>
        <w:t xml:space="preserve">is </w:t>
      </w:r>
      <w:r w:rsidRPr="00F37D60">
        <w:t>usually symptom</w:t>
      </w:r>
      <w:r>
        <w:t>-free</w:t>
      </w:r>
      <w:r w:rsidRPr="00F37D60">
        <w:t xml:space="preserve">. The most common fractures occur at the hip, spine and wrist and can lead to increased mortality, long-lasting pain, reduced mobility and disability. </w:t>
      </w:r>
      <w:r w:rsidR="00F97A78" w:rsidRPr="002E4F02" w:rsidDel="00195452">
        <w:rPr>
          <w:color w:val="0066FF"/>
        </w:rPr>
        <w:t xml:space="preserve"> </w:t>
      </w:r>
    </w:p>
    <w:p w14:paraId="77D711E3" w14:textId="77777777" w:rsidR="00160E40" w:rsidRPr="004E09BF" w:rsidDel="00195452" w:rsidRDefault="00160E40" w:rsidP="00160E40">
      <w:pPr>
        <w:pStyle w:val="COMexecsumnumberedpara"/>
      </w:pPr>
      <w:r w:rsidRPr="004E09BF">
        <w:t>Romosozumab is a monoclonal antibody that binds and inhibits sclerostin, which has a dual effect on bone metabolism by both promoting bone formation and reducing bone resorption.</w:t>
      </w:r>
    </w:p>
    <w:p w14:paraId="7A611ADA" w14:textId="5C7A14A2" w:rsidR="005B1F5E" w:rsidRPr="00D7472D" w:rsidRDefault="005B1F5E" w:rsidP="00BE7594">
      <w:pPr>
        <w:pStyle w:val="COMexecsumnumberedpara"/>
      </w:pPr>
      <w:r w:rsidRPr="00D7472D">
        <w:t xml:space="preserve">Four patient subgroups are being targeted in the resubmission in addition to the population </w:t>
      </w:r>
      <w:r w:rsidR="005D4BBD" w:rsidRPr="00D7472D">
        <w:t xml:space="preserve">eligible under the current PBS restriction. </w:t>
      </w:r>
      <w:r w:rsidR="001D64A1">
        <w:t xml:space="preserve">Patients </w:t>
      </w:r>
      <w:r w:rsidR="00BA0D3C" w:rsidRPr="00D7472D">
        <w:t>would be eligible for treatment whether in a first- or second-line setting</w:t>
      </w:r>
      <w:r w:rsidR="001D64A1">
        <w:t xml:space="preserve"> (</w:t>
      </w:r>
      <w:r w:rsidR="00C86ECD">
        <w:t xml:space="preserve">i.e. </w:t>
      </w:r>
      <w:r w:rsidR="001D64A1">
        <w:t>regardless of prior anti-resorptive treatment history)</w:t>
      </w:r>
      <w:r w:rsidR="00BA0D3C" w:rsidRPr="00D7472D">
        <w:t xml:space="preserve">. All patients must have BMD T-scores </w:t>
      </w:r>
      <w:r w:rsidR="00BA0D3C" w:rsidRPr="00D7472D">
        <w:rPr>
          <w:rFonts w:cstheme="minorHAnsi"/>
        </w:rPr>
        <w:t>≤</w:t>
      </w:r>
      <w:r w:rsidR="00BA0D3C" w:rsidRPr="00D7472D">
        <w:t xml:space="preserve">-2.5, </w:t>
      </w:r>
      <w:r w:rsidR="004A7991" w:rsidRPr="00D7472D">
        <w:t>and must have experienced</w:t>
      </w:r>
      <w:r w:rsidR="00E4323C">
        <w:t xml:space="preserve"> a fracture due to minimal trauma</w:t>
      </w:r>
      <w:r w:rsidR="00D059F5">
        <w:t>:</w:t>
      </w:r>
      <w:r w:rsidR="004A7991" w:rsidRPr="00D7472D">
        <w:t xml:space="preserve"> either a hip or symptomatic vertebral fracture in the previous </w:t>
      </w:r>
      <w:r w:rsidR="00D7472D" w:rsidRPr="00D7472D">
        <w:t>24 months, or multiple previous fractures including one symptomatic fract</w:t>
      </w:r>
      <w:r w:rsidR="00157B01">
        <w:t>ure</w:t>
      </w:r>
      <w:r w:rsidR="00D7472D" w:rsidRPr="00D7472D">
        <w:t xml:space="preserve"> in the previous 24 months.</w:t>
      </w:r>
      <w:r w:rsidR="008122E6" w:rsidRPr="00D7472D">
        <w:t xml:space="preserve"> </w:t>
      </w:r>
    </w:p>
    <w:p w14:paraId="15842FF7" w14:textId="55C43154" w:rsidR="00F50E16" w:rsidRPr="003074AF" w:rsidRDefault="007B17EE" w:rsidP="00BE7594">
      <w:pPr>
        <w:pStyle w:val="COMexecsumnumberedpara"/>
        <w:rPr>
          <w:color w:val="0066FF"/>
        </w:rPr>
      </w:pPr>
      <w:r w:rsidRPr="003074AF">
        <w:t xml:space="preserve">There were inconsistencies in the subpopulation definitions </w:t>
      </w:r>
      <w:r w:rsidR="003D24AC" w:rsidRPr="003074AF">
        <w:t xml:space="preserve">between the </w:t>
      </w:r>
      <w:r w:rsidR="00160E40" w:rsidRPr="003074AF">
        <w:t>requested restriction</w:t>
      </w:r>
      <w:r w:rsidR="003D24AC" w:rsidRPr="003074AF">
        <w:t>,</w:t>
      </w:r>
      <w:r w:rsidR="00160E40" w:rsidRPr="003074AF">
        <w:t xml:space="preserve"> clinical management algorithm</w:t>
      </w:r>
      <w:r w:rsidR="003D24AC" w:rsidRPr="003074AF">
        <w:t xml:space="preserve">, </w:t>
      </w:r>
      <w:r w:rsidR="00DF3689" w:rsidRPr="003074AF">
        <w:t xml:space="preserve">clinical evidence, </w:t>
      </w:r>
      <w:r w:rsidR="00160E40" w:rsidRPr="003074AF">
        <w:t>economic model</w:t>
      </w:r>
      <w:r w:rsidR="00DF3689" w:rsidRPr="003074AF">
        <w:t xml:space="preserve"> input</w:t>
      </w:r>
      <w:r w:rsidR="00160E40" w:rsidRPr="003074AF">
        <w:t>s, and the utilisation estimates.</w:t>
      </w:r>
      <w:r w:rsidR="004C6EC4" w:rsidRPr="003074AF">
        <w:t xml:space="preserve"> </w:t>
      </w:r>
      <w:r w:rsidR="00A57C57" w:rsidRPr="003074AF">
        <w:t xml:space="preserve">Throughout the resubmission, </w:t>
      </w:r>
      <w:r w:rsidR="00BE3ED4" w:rsidRPr="003074AF">
        <w:t>there were inconsistencies in the specification of clinical</w:t>
      </w:r>
      <w:r w:rsidR="005F0347" w:rsidRPr="003074AF">
        <w:t xml:space="preserve"> status of fractures </w:t>
      </w:r>
      <w:r w:rsidR="00E2695A" w:rsidRPr="003074AF">
        <w:t>for patients with multiple fractures</w:t>
      </w:r>
      <w:r w:rsidR="005F0347" w:rsidRPr="003074AF">
        <w:t xml:space="preserve"> (whether or not the </w:t>
      </w:r>
      <w:r w:rsidR="003054F4" w:rsidRPr="003074AF">
        <w:t xml:space="preserve">previous or incident </w:t>
      </w:r>
      <w:r w:rsidR="005F0347" w:rsidRPr="003074AF">
        <w:t>fracture</w:t>
      </w:r>
      <w:r w:rsidR="003054F4" w:rsidRPr="003074AF">
        <w:t>/</w:t>
      </w:r>
      <w:r w:rsidR="005F0347" w:rsidRPr="003074AF">
        <w:t>s were required to be ‘symptomati</w:t>
      </w:r>
      <w:r w:rsidR="00137063" w:rsidRPr="003074AF">
        <w:t>c’</w:t>
      </w:r>
      <w:r w:rsidR="002D57DE" w:rsidRPr="003074AF">
        <w:t>).</w:t>
      </w:r>
    </w:p>
    <w:p w14:paraId="34F9A011" w14:textId="367CE3F9" w:rsidR="002C2775" w:rsidRDefault="00F50E16" w:rsidP="00BE7594">
      <w:pPr>
        <w:pStyle w:val="COMexecsumnumberedpara"/>
        <w:rPr>
          <w:color w:val="0066FF"/>
        </w:rPr>
      </w:pPr>
      <w:r w:rsidRPr="003074AF">
        <w:t>No clinical data or economic model were presented for the requested second</w:t>
      </w:r>
      <w:r w:rsidR="00FE4D70">
        <w:t>-</w:t>
      </w:r>
      <w:r w:rsidRPr="003074AF">
        <w:t>line population in addition to those currently eligible under the existing PBS listing.</w:t>
      </w:r>
      <w:r>
        <w:rPr>
          <w:i/>
          <w:iCs/>
        </w:rPr>
        <w:t xml:space="preserve"> </w:t>
      </w:r>
      <w:r w:rsidRPr="004C0C29">
        <w:t xml:space="preserve">The resubmission noted that </w:t>
      </w:r>
      <w:r>
        <w:t>the applicability of the ARCH trial population to the target second</w:t>
      </w:r>
      <w:r w:rsidR="00FE4D70">
        <w:t>-</w:t>
      </w:r>
      <w:r>
        <w:t>line population may be limited as the trial population was predominantly treatment naïve</w:t>
      </w:r>
      <w:r w:rsidR="00AE2B02">
        <w:t>, and</w:t>
      </w:r>
      <w:r w:rsidRPr="004C0C29">
        <w:t xml:space="preserve"> acknowledged that relative treatment efficacy associated with romosozumab in this population was uncertain. However, the resubmission </w:t>
      </w:r>
      <w:r w:rsidR="00850EEA" w:rsidRPr="007B3665">
        <w:t xml:space="preserve">and PSCR </w:t>
      </w:r>
      <w:r w:rsidRPr="004C0C29">
        <w:t xml:space="preserve">claimed there </w:t>
      </w:r>
      <w:r w:rsidRPr="00E52ED9">
        <w:t>was historical PBAC precedence of recommending second</w:t>
      </w:r>
      <w:r w:rsidR="00FE4D70">
        <w:t>-</w:t>
      </w:r>
      <w:r w:rsidRPr="00E52ED9">
        <w:t>line use of osteoporosis medications based on evidence in the first</w:t>
      </w:r>
      <w:r w:rsidR="00FE4D70">
        <w:t>-</w:t>
      </w:r>
      <w:r w:rsidRPr="00E52ED9">
        <w:t>line setting.</w:t>
      </w:r>
      <w:r>
        <w:t xml:space="preserve"> </w:t>
      </w:r>
      <w:r w:rsidRPr="003074AF">
        <w:t xml:space="preserve">No new data were presented to support the assumption of constant treatment effects across lines of therapy. The resubmission did not consider emerging discussions surrounding optimal treatment sequencing of osteoporosis treatments, with some published international guidelines recommending earlier use of anabolic agents. These </w:t>
      </w:r>
      <w:r w:rsidRPr="003074AF">
        <w:lastRenderedPageBreak/>
        <w:t>discussions appear to be based on post</w:t>
      </w:r>
      <w:r w:rsidR="0006190C" w:rsidRPr="003074AF">
        <w:t xml:space="preserve"> </w:t>
      </w:r>
      <w:r w:rsidRPr="003074AF">
        <w:t>hoc analyses of BMD outcomes in romosozumab trials suggesting the relative efficacy of romosozumab used after anti-resorptives is smaller than when romosozumab is used before anti-resorptives. The results of these analyses were limited by the lack of fracture outcomes.</w:t>
      </w:r>
    </w:p>
    <w:p w14:paraId="720A6362" w14:textId="2E63342C" w:rsidR="00E15396" w:rsidRPr="00E15396" w:rsidDel="00195452" w:rsidRDefault="00E15396" w:rsidP="00E15396">
      <w:pPr>
        <w:pStyle w:val="COMexecsumnumberedpara"/>
        <w:numPr>
          <w:ilvl w:val="0"/>
          <w:numId w:val="0"/>
        </w:numPr>
        <w:ind w:left="720"/>
        <w:rPr>
          <w:i/>
          <w:iCs/>
        </w:rPr>
      </w:pPr>
      <w:r w:rsidRPr="00E15396">
        <w:rPr>
          <w:i/>
          <w:iCs/>
        </w:rPr>
        <w:t>For more detail on PBAC’s view, see section 7 PBAC outcome.</w:t>
      </w:r>
    </w:p>
    <w:p w14:paraId="51E5AE96" w14:textId="5945884B" w:rsidR="00B50DB8" w:rsidRPr="00407F2D" w:rsidRDefault="00B50DB8" w:rsidP="00BE7594">
      <w:pPr>
        <w:pStyle w:val="COMH1numbered"/>
      </w:pPr>
      <w:bookmarkStart w:id="16" w:name="_Toc124858701"/>
      <w:r w:rsidRPr="00407F2D">
        <w:t>Comparator</w:t>
      </w:r>
      <w:bookmarkEnd w:id="16"/>
    </w:p>
    <w:p w14:paraId="0EEC0AFE" w14:textId="59DCAA7A" w:rsidR="004E09BF" w:rsidRDefault="004E09BF" w:rsidP="00BE7594">
      <w:pPr>
        <w:pStyle w:val="COMexecsumnumberedpara"/>
      </w:pPr>
      <w:r w:rsidRPr="004E09BF">
        <w:t>The resubmission’s nomination of alendronate as the main comparator was unchanged from the July 2022 resubmission. The resubmission acknowledged that denosumab is the therapy most likely to be replaced in practice</w:t>
      </w:r>
      <w:r w:rsidR="000D0D98">
        <w:t xml:space="preserve">, but </w:t>
      </w:r>
      <w:r w:rsidRPr="004E09BF">
        <w:t xml:space="preserve">claimed that a robust comparison with romosozumab was not feasible due to a lack of direct comparative trial data. The resubmission claimed that alendronate was a reasonable proxy for anti-resorptive therapies as most treatments were listed on the PBS based on therapeutic equivalence to alendronate. </w:t>
      </w:r>
      <w:r w:rsidRPr="003074AF">
        <w:t xml:space="preserve">The PBAC previously considered that alendronate, as a proxy for anti-resorptive therapy, was appropriate as the nominated comparator. At the July 2022 meeting, the PBAC reiterated its previous advice that denosumab would be the therapy most likely to be replaced in practice (para 7.4, romosozumab PSD, July 2022 PBAC meeting). </w:t>
      </w:r>
      <w:r w:rsidR="002975A3" w:rsidRPr="003074AF">
        <w:t>A sensitivity analysis with denosumab as an alternative comparator, unchanged from the July 2022 resubmission, was included in the economic evaluation.</w:t>
      </w:r>
    </w:p>
    <w:p w14:paraId="0184EB3F" w14:textId="41FA0493" w:rsidR="00E15396" w:rsidRPr="00E15396" w:rsidRDefault="00E15396" w:rsidP="00E15396">
      <w:pPr>
        <w:pStyle w:val="COMexecsumnumberedpara"/>
        <w:numPr>
          <w:ilvl w:val="0"/>
          <w:numId w:val="0"/>
        </w:numPr>
        <w:ind w:left="720"/>
        <w:rPr>
          <w:i/>
          <w:iCs/>
        </w:rPr>
      </w:pPr>
      <w:bookmarkStart w:id="17" w:name="_Hlk129096191"/>
      <w:r w:rsidRPr="00E15396">
        <w:rPr>
          <w:i/>
          <w:iCs/>
        </w:rPr>
        <w:t>For more detail on PBAC’s view, see section 7 PBAC outcome.</w:t>
      </w:r>
    </w:p>
    <w:p w14:paraId="7F9C27C8" w14:textId="73EBD390" w:rsidR="00223D5A" w:rsidRPr="00407F2D" w:rsidRDefault="00223D5A" w:rsidP="00BE7594">
      <w:pPr>
        <w:pStyle w:val="COMH1numbered"/>
      </w:pPr>
      <w:bookmarkStart w:id="18" w:name="_Toc124858702"/>
      <w:bookmarkEnd w:id="17"/>
      <w:r>
        <w:t>C</w:t>
      </w:r>
      <w:r w:rsidRPr="00407F2D">
        <w:t>onsideration of the evidence</w:t>
      </w:r>
      <w:bookmarkStart w:id="19" w:name="_Toc22897640"/>
      <w:bookmarkEnd w:id="18"/>
    </w:p>
    <w:p w14:paraId="4ACE422E" w14:textId="77777777" w:rsidR="00E15396" w:rsidRPr="006E1229" w:rsidRDefault="00E15396" w:rsidP="00E15396">
      <w:pPr>
        <w:pStyle w:val="3-SubsectionHeading"/>
      </w:pPr>
      <w:bookmarkStart w:id="20" w:name="_Toc124858703"/>
      <w:r w:rsidRPr="006E1229">
        <w:t>Sponsor hearing</w:t>
      </w:r>
    </w:p>
    <w:p w14:paraId="65CDC3A3" w14:textId="51BA5695" w:rsidR="00E15396" w:rsidRPr="00836F75" w:rsidRDefault="00E15396" w:rsidP="00E15396">
      <w:pPr>
        <w:widowControl w:val="0"/>
        <w:numPr>
          <w:ilvl w:val="1"/>
          <w:numId w:val="4"/>
        </w:numPr>
        <w:spacing w:after="120"/>
        <w:rPr>
          <w:rFonts w:asciiTheme="minorHAnsi" w:hAnsiTheme="minorHAnsi"/>
          <w:bCs/>
          <w:snapToGrid w:val="0"/>
        </w:rPr>
      </w:pPr>
      <w:bookmarkStart w:id="21" w:name="_Hlk76382586"/>
      <w:r w:rsidRPr="00836F75">
        <w:rPr>
          <w:rFonts w:asciiTheme="minorHAnsi" w:hAnsiTheme="minorHAnsi"/>
          <w:bCs/>
          <w:snapToGrid w:val="0"/>
        </w:rPr>
        <w:t xml:space="preserve">The sponsor requested a hearing for this item.  </w:t>
      </w:r>
      <w:r w:rsidR="0062667B">
        <w:rPr>
          <w:rFonts w:asciiTheme="minorHAnsi" w:hAnsiTheme="minorHAnsi"/>
          <w:bCs/>
          <w:snapToGrid w:val="0"/>
        </w:rPr>
        <w:t>In addition to reiterating points made in the pre-PBAC response t</w:t>
      </w:r>
      <w:r w:rsidRPr="00836F75">
        <w:rPr>
          <w:rFonts w:asciiTheme="minorHAnsi" w:hAnsiTheme="minorHAnsi"/>
          <w:bCs/>
          <w:snapToGrid w:val="0"/>
        </w:rPr>
        <w:t xml:space="preserve">he </w:t>
      </w:r>
      <w:r w:rsidR="007B3665">
        <w:rPr>
          <w:rFonts w:asciiTheme="minorHAnsi" w:hAnsiTheme="minorHAnsi"/>
          <w:bCs/>
          <w:snapToGrid w:val="0"/>
        </w:rPr>
        <w:t xml:space="preserve">sponsor </w:t>
      </w:r>
      <w:r w:rsidR="0062667B">
        <w:rPr>
          <w:rFonts w:asciiTheme="minorHAnsi" w:hAnsiTheme="minorHAnsi"/>
          <w:bCs/>
          <w:snapToGrid w:val="0"/>
        </w:rPr>
        <w:t xml:space="preserve">highlighted the advantage of the once monthly administration schedule of romosozumab and highlighted that osteoporosis was a national health priority area. </w:t>
      </w:r>
    </w:p>
    <w:bookmarkEnd w:id="21"/>
    <w:p w14:paraId="281CB4E0" w14:textId="77777777" w:rsidR="00E15396" w:rsidRPr="00AD7B35" w:rsidRDefault="00E15396" w:rsidP="00E15396">
      <w:pPr>
        <w:pStyle w:val="4-SubsectionHeading"/>
      </w:pPr>
      <w:r w:rsidRPr="00AD7B35">
        <w:t>Consumer comments</w:t>
      </w:r>
    </w:p>
    <w:p w14:paraId="7053CC97" w14:textId="1B2B38EF" w:rsidR="00E15396" w:rsidRPr="00AD7B35" w:rsidRDefault="00E15396" w:rsidP="0062667B">
      <w:pPr>
        <w:widowControl w:val="0"/>
        <w:numPr>
          <w:ilvl w:val="1"/>
          <w:numId w:val="4"/>
        </w:numPr>
        <w:spacing w:after="120"/>
        <w:rPr>
          <w:rFonts w:asciiTheme="minorHAnsi" w:hAnsiTheme="minorHAnsi"/>
          <w:bCs/>
          <w:snapToGrid w:val="0"/>
          <w:lang w:eastAsia="en-US"/>
        </w:rPr>
      </w:pPr>
      <w:r w:rsidRPr="00AD7B35">
        <w:rPr>
          <w:rFonts w:asciiTheme="minorHAnsi" w:hAnsiTheme="minorHAnsi"/>
          <w:bCs/>
          <w:snapToGrid w:val="0"/>
          <w:lang w:eastAsia="en-US"/>
        </w:rPr>
        <w:t>The PBAC noted and welcomed the input from individuals (</w:t>
      </w:r>
      <w:r w:rsidR="0062667B">
        <w:rPr>
          <w:rFonts w:asciiTheme="minorHAnsi" w:hAnsiTheme="minorHAnsi"/>
          <w:bCs/>
          <w:snapToGrid w:val="0"/>
          <w:lang w:eastAsia="en-US"/>
        </w:rPr>
        <w:t>1</w:t>
      </w:r>
      <w:r w:rsidRPr="00AD7B35">
        <w:rPr>
          <w:rFonts w:asciiTheme="minorHAnsi" w:hAnsiTheme="minorHAnsi"/>
          <w:bCs/>
          <w:snapToGrid w:val="0"/>
          <w:lang w:eastAsia="en-US"/>
        </w:rPr>
        <w:t>), health care professionals (</w:t>
      </w:r>
      <w:r w:rsidR="0062667B">
        <w:rPr>
          <w:rFonts w:asciiTheme="minorHAnsi" w:hAnsiTheme="minorHAnsi"/>
          <w:bCs/>
          <w:snapToGrid w:val="0"/>
          <w:lang w:eastAsia="en-US"/>
        </w:rPr>
        <w:t>3</w:t>
      </w:r>
      <w:r w:rsidRPr="00AD7B35">
        <w:rPr>
          <w:rFonts w:asciiTheme="minorHAnsi" w:hAnsiTheme="minorHAnsi"/>
          <w:bCs/>
          <w:snapToGrid w:val="0"/>
          <w:lang w:eastAsia="en-US"/>
        </w:rPr>
        <w:t>) and organisations (</w:t>
      </w:r>
      <w:r w:rsidR="0062667B">
        <w:rPr>
          <w:rFonts w:asciiTheme="minorHAnsi" w:hAnsiTheme="minorHAnsi"/>
          <w:bCs/>
          <w:snapToGrid w:val="0"/>
          <w:lang w:eastAsia="en-US"/>
        </w:rPr>
        <w:t>5</w:t>
      </w:r>
      <w:r w:rsidRPr="00AD7B35">
        <w:rPr>
          <w:rFonts w:asciiTheme="minorHAnsi" w:hAnsiTheme="minorHAnsi"/>
          <w:bCs/>
          <w:snapToGrid w:val="0"/>
          <w:lang w:eastAsia="en-US"/>
        </w:rPr>
        <w:t>) via the Consumer Comments facility on the PBS website.  The comment</w:t>
      </w:r>
      <w:r w:rsidR="0051059A">
        <w:rPr>
          <w:rFonts w:asciiTheme="minorHAnsi" w:hAnsiTheme="minorHAnsi"/>
          <w:bCs/>
          <w:snapToGrid w:val="0"/>
          <w:lang w:eastAsia="en-US"/>
        </w:rPr>
        <w:t xml:space="preserve"> from an interested individual stated that all measures need to be taken to prevent patients with osteoporosis suffering fractures. The comments from health care professionals</w:t>
      </w:r>
      <w:r w:rsidR="00086280">
        <w:rPr>
          <w:rFonts w:asciiTheme="minorHAnsi" w:hAnsiTheme="minorHAnsi"/>
          <w:bCs/>
          <w:snapToGrid w:val="0"/>
          <w:lang w:eastAsia="en-US"/>
        </w:rPr>
        <w:t xml:space="preserve"> along with Healthy Bones Australia, Healthy Bones Australia &amp; Monash University, Australian Women’s Coalition, Musculoskeletal Australia and CreakyJoints Australia </w:t>
      </w:r>
      <w:r w:rsidRPr="00AD7B35">
        <w:rPr>
          <w:rFonts w:asciiTheme="minorHAnsi" w:hAnsiTheme="minorHAnsi"/>
          <w:bCs/>
          <w:snapToGrid w:val="0"/>
          <w:lang w:eastAsia="en-US"/>
        </w:rPr>
        <w:t>described a range of benefits of treatment with</w:t>
      </w:r>
      <w:r w:rsidR="0051059A">
        <w:rPr>
          <w:rFonts w:asciiTheme="minorHAnsi" w:hAnsiTheme="minorHAnsi"/>
          <w:bCs/>
          <w:snapToGrid w:val="0"/>
          <w:lang w:eastAsia="en-US"/>
        </w:rPr>
        <w:t xml:space="preserve"> romosozumab including high bone density gain and the potential to prevent fracture risk and describe</w:t>
      </w:r>
      <w:r w:rsidR="00884EDF">
        <w:rPr>
          <w:rFonts w:asciiTheme="minorHAnsi" w:hAnsiTheme="minorHAnsi"/>
          <w:bCs/>
          <w:snapToGrid w:val="0"/>
          <w:lang w:eastAsia="en-US"/>
        </w:rPr>
        <w:t>d</w:t>
      </w:r>
      <w:r w:rsidR="0051059A">
        <w:rPr>
          <w:rFonts w:asciiTheme="minorHAnsi" w:hAnsiTheme="minorHAnsi"/>
          <w:bCs/>
          <w:snapToGrid w:val="0"/>
          <w:lang w:eastAsia="en-US"/>
        </w:rPr>
        <w:t xml:space="preserve"> the drug as having a positive safety profile. The comments also noted the low quality of life experienced by sufferers of osteoporotic fractures, including pain, disability, anxiety, decreased independence as well as the burdens </w:t>
      </w:r>
      <w:r w:rsidR="0051059A">
        <w:rPr>
          <w:rFonts w:asciiTheme="minorHAnsi" w:hAnsiTheme="minorHAnsi"/>
          <w:bCs/>
          <w:snapToGrid w:val="0"/>
          <w:lang w:eastAsia="en-US"/>
        </w:rPr>
        <w:lastRenderedPageBreak/>
        <w:t xml:space="preserve">associated with hospital admissions and rehabilitation post-fractures. </w:t>
      </w:r>
      <w:r w:rsidR="008A005D">
        <w:rPr>
          <w:rFonts w:asciiTheme="minorHAnsi" w:hAnsiTheme="minorHAnsi"/>
          <w:bCs/>
          <w:snapToGrid w:val="0"/>
          <w:lang w:eastAsia="en-US"/>
        </w:rPr>
        <w:t>C</w:t>
      </w:r>
      <w:r w:rsidR="0051059A">
        <w:rPr>
          <w:rFonts w:asciiTheme="minorHAnsi" w:hAnsiTheme="minorHAnsi"/>
          <w:bCs/>
          <w:snapToGrid w:val="0"/>
          <w:lang w:eastAsia="en-US"/>
        </w:rPr>
        <w:t xml:space="preserve">omments </w:t>
      </w:r>
      <w:r w:rsidR="008A005D">
        <w:rPr>
          <w:rFonts w:asciiTheme="minorHAnsi" w:hAnsiTheme="minorHAnsi"/>
          <w:bCs/>
          <w:snapToGrid w:val="0"/>
          <w:lang w:eastAsia="en-US"/>
        </w:rPr>
        <w:t xml:space="preserve">from health care professionals </w:t>
      </w:r>
      <w:r w:rsidR="00086280">
        <w:rPr>
          <w:rFonts w:asciiTheme="minorHAnsi" w:hAnsiTheme="minorHAnsi"/>
          <w:bCs/>
          <w:snapToGrid w:val="0"/>
          <w:lang w:eastAsia="en-US"/>
        </w:rPr>
        <w:t>a</w:t>
      </w:r>
      <w:r w:rsidR="008A005D">
        <w:rPr>
          <w:rFonts w:asciiTheme="minorHAnsi" w:hAnsiTheme="minorHAnsi"/>
          <w:bCs/>
          <w:snapToGrid w:val="0"/>
          <w:lang w:eastAsia="en-US"/>
        </w:rPr>
        <w:t xml:space="preserve">nd Healthy Bones Australia &amp; Monash University highlighted the </w:t>
      </w:r>
      <w:r w:rsidR="00884EDF">
        <w:rPr>
          <w:rFonts w:asciiTheme="minorHAnsi" w:hAnsiTheme="minorHAnsi"/>
          <w:bCs/>
          <w:snapToGrid w:val="0"/>
          <w:lang w:eastAsia="en-US"/>
        </w:rPr>
        <w:t>anticipat</w:t>
      </w:r>
      <w:r w:rsidR="008A005D">
        <w:rPr>
          <w:rFonts w:asciiTheme="minorHAnsi" w:hAnsiTheme="minorHAnsi"/>
          <w:bCs/>
          <w:snapToGrid w:val="0"/>
          <w:lang w:eastAsia="en-US"/>
        </w:rPr>
        <w:t>ed benefits of first-line use of romosozumab, rather than use post anti-resorptive therapy</w:t>
      </w:r>
      <w:r w:rsidR="0051059A">
        <w:rPr>
          <w:rFonts w:asciiTheme="minorHAnsi" w:hAnsiTheme="minorHAnsi"/>
          <w:bCs/>
          <w:snapToGrid w:val="0"/>
          <w:lang w:eastAsia="en-US"/>
        </w:rPr>
        <w:t xml:space="preserve">. </w:t>
      </w:r>
    </w:p>
    <w:p w14:paraId="609C0765" w14:textId="66EB08CF" w:rsidR="00B60939" w:rsidRPr="00C9624D" w:rsidRDefault="00B60939" w:rsidP="002E4F02">
      <w:pPr>
        <w:pStyle w:val="COMH2-non-numbered"/>
      </w:pPr>
      <w:r w:rsidRPr="00C9624D">
        <w:t>Clinical trials</w:t>
      </w:r>
      <w:bookmarkEnd w:id="19"/>
      <w:bookmarkEnd w:id="20"/>
    </w:p>
    <w:p w14:paraId="711CD352" w14:textId="28DC5AAD" w:rsidR="003B59E8" w:rsidRPr="003074AF" w:rsidRDefault="003B59E8" w:rsidP="00BE7594">
      <w:pPr>
        <w:pStyle w:val="COMexecsumnumberedpara"/>
      </w:pPr>
      <w:r w:rsidRPr="003074AF">
        <w:t xml:space="preserve">The </w:t>
      </w:r>
      <w:r w:rsidR="00850EEA" w:rsidRPr="00810C1E">
        <w:t>ESC noted that the</w:t>
      </w:r>
      <w:r w:rsidR="00850EEA">
        <w:rPr>
          <w:i/>
          <w:iCs/>
        </w:rPr>
        <w:t xml:space="preserve"> </w:t>
      </w:r>
      <w:r w:rsidRPr="003074AF">
        <w:t>clinical evidence presented in the resubmission was unchanged from the July 2022 resubmission, with the exception of additional safety data from recent Periodic Safety Update Reports</w:t>
      </w:r>
      <w:r w:rsidR="0068722B" w:rsidRPr="003074AF">
        <w:t>.</w:t>
      </w:r>
    </w:p>
    <w:p w14:paraId="17DE34DC" w14:textId="287840C7" w:rsidR="007F1017" w:rsidRPr="003074AF" w:rsidRDefault="00172A03" w:rsidP="00BE7594">
      <w:pPr>
        <w:pStyle w:val="COMexecsumnumberedpara"/>
        <w:rPr>
          <w:color w:val="0066FF"/>
        </w:rPr>
      </w:pPr>
      <w:r w:rsidRPr="003074AF">
        <w:t xml:space="preserve">The resubmission was based on a direct comparison of romosozumab versus alendronate in the ARCH trial only. The resubmission excluded all other identified trials as ARCH was the only trial comparing romosozumab with an anti-resorptive agent and included fracture outcomes. </w:t>
      </w:r>
      <w:r w:rsidR="003B59E8" w:rsidRPr="003074AF">
        <w:t>The PBAC previously considered that t</w:t>
      </w:r>
      <w:r w:rsidRPr="003074AF">
        <w:t>he exclusion of the STRUCTURE trial (BMD outcomes only) was inadequately justified given PBAC’s concerns surrounding the applicability of the ARCH trial to patients previously treated with anti-resorptives. Likewise, the exclusion of the FRAME placebo-controlled trial was inadequately justified as it provided evidence of residual efficacy associated with the follow-up use of denosumab after 12 months of romosozumab</w:t>
      </w:r>
      <w:r w:rsidR="003B59E8" w:rsidRPr="003074AF">
        <w:t xml:space="preserve"> (para 6.8, romosozumab PSD, July 2022 PBAC meeting)</w:t>
      </w:r>
      <w:r w:rsidRPr="003074AF">
        <w:t>. These trials were included during the evaluation.</w:t>
      </w:r>
      <w:r w:rsidR="00CB2F26" w:rsidRPr="003074AF">
        <w:t xml:space="preserve"> A summary of post hoc analyses of BMD outcomes in trials of romosozumab (ARCH, FRAME, STRUCTURE and Study 326), which were identified during evaluation of the July 2022 romosozumab resubmission</w:t>
      </w:r>
      <w:r w:rsidR="00C86ECD" w:rsidRPr="003074AF">
        <w:t xml:space="preserve">, </w:t>
      </w:r>
      <w:r w:rsidR="00CB2F26" w:rsidRPr="003074AF">
        <w:t>are presented again for completeness.</w:t>
      </w:r>
    </w:p>
    <w:p w14:paraId="2B59ABAC" w14:textId="083AFB2B" w:rsidR="00862502" w:rsidRPr="00B50DB8" w:rsidRDefault="00975A39" w:rsidP="00BE7594">
      <w:pPr>
        <w:pStyle w:val="COMexecsumnumberedpara"/>
      </w:pPr>
      <w:r w:rsidRPr="008B7BDF">
        <w:rPr>
          <w:snapToGrid/>
        </w:rPr>
        <w:t xml:space="preserve">Details of the trials </w:t>
      </w:r>
      <w:r>
        <w:rPr>
          <w:snapToGrid/>
        </w:rPr>
        <w:t xml:space="preserve">included in the resubmission </w:t>
      </w:r>
      <w:r w:rsidRPr="005F6E7C">
        <w:rPr>
          <w:snapToGrid/>
        </w:rPr>
        <w:t>and during the evaluation</w:t>
      </w:r>
      <w:r>
        <w:rPr>
          <w:snapToGrid/>
        </w:rPr>
        <w:t xml:space="preserve"> </w:t>
      </w:r>
      <w:r w:rsidRPr="008B7BDF">
        <w:rPr>
          <w:snapToGrid/>
        </w:rPr>
        <w:t>are presented in</w:t>
      </w:r>
      <w:r w:rsidR="00DE79C8">
        <w:rPr>
          <w:snapToGrid/>
        </w:rPr>
        <w:t xml:space="preserve"> </w:t>
      </w:r>
      <w:r w:rsidR="00DE79C8">
        <w:rPr>
          <w:snapToGrid/>
        </w:rPr>
        <w:fldChar w:fldCharType="begin" w:fldLock="1"/>
      </w:r>
      <w:r w:rsidR="00DE79C8">
        <w:rPr>
          <w:snapToGrid/>
        </w:rPr>
        <w:instrText xml:space="preserve"> REF _Ref124863324 \h </w:instrText>
      </w:r>
      <w:r w:rsidR="00DE79C8">
        <w:rPr>
          <w:snapToGrid/>
        </w:rPr>
      </w:r>
      <w:r w:rsidR="00DE79C8">
        <w:rPr>
          <w:snapToGrid/>
        </w:rPr>
        <w:fldChar w:fldCharType="separate"/>
      </w:r>
      <w:r w:rsidR="00DE79C8">
        <w:t xml:space="preserve">Table </w:t>
      </w:r>
      <w:r w:rsidR="00DE79C8">
        <w:rPr>
          <w:noProof/>
        </w:rPr>
        <w:t>4</w:t>
      </w:r>
      <w:r w:rsidR="00DE79C8">
        <w:rPr>
          <w:snapToGrid/>
        </w:rPr>
        <w:fldChar w:fldCharType="end"/>
      </w:r>
      <w:r w:rsidR="00A73134">
        <w:rPr>
          <w:snapToGrid/>
          <w:lang w:val="en-US"/>
        </w:rPr>
        <w:t>.</w:t>
      </w:r>
    </w:p>
    <w:p w14:paraId="0F5AB372" w14:textId="1B2DF840" w:rsidR="006755F6" w:rsidRDefault="006755F6" w:rsidP="00CD025D">
      <w:pPr>
        <w:pStyle w:val="COMtablefigcaption"/>
      </w:pPr>
      <w:bookmarkStart w:id="22" w:name="_Ref124863324"/>
      <w:r>
        <w:lastRenderedPageBreak/>
        <w:t xml:space="preserve">Table </w:t>
      </w:r>
      <w:fldSimple w:instr=" SEQ Table \* ARABIC " w:fldLock="1">
        <w:r w:rsidR="00B20BD0">
          <w:rPr>
            <w:noProof/>
          </w:rPr>
          <w:t>4</w:t>
        </w:r>
      </w:fldSimple>
      <w:bookmarkEnd w:id="22"/>
      <w:r>
        <w:t xml:space="preserve">: Included trials and associated reports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02"/>
        <w:gridCol w:w="5711"/>
        <w:gridCol w:w="2204"/>
      </w:tblGrid>
      <w:tr w:rsidR="006755F6" w:rsidRPr="00B41614" w14:paraId="4BA58AD1" w14:textId="77777777" w:rsidTr="0077002B">
        <w:trPr>
          <w:tblHeader/>
        </w:trPr>
        <w:tc>
          <w:tcPr>
            <w:tcW w:w="611" w:type="pct"/>
            <w:tcBorders>
              <w:bottom w:val="single" w:sz="4" w:space="0" w:color="auto"/>
            </w:tcBorders>
            <w:vAlign w:val="center"/>
          </w:tcPr>
          <w:p w14:paraId="25A2D5A9" w14:textId="77777777" w:rsidR="006755F6" w:rsidRPr="00B41614" w:rsidRDefault="006755F6" w:rsidP="0077002B">
            <w:pPr>
              <w:pStyle w:val="Tabletext"/>
              <w:keepNext/>
              <w:rPr>
                <w:b/>
              </w:rPr>
            </w:pPr>
            <w:r w:rsidRPr="00B41614">
              <w:rPr>
                <w:b/>
              </w:rPr>
              <w:t>Trial ID</w:t>
            </w:r>
          </w:p>
        </w:tc>
        <w:tc>
          <w:tcPr>
            <w:tcW w:w="3167" w:type="pct"/>
            <w:tcBorders>
              <w:bottom w:val="single" w:sz="4" w:space="0" w:color="auto"/>
            </w:tcBorders>
            <w:vAlign w:val="center"/>
          </w:tcPr>
          <w:p w14:paraId="72EB858A" w14:textId="77777777" w:rsidR="006755F6" w:rsidRPr="00B41614" w:rsidRDefault="006755F6" w:rsidP="0077002B">
            <w:pPr>
              <w:pStyle w:val="Tabletext"/>
              <w:keepNext/>
              <w:jc w:val="center"/>
              <w:rPr>
                <w:b/>
              </w:rPr>
            </w:pPr>
            <w:r w:rsidRPr="00B41614">
              <w:rPr>
                <w:b/>
              </w:rPr>
              <w:t>Protocol title/ Publication title</w:t>
            </w:r>
          </w:p>
        </w:tc>
        <w:tc>
          <w:tcPr>
            <w:tcW w:w="1222" w:type="pct"/>
            <w:tcBorders>
              <w:bottom w:val="single" w:sz="4" w:space="0" w:color="auto"/>
            </w:tcBorders>
            <w:vAlign w:val="center"/>
          </w:tcPr>
          <w:p w14:paraId="506EF478" w14:textId="77777777" w:rsidR="006755F6" w:rsidRPr="00B41614" w:rsidRDefault="006755F6" w:rsidP="0077002B">
            <w:pPr>
              <w:pStyle w:val="Tabletext"/>
              <w:keepNext/>
              <w:jc w:val="center"/>
              <w:rPr>
                <w:b/>
              </w:rPr>
            </w:pPr>
            <w:r w:rsidRPr="00B41614">
              <w:rPr>
                <w:b/>
              </w:rPr>
              <w:t>Publication citation</w:t>
            </w:r>
          </w:p>
        </w:tc>
      </w:tr>
      <w:tr w:rsidR="006755F6" w:rsidRPr="00CB38A8" w14:paraId="456B48ED" w14:textId="77777777" w:rsidTr="0077002B">
        <w:tc>
          <w:tcPr>
            <w:tcW w:w="611" w:type="pct"/>
            <w:vMerge w:val="restart"/>
            <w:tcBorders>
              <w:top w:val="single" w:sz="4" w:space="0" w:color="auto"/>
              <w:left w:val="single" w:sz="4" w:space="0" w:color="auto"/>
              <w:right w:val="single" w:sz="4" w:space="0" w:color="auto"/>
            </w:tcBorders>
            <w:vAlign w:val="center"/>
          </w:tcPr>
          <w:p w14:paraId="28CB4AFF" w14:textId="77777777" w:rsidR="006755F6" w:rsidRPr="00D45D75" w:rsidRDefault="006755F6" w:rsidP="0077002B">
            <w:pPr>
              <w:pStyle w:val="Tabletext"/>
              <w:keepNext/>
            </w:pPr>
            <w:r>
              <w:t>ARCH</w:t>
            </w:r>
          </w:p>
        </w:tc>
        <w:tc>
          <w:tcPr>
            <w:tcW w:w="3167" w:type="pct"/>
            <w:tcBorders>
              <w:top w:val="single" w:sz="4" w:space="0" w:color="auto"/>
              <w:left w:val="single" w:sz="4" w:space="0" w:color="auto"/>
              <w:bottom w:val="nil"/>
              <w:right w:val="single" w:sz="4" w:space="0" w:color="auto"/>
            </w:tcBorders>
          </w:tcPr>
          <w:p w14:paraId="1A08CEAA" w14:textId="77777777" w:rsidR="006755F6" w:rsidRDefault="006755F6" w:rsidP="0077002B">
            <w:pPr>
              <w:pStyle w:val="Tabletext"/>
              <w:keepNext/>
              <w:rPr>
                <w:szCs w:val="18"/>
              </w:rPr>
            </w:pPr>
            <w:r>
              <w:rPr>
                <w:szCs w:val="18"/>
              </w:rPr>
              <w:t xml:space="preserve">Amgen clinical study report (2017). </w:t>
            </w:r>
            <w:r w:rsidRPr="006E6D44">
              <w:rPr>
                <w:szCs w:val="18"/>
              </w:rPr>
              <w:t>A Multicenter, International, Randomized, Double-blind, Alendronate-controlled Study to Determine the Efficacy and Safety of Romosozumab in the Treatment of Postmenopausal Women With Osteoporosis</w:t>
            </w:r>
          </w:p>
        </w:tc>
        <w:tc>
          <w:tcPr>
            <w:tcW w:w="1222" w:type="pct"/>
            <w:tcBorders>
              <w:top w:val="single" w:sz="4" w:space="0" w:color="auto"/>
              <w:left w:val="single" w:sz="4" w:space="0" w:color="auto"/>
              <w:bottom w:val="nil"/>
              <w:right w:val="single" w:sz="4" w:space="0" w:color="auto"/>
            </w:tcBorders>
          </w:tcPr>
          <w:p w14:paraId="5EED01CF" w14:textId="77777777" w:rsidR="006755F6" w:rsidRDefault="006755F6" w:rsidP="0077002B">
            <w:pPr>
              <w:pStyle w:val="Tabletext"/>
              <w:keepNext/>
            </w:pPr>
            <w:r>
              <w:t>Internal study report</w:t>
            </w:r>
          </w:p>
        </w:tc>
      </w:tr>
      <w:tr w:rsidR="006755F6" w:rsidRPr="00CB38A8" w14:paraId="5C590C54" w14:textId="77777777" w:rsidTr="0077002B">
        <w:tc>
          <w:tcPr>
            <w:tcW w:w="611" w:type="pct"/>
            <w:vMerge/>
            <w:tcBorders>
              <w:left w:val="single" w:sz="4" w:space="0" w:color="auto"/>
              <w:right w:val="single" w:sz="4" w:space="0" w:color="auto"/>
            </w:tcBorders>
            <w:vAlign w:val="center"/>
          </w:tcPr>
          <w:p w14:paraId="3FD98710" w14:textId="77777777" w:rsidR="006755F6" w:rsidRDefault="006755F6" w:rsidP="0077002B">
            <w:pPr>
              <w:pStyle w:val="Tabletext"/>
              <w:keepNext/>
            </w:pPr>
          </w:p>
        </w:tc>
        <w:tc>
          <w:tcPr>
            <w:tcW w:w="3167" w:type="pct"/>
            <w:tcBorders>
              <w:top w:val="nil"/>
              <w:left w:val="single" w:sz="4" w:space="0" w:color="auto"/>
              <w:bottom w:val="single" w:sz="4" w:space="0" w:color="auto"/>
              <w:right w:val="single" w:sz="4" w:space="0" w:color="auto"/>
            </w:tcBorders>
          </w:tcPr>
          <w:p w14:paraId="171F37EC" w14:textId="77777777" w:rsidR="006755F6" w:rsidRDefault="006755F6" w:rsidP="0077002B">
            <w:pPr>
              <w:pStyle w:val="Tabletext"/>
              <w:keepNext/>
              <w:rPr>
                <w:szCs w:val="18"/>
              </w:rPr>
            </w:pPr>
            <w:r w:rsidRPr="006E6D44">
              <w:rPr>
                <w:szCs w:val="18"/>
              </w:rPr>
              <w:t>Saag K et al</w:t>
            </w:r>
            <w:r>
              <w:rPr>
                <w:szCs w:val="18"/>
              </w:rPr>
              <w:t xml:space="preserve"> (2017)</w:t>
            </w:r>
            <w:r w:rsidRPr="006E6D44">
              <w:rPr>
                <w:szCs w:val="18"/>
              </w:rPr>
              <w:t xml:space="preserve">. Romosozumab or Alendronate for Fracture Prevention in Women with Osteoporosis. </w:t>
            </w:r>
          </w:p>
        </w:tc>
        <w:tc>
          <w:tcPr>
            <w:tcW w:w="1222" w:type="pct"/>
            <w:tcBorders>
              <w:top w:val="nil"/>
              <w:left w:val="single" w:sz="4" w:space="0" w:color="auto"/>
              <w:bottom w:val="single" w:sz="4" w:space="0" w:color="auto"/>
              <w:right w:val="single" w:sz="4" w:space="0" w:color="auto"/>
            </w:tcBorders>
          </w:tcPr>
          <w:p w14:paraId="23B11AAC" w14:textId="77777777" w:rsidR="006755F6" w:rsidRDefault="006755F6" w:rsidP="0077002B">
            <w:pPr>
              <w:pStyle w:val="Tabletext"/>
              <w:keepNext/>
            </w:pPr>
            <w:r w:rsidRPr="006E6D44">
              <w:rPr>
                <w:szCs w:val="18"/>
              </w:rPr>
              <w:t>N</w:t>
            </w:r>
            <w:r>
              <w:rPr>
                <w:szCs w:val="18"/>
              </w:rPr>
              <w:t>ew</w:t>
            </w:r>
            <w:r w:rsidRPr="006E6D44">
              <w:rPr>
                <w:szCs w:val="18"/>
              </w:rPr>
              <w:t xml:space="preserve"> Engl</w:t>
            </w:r>
            <w:r>
              <w:rPr>
                <w:szCs w:val="18"/>
              </w:rPr>
              <w:t>and</w:t>
            </w:r>
            <w:r w:rsidRPr="006E6D44">
              <w:rPr>
                <w:szCs w:val="18"/>
              </w:rPr>
              <w:t xml:space="preserve"> J</w:t>
            </w:r>
            <w:r>
              <w:rPr>
                <w:szCs w:val="18"/>
              </w:rPr>
              <w:t>ournal of</w:t>
            </w:r>
            <w:r w:rsidRPr="006E6D44">
              <w:rPr>
                <w:szCs w:val="18"/>
              </w:rPr>
              <w:t xml:space="preserve"> Med</w:t>
            </w:r>
            <w:r>
              <w:rPr>
                <w:szCs w:val="18"/>
              </w:rPr>
              <w:t xml:space="preserve">icine </w:t>
            </w:r>
            <w:r w:rsidRPr="006E6D44">
              <w:rPr>
                <w:szCs w:val="18"/>
              </w:rPr>
              <w:t>377:</w:t>
            </w:r>
            <w:r>
              <w:rPr>
                <w:szCs w:val="18"/>
              </w:rPr>
              <w:t xml:space="preserve"> 1417-1427</w:t>
            </w:r>
          </w:p>
        </w:tc>
      </w:tr>
      <w:tr w:rsidR="006755F6" w:rsidRPr="00CB38A8" w14:paraId="05085BF2" w14:textId="77777777" w:rsidTr="0077002B">
        <w:tc>
          <w:tcPr>
            <w:tcW w:w="611" w:type="pct"/>
            <w:vMerge w:val="restart"/>
            <w:tcBorders>
              <w:left w:val="single" w:sz="4" w:space="0" w:color="auto"/>
              <w:right w:val="single" w:sz="4" w:space="0" w:color="auto"/>
            </w:tcBorders>
            <w:vAlign w:val="center"/>
          </w:tcPr>
          <w:p w14:paraId="5F3AD62B" w14:textId="77777777" w:rsidR="006755F6" w:rsidRPr="005F6E7C" w:rsidRDefault="006755F6" w:rsidP="0077002B">
            <w:pPr>
              <w:pStyle w:val="Tabletext"/>
              <w:keepNext/>
            </w:pPr>
            <w:r w:rsidRPr="005F6E7C">
              <w:t>FRAME</w:t>
            </w:r>
          </w:p>
        </w:tc>
        <w:tc>
          <w:tcPr>
            <w:tcW w:w="3167" w:type="pct"/>
            <w:tcBorders>
              <w:top w:val="single" w:sz="4" w:space="0" w:color="auto"/>
              <w:left w:val="single" w:sz="4" w:space="0" w:color="auto"/>
              <w:bottom w:val="nil"/>
              <w:right w:val="single" w:sz="4" w:space="0" w:color="auto"/>
            </w:tcBorders>
          </w:tcPr>
          <w:p w14:paraId="6F371FC9" w14:textId="77777777" w:rsidR="006755F6" w:rsidRPr="005F6E7C" w:rsidRDefault="006755F6" w:rsidP="0077002B">
            <w:pPr>
              <w:pStyle w:val="Tabletext"/>
              <w:keepNext/>
              <w:rPr>
                <w:szCs w:val="18"/>
              </w:rPr>
            </w:pPr>
            <w:r w:rsidRPr="005F6E7C">
              <w:rPr>
                <w:szCs w:val="18"/>
              </w:rPr>
              <w:t>Amgen clinical study report (2017). A Multicenter, International, Randomized, Double-blind, Placebo-controlled, Parallel-group Study to Assess the Efficacy and Safety of Romosozumab Treatment in Postmenopausal Women With Osteoporosis</w:t>
            </w:r>
          </w:p>
        </w:tc>
        <w:tc>
          <w:tcPr>
            <w:tcW w:w="1222" w:type="pct"/>
            <w:tcBorders>
              <w:top w:val="single" w:sz="4" w:space="0" w:color="auto"/>
              <w:left w:val="single" w:sz="4" w:space="0" w:color="auto"/>
              <w:bottom w:val="nil"/>
              <w:right w:val="single" w:sz="4" w:space="0" w:color="auto"/>
            </w:tcBorders>
          </w:tcPr>
          <w:p w14:paraId="30CB5F00" w14:textId="77777777" w:rsidR="006755F6" w:rsidRPr="005F6E7C" w:rsidRDefault="006755F6" w:rsidP="0077002B">
            <w:pPr>
              <w:pStyle w:val="Tabletext"/>
              <w:keepNext/>
            </w:pPr>
            <w:r w:rsidRPr="005F6E7C">
              <w:t>Internal study report</w:t>
            </w:r>
          </w:p>
        </w:tc>
      </w:tr>
      <w:tr w:rsidR="006755F6" w:rsidRPr="00CB38A8" w14:paraId="785882CB" w14:textId="77777777" w:rsidTr="0077002B">
        <w:tc>
          <w:tcPr>
            <w:tcW w:w="611" w:type="pct"/>
            <w:vMerge/>
            <w:tcBorders>
              <w:left w:val="single" w:sz="4" w:space="0" w:color="auto"/>
              <w:right w:val="single" w:sz="4" w:space="0" w:color="auto"/>
            </w:tcBorders>
            <w:vAlign w:val="center"/>
          </w:tcPr>
          <w:p w14:paraId="2CBBF755" w14:textId="77777777" w:rsidR="006755F6" w:rsidRPr="005F6E7C" w:rsidRDefault="006755F6" w:rsidP="0077002B">
            <w:pPr>
              <w:pStyle w:val="Tabletext"/>
              <w:keepNext/>
            </w:pPr>
          </w:p>
        </w:tc>
        <w:tc>
          <w:tcPr>
            <w:tcW w:w="3167" w:type="pct"/>
            <w:tcBorders>
              <w:top w:val="nil"/>
              <w:left w:val="single" w:sz="4" w:space="0" w:color="auto"/>
              <w:bottom w:val="nil"/>
              <w:right w:val="single" w:sz="4" w:space="0" w:color="auto"/>
            </w:tcBorders>
          </w:tcPr>
          <w:p w14:paraId="420C35FF" w14:textId="77777777" w:rsidR="006755F6" w:rsidRPr="005F6E7C" w:rsidRDefault="006755F6" w:rsidP="0077002B">
            <w:pPr>
              <w:pStyle w:val="Tabletext"/>
              <w:keepNext/>
              <w:rPr>
                <w:szCs w:val="18"/>
              </w:rPr>
            </w:pPr>
            <w:r w:rsidRPr="005F6E7C">
              <w:rPr>
                <w:szCs w:val="18"/>
              </w:rPr>
              <w:t xml:space="preserve">Cosman F et al (2016). Romosozumab Treatment in Postmenopausal Women with Osteoporosis. </w:t>
            </w:r>
          </w:p>
        </w:tc>
        <w:tc>
          <w:tcPr>
            <w:tcW w:w="1222" w:type="pct"/>
            <w:tcBorders>
              <w:top w:val="nil"/>
              <w:left w:val="single" w:sz="4" w:space="0" w:color="auto"/>
              <w:bottom w:val="nil"/>
              <w:right w:val="single" w:sz="4" w:space="0" w:color="auto"/>
            </w:tcBorders>
          </w:tcPr>
          <w:p w14:paraId="6980415D" w14:textId="77777777" w:rsidR="006755F6" w:rsidRPr="005F6E7C" w:rsidRDefault="006755F6" w:rsidP="0077002B">
            <w:pPr>
              <w:pStyle w:val="Tabletext"/>
              <w:keepNext/>
            </w:pPr>
            <w:r w:rsidRPr="005F6E7C">
              <w:rPr>
                <w:szCs w:val="18"/>
              </w:rPr>
              <w:t>New England Journal of Medicine 375: 1532-1543</w:t>
            </w:r>
          </w:p>
        </w:tc>
      </w:tr>
      <w:tr w:rsidR="006755F6" w:rsidRPr="00CB38A8" w14:paraId="5E61C63F" w14:textId="77777777" w:rsidTr="0077002B">
        <w:tc>
          <w:tcPr>
            <w:tcW w:w="611" w:type="pct"/>
            <w:vMerge/>
            <w:tcBorders>
              <w:left w:val="single" w:sz="4" w:space="0" w:color="auto"/>
              <w:right w:val="single" w:sz="4" w:space="0" w:color="auto"/>
            </w:tcBorders>
            <w:vAlign w:val="center"/>
          </w:tcPr>
          <w:p w14:paraId="769EA92B" w14:textId="77777777" w:rsidR="006755F6" w:rsidRPr="005F6E7C" w:rsidRDefault="006755F6" w:rsidP="0077002B">
            <w:pPr>
              <w:pStyle w:val="Tabletext"/>
              <w:keepNext/>
            </w:pPr>
          </w:p>
        </w:tc>
        <w:tc>
          <w:tcPr>
            <w:tcW w:w="3167" w:type="pct"/>
            <w:tcBorders>
              <w:top w:val="nil"/>
              <w:left w:val="single" w:sz="4" w:space="0" w:color="auto"/>
              <w:bottom w:val="single" w:sz="4" w:space="0" w:color="auto"/>
              <w:right w:val="single" w:sz="4" w:space="0" w:color="auto"/>
            </w:tcBorders>
          </w:tcPr>
          <w:p w14:paraId="3FCCC78A" w14:textId="77777777" w:rsidR="006755F6" w:rsidRPr="005F6E7C" w:rsidRDefault="006755F6" w:rsidP="0077002B">
            <w:pPr>
              <w:pStyle w:val="Tabletext"/>
              <w:keepNext/>
              <w:rPr>
                <w:szCs w:val="18"/>
              </w:rPr>
            </w:pPr>
            <w:r w:rsidRPr="005F6E7C">
              <w:rPr>
                <w:szCs w:val="18"/>
              </w:rPr>
              <w:t>Cosman F et al (2018). FRAME Study: The Foundation Effect of Building Bone With 1 Year of Romosozumab</w:t>
            </w:r>
          </w:p>
          <w:p w14:paraId="2E0FC8C8" w14:textId="77777777" w:rsidR="006755F6" w:rsidRPr="005F6E7C" w:rsidRDefault="006755F6" w:rsidP="0077002B">
            <w:pPr>
              <w:pStyle w:val="Tabletext"/>
              <w:keepNext/>
              <w:rPr>
                <w:szCs w:val="18"/>
              </w:rPr>
            </w:pPr>
            <w:r w:rsidRPr="005F6E7C">
              <w:rPr>
                <w:szCs w:val="18"/>
              </w:rPr>
              <w:t>Leads to Continued Lower Fracture Risk After Transition to Denosumab</w:t>
            </w:r>
          </w:p>
        </w:tc>
        <w:tc>
          <w:tcPr>
            <w:tcW w:w="1222" w:type="pct"/>
            <w:tcBorders>
              <w:top w:val="nil"/>
              <w:left w:val="single" w:sz="4" w:space="0" w:color="auto"/>
              <w:bottom w:val="single" w:sz="4" w:space="0" w:color="auto"/>
              <w:right w:val="single" w:sz="4" w:space="0" w:color="auto"/>
            </w:tcBorders>
          </w:tcPr>
          <w:p w14:paraId="2E967DB8" w14:textId="77777777" w:rsidR="006755F6" w:rsidRPr="005F6E7C" w:rsidRDefault="006755F6" w:rsidP="0077002B">
            <w:pPr>
              <w:pStyle w:val="Tabletext"/>
              <w:keepNext/>
              <w:rPr>
                <w:szCs w:val="18"/>
              </w:rPr>
            </w:pPr>
            <w:r w:rsidRPr="005F6E7C">
              <w:rPr>
                <w:szCs w:val="18"/>
              </w:rPr>
              <w:t>Journal of Bone and Mineral Research DOI 10.1002/jbmr.3427</w:t>
            </w:r>
          </w:p>
        </w:tc>
      </w:tr>
      <w:tr w:rsidR="006755F6" w:rsidRPr="00CB38A8" w14:paraId="2B1FDD8F" w14:textId="77777777" w:rsidTr="0077002B">
        <w:tc>
          <w:tcPr>
            <w:tcW w:w="611" w:type="pct"/>
            <w:vMerge w:val="restart"/>
            <w:tcBorders>
              <w:left w:val="single" w:sz="4" w:space="0" w:color="auto"/>
              <w:right w:val="single" w:sz="4" w:space="0" w:color="auto"/>
            </w:tcBorders>
            <w:vAlign w:val="center"/>
          </w:tcPr>
          <w:p w14:paraId="67FF46E3" w14:textId="77777777" w:rsidR="006755F6" w:rsidRPr="005F6E7C" w:rsidRDefault="006755F6" w:rsidP="0077002B">
            <w:pPr>
              <w:pStyle w:val="Tabletext"/>
              <w:keepNext/>
            </w:pPr>
            <w:r w:rsidRPr="005F6E7C">
              <w:t>STRUCTURE</w:t>
            </w:r>
          </w:p>
        </w:tc>
        <w:tc>
          <w:tcPr>
            <w:tcW w:w="3167" w:type="pct"/>
            <w:tcBorders>
              <w:top w:val="single" w:sz="4" w:space="0" w:color="auto"/>
              <w:left w:val="single" w:sz="4" w:space="0" w:color="auto"/>
              <w:bottom w:val="nil"/>
              <w:right w:val="single" w:sz="4" w:space="0" w:color="auto"/>
            </w:tcBorders>
          </w:tcPr>
          <w:p w14:paraId="474F50CD" w14:textId="77777777" w:rsidR="006755F6" w:rsidRPr="005F6E7C" w:rsidRDefault="006755F6" w:rsidP="0077002B">
            <w:pPr>
              <w:pStyle w:val="Tabletext"/>
              <w:keepNext/>
              <w:rPr>
                <w:szCs w:val="18"/>
              </w:rPr>
            </w:pPr>
            <w:r w:rsidRPr="005F6E7C">
              <w:rPr>
                <w:szCs w:val="18"/>
              </w:rPr>
              <w:t>Amgen clinical study report (2015). An Open-label, Randomized, Teriparatide-controlled Study to Evaluate the Effect of Treatment With Romosozumab in Postmenopausal Women With Osteoporosis Previously Treated With Bisphosphonate Therapy</w:t>
            </w:r>
          </w:p>
        </w:tc>
        <w:tc>
          <w:tcPr>
            <w:tcW w:w="1222" w:type="pct"/>
            <w:tcBorders>
              <w:top w:val="single" w:sz="4" w:space="0" w:color="auto"/>
              <w:left w:val="single" w:sz="4" w:space="0" w:color="auto"/>
              <w:bottom w:val="nil"/>
              <w:right w:val="single" w:sz="4" w:space="0" w:color="auto"/>
            </w:tcBorders>
          </w:tcPr>
          <w:p w14:paraId="48DB963F" w14:textId="77777777" w:rsidR="006755F6" w:rsidRPr="005F6E7C" w:rsidRDefault="006755F6" w:rsidP="0077002B">
            <w:pPr>
              <w:pStyle w:val="Tabletext"/>
              <w:keepNext/>
              <w:rPr>
                <w:szCs w:val="18"/>
              </w:rPr>
            </w:pPr>
            <w:r w:rsidRPr="005F6E7C">
              <w:t>Internal study report</w:t>
            </w:r>
          </w:p>
        </w:tc>
      </w:tr>
      <w:tr w:rsidR="006755F6" w:rsidRPr="00CB38A8" w14:paraId="35F3F098" w14:textId="77777777" w:rsidTr="0077002B">
        <w:tc>
          <w:tcPr>
            <w:tcW w:w="611" w:type="pct"/>
            <w:vMerge/>
            <w:tcBorders>
              <w:left w:val="single" w:sz="4" w:space="0" w:color="auto"/>
              <w:right w:val="single" w:sz="4" w:space="0" w:color="auto"/>
            </w:tcBorders>
            <w:vAlign w:val="center"/>
          </w:tcPr>
          <w:p w14:paraId="0083754B" w14:textId="77777777" w:rsidR="006755F6" w:rsidRPr="00096B4A" w:rsidRDefault="006755F6" w:rsidP="0077002B">
            <w:pPr>
              <w:pStyle w:val="Tabletext"/>
              <w:keepNext/>
              <w:rPr>
                <w:i/>
                <w:iCs/>
              </w:rPr>
            </w:pPr>
          </w:p>
        </w:tc>
        <w:tc>
          <w:tcPr>
            <w:tcW w:w="3167" w:type="pct"/>
            <w:tcBorders>
              <w:top w:val="nil"/>
              <w:left w:val="single" w:sz="4" w:space="0" w:color="auto"/>
              <w:bottom w:val="single" w:sz="4" w:space="0" w:color="auto"/>
              <w:right w:val="single" w:sz="4" w:space="0" w:color="auto"/>
            </w:tcBorders>
          </w:tcPr>
          <w:p w14:paraId="4E377684" w14:textId="77777777" w:rsidR="006755F6" w:rsidRPr="005F6E7C" w:rsidRDefault="006755F6" w:rsidP="0077002B">
            <w:pPr>
              <w:pStyle w:val="Tabletext"/>
              <w:keepNext/>
              <w:rPr>
                <w:szCs w:val="18"/>
              </w:rPr>
            </w:pPr>
            <w:r w:rsidRPr="005F6E7C">
              <w:rPr>
                <w:szCs w:val="18"/>
              </w:rPr>
              <w:t xml:space="preserve">Langdahl B et al (2017). Romosozumab (sclerostin monoclonal antibody) versus teriparatide in postmenopausal women with osteoporosis transitioning from oral bisphosphonate therapy: a randomised, open-label, phase 3 trial.  </w:t>
            </w:r>
          </w:p>
        </w:tc>
        <w:tc>
          <w:tcPr>
            <w:tcW w:w="1222" w:type="pct"/>
            <w:tcBorders>
              <w:top w:val="nil"/>
              <w:left w:val="single" w:sz="4" w:space="0" w:color="auto"/>
              <w:bottom w:val="single" w:sz="4" w:space="0" w:color="auto"/>
              <w:right w:val="single" w:sz="4" w:space="0" w:color="auto"/>
            </w:tcBorders>
          </w:tcPr>
          <w:p w14:paraId="40CA8F9A" w14:textId="77777777" w:rsidR="006755F6" w:rsidRPr="005F6E7C" w:rsidRDefault="006755F6" w:rsidP="0077002B">
            <w:pPr>
              <w:pStyle w:val="Tabletext"/>
              <w:keepNext/>
            </w:pPr>
            <w:r w:rsidRPr="005F6E7C">
              <w:rPr>
                <w:szCs w:val="18"/>
              </w:rPr>
              <w:t>Lancet 390: 1585–1594</w:t>
            </w:r>
          </w:p>
        </w:tc>
      </w:tr>
    </w:tbl>
    <w:p w14:paraId="4B7F2AF9" w14:textId="641B3C1A" w:rsidR="00CD025D" w:rsidRDefault="006755F6" w:rsidP="00CD025D">
      <w:pPr>
        <w:pStyle w:val="COMTablefooter"/>
      </w:pPr>
      <w:r w:rsidRPr="00B01EC5">
        <w:t>Source: Table 2.2.1, p</w:t>
      </w:r>
      <w:r w:rsidR="00CD025D">
        <w:t xml:space="preserve">26 </w:t>
      </w:r>
      <w:r w:rsidRPr="00B01EC5">
        <w:t>and Appendix 3 of the resubmission</w:t>
      </w:r>
    </w:p>
    <w:p w14:paraId="1DD06D7D" w14:textId="5F125A36" w:rsidR="007F1017" w:rsidRPr="00EC5836" w:rsidRDefault="008F120A" w:rsidP="00BE7594">
      <w:pPr>
        <w:pStyle w:val="COMexecsumnumberedpara"/>
        <w:rPr>
          <w:color w:val="0066FF"/>
        </w:rPr>
      </w:pPr>
      <w:r w:rsidRPr="00B50DB8">
        <w:t xml:space="preserve">The key features of the </w:t>
      </w:r>
      <w:r w:rsidR="00CD025D">
        <w:t>included trials</w:t>
      </w:r>
      <w:r w:rsidRPr="00B50DB8">
        <w:t xml:space="preserve"> are summarised in</w:t>
      </w:r>
      <w:r w:rsidR="00D6076E">
        <w:t xml:space="preserve"> </w:t>
      </w:r>
      <w:r w:rsidR="00D6076E">
        <w:fldChar w:fldCharType="begin" w:fldLock="1"/>
      </w:r>
      <w:r w:rsidR="00D6076E">
        <w:instrText xml:space="preserve"> REF _Ref104804098 \h  \* MERGEFORMAT </w:instrText>
      </w:r>
      <w:r w:rsidR="00D6076E">
        <w:fldChar w:fldCharType="separate"/>
      </w:r>
      <w:r w:rsidR="00605CB9" w:rsidRPr="00FD4ED6">
        <w:t xml:space="preserve">Table </w:t>
      </w:r>
      <w:r w:rsidR="00605CB9">
        <w:t>5</w:t>
      </w:r>
      <w:r w:rsidR="00D6076E">
        <w:fldChar w:fldCharType="end"/>
      </w:r>
      <w:r w:rsidRPr="00B50DB8">
        <w:t>.</w:t>
      </w:r>
      <w:r w:rsidR="00BC591F">
        <w:t xml:space="preserve"> </w:t>
      </w:r>
    </w:p>
    <w:p w14:paraId="355E2F15" w14:textId="0479FC85" w:rsidR="007F1017" w:rsidRPr="00FD4ED6" w:rsidRDefault="00696EF9" w:rsidP="00FD4ED6">
      <w:pPr>
        <w:pStyle w:val="COMtablefigcaption"/>
      </w:pPr>
      <w:bookmarkStart w:id="23" w:name="_Ref104804098"/>
      <w:r w:rsidRPr="00FD4ED6">
        <w:t xml:space="preserve">Table </w:t>
      </w:r>
      <w:fldSimple w:instr=" SEQ Table \* ARABIC " w:fldLock="1">
        <w:r w:rsidR="00B20BD0">
          <w:rPr>
            <w:noProof/>
          </w:rPr>
          <w:t>5</w:t>
        </w:r>
      </w:fldSimple>
      <w:bookmarkEnd w:id="23"/>
      <w:r w:rsidR="00D6076E" w:rsidRPr="00FD4ED6">
        <w:t xml:space="preserve">: </w:t>
      </w:r>
      <w:r w:rsidR="007F1017" w:rsidRPr="00FD4ED6">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5"/>
        <w:gridCol w:w="647"/>
        <w:gridCol w:w="1625"/>
        <w:gridCol w:w="783"/>
        <w:gridCol w:w="2058"/>
        <w:gridCol w:w="967"/>
        <w:gridCol w:w="1812"/>
      </w:tblGrid>
      <w:tr w:rsidR="0011285F" w:rsidRPr="00B41614" w14:paraId="0C60FA73" w14:textId="77777777" w:rsidTr="0077002B">
        <w:tc>
          <w:tcPr>
            <w:tcW w:w="624" w:type="pct"/>
            <w:shd w:val="clear" w:color="auto" w:fill="auto"/>
            <w:vAlign w:val="center"/>
          </w:tcPr>
          <w:p w14:paraId="51077DCD" w14:textId="77777777" w:rsidR="0011285F" w:rsidRPr="00B41614" w:rsidRDefault="0011285F" w:rsidP="0077002B">
            <w:pPr>
              <w:pStyle w:val="Tabletext"/>
              <w:keepNext/>
              <w:keepLines/>
              <w:rPr>
                <w:b/>
                <w:lang w:val="en-US"/>
              </w:rPr>
            </w:pPr>
            <w:r w:rsidRPr="00B41614">
              <w:rPr>
                <w:b/>
                <w:lang w:val="en-US"/>
              </w:rPr>
              <w:t>Trial</w:t>
            </w:r>
          </w:p>
        </w:tc>
        <w:tc>
          <w:tcPr>
            <w:tcW w:w="359" w:type="pct"/>
            <w:shd w:val="clear" w:color="auto" w:fill="auto"/>
            <w:vAlign w:val="center"/>
          </w:tcPr>
          <w:p w14:paraId="27720E6C" w14:textId="77777777" w:rsidR="0011285F" w:rsidRPr="00B41614" w:rsidRDefault="0011285F" w:rsidP="0077002B">
            <w:pPr>
              <w:pStyle w:val="Tabletext"/>
              <w:keepNext/>
              <w:keepLines/>
              <w:jc w:val="center"/>
              <w:rPr>
                <w:b/>
                <w:lang w:val="en-US"/>
              </w:rPr>
            </w:pPr>
            <w:r w:rsidRPr="00B41614">
              <w:rPr>
                <w:b/>
                <w:lang w:val="en-US"/>
              </w:rPr>
              <w:t>N</w:t>
            </w:r>
          </w:p>
        </w:tc>
        <w:tc>
          <w:tcPr>
            <w:tcW w:w="901" w:type="pct"/>
            <w:shd w:val="clear" w:color="auto" w:fill="auto"/>
            <w:vAlign w:val="center"/>
          </w:tcPr>
          <w:p w14:paraId="5D9FFCC1" w14:textId="77777777" w:rsidR="0011285F" w:rsidRPr="00B41614" w:rsidRDefault="0011285F" w:rsidP="0077002B">
            <w:pPr>
              <w:pStyle w:val="Tabletext"/>
              <w:keepNext/>
              <w:keepLines/>
              <w:jc w:val="center"/>
              <w:rPr>
                <w:b/>
                <w:lang w:val="en-US"/>
              </w:rPr>
            </w:pPr>
            <w:r w:rsidRPr="00B41614">
              <w:rPr>
                <w:b/>
                <w:lang w:val="en-US"/>
              </w:rPr>
              <w:t>Design/ duration</w:t>
            </w:r>
          </w:p>
        </w:tc>
        <w:tc>
          <w:tcPr>
            <w:tcW w:w="434" w:type="pct"/>
            <w:shd w:val="clear" w:color="auto" w:fill="auto"/>
            <w:vAlign w:val="center"/>
          </w:tcPr>
          <w:p w14:paraId="5DB068CE" w14:textId="77777777" w:rsidR="0011285F" w:rsidRPr="00B41614" w:rsidRDefault="0011285F" w:rsidP="0077002B">
            <w:pPr>
              <w:pStyle w:val="Tabletext"/>
              <w:keepNext/>
              <w:keepLines/>
              <w:jc w:val="center"/>
              <w:rPr>
                <w:b/>
                <w:lang w:val="en-US"/>
              </w:rPr>
            </w:pPr>
            <w:r w:rsidRPr="00B41614">
              <w:rPr>
                <w:b/>
                <w:lang w:val="en-US"/>
              </w:rPr>
              <w:t>Risk of bias</w:t>
            </w:r>
          </w:p>
        </w:tc>
        <w:tc>
          <w:tcPr>
            <w:tcW w:w="1141" w:type="pct"/>
            <w:shd w:val="clear" w:color="auto" w:fill="auto"/>
            <w:vAlign w:val="center"/>
          </w:tcPr>
          <w:p w14:paraId="53B187DE" w14:textId="77777777" w:rsidR="0011285F" w:rsidRPr="00B41614" w:rsidRDefault="0011285F" w:rsidP="0077002B">
            <w:pPr>
              <w:pStyle w:val="Tabletext"/>
              <w:keepNext/>
              <w:keepLines/>
              <w:jc w:val="center"/>
              <w:rPr>
                <w:b/>
                <w:lang w:val="en-US"/>
              </w:rPr>
            </w:pPr>
            <w:r w:rsidRPr="00B41614">
              <w:rPr>
                <w:b/>
                <w:lang w:val="en-US"/>
              </w:rPr>
              <w:t>Patient population</w:t>
            </w:r>
          </w:p>
        </w:tc>
        <w:tc>
          <w:tcPr>
            <w:tcW w:w="536" w:type="pct"/>
            <w:shd w:val="clear" w:color="auto" w:fill="auto"/>
            <w:vAlign w:val="center"/>
          </w:tcPr>
          <w:p w14:paraId="5CB6321A" w14:textId="77777777" w:rsidR="0011285F" w:rsidRPr="00B41614" w:rsidRDefault="0011285F" w:rsidP="0077002B">
            <w:pPr>
              <w:pStyle w:val="Tabletext"/>
              <w:keepNext/>
              <w:keepLines/>
              <w:jc w:val="center"/>
              <w:rPr>
                <w:b/>
                <w:lang w:val="en-US"/>
              </w:rPr>
            </w:pPr>
            <w:r w:rsidRPr="00B41614">
              <w:rPr>
                <w:b/>
                <w:lang w:val="en-US"/>
              </w:rPr>
              <w:t>Outco</w:t>
            </w:r>
            <w:r>
              <w:rPr>
                <w:b/>
                <w:lang w:val="en-US"/>
              </w:rPr>
              <w:t>me</w:t>
            </w:r>
          </w:p>
        </w:tc>
        <w:tc>
          <w:tcPr>
            <w:tcW w:w="1005" w:type="pct"/>
            <w:vAlign w:val="center"/>
          </w:tcPr>
          <w:p w14:paraId="54AD0335" w14:textId="77777777" w:rsidR="0011285F" w:rsidRPr="00446783" w:rsidRDefault="0011285F" w:rsidP="0077002B">
            <w:pPr>
              <w:pStyle w:val="Tabletext"/>
              <w:keepNext/>
              <w:keepLines/>
              <w:jc w:val="center"/>
              <w:rPr>
                <w:b/>
                <w:lang w:val="en-US"/>
              </w:rPr>
            </w:pPr>
            <w:r w:rsidRPr="00446783">
              <w:rPr>
                <w:b/>
                <w:lang w:val="en-US"/>
              </w:rPr>
              <w:t>Use in modelled evaluation</w:t>
            </w:r>
          </w:p>
        </w:tc>
      </w:tr>
      <w:tr w:rsidR="0011285F" w:rsidRPr="00E2771E" w14:paraId="3C1E382F" w14:textId="77777777" w:rsidTr="0077002B">
        <w:tc>
          <w:tcPr>
            <w:tcW w:w="5000" w:type="pct"/>
            <w:gridSpan w:val="7"/>
            <w:shd w:val="clear" w:color="auto" w:fill="auto"/>
            <w:vAlign w:val="center"/>
          </w:tcPr>
          <w:p w14:paraId="7F74BA5B" w14:textId="77777777" w:rsidR="0011285F" w:rsidRPr="005C36E6" w:rsidRDefault="0011285F" w:rsidP="0077002B">
            <w:pPr>
              <w:pStyle w:val="Tabletext"/>
              <w:keepNext/>
              <w:keepLines/>
              <w:rPr>
                <w:b/>
                <w:lang w:val="en-US"/>
              </w:rPr>
            </w:pPr>
            <w:r w:rsidRPr="005C36E6">
              <w:rPr>
                <w:b/>
                <w:lang w:val="en-US"/>
              </w:rPr>
              <w:t>Romosozumab</w:t>
            </w:r>
            <w:r>
              <w:rPr>
                <w:b/>
                <w:lang w:val="en-US"/>
              </w:rPr>
              <w:t xml:space="preserve"> followed by alendronate</w:t>
            </w:r>
            <w:r w:rsidRPr="005C36E6">
              <w:rPr>
                <w:b/>
                <w:lang w:val="en-US"/>
              </w:rPr>
              <w:t xml:space="preserve"> vs alendronate</w:t>
            </w:r>
            <w:r>
              <w:rPr>
                <w:b/>
                <w:lang w:val="en-US"/>
              </w:rPr>
              <w:t xml:space="preserve"> followed by alendronate</w:t>
            </w:r>
          </w:p>
        </w:tc>
      </w:tr>
      <w:tr w:rsidR="0011285F" w:rsidRPr="00E2771E" w14:paraId="325632EC" w14:textId="77777777" w:rsidTr="0077002B">
        <w:tc>
          <w:tcPr>
            <w:tcW w:w="624" w:type="pct"/>
            <w:shd w:val="clear" w:color="auto" w:fill="auto"/>
            <w:vAlign w:val="center"/>
          </w:tcPr>
          <w:p w14:paraId="6E5E381E" w14:textId="77777777" w:rsidR="0011285F" w:rsidRPr="003074AF" w:rsidRDefault="0011285F" w:rsidP="0077002B">
            <w:pPr>
              <w:pStyle w:val="Tabletext"/>
              <w:keepNext/>
              <w:keepLines/>
              <w:rPr>
                <w:lang w:val="en-US"/>
              </w:rPr>
            </w:pPr>
            <w:r w:rsidRPr="003074AF">
              <w:rPr>
                <w:lang w:val="en-US"/>
              </w:rPr>
              <w:t>ARCH</w:t>
            </w:r>
          </w:p>
        </w:tc>
        <w:tc>
          <w:tcPr>
            <w:tcW w:w="359" w:type="pct"/>
            <w:shd w:val="clear" w:color="auto" w:fill="auto"/>
            <w:vAlign w:val="center"/>
          </w:tcPr>
          <w:p w14:paraId="2F9BB6F5" w14:textId="77777777" w:rsidR="0011285F" w:rsidRPr="003074AF" w:rsidRDefault="0011285F" w:rsidP="0077002B">
            <w:pPr>
              <w:pStyle w:val="Tabletext"/>
              <w:keepNext/>
              <w:keepLines/>
              <w:jc w:val="center"/>
              <w:rPr>
                <w:lang w:val="en-US"/>
              </w:rPr>
            </w:pPr>
            <w:r w:rsidRPr="003074AF">
              <w:rPr>
                <w:lang w:val="en-US"/>
              </w:rPr>
              <w:t>4,093</w:t>
            </w:r>
          </w:p>
        </w:tc>
        <w:tc>
          <w:tcPr>
            <w:tcW w:w="901" w:type="pct"/>
            <w:shd w:val="clear" w:color="auto" w:fill="auto"/>
            <w:vAlign w:val="center"/>
          </w:tcPr>
          <w:p w14:paraId="03C6A9C0" w14:textId="77777777" w:rsidR="0011285F" w:rsidRPr="003074AF" w:rsidRDefault="0011285F" w:rsidP="0077002B">
            <w:pPr>
              <w:pStyle w:val="Tabletext"/>
              <w:keepNext/>
              <w:keepLines/>
              <w:jc w:val="center"/>
              <w:rPr>
                <w:lang w:val="en-US"/>
              </w:rPr>
            </w:pPr>
            <w:r w:rsidRPr="003074AF">
              <w:rPr>
                <w:lang w:val="en-US"/>
              </w:rPr>
              <w:t>MC, R, AC</w:t>
            </w:r>
          </w:p>
          <w:p w14:paraId="776AEEEF" w14:textId="77777777" w:rsidR="0011285F" w:rsidRPr="003074AF" w:rsidRDefault="0011285F" w:rsidP="0077002B">
            <w:pPr>
              <w:pStyle w:val="Tabletext"/>
              <w:keepNext/>
              <w:keepLines/>
              <w:jc w:val="center"/>
              <w:rPr>
                <w:lang w:val="en-US"/>
              </w:rPr>
            </w:pPr>
            <w:r w:rsidRPr="003074AF">
              <w:rPr>
                <w:lang w:val="en-US"/>
              </w:rPr>
              <w:t>First year: DB</w:t>
            </w:r>
          </w:p>
          <w:p w14:paraId="5C5D2BE7" w14:textId="77777777" w:rsidR="0011285F" w:rsidRPr="003074AF" w:rsidRDefault="0011285F" w:rsidP="0077002B">
            <w:pPr>
              <w:pStyle w:val="Tabletext"/>
              <w:keepNext/>
              <w:keepLines/>
              <w:jc w:val="center"/>
              <w:rPr>
                <w:lang w:val="en-US"/>
              </w:rPr>
            </w:pPr>
            <w:r w:rsidRPr="003074AF">
              <w:rPr>
                <w:lang w:val="en-US"/>
              </w:rPr>
              <w:t>Later years: OL</w:t>
            </w:r>
          </w:p>
          <w:p w14:paraId="7D6A181A" w14:textId="77777777" w:rsidR="0011285F" w:rsidRPr="003074AF" w:rsidRDefault="0011285F" w:rsidP="0077002B">
            <w:pPr>
              <w:pStyle w:val="Tabletext"/>
              <w:keepNext/>
              <w:keepLines/>
              <w:jc w:val="center"/>
              <w:rPr>
                <w:lang w:val="en-US"/>
              </w:rPr>
            </w:pPr>
            <w:r w:rsidRPr="003074AF">
              <w:rPr>
                <w:lang w:val="en-US"/>
              </w:rPr>
              <w:t xml:space="preserve">Median 33 months </w:t>
            </w:r>
          </w:p>
        </w:tc>
        <w:tc>
          <w:tcPr>
            <w:tcW w:w="434" w:type="pct"/>
            <w:shd w:val="clear" w:color="auto" w:fill="auto"/>
            <w:vAlign w:val="center"/>
          </w:tcPr>
          <w:p w14:paraId="6A2B9FD1" w14:textId="77777777" w:rsidR="0011285F" w:rsidRPr="003074AF" w:rsidRDefault="0011285F" w:rsidP="0077002B">
            <w:pPr>
              <w:pStyle w:val="Tabletext"/>
              <w:keepNext/>
              <w:keepLines/>
              <w:jc w:val="center"/>
              <w:rPr>
                <w:lang w:val="en-US"/>
              </w:rPr>
            </w:pPr>
            <w:r w:rsidRPr="003074AF">
              <w:rPr>
                <w:lang w:val="en-US"/>
              </w:rPr>
              <w:t>Low</w:t>
            </w:r>
          </w:p>
        </w:tc>
        <w:tc>
          <w:tcPr>
            <w:tcW w:w="1141" w:type="pct"/>
            <w:shd w:val="clear" w:color="auto" w:fill="auto"/>
            <w:vAlign w:val="center"/>
          </w:tcPr>
          <w:p w14:paraId="269F173A" w14:textId="77777777" w:rsidR="0011285F" w:rsidRPr="003074AF" w:rsidRDefault="0011285F" w:rsidP="0077002B">
            <w:pPr>
              <w:pStyle w:val="Tabletext"/>
              <w:keepNext/>
              <w:keepLines/>
              <w:jc w:val="center"/>
              <w:rPr>
                <w:lang w:val="en-US"/>
              </w:rPr>
            </w:pPr>
            <w:r w:rsidRPr="003074AF">
              <w:rPr>
                <w:lang w:val="en-US"/>
              </w:rPr>
              <w:t>Postmenopausal women with osteoporosis and prior fracture</w:t>
            </w:r>
          </w:p>
        </w:tc>
        <w:tc>
          <w:tcPr>
            <w:tcW w:w="536" w:type="pct"/>
            <w:shd w:val="clear" w:color="auto" w:fill="auto"/>
            <w:vAlign w:val="center"/>
          </w:tcPr>
          <w:p w14:paraId="404AE10A" w14:textId="77777777" w:rsidR="0011285F" w:rsidRPr="003074AF" w:rsidRDefault="0011285F" w:rsidP="0077002B">
            <w:pPr>
              <w:pStyle w:val="Tabletext"/>
              <w:keepNext/>
              <w:keepLines/>
              <w:jc w:val="center"/>
              <w:rPr>
                <w:lang w:val="en-US"/>
              </w:rPr>
            </w:pPr>
            <w:r w:rsidRPr="003074AF">
              <w:rPr>
                <w:lang w:val="en-US"/>
              </w:rPr>
              <w:t>Fractures</w:t>
            </w:r>
          </w:p>
        </w:tc>
        <w:tc>
          <w:tcPr>
            <w:tcW w:w="1005" w:type="pct"/>
            <w:vAlign w:val="center"/>
          </w:tcPr>
          <w:p w14:paraId="13A815BA" w14:textId="77777777" w:rsidR="0011285F" w:rsidRPr="003074AF" w:rsidRDefault="0011285F" w:rsidP="0077002B">
            <w:pPr>
              <w:pStyle w:val="Tabletext"/>
              <w:keepNext/>
              <w:keepLines/>
              <w:jc w:val="center"/>
              <w:rPr>
                <w:lang w:val="en-US"/>
              </w:rPr>
            </w:pPr>
            <w:r w:rsidRPr="003074AF">
              <w:rPr>
                <w:lang w:val="en-US"/>
              </w:rPr>
              <w:t>Patient characteristics, fracture risk, treatment efficacy, incidence of cardiovascular events</w:t>
            </w:r>
          </w:p>
        </w:tc>
      </w:tr>
      <w:tr w:rsidR="0011285F" w:rsidRPr="00E2771E" w14:paraId="1AC411F0" w14:textId="77777777" w:rsidTr="0077002B">
        <w:tc>
          <w:tcPr>
            <w:tcW w:w="5000" w:type="pct"/>
            <w:gridSpan w:val="7"/>
            <w:shd w:val="clear" w:color="auto" w:fill="auto"/>
            <w:vAlign w:val="center"/>
          </w:tcPr>
          <w:p w14:paraId="2FEC63F9" w14:textId="77777777" w:rsidR="0011285F" w:rsidRPr="003074AF" w:rsidRDefault="0011285F" w:rsidP="0077002B">
            <w:pPr>
              <w:pStyle w:val="Tabletext"/>
              <w:keepNext/>
              <w:keepLines/>
              <w:rPr>
                <w:b/>
                <w:lang w:val="en-US"/>
              </w:rPr>
            </w:pPr>
            <w:r w:rsidRPr="003074AF">
              <w:rPr>
                <w:b/>
                <w:lang w:val="en-US"/>
              </w:rPr>
              <w:t>Romosozumab followed by denosumab vs placebo followed by denosumab</w:t>
            </w:r>
          </w:p>
        </w:tc>
      </w:tr>
      <w:tr w:rsidR="0011285F" w:rsidRPr="00E2771E" w14:paraId="3517F9CF" w14:textId="77777777" w:rsidTr="0077002B">
        <w:tc>
          <w:tcPr>
            <w:tcW w:w="624" w:type="pct"/>
            <w:shd w:val="clear" w:color="auto" w:fill="auto"/>
            <w:vAlign w:val="center"/>
          </w:tcPr>
          <w:p w14:paraId="6EF0ECCA" w14:textId="77777777" w:rsidR="0011285F" w:rsidRPr="003074AF" w:rsidRDefault="0011285F" w:rsidP="0077002B">
            <w:pPr>
              <w:pStyle w:val="Tabletext"/>
              <w:keepNext/>
              <w:keepLines/>
              <w:rPr>
                <w:lang w:val="en-US"/>
              </w:rPr>
            </w:pPr>
            <w:r w:rsidRPr="003074AF">
              <w:rPr>
                <w:lang w:val="en-US"/>
              </w:rPr>
              <w:t>FRAME</w:t>
            </w:r>
          </w:p>
        </w:tc>
        <w:tc>
          <w:tcPr>
            <w:tcW w:w="359" w:type="pct"/>
            <w:shd w:val="clear" w:color="auto" w:fill="auto"/>
            <w:vAlign w:val="center"/>
          </w:tcPr>
          <w:p w14:paraId="2BB901F6" w14:textId="77777777" w:rsidR="0011285F" w:rsidRPr="003074AF" w:rsidRDefault="0011285F" w:rsidP="0077002B">
            <w:pPr>
              <w:pStyle w:val="Tabletext"/>
              <w:keepNext/>
              <w:keepLines/>
              <w:jc w:val="center"/>
              <w:rPr>
                <w:lang w:val="en-US"/>
              </w:rPr>
            </w:pPr>
            <w:r w:rsidRPr="003074AF">
              <w:rPr>
                <w:lang w:val="en-US"/>
              </w:rPr>
              <w:t>7,180</w:t>
            </w:r>
          </w:p>
        </w:tc>
        <w:tc>
          <w:tcPr>
            <w:tcW w:w="901" w:type="pct"/>
            <w:shd w:val="clear" w:color="auto" w:fill="auto"/>
            <w:vAlign w:val="center"/>
          </w:tcPr>
          <w:p w14:paraId="738D0884" w14:textId="77777777" w:rsidR="0011285F" w:rsidRPr="003074AF" w:rsidRDefault="0011285F" w:rsidP="0077002B">
            <w:pPr>
              <w:pStyle w:val="Tabletext"/>
              <w:keepNext/>
              <w:keepLines/>
              <w:jc w:val="center"/>
              <w:rPr>
                <w:lang w:val="en-US"/>
              </w:rPr>
            </w:pPr>
            <w:r w:rsidRPr="003074AF">
              <w:rPr>
                <w:lang w:val="en-US"/>
              </w:rPr>
              <w:t>MC, R, PC</w:t>
            </w:r>
          </w:p>
          <w:p w14:paraId="048C9B1B" w14:textId="77777777" w:rsidR="0011285F" w:rsidRPr="003074AF" w:rsidRDefault="0011285F" w:rsidP="0077002B">
            <w:pPr>
              <w:pStyle w:val="Tabletext"/>
              <w:keepNext/>
              <w:keepLines/>
              <w:jc w:val="center"/>
              <w:rPr>
                <w:lang w:val="en-US"/>
              </w:rPr>
            </w:pPr>
            <w:r w:rsidRPr="003074AF">
              <w:rPr>
                <w:lang w:val="en-US"/>
              </w:rPr>
              <w:t>First year: DB</w:t>
            </w:r>
          </w:p>
          <w:p w14:paraId="212704B2" w14:textId="77777777" w:rsidR="0011285F" w:rsidRPr="003074AF" w:rsidRDefault="0011285F" w:rsidP="0077002B">
            <w:pPr>
              <w:pStyle w:val="Tabletext"/>
              <w:keepNext/>
              <w:keepLines/>
              <w:jc w:val="center"/>
              <w:rPr>
                <w:lang w:val="en-US"/>
              </w:rPr>
            </w:pPr>
            <w:r w:rsidRPr="003074AF">
              <w:rPr>
                <w:lang w:val="en-US"/>
              </w:rPr>
              <w:t>Later years: OL</w:t>
            </w:r>
          </w:p>
          <w:p w14:paraId="70EBE8BE" w14:textId="77777777" w:rsidR="0011285F" w:rsidRPr="003074AF" w:rsidRDefault="0011285F" w:rsidP="0077002B">
            <w:pPr>
              <w:pStyle w:val="Tabletext"/>
              <w:keepNext/>
              <w:keepLines/>
              <w:jc w:val="center"/>
              <w:rPr>
                <w:lang w:val="en-US"/>
              </w:rPr>
            </w:pPr>
            <w:r w:rsidRPr="003074AF">
              <w:rPr>
                <w:lang w:val="en-US"/>
              </w:rPr>
              <w:t>3 years</w:t>
            </w:r>
          </w:p>
        </w:tc>
        <w:tc>
          <w:tcPr>
            <w:tcW w:w="434" w:type="pct"/>
            <w:shd w:val="clear" w:color="auto" w:fill="auto"/>
            <w:vAlign w:val="center"/>
          </w:tcPr>
          <w:p w14:paraId="254CB730" w14:textId="77777777" w:rsidR="0011285F" w:rsidRPr="003074AF" w:rsidRDefault="0011285F" w:rsidP="0077002B">
            <w:pPr>
              <w:pStyle w:val="Tabletext"/>
              <w:keepNext/>
              <w:keepLines/>
              <w:jc w:val="center"/>
              <w:rPr>
                <w:lang w:val="en-US"/>
              </w:rPr>
            </w:pPr>
            <w:r w:rsidRPr="003074AF">
              <w:rPr>
                <w:lang w:val="en-US"/>
              </w:rPr>
              <w:t>Low</w:t>
            </w:r>
          </w:p>
        </w:tc>
        <w:tc>
          <w:tcPr>
            <w:tcW w:w="1141" w:type="pct"/>
            <w:shd w:val="clear" w:color="auto" w:fill="auto"/>
            <w:vAlign w:val="center"/>
          </w:tcPr>
          <w:p w14:paraId="0B1C7126" w14:textId="77777777" w:rsidR="0011285F" w:rsidRPr="003074AF" w:rsidRDefault="0011285F" w:rsidP="0077002B">
            <w:pPr>
              <w:pStyle w:val="Tabletext"/>
              <w:keepNext/>
              <w:keepLines/>
              <w:jc w:val="center"/>
              <w:rPr>
                <w:lang w:val="en-US"/>
              </w:rPr>
            </w:pPr>
            <w:r w:rsidRPr="003074AF">
              <w:rPr>
                <w:lang w:val="en-US"/>
              </w:rPr>
              <w:t>Postmenopausal women with osteoporosis</w:t>
            </w:r>
          </w:p>
        </w:tc>
        <w:tc>
          <w:tcPr>
            <w:tcW w:w="536" w:type="pct"/>
            <w:shd w:val="clear" w:color="auto" w:fill="auto"/>
            <w:vAlign w:val="center"/>
          </w:tcPr>
          <w:p w14:paraId="5D2D87EF" w14:textId="77777777" w:rsidR="0011285F" w:rsidRPr="003074AF" w:rsidRDefault="0011285F" w:rsidP="0077002B">
            <w:pPr>
              <w:pStyle w:val="Tabletext"/>
              <w:keepNext/>
              <w:keepLines/>
              <w:jc w:val="center"/>
              <w:rPr>
                <w:lang w:val="en-US"/>
              </w:rPr>
            </w:pPr>
            <w:r w:rsidRPr="003074AF">
              <w:rPr>
                <w:lang w:val="en-US"/>
              </w:rPr>
              <w:t>Fractures</w:t>
            </w:r>
          </w:p>
        </w:tc>
        <w:tc>
          <w:tcPr>
            <w:tcW w:w="1005" w:type="pct"/>
            <w:vAlign w:val="center"/>
          </w:tcPr>
          <w:p w14:paraId="36C4C074" w14:textId="77777777" w:rsidR="0011285F" w:rsidRPr="003074AF" w:rsidRDefault="0011285F" w:rsidP="0077002B">
            <w:pPr>
              <w:pStyle w:val="Tabletext"/>
              <w:keepNext/>
              <w:keepLines/>
              <w:jc w:val="center"/>
              <w:rPr>
                <w:lang w:val="en-US"/>
              </w:rPr>
            </w:pPr>
            <w:r w:rsidRPr="003074AF">
              <w:rPr>
                <w:lang w:val="en-US"/>
              </w:rPr>
              <w:t>Not used</w:t>
            </w:r>
          </w:p>
        </w:tc>
      </w:tr>
      <w:tr w:rsidR="0011285F" w:rsidRPr="00E2771E" w14:paraId="23FCB51F" w14:textId="77777777" w:rsidTr="0077002B">
        <w:tc>
          <w:tcPr>
            <w:tcW w:w="5000" w:type="pct"/>
            <w:gridSpan w:val="7"/>
            <w:shd w:val="clear" w:color="auto" w:fill="auto"/>
            <w:vAlign w:val="center"/>
          </w:tcPr>
          <w:p w14:paraId="73D7419A" w14:textId="77777777" w:rsidR="0011285F" w:rsidRPr="003074AF" w:rsidRDefault="0011285F" w:rsidP="0077002B">
            <w:pPr>
              <w:pStyle w:val="Tabletext"/>
              <w:keepNext/>
              <w:keepLines/>
              <w:rPr>
                <w:b/>
                <w:bCs/>
                <w:lang w:val="en-US"/>
              </w:rPr>
            </w:pPr>
            <w:r w:rsidRPr="003074AF">
              <w:rPr>
                <w:b/>
                <w:bCs/>
                <w:lang w:val="en-US"/>
              </w:rPr>
              <w:t>Romosozumab vs teriparatide</w:t>
            </w:r>
          </w:p>
        </w:tc>
      </w:tr>
      <w:tr w:rsidR="0011285F" w:rsidRPr="00E2771E" w14:paraId="2552B96E" w14:textId="77777777" w:rsidTr="0077002B">
        <w:tc>
          <w:tcPr>
            <w:tcW w:w="624" w:type="pct"/>
            <w:shd w:val="clear" w:color="auto" w:fill="auto"/>
            <w:vAlign w:val="center"/>
          </w:tcPr>
          <w:p w14:paraId="30BD29A0" w14:textId="77777777" w:rsidR="0011285F" w:rsidRPr="003074AF" w:rsidRDefault="0011285F" w:rsidP="0077002B">
            <w:pPr>
              <w:pStyle w:val="Tabletext"/>
              <w:keepNext/>
              <w:keepLines/>
              <w:rPr>
                <w:lang w:val="en-US"/>
              </w:rPr>
            </w:pPr>
            <w:r w:rsidRPr="003074AF">
              <w:rPr>
                <w:lang w:val="en-US"/>
              </w:rPr>
              <w:t>STRUCTURE</w:t>
            </w:r>
          </w:p>
        </w:tc>
        <w:tc>
          <w:tcPr>
            <w:tcW w:w="359" w:type="pct"/>
            <w:shd w:val="clear" w:color="auto" w:fill="auto"/>
            <w:vAlign w:val="center"/>
          </w:tcPr>
          <w:p w14:paraId="63F29DEA" w14:textId="77777777" w:rsidR="0011285F" w:rsidRPr="003074AF" w:rsidRDefault="0011285F" w:rsidP="0077002B">
            <w:pPr>
              <w:pStyle w:val="Tabletext"/>
              <w:keepNext/>
              <w:keepLines/>
              <w:jc w:val="center"/>
              <w:rPr>
                <w:lang w:val="en-US"/>
              </w:rPr>
            </w:pPr>
            <w:r w:rsidRPr="003074AF">
              <w:rPr>
                <w:lang w:val="en-US"/>
              </w:rPr>
              <w:t>436</w:t>
            </w:r>
          </w:p>
        </w:tc>
        <w:tc>
          <w:tcPr>
            <w:tcW w:w="901" w:type="pct"/>
            <w:shd w:val="clear" w:color="auto" w:fill="auto"/>
            <w:vAlign w:val="center"/>
          </w:tcPr>
          <w:p w14:paraId="6DA0FC16" w14:textId="77777777" w:rsidR="0011285F" w:rsidRPr="003074AF" w:rsidRDefault="0011285F" w:rsidP="0077002B">
            <w:pPr>
              <w:pStyle w:val="Tabletext"/>
              <w:keepNext/>
              <w:keepLines/>
              <w:jc w:val="center"/>
              <w:rPr>
                <w:lang w:val="en-US"/>
              </w:rPr>
            </w:pPr>
            <w:r w:rsidRPr="003074AF">
              <w:rPr>
                <w:lang w:val="en-US"/>
              </w:rPr>
              <w:t>MC, R, OL, AC</w:t>
            </w:r>
          </w:p>
          <w:p w14:paraId="53F3CF47" w14:textId="77777777" w:rsidR="0011285F" w:rsidRPr="003074AF" w:rsidRDefault="0011285F" w:rsidP="0077002B">
            <w:pPr>
              <w:pStyle w:val="Tabletext"/>
              <w:keepNext/>
              <w:keepLines/>
              <w:jc w:val="center"/>
              <w:rPr>
                <w:lang w:val="en-US"/>
              </w:rPr>
            </w:pPr>
            <w:r w:rsidRPr="003074AF">
              <w:rPr>
                <w:lang w:val="en-US"/>
              </w:rPr>
              <w:t>12 months</w:t>
            </w:r>
          </w:p>
        </w:tc>
        <w:tc>
          <w:tcPr>
            <w:tcW w:w="434" w:type="pct"/>
            <w:shd w:val="clear" w:color="auto" w:fill="auto"/>
            <w:vAlign w:val="center"/>
          </w:tcPr>
          <w:p w14:paraId="4B63B73A" w14:textId="77777777" w:rsidR="0011285F" w:rsidRPr="003074AF" w:rsidRDefault="0011285F" w:rsidP="0077002B">
            <w:pPr>
              <w:pStyle w:val="Tabletext"/>
              <w:keepNext/>
              <w:keepLines/>
              <w:jc w:val="center"/>
              <w:rPr>
                <w:lang w:val="en-US"/>
              </w:rPr>
            </w:pPr>
            <w:r w:rsidRPr="003074AF">
              <w:rPr>
                <w:lang w:val="en-US"/>
              </w:rPr>
              <w:t>Unclear</w:t>
            </w:r>
          </w:p>
        </w:tc>
        <w:tc>
          <w:tcPr>
            <w:tcW w:w="1141" w:type="pct"/>
            <w:shd w:val="clear" w:color="auto" w:fill="auto"/>
            <w:vAlign w:val="center"/>
          </w:tcPr>
          <w:p w14:paraId="4B78FD24" w14:textId="77777777" w:rsidR="0011285F" w:rsidRPr="003074AF" w:rsidRDefault="0011285F" w:rsidP="0077002B">
            <w:pPr>
              <w:pStyle w:val="Tabletext"/>
              <w:keepNext/>
              <w:keepLines/>
              <w:jc w:val="center"/>
              <w:rPr>
                <w:lang w:val="en-US"/>
              </w:rPr>
            </w:pPr>
            <w:r w:rsidRPr="003074AF">
              <w:rPr>
                <w:lang w:val="en-US"/>
              </w:rPr>
              <w:t>Postmenopausal women with osteoporosis who had received prior anti-resorptive therapy</w:t>
            </w:r>
          </w:p>
        </w:tc>
        <w:tc>
          <w:tcPr>
            <w:tcW w:w="536" w:type="pct"/>
            <w:shd w:val="clear" w:color="auto" w:fill="auto"/>
            <w:vAlign w:val="center"/>
          </w:tcPr>
          <w:p w14:paraId="7B943C72" w14:textId="77777777" w:rsidR="0011285F" w:rsidRPr="003074AF" w:rsidRDefault="0011285F" w:rsidP="0077002B">
            <w:pPr>
              <w:pStyle w:val="Tabletext"/>
              <w:keepNext/>
              <w:keepLines/>
              <w:jc w:val="center"/>
              <w:rPr>
                <w:lang w:val="en-US"/>
              </w:rPr>
            </w:pPr>
            <w:r w:rsidRPr="003074AF">
              <w:rPr>
                <w:lang w:val="en-US"/>
              </w:rPr>
              <w:t>BMD</w:t>
            </w:r>
          </w:p>
        </w:tc>
        <w:tc>
          <w:tcPr>
            <w:tcW w:w="1005" w:type="pct"/>
            <w:vAlign w:val="center"/>
          </w:tcPr>
          <w:p w14:paraId="00DFD09D" w14:textId="77777777" w:rsidR="0011285F" w:rsidRPr="003074AF" w:rsidRDefault="0011285F" w:rsidP="0077002B">
            <w:pPr>
              <w:pStyle w:val="Tabletext"/>
              <w:keepNext/>
              <w:keepLines/>
              <w:jc w:val="center"/>
              <w:rPr>
                <w:lang w:val="en-US"/>
              </w:rPr>
            </w:pPr>
            <w:r w:rsidRPr="003074AF">
              <w:rPr>
                <w:lang w:val="en-US"/>
              </w:rPr>
              <w:t xml:space="preserve">Not used </w:t>
            </w:r>
          </w:p>
        </w:tc>
      </w:tr>
    </w:tbl>
    <w:p w14:paraId="71A072BF" w14:textId="1BAFBEB5" w:rsidR="0011285F" w:rsidRDefault="0011285F" w:rsidP="0011285F">
      <w:pPr>
        <w:pStyle w:val="TableFigureFooter"/>
      </w:pPr>
      <w:r>
        <w:t>Source: Section 2.4, pp27-33 of the resubmission; Table 2.3-1, p</w:t>
      </w:r>
      <w:r w:rsidR="00F90CC7">
        <w:t>27</w:t>
      </w:r>
      <w:r>
        <w:t xml:space="preserve"> of the resubmission; FRAME trial report; STRUCTURE trial report</w:t>
      </w:r>
    </w:p>
    <w:p w14:paraId="335F0129" w14:textId="77777777" w:rsidR="0011285F" w:rsidRPr="00402525" w:rsidRDefault="0011285F" w:rsidP="0011285F">
      <w:pPr>
        <w:pStyle w:val="TableFigureFooter"/>
      </w:pPr>
      <w:r w:rsidRPr="00402525">
        <w:t xml:space="preserve">Abbreviations; AC, active-controlled; DB, double blind; MC, multi-centre; OL, open label; </w:t>
      </w:r>
      <w:r>
        <w:t xml:space="preserve">PC, placebo controlled; </w:t>
      </w:r>
      <w:r w:rsidRPr="00402525">
        <w:t>R, randomised</w:t>
      </w:r>
    </w:p>
    <w:p w14:paraId="4A4FE085" w14:textId="43823699" w:rsidR="00B60939" w:rsidRPr="00C9624D" w:rsidRDefault="00B60939" w:rsidP="00EC5836">
      <w:pPr>
        <w:pStyle w:val="COMH2-non-numbered"/>
      </w:pPr>
      <w:bookmarkStart w:id="24" w:name="_Toc22897641"/>
      <w:bookmarkStart w:id="25" w:name="_Toc124858704"/>
      <w:r w:rsidRPr="00C9624D">
        <w:t>Comparative effectiveness</w:t>
      </w:r>
      <w:bookmarkEnd w:id="24"/>
      <w:bookmarkEnd w:id="25"/>
    </w:p>
    <w:p w14:paraId="1E8EC9A3" w14:textId="6951BB11" w:rsidR="004523B1" w:rsidRPr="004523B1" w:rsidRDefault="004523B1" w:rsidP="00BE7594">
      <w:pPr>
        <w:pStyle w:val="COMexecsumnumberedpara"/>
        <w:rPr>
          <w:color w:val="0066FF"/>
        </w:rPr>
      </w:pPr>
      <w:r w:rsidRPr="008E5ADA">
        <w:rPr>
          <w:snapToGrid/>
        </w:rPr>
        <w:t>Key fracture outcomes reported with romosozumab versus alendronate (both followed by alendronate treatment) in the ARCH trial (</w:t>
      </w:r>
      <w:r>
        <w:rPr>
          <w:snapToGrid/>
        </w:rPr>
        <w:t xml:space="preserve">secondary prevention </w:t>
      </w:r>
      <w:r>
        <w:rPr>
          <w:snapToGrid/>
        </w:rPr>
        <w:lastRenderedPageBreak/>
        <w:t xml:space="preserve">population; </w:t>
      </w:r>
      <w:r w:rsidRPr="008E5ADA">
        <w:rPr>
          <w:snapToGrid/>
        </w:rPr>
        <w:t xml:space="preserve">predominantly naïve to anti-resorptive therapy) are summarised in </w:t>
      </w:r>
      <w:r w:rsidR="00752827">
        <w:rPr>
          <w:snapToGrid/>
        </w:rPr>
        <w:fldChar w:fldCharType="begin" w:fldLock="1"/>
      </w:r>
      <w:r w:rsidR="00752827">
        <w:rPr>
          <w:snapToGrid/>
        </w:rPr>
        <w:instrText xml:space="preserve"> REF _Ref121683219 \h </w:instrText>
      </w:r>
      <w:r w:rsidR="00752827">
        <w:rPr>
          <w:snapToGrid/>
        </w:rPr>
      </w:r>
      <w:r w:rsidR="00752827">
        <w:rPr>
          <w:snapToGrid/>
        </w:rPr>
        <w:fldChar w:fldCharType="separate"/>
      </w:r>
      <w:r w:rsidR="00605CB9">
        <w:t>Table </w:t>
      </w:r>
      <w:r w:rsidR="00605CB9">
        <w:rPr>
          <w:noProof/>
        </w:rPr>
        <w:t>6</w:t>
      </w:r>
      <w:r w:rsidR="00752827">
        <w:rPr>
          <w:snapToGrid/>
        </w:rPr>
        <w:fldChar w:fldCharType="end"/>
      </w:r>
      <w:r w:rsidRPr="008E5ADA">
        <w:rPr>
          <w:snapToGrid/>
        </w:rPr>
        <w:t>.</w:t>
      </w:r>
      <w:r w:rsidRPr="00EC5836">
        <w:rPr>
          <w:snapToGrid/>
          <w:color w:val="0066FF"/>
          <w:lang w:val="en-US"/>
        </w:rPr>
        <w:t xml:space="preserve"> </w:t>
      </w:r>
    </w:p>
    <w:p w14:paraId="625B3044" w14:textId="38A43549" w:rsidR="000827F7" w:rsidRDefault="000827F7" w:rsidP="00752827">
      <w:pPr>
        <w:pStyle w:val="COMtablefigcaption"/>
      </w:pPr>
      <w:bookmarkStart w:id="26" w:name="_Ref121683219"/>
      <w:r>
        <w:t xml:space="preserve">Table </w:t>
      </w:r>
      <w:fldSimple w:instr=" SEQ Table \* ARABIC " w:fldLock="1">
        <w:r w:rsidR="00B20BD0">
          <w:rPr>
            <w:noProof/>
          </w:rPr>
          <w:t>6</w:t>
        </w:r>
      </w:fldSimple>
      <w:bookmarkEnd w:id="26"/>
      <w:r>
        <w:t>:</w:t>
      </w:r>
      <w:r w:rsidRPr="006D4E42">
        <w:t xml:space="preserve"> Key fracture outcomes reported in the ARCH trial</w:t>
      </w:r>
    </w:p>
    <w:tbl>
      <w:tblPr>
        <w:tblW w:w="5000" w:type="pct"/>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1495"/>
        <w:gridCol w:w="1526"/>
        <w:gridCol w:w="1777"/>
        <w:gridCol w:w="1794"/>
      </w:tblGrid>
      <w:tr w:rsidR="000827F7" w:rsidRPr="007D6F1A" w14:paraId="3815A86E" w14:textId="77777777" w:rsidTr="0077002B">
        <w:trPr>
          <w:tblHeader/>
        </w:trPr>
        <w:tc>
          <w:tcPr>
            <w:tcW w:w="2425" w:type="dxa"/>
            <w:tcBorders>
              <w:top w:val="single" w:sz="4" w:space="0" w:color="auto"/>
              <w:left w:val="single" w:sz="4" w:space="0" w:color="auto"/>
              <w:bottom w:val="single" w:sz="4" w:space="0" w:color="auto"/>
              <w:right w:val="single" w:sz="4" w:space="0" w:color="auto"/>
            </w:tcBorders>
            <w:vAlign w:val="center"/>
          </w:tcPr>
          <w:p w14:paraId="5F578794" w14:textId="77777777" w:rsidR="000827F7" w:rsidRPr="007D6F1A" w:rsidRDefault="000827F7" w:rsidP="0077002B">
            <w:pPr>
              <w:keepNext/>
              <w:keepLines/>
              <w:jc w:val="left"/>
              <w:rPr>
                <w:rFonts w:ascii="Arial Narrow" w:eastAsiaTheme="minorHAnsi" w:hAnsi="Arial Narrow" w:cstheme="minorBidi"/>
                <w:b/>
                <w:sz w:val="20"/>
                <w:szCs w:val="22"/>
                <w:lang w:eastAsia="en-US"/>
              </w:rPr>
            </w:pPr>
            <w:r w:rsidRPr="007D6F1A">
              <w:rPr>
                <w:rFonts w:ascii="Arial Narrow" w:eastAsiaTheme="minorHAnsi" w:hAnsi="Arial Narrow" w:cstheme="minorBidi"/>
                <w:b/>
                <w:sz w:val="20"/>
                <w:szCs w:val="22"/>
                <w:lang w:eastAsia="en-US"/>
              </w:rPr>
              <w:t xml:space="preserve">Outcome </w:t>
            </w:r>
          </w:p>
        </w:tc>
        <w:tc>
          <w:tcPr>
            <w:tcW w:w="1495" w:type="dxa"/>
            <w:tcBorders>
              <w:top w:val="single" w:sz="4" w:space="0" w:color="auto"/>
              <w:left w:val="single" w:sz="4" w:space="0" w:color="auto"/>
              <w:bottom w:val="single" w:sz="4" w:space="0" w:color="auto"/>
              <w:right w:val="single" w:sz="4" w:space="0" w:color="auto"/>
            </w:tcBorders>
            <w:vAlign w:val="center"/>
          </w:tcPr>
          <w:p w14:paraId="3BF921AA" w14:textId="77777777" w:rsidR="000827F7" w:rsidRPr="007D6F1A" w:rsidRDefault="000827F7" w:rsidP="0077002B">
            <w:pPr>
              <w:keepNext/>
              <w:keepLines/>
              <w:jc w:val="center"/>
              <w:rPr>
                <w:rFonts w:ascii="Arial Narrow" w:eastAsiaTheme="minorHAnsi" w:hAnsi="Arial Narrow" w:cstheme="minorBidi"/>
                <w:b/>
                <w:sz w:val="20"/>
                <w:szCs w:val="22"/>
                <w:lang w:eastAsia="en-US"/>
              </w:rPr>
            </w:pPr>
            <w:r w:rsidRPr="007D6F1A">
              <w:rPr>
                <w:rFonts w:ascii="Arial Narrow" w:eastAsiaTheme="minorHAnsi" w:hAnsi="Arial Narrow" w:cstheme="minorBidi"/>
                <w:b/>
                <w:sz w:val="20"/>
                <w:szCs w:val="22"/>
                <w:lang w:eastAsia="en-US"/>
              </w:rPr>
              <w:t>Romosozumab/</w:t>
            </w:r>
          </w:p>
          <w:p w14:paraId="5F8D5BFC" w14:textId="77777777" w:rsidR="000827F7" w:rsidRPr="007D6F1A" w:rsidRDefault="000827F7" w:rsidP="0077002B">
            <w:pPr>
              <w:keepNext/>
              <w:keepLines/>
              <w:jc w:val="center"/>
              <w:rPr>
                <w:rFonts w:ascii="Arial Narrow" w:eastAsiaTheme="minorHAnsi" w:hAnsi="Arial Narrow" w:cstheme="minorBidi"/>
                <w:b/>
                <w:sz w:val="20"/>
                <w:szCs w:val="22"/>
                <w:lang w:eastAsia="en-US"/>
              </w:rPr>
            </w:pPr>
            <w:r w:rsidRPr="007D6F1A">
              <w:rPr>
                <w:rFonts w:ascii="Arial Narrow" w:eastAsiaTheme="minorHAnsi" w:hAnsi="Arial Narrow" w:cstheme="minorBidi"/>
                <w:b/>
                <w:sz w:val="20"/>
                <w:szCs w:val="22"/>
                <w:lang w:eastAsia="en-US"/>
              </w:rPr>
              <w:t>alendronate</w:t>
            </w:r>
          </w:p>
        </w:tc>
        <w:tc>
          <w:tcPr>
            <w:tcW w:w="1526" w:type="dxa"/>
            <w:tcBorders>
              <w:top w:val="single" w:sz="4" w:space="0" w:color="auto"/>
              <w:left w:val="single" w:sz="4" w:space="0" w:color="auto"/>
              <w:bottom w:val="single" w:sz="4" w:space="0" w:color="auto"/>
              <w:right w:val="single" w:sz="4" w:space="0" w:color="auto"/>
            </w:tcBorders>
            <w:vAlign w:val="center"/>
          </w:tcPr>
          <w:p w14:paraId="4D0EBB99" w14:textId="77777777" w:rsidR="000827F7" w:rsidRPr="007D6F1A" w:rsidRDefault="000827F7" w:rsidP="0077002B">
            <w:pPr>
              <w:keepNext/>
              <w:keepLines/>
              <w:jc w:val="center"/>
              <w:rPr>
                <w:rFonts w:ascii="Arial Narrow" w:eastAsiaTheme="minorHAnsi" w:hAnsi="Arial Narrow" w:cstheme="minorBidi"/>
                <w:b/>
                <w:sz w:val="20"/>
                <w:szCs w:val="22"/>
                <w:lang w:eastAsia="en-US"/>
              </w:rPr>
            </w:pPr>
            <w:r w:rsidRPr="007D6F1A">
              <w:rPr>
                <w:rFonts w:ascii="Arial Narrow" w:eastAsiaTheme="minorHAnsi" w:hAnsi="Arial Narrow" w:cstheme="minorBidi"/>
                <w:b/>
                <w:sz w:val="20"/>
                <w:szCs w:val="22"/>
                <w:lang w:eastAsia="en-US"/>
              </w:rPr>
              <w:t>Alendronate/</w:t>
            </w:r>
          </w:p>
          <w:p w14:paraId="493FA962" w14:textId="77777777" w:rsidR="000827F7" w:rsidRPr="007D6F1A" w:rsidRDefault="000827F7" w:rsidP="0077002B">
            <w:pPr>
              <w:keepNext/>
              <w:keepLines/>
              <w:jc w:val="center"/>
              <w:rPr>
                <w:rFonts w:ascii="Arial Narrow" w:eastAsiaTheme="minorHAnsi" w:hAnsi="Arial Narrow" w:cstheme="minorBidi"/>
                <w:b/>
                <w:sz w:val="20"/>
                <w:szCs w:val="22"/>
                <w:lang w:eastAsia="en-US"/>
              </w:rPr>
            </w:pPr>
            <w:r w:rsidRPr="007D6F1A">
              <w:rPr>
                <w:rFonts w:ascii="Arial Narrow" w:eastAsiaTheme="minorHAnsi" w:hAnsi="Arial Narrow" w:cstheme="minorBidi"/>
                <w:b/>
                <w:sz w:val="20"/>
                <w:szCs w:val="22"/>
                <w:lang w:eastAsia="en-US"/>
              </w:rPr>
              <w:t>alendronate</w:t>
            </w:r>
          </w:p>
        </w:tc>
        <w:tc>
          <w:tcPr>
            <w:tcW w:w="1777" w:type="dxa"/>
            <w:tcBorders>
              <w:top w:val="single" w:sz="4" w:space="0" w:color="auto"/>
              <w:left w:val="single" w:sz="4" w:space="0" w:color="auto"/>
              <w:bottom w:val="single" w:sz="4" w:space="0" w:color="auto"/>
              <w:right w:val="single" w:sz="4" w:space="0" w:color="auto"/>
            </w:tcBorders>
            <w:vAlign w:val="center"/>
          </w:tcPr>
          <w:p w14:paraId="2A51F569" w14:textId="77777777" w:rsidR="000827F7" w:rsidRPr="007D6F1A" w:rsidRDefault="000827F7" w:rsidP="0077002B">
            <w:pPr>
              <w:keepNext/>
              <w:keepLines/>
              <w:jc w:val="center"/>
              <w:rPr>
                <w:rFonts w:ascii="Arial Narrow" w:eastAsiaTheme="minorHAnsi" w:hAnsi="Arial Narrow" w:cstheme="minorBidi"/>
                <w:b/>
                <w:sz w:val="20"/>
                <w:szCs w:val="22"/>
                <w:lang w:eastAsia="en-US"/>
              </w:rPr>
            </w:pPr>
            <w:r w:rsidRPr="007D6F1A">
              <w:rPr>
                <w:rFonts w:ascii="Arial Narrow" w:eastAsiaTheme="minorHAnsi" w:hAnsi="Arial Narrow" w:cstheme="minorBidi"/>
                <w:b/>
                <w:sz w:val="20"/>
                <w:szCs w:val="22"/>
                <w:lang w:eastAsia="en-US"/>
              </w:rPr>
              <w:t>Relative difference (95% CI)</w:t>
            </w:r>
          </w:p>
        </w:tc>
        <w:tc>
          <w:tcPr>
            <w:tcW w:w="1794" w:type="dxa"/>
            <w:tcBorders>
              <w:top w:val="single" w:sz="4" w:space="0" w:color="auto"/>
              <w:left w:val="single" w:sz="4" w:space="0" w:color="auto"/>
              <w:bottom w:val="single" w:sz="4" w:space="0" w:color="auto"/>
              <w:right w:val="single" w:sz="4" w:space="0" w:color="auto"/>
            </w:tcBorders>
            <w:vAlign w:val="center"/>
          </w:tcPr>
          <w:p w14:paraId="25408AB3" w14:textId="77777777" w:rsidR="000827F7" w:rsidRPr="007D6F1A" w:rsidRDefault="000827F7" w:rsidP="0077002B">
            <w:pPr>
              <w:keepNext/>
              <w:keepLines/>
              <w:jc w:val="center"/>
              <w:rPr>
                <w:rFonts w:ascii="Arial Narrow" w:eastAsiaTheme="minorHAnsi" w:hAnsi="Arial Narrow" w:cstheme="minorBidi"/>
                <w:b/>
                <w:sz w:val="20"/>
                <w:szCs w:val="22"/>
                <w:lang w:eastAsia="en-US"/>
              </w:rPr>
            </w:pPr>
            <w:r w:rsidRPr="007D6F1A">
              <w:rPr>
                <w:rFonts w:ascii="Arial Narrow" w:eastAsiaTheme="minorHAnsi" w:hAnsi="Arial Narrow" w:cstheme="minorBidi"/>
                <w:b/>
                <w:sz w:val="20"/>
                <w:szCs w:val="22"/>
                <w:lang w:eastAsia="en-US"/>
              </w:rPr>
              <w:t xml:space="preserve">Multiplicity adjusted </w:t>
            </w:r>
            <w:r w:rsidRPr="007D6F1A">
              <w:rPr>
                <w:rFonts w:ascii="Arial Narrow" w:eastAsiaTheme="minorHAnsi" w:hAnsi="Arial Narrow" w:cstheme="minorBidi"/>
                <w:b/>
                <w:sz w:val="20"/>
                <w:szCs w:val="22"/>
                <w:lang w:eastAsia="en-US"/>
              </w:rPr>
              <w:br/>
              <w:t>p-values</w:t>
            </w:r>
          </w:p>
        </w:tc>
      </w:tr>
      <w:tr w:rsidR="000827F7" w:rsidRPr="007D6F1A" w14:paraId="2B35AD45" w14:textId="77777777" w:rsidTr="0077002B">
        <w:trPr>
          <w:trHeight w:val="70"/>
        </w:trPr>
        <w:tc>
          <w:tcPr>
            <w:tcW w:w="9017" w:type="dxa"/>
            <w:gridSpan w:val="5"/>
            <w:tcBorders>
              <w:top w:val="single" w:sz="4" w:space="0" w:color="auto"/>
              <w:left w:val="single" w:sz="4" w:space="0" w:color="auto"/>
              <w:bottom w:val="single" w:sz="4" w:space="0" w:color="auto"/>
              <w:right w:val="single" w:sz="4" w:space="0" w:color="auto"/>
            </w:tcBorders>
            <w:vAlign w:val="center"/>
          </w:tcPr>
          <w:p w14:paraId="31EB4EAA" w14:textId="77777777" w:rsidR="000827F7" w:rsidRPr="007D6F1A" w:rsidRDefault="000827F7" w:rsidP="0077002B">
            <w:pPr>
              <w:keepNext/>
              <w:keepLines/>
              <w:jc w:val="left"/>
              <w:rPr>
                <w:rFonts w:ascii="Arial Narrow" w:eastAsiaTheme="minorHAnsi" w:hAnsi="Arial Narrow" w:cstheme="minorBidi"/>
                <w:b/>
                <w:sz w:val="20"/>
                <w:szCs w:val="22"/>
                <w:lang w:eastAsia="en-US"/>
              </w:rPr>
            </w:pPr>
            <w:r w:rsidRPr="007D6F1A">
              <w:rPr>
                <w:rFonts w:ascii="Arial Narrow" w:eastAsiaTheme="minorHAnsi" w:hAnsi="Arial Narrow" w:cstheme="minorBidi"/>
                <w:b/>
                <w:sz w:val="20"/>
                <w:szCs w:val="22"/>
                <w:lang w:eastAsia="en-US"/>
              </w:rPr>
              <w:t>New vertebral fracture (includes radiographic and clinical fractures), n/N (%)</w:t>
            </w:r>
          </w:p>
        </w:tc>
      </w:tr>
      <w:tr w:rsidR="000827F7" w:rsidRPr="007D6F1A" w14:paraId="18C5280E" w14:textId="77777777" w:rsidTr="0077002B">
        <w:trPr>
          <w:trHeight w:val="70"/>
        </w:trPr>
        <w:tc>
          <w:tcPr>
            <w:tcW w:w="2425" w:type="dxa"/>
            <w:tcBorders>
              <w:top w:val="single" w:sz="4" w:space="0" w:color="auto"/>
              <w:left w:val="single" w:sz="4" w:space="0" w:color="auto"/>
              <w:bottom w:val="single" w:sz="4" w:space="0" w:color="auto"/>
              <w:right w:val="single" w:sz="4" w:space="0" w:color="auto"/>
            </w:tcBorders>
            <w:vAlign w:val="center"/>
          </w:tcPr>
          <w:p w14:paraId="4544FDEB" w14:textId="77777777" w:rsidR="000827F7" w:rsidRPr="007D6F1A" w:rsidRDefault="000827F7" w:rsidP="0077002B">
            <w:pPr>
              <w:keepNext/>
              <w:keepLines/>
              <w:jc w:val="left"/>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Cumulative incidence to 12 months</w:t>
            </w:r>
          </w:p>
        </w:tc>
        <w:tc>
          <w:tcPr>
            <w:tcW w:w="1495" w:type="dxa"/>
            <w:tcBorders>
              <w:top w:val="single" w:sz="4" w:space="0" w:color="auto"/>
              <w:left w:val="single" w:sz="4" w:space="0" w:color="auto"/>
              <w:bottom w:val="single" w:sz="4" w:space="0" w:color="auto"/>
              <w:right w:val="single" w:sz="4" w:space="0" w:color="auto"/>
            </w:tcBorders>
            <w:vAlign w:val="center"/>
          </w:tcPr>
          <w:p w14:paraId="02CDEFA6"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55/1696 (3.2)</w:t>
            </w:r>
          </w:p>
        </w:tc>
        <w:tc>
          <w:tcPr>
            <w:tcW w:w="1526" w:type="dxa"/>
            <w:tcBorders>
              <w:top w:val="single" w:sz="4" w:space="0" w:color="auto"/>
              <w:left w:val="single" w:sz="4" w:space="0" w:color="auto"/>
              <w:bottom w:val="single" w:sz="4" w:space="0" w:color="auto"/>
              <w:right w:val="single" w:sz="4" w:space="0" w:color="auto"/>
            </w:tcBorders>
            <w:vAlign w:val="center"/>
          </w:tcPr>
          <w:p w14:paraId="316F6D86"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85/1703 (5.0)</w:t>
            </w:r>
          </w:p>
        </w:tc>
        <w:tc>
          <w:tcPr>
            <w:tcW w:w="1777" w:type="dxa"/>
            <w:tcBorders>
              <w:top w:val="single" w:sz="4" w:space="0" w:color="auto"/>
              <w:left w:val="single" w:sz="4" w:space="0" w:color="auto"/>
              <w:bottom w:val="single" w:sz="4" w:space="0" w:color="auto"/>
              <w:right w:val="single" w:sz="4" w:space="0" w:color="auto"/>
            </w:tcBorders>
            <w:vAlign w:val="center"/>
          </w:tcPr>
          <w:p w14:paraId="1AC98CB2"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RR 0.64 (0.46, 0.89)</w:t>
            </w:r>
          </w:p>
        </w:tc>
        <w:tc>
          <w:tcPr>
            <w:tcW w:w="1794" w:type="dxa"/>
            <w:tcBorders>
              <w:top w:val="single" w:sz="4" w:space="0" w:color="auto"/>
              <w:left w:val="single" w:sz="4" w:space="0" w:color="auto"/>
              <w:bottom w:val="single" w:sz="4" w:space="0" w:color="auto"/>
              <w:right w:val="single" w:sz="4" w:space="0" w:color="auto"/>
            </w:tcBorders>
            <w:vAlign w:val="center"/>
          </w:tcPr>
          <w:p w14:paraId="41273911"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w:t>
            </w:r>
          </w:p>
        </w:tc>
      </w:tr>
      <w:tr w:rsidR="000827F7" w:rsidRPr="007D6F1A" w14:paraId="7AC165D4" w14:textId="77777777" w:rsidTr="0077002B">
        <w:trPr>
          <w:trHeight w:val="70"/>
        </w:trPr>
        <w:tc>
          <w:tcPr>
            <w:tcW w:w="2425" w:type="dxa"/>
            <w:tcBorders>
              <w:top w:val="single" w:sz="4" w:space="0" w:color="auto"/>
              <w:left w:val="single" w:sz="4" w:space="0" w:color="auto"/>
              <w:bottom w:val="single" w:sz="4" w:space="0" w:color="auto"/>
              <w:right w:val="single" w:sz="4" w:space="0" w:color="auto"/>
            </w:tcBorders>
            <w:vAlign w:val="center"/>
          </w:tcPr>
          <w:p w14:paraId="5E9E639F" w14:textId="77777777" w:rsidR="000827F7" w:rsidRPr="007D6F1A" w:rsidRDefault="000827F7" w:rsidP="0077002B">
            <w:pPr>
              <w:keepNext/>
              <w:keepLines/>
              <w:jc w:val="left"/>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Cumulative incidence to 24 months (co-primary outcome)</w:t>
            </w:r>
          </w:p>
        </w:tc>
        <w:tc>
          <w:tcPr>
            <w:tcW w:w="1495" w:type="dxa"/>
            <w:tcBorders>
              <w:top w:val="single" w:sz="4" w:space="0" w:color="auto"/>
              <w:left w:val="single" w:sz="4" w:space="0" w:color="auto"/>
              <w:bottom w:val="single" w:sz="4" w:space="0" w:color="auto"/>
              <w:right w:val="single" w:sz="4" w:space="0" w:color="auto"/>
            </w:tcBorders>
            <w:vAlign w:val="center"/>
          </w:tcPr>
          <w:p w14:paraId="7D60AFFD"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74/1825 (4.1)</w:t>
            </w:r>
          </w:p>
        </w:tc>
        <w:tc>
          <w:tcPr>
            <w:tcW w:w="1526" w:type="dxa"/>
            <w:tcBorders>
              <w:top w:val="single" w:sz="4" w:space="0" w:color="auto"/>
              <w:left w:val="single" w:sz="4" w:space="0" w:color="auto"/>
              <w:bottom w:val="single" w:sz="4" w:space="0" w:color="auto"/>
              <w:right w:val="single" w:sz="4" w:space="0" w:color="auto"/>
            </w:tcBorders>
            <w:vAlign w:val="center"/>
          </w:tcPr>
          <w:p w14:paraId="014C65F7"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147/1834 (8.0)</w:t>
            </w:r>
          </w:p>
        </w:tc>
        <w:tc>
          <w:tcPr>
            <w:tcW w:w="1777" w:type="dxa"/>
            <w:tcBorders>
              <w:top w:val="single" w:sz="4" w:space="0" w:color="auto"/>
              <w:left w:val="single" w:sz="4" w:space="0" w:color="auto"/>
              <w:bottom w:val="single" w:sz="4" w:space="0" w:color="auto"/>
              <w:right w:val="single" w:sz="4" w:space="0" w:color="auto"/>
            </w:tcBorders>
            <w:vAlign w:val="center"/>
          </w:tcPr>
          <w:p w14:paraId="6AF05B51" w14:textId="77777777" w:rsidR="000827F7" w:rsidRPr="007D6F1A" w:rsidRDefault="000827F7" w:rsidP="0077002B">
            <w:pPr>
              <w:keepNext/>
              <w:keepLines/>
              <w:jc w:val="center"/>
              <w:rPr>
                <w:rFonts w:ascii="Arial Narrow" w:eastAsiaTheme="minorHAnsi" w:hAnsi="Arial Narrow" w:cstheme="minorBidi"/>
                <w:b/>
                <w:sz w:val="20"/>
                <w:szCs w:val="22"/>
                <w:lang w:eastAsia="en-US"/>
              </w:rPr>
            </w:pPr>
            <w:r w:rsidRPr="007D6F1A">
              <w:rPr>
                <w:rFonts w:ascii="Arial Narrow" w:eastAsiaTheme="minorHAnsi" w:hAnsi="Arial Narrow" w:cstheme="minorBidi"/>
                <w:b/>
                <w:sz w:val="20"/>
                <w:szCs w:val="22"/>
                <w:lang w:eastAsia="en-US"/>
              </w:rPr>
              <w:t>RR 0.50 (0.38, 0.66)</w:t>
            </w:r>
          </w:p>
        </w:tc>
        <w:tc>
          <w:tcPr>
            <w:tcW w:w="1794" w:type="dxa"/>
            <w:tcBorders>
              <w:top w:val="single" w:sz="4" w:space="0" w:color="auto"/>
              <w:left w:val="single" w:sz="4" w:space="0" w:color="auto"/>
              <w:bottom w:val="single" w:sz="4" w:space="0" w:color="auto"/>
              <w:right w:val="single" w:sz="4" w:space="0" w:color="auto"/>
            </w:tcBorders>
            <w:vAlign w:val="center"/>
          </w:tcPr>
          <w:p w14:paraId="21EC212C"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p &lt; 0.001</w:t>
            </w:r>
          </w:p>
        </w:tc>
      </w:tr>
      <w:tr w:rsidR="000827F7" w:rsidRPr="007D6F1A" w14:paraId="23F1B4D0" w14:textId="77777777" w:rsidTr="0077002B">
        <w:trPr>
          <w:trHeight w:val="70"/>
        </w:trPr>
        <w:tc>
          <w:tcPr>
            <w:tcW w:w="9017" w:type="dxa"/>
            <w:gridSpan w:val="5"/>
            <w:tcBorders>
              <w:top w:val="single" w:sz="4" w:space="0" w:color="auto"/>
              <w:left w:val="single" w:sz="4" w:space="0" w:color="auto"/>
              <w:bottom w:val="single" w:sz="4" w:space="0" w:color="auto"/>
              <w:right w:val="single" w:sz="4" w:space="0" w:color="auto"/>
            </w:tcBorders>
            <w:vAlign w:val="center"/>
          </w:tcPr>
          <w:p w14:paraId="686C75D7" w14:textId="77777777" w:rsidR="000827F7" w:rsidRPr="007D6F1A" w:rsidRDefault="000827F7" w:rsidP="0077002B">
            <w:pPr>
              <w:keepNext/>
              <w:keepLines/>
              <w:jc w:val="left"/>
              <w:rPr>
                <w:rFonts w:ascii="Arial Narrow" w:eastAsiaTheme="minorHAnsi" w:hAnsi="Arial Narrow" w:cstheme="minorBidi"/>
                <w:b/>
                <w:sz w:val="20"/>
                <w:szCs w:val="22"/>
                <w:lang w:eastAsia="en-US"/>
              </w:rPr>
            </w:pPr>
            <w:r w:rsidRPr="007D6F1A">
              <w:rPr>
                <w:rFonts w:ascii="Arial Narrow" w:eastAsiaTheme="minorHAnsi" w:hAnsi="Arial Narrow" w:cstheme="minorBidi"/>
                <w:b/>
                <w:sz w:val="20"/>
                <w:szCs w:val="22"/>
                <w:lang w:eastAsia="en-US"/>
              </w:rPr>
              <w:t>Non-vertebral fracture (includes all non-vertebral fractures except skull, face, hand, fingers, toes, pathologic fractures and severe trauma fractures), n/N (%)</w:t>
            </w:r>
          </w:p>
        </w:tc>
      </w:tr>
      <w:tr w:rsidR="000827F7" w:rsidRPr="007D6F1A" w14:paraId="762C47B1" w14:textId="77777777" w:rsidTr="0077002B">
        <w:trPr>
          <w:trHeight w:val="70"/>
        </w:trPr>
        <w:tc>
          <w:tcPr>
            <w:tcW w:w="2425" w:type="dxa"/>
            <w:tcBorders>
              <w:top w:val="single" w:sz="4" w:space="0" w:color="auto"/>
              <w:left w:val="single" w:sz="4" w:space="0" w:color="auto"/>
              <w:bottom w:val="single" w:sz="4" w:space="0" w:color="auto"/>
              <w:right w:val="single" w:sz="4" w:space="0" w:color="auto"/>
            </w:tcBorders>
            <w:vAlign w:val="center"/>
          </w:tcPr>
          <w:p w14:paraId="0AB26522" w14:textId="77777777" w:rsidR="000827F7" w:rsidRPr="007D6F1A" w:rsidRDefault="000827F7" w:rsidP="0077002B">
            <w:pPr>
              <w:keepNext/>
              <w:keepLines/>
              <w:jc w:val="left"/>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Cumulative incidence to 12 months</w:t>
            </w:r>
          </w:p>
        </w:tc>
        <w:tc>
          <w:tcPr>
            <w:tcW w:w="1495" w:type="dxa"/>
            <w:tcBorders>
              <w:top w:val="single" w:sz="4" w:space="0" w:color="auto"/>
              <w:left w:val="single" w:sz="4" w:space="0" w:color="auto"/>
              <w:bottom w:val="single" w:sz="4" w:space="0" w:color="auto"/>
              <w:right w:val="single" w:sz="4" w:space="0" w:color="auto"/>
            </w:tcBorders>
            <w:vAlign w:val="center"/>
          </w:tcPr>
          <w:p w14:paraId="78DE8D75"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70/2046 (3.4)</w:t>
            </w:r>
          </w:p>
        </w:tc>
        <w:tc>
          <w:tcPr>
            <w:tcW w:w="1526" w:type="dxa"/>
            <w:tcBorders>
              <w:top w:val="single" w:sz="4" w:space="0" w:color="auto"/>
              <w:left w:val="single" w:sz="4" w:space="0" w:color="auto"/>
              <w:bottom w:val="single" w:sz="4" w:space="0" w:color="auto"/>
              <w:right w:val="single" w:sz="4" w:space="0" w:color="auto"/>
            </w:tcBorders>
            <w:vAlign w:val="center"/>
          </w:tcPr>
          <w:p w14:paraId="0CE5C5FB"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95/2047 (4.6)</w:t>
            </w:r>
          </w:p>
        </w:tc>
        <w:tc>
          <w:tcPr>
            <w:tcW w:w="1777" w:type="dxa"/>
            <w:tcBorders>
              <w:top w:val="single" w:sz="4" w:space="0" w:color="auto"/>
              <w:left w:val="single" w:sz="4" w:space="0" w:color="auto"/>
              <w:bottom w:val="single" w:sz="4" w:space="0" w:color="auto"/>
              <w:right w:val="single" w:sz="4" w:space="0" w:color="auto"/>
            </w:tcBorders>
            <w:vAlign w:val="center"/>
          </w:tcPr>
          <w:p w14:paraId="65E8E70D"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HR 0.74 (0.54, 1.01)</w:t>
            </w:r>
          </w:p>
        </w:tc>
        <w:tc>
          <w:tcPr>
            <w:tcW w:w="1794" w:type="dxa"/>
            <w:tcBorders>
              <w:top w:val="single" w:sz="4" w:space="0" w:color="auto"/>
              <w:left w:val="single" w:sz="4" w:space="0" w:color="auto"/>
              <w:bottom w:val="single" w:sz="4" w:space="0" w:color="auto"/>
              <w:right w:val="single" w:sz="4" w:space="0" w:color="auto"/>
            </w:tcBorders>
            <w:vAlign w:val="center"/>
          </w:tcPr>
          <w:p w14:paraId="32F4D8C2"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w:t>
            </w:r>
          </w:p>
        </w:tc>
      </w:tr>
      <w:tr w:rsidR="000827F7" w:rsidRPr="007D6F1A" w14:paraId="48C8E927" w14:textId="77777777" w:rsidTr="0077002B">
        <w:trPr>
          <w:trHeight w:val="70"/>
        </w:trPr>
        <w:tc>
          <w:tcPr>
            <w:tcW w:w="2425" w:type="dxa"/>
            <w:tcBorders>
              <w:top w:val="single" w:sz="4" w:space="0" w:color="auto"/>
              <w:left w:val="single" w:sz="4" w:space="0" w:color="auto"/>
              <w:bottom w:val="single" w:sz="4" w:space="0" w:color="auto"/>
              <w:right w:val="single" w:sz="4" w:space="0" w:color="auto"/>
            </w:tcBorders>
            <w:vAlign w:val="center"/>
          </w:tcPr>
          <w:p w14:paraId="1BC73A81" w14:textId="77777777" w:rsidR="000827F7" w:rsidRPr="007D6F1A" w:rsidRDefault="000827F7" w:rsidP="0077002B">
            <w:pPr>
              <w:keepNext/>
              <w:keepLines/>
              <w:jc w:val="left"/>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Cumulative incidence to 24 months</w:t>
            </w:r>
          </w:p>
        </w:tc>
        <w:tc>
          <w:tcPr>
            <w:tcW w:w="1495" w:type="dxa"/>
            <w:tcBorders>
              <w:top w:val="single" w:sz="4" w:space="0" w:color="auto"/>
              <w:left w:val="single" w:sz="4" w:space="0" w:color="auto"/>
              <w:bottom w:val="single" w:sz="4" w:space="0" w:color="auto"/>
              <w:right w:val="single" w:sz="4" w:space="0" w:color="auto"/>
            </w:tcBorders>
            <w:vAlign w:val="center"/>
          </w:tcPr>
          <w:p w14:paraId="451C1B3D"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129/2046 (6.3)</w:t>
            </w:r>
          </w:p>
        </w:tc>
        <w:tc>
          <w:tcPr>
            <w:tcW w:w="1526" w:type="dxa"/>
            <w:tcBorders>
              <w:top w:val="single" w:sz="4" w:space="0" w:color="auto"/>
              <w:left w:val="single" w:sz="4" w:space="0" w:color="auto"/>
              <w:bottom w:val="single" w:sz="4" w:space="0" w:color="auto"/>
              <w:right w:val="single" w:sz="4" w:space="0" w:color="auto"/>
            </w:tcBorders>
            <w:vAlign w:val="center"/>
          </w:tcPr>
          <w:p w14:paraId="624DCBB9"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159/2047 (7.8)</w:t>
            </w:r>
          </w:p>
        </w:tc>
        <w:tc>
          <w:tcPr>
            <w:tcW w:w="1777" w:type="dxa"/>
            <w:tcBorders>
              <w:top w:val="single" w:sz="4" w:space="0" w:color="auto"/>
              <w:left w:val="single" w:sz="4" w:space="0" w:color="auto"/>
              <w:bottom w:val="single" w:sz="4" w:space="0" w:color="auto"/>
              <w:right w:val="single" w:sz="4" w:space="0" w:color="auto"/>
            </w:tcBorders>
            <w:vAlign w:val="center"/>
          </w:tcPr>
          <w:p w14:paraId="5D8D6CDE"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HR 0.81 (0.64, 1.02)</w:t>
            </w:r>
          </w:p>
        </w:tc>
        <w:tc>
          <w:tcPr>
            <w:tcW w:w="1794" w:type="dxa"/>
            <w:tcBorders>
              <w:top w:val="single" w:sz="4" w:space="0" w:color="auto"/>
              <w:left w:val="single" w:sz="4" w:space="0" w:color="auto"/>
              <w:bottom w:val="single" w:sz="4" w:space="0" w:color="auto"/>
              <w:right w:val="single" w:sz="4" w:space="0" w:color="auto"/>
            </w:tcBorders>
            <w:vAlign w:val="center"/>
          </w:tcPr>
          <w:p w14:paraId="159679BC"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w:t>
            </w:r>
          </w:p>
        </w:tc>
      </w:tr>
      <w:tr w:rsidR="000827F7" w:rsidRPr="007D6F1A" w14:paraId="0D3AD9BF" w14:textId="77777777" w:rsidTr="0077002B">
        <w:trPr>
          <w:trHeight w:val="70"/>
        </w:trPr>
        <w:tc>
          <w:tcPr>
            <w:tcW w:w="2425" w:type="dxa"/>
            <w:tcBorders>
              <w:top w:val="single" w:sz="4" w:space="0" w:color="auto"/>
              <w:left w:val="single" w:sz="4" w:space="0" w:color="auto"/>
              <w:bottom w:val="single" w:sz="4" w:space="0" w:color="auto"/>
              <w:right w:val="single" w:sz="4" w:space="0" w:color="auto"/>
            </w:tcBorders>
            <w:vAlign w:val="center"/>
          </w:tcPr>
          <w:p w14:paraId="5EA55E6C" w14:textId="77777777" w:rsidR="000827F7" w:rsidRPr="007D6F1A" w:rsidRDefault="000827F7" w:rsidP="0077002B">
            <w:pPr>
              <w:keepNext/>
              <w:keepLines/>
              <w:jc w:val="left"/>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Cumulative incidence to primary analysis (median 33 months)</w:t>
            </w:r>
          </w:p>
        </w:tc>
        <w:tc>
          <w:tcPr>
            <w:tcW w:w="1495" w:type="dxa"/>
            <w:tcBorders>
              <w:top w:val="single" w:sz="4" w:space="0" w:color="auto"/>
              <w:left w:val="single" w:sz="4" w:space="0" w:color="auto"/>
              <w:bottom w:val="single" w:sz="4" w:space="0" w:color="auto"/>
              <w:right w:val="single" w:sz="4" w:space="0" w:color="auto"/>
            </w:tcBorders>
            <w:vAlign w:val="center"/>
          </w:tcPr>
          <w:p w14:paraId="09244C99"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178/2046 (8.7)</w:t>
            </w:r>
          </w:p>
        </w:tc>
        <w:tc>
          <w:tcPr>
            <w:tcW w:w="1526" w:type="dxa"/>
            <w:tcBorders>
              <w:top w:val="single" w:sz="4" w:space="0" w:color="auto"/>
              <w:left w:val="single" w:sz="4" w:space="0" w:color="auto"/>
              <w:bottom w:val="single" w:sz="4" w:space="0" w:color="auto"/>
              <w:right w:val="single" w:sz="4" w:space="0" w:color="auto"/>
            </w:tcBorders>
            <w:vAlign w:val="center"/>
          </w:tcPr>
          <w:p w14:paraId="509B4A9E"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217/2047 (10.6)</w:t>
            </w:r>
          </w:p>
        </w:tc>
        <w:tc>
          <w:tcPr>
            <w:tcW w:w="1777" w:type="dxa"/>
            <w:tcBorders>
              <w:top w:val="single" w:sz="4" w:space="0" w:color="auto"/>
              <w:left w:val="single" w:sz="4" w:space="0" w:color="auto"/>
              <w:bottom w:val="single" w:sz="4" w:space="0" w:color="auto"/>
              <w:right w:val="single" w:sz="4" w:space="0" w:color="auto"/>
            </w:tcBorders>
            <w:vAlign w:val="center"/>
          </w:tcPr>
          <w:p w14:paraId="708A82B6" w14:textId="77777777" w:rsidR="000827F7" w:rsidRPr="007D6F1A" w:rsidRDefault="000827F7" w:rsidP="0077002B">
            <w:pPr>
              <w:keepNext/>
              <w:keepLines/>
              <w:jc w:val="center"/>
              <w:rPr>
                <w:rFonts w:ascii="Arial Narrow" w:eastAsiaTheme="minorHAnsi" w:hAnsi="Arial Narrow" w:cstheme="minorBidi"/>
                <w:b/>
                <w:sz w:val="20"/>
                <w:szCs w:val="22"/>
                <w:lang w:eastAsia="en-US"/>
              </w:rPr>
            </w:pPr>
            <w:r w:rsidRPr="007D6F1A">
              <w:rPr>
                <w:rFonts w:ascii="Arial Narrow" w:eastAsiaTheme="minorHAnsi" w:hAnsi="Arial Narrow" w:cstheme="minorBidi"/>
                <w:b/>
                <w:sz w:val="20"/>
                <w:szCs w:val="22"/>
                <w:lang w:eastAsia="en-US"/>
              </w:rPr>
              <w:t>HR 0.81 (0.66, 0.99)</w:t>
            </w:r>
          </w:p>
        </w:tc>
        <w:tc>
          <w:tcPr>
            <w:tcW w:w="1794" w:type="dxa"/>
            <w:tcBorders>
              <w:top w:val="single" w:sz="4" w:space="0" w:color="auto"/>
              <w:left w:val="single" w:sz="4" w:space="0" w:color="auto"/>
              <w:bottom w:val="single" w:sz="4" w:space="0" w:color="auto"/>
              <w:right w:val="single" w:sz="4" w:space="0" w:color="auto"/>
            </w:tcBorders>
            <w:vAlign w:val="center"/>
          </w:tcPr>
          <w:p w14:paraId="0CC56EDD"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p = 0.040</w:t>
            </w:r>
          </w:p>
        </w:tc>
      </w:tr>
      <w:tr w:rsidR="000827F7" w:rsidRPr="007D6F1A" w14:paraId="59F6A1BD" w14:textId="77777777" w:rsidTr="0077002B">
        <w:trPr>
          <w:trHeight w:val="70"/>
        </w:trPr>
        <w:tc>
          <w:tcPr>
            <w:tcW w:w="9017" w:type="dxa"/>
            <w:gridSpan w:val="5"/>
            <w:tcBorders>
              <w:top w:val="single" w:sz="4" w:space="0" w:color="auto"/>
              <w:left w:val="single" w:sz="4" w:space="0" w:color="auto"/>
              <w:bottom w:val="single" w:sz="4" w:space="0" w:color="auto"/>
              <w:right w:val="single" w:sz="4" w:space="0" w:color="auto"/>
            </w:tcBorders>
            <w:vAlign w:val="center"/>
          </w:tcPr>
          <w:p w14:paraId="25C0367A" w14:textId="77777777" w:rsidR="000827F7" w:rsidRPr="007D6F1A" w:rsidRDefault="000827F7" w:rsidP="0077002B">
            <w:pPr>
              <w:keepNext/>
              <w:keepLines/>
              <w:jc w:val="left"/>
              <w:rPr>
                <w:rFonts w:ascii="Arial Narrow" w:eastAsiaTheme="minorHAnsi" w:hAnsi="Arial Narrow" w:cstheme="minorBidi"/>
                <w:b/>
                <w:sz w:val="20"/>
                <w:szCs w:val="22"/>
                <w:lang w:eastAsia="en-US"/>
              </w:rPr>
            </w:pPr>
            <w:r w:rsidRPr="007D6F1A">
              <w:rPr>
                <w:rFonts w:ascii="Arial Narrow" w:eastAsiaTheme="minorHAnsi" w:hAnsi="Arial Narrow" w:cstheme="minorBidi"/>
                <w:b/>
                <w:sz w:val="20"/>
                <w:szCs w:val="22"/>
                <w:lang w:eastAsia="en-US"/>
              </w:rPr>
              <w:t>Clinical fracture (includes non-vertebral fractures and clinical vertebral fractures), n/N (%)</w:t>
            </w:r>
          </w:p>
        </w:tc>
      </w:tr>
      <w:tr w:rsidR="000827F7" w:rsidRPr="007D6F1A" w14:paraId="1C011132" w14:textId="77777777" w:rsidTr="0077002B">
        <w:trPr>
          <w:trHeight w:val="70"/>
        </w:trPr>
        <w:tc>
          <w:tcPr>
            <w:tcW w:w="2425" w:type="dxa"/>
            <w:tcBorders>
              <w:top w:val="single" w:sz="4" w:space="0" w:color="auto"/>
              <w:left w:val="single" w:sz="4" w:space="0" w:color="auto"/>
              <w:bottom w:val="single" w:sz="4" w:space="0" w:color="auto"/>
              <w:right w:val="single" w:sz="4" w:space="0" w:color="auto"/>
            </w:tcBorders>
            <w:vAlign w:val="center"/>
          </w:tcPr>
          <w:p w14:paraId="65A7AB12" w14:textId="77777777" w:rsidR="000827F7" w:rsidRPr="007D6F1A" w:rsidRDefault="000827F7" w:rsidP="0077002B">
            <w:pPr>
              <w:keepNext/>
              <w:keepLines/>
              <w:jc w:val="left"/>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 xml:space="preserve">Cumulative incidence to 12 months </w:t>
            </w:r>
          </w:p>
        </w:tc>
        <w:tc>
          <w:tcPr>
            <w:tcW w:w="1495" w:type="dxa"/>
            <w:tcBorders>
              <w:top w:val="single" w:sz="4" w:space="0" w:color="auto"/>
              <w:left w:val="single" w:sz="4" w:space="0" w:color="auto"/>
              <w:bottom w:val="single" w:sz="4" w:space="0" w:color="auto"/>
              <w:right w:val="single" w:sz="4" w:space="0" w:color="auto"/>
            </w:tcBorders>
            <w:vAlign w:val="center"/>
          </w:tcPr>
          <w:p w14:paraId="6C5AC274"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79/2046 (3.9)</w:t>
            </w:r>
          </w:p>
        </w:tc>
        <w:tc>
          <w:tcPr>
            <w:tcW w:w="1526" w:type="dxa"/>
            <w:tcBorders>
              <w:top w:val="single" w:sz="4" w:space="0" w:color="auto"/>
              <w:left w:val="single" w:sz="4" w:space="0" w:color="auto"/>
              <w:bottom w:val="single" w:sz="4" w:space="0" w:color="auto"/>
              <w:right w:val="single" w:sz="4" w:space="0" w:color="auto"/>
            </w:tcBorders>
            <w:vAlign w:val="center"/>
          </w:tcPr>
          <w:p w14:paraId="70E2D213"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110/2047 (5.4)</w:t>
            </w:r>
          </w:p>
        </w:tc>
        <w:tc>
          <w:tcPr>
            <w:tcW w:w="1777" w:type="dxa"/>
            <w:tcBorders>
              <w:top w:val="single" w:sz="4" w:space="0" w:color="auto"/>
              <w:left w:val="single" w:sz="4" w:space="0" w:color="auto"/>
              <w:bottom w:val="single" w:sz="4" w:space="0" w:color="auto"/>
              <w:right w:val="single" w:sz="4" w:space="0" w:color="auto"/>
            </w:tcBorders>
            <w:vAlign w:val="center"/>
          </w:tcPr>
          <w:p w14:paraId="48A21F82"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HR 0.72 (0.54, 0.96)</w:t>
            </w:r>
          </w:p>
        </w:tc>
        <w:tc>
          <w:tcPr>
            <w:tcW w:w="1794" w:type="dxa"/>
            <w:tcBorders>
              <w:top w:val="single" w:sz="4" w:space="0" w:color="auto"/>
              <w:left w:val="single" w:sz="4" w:space="0" w:color="auto"/>
              <w:bottom w:val="single" w:sz="4" w:space="0" w:color="auto"/>
              <w:right w:val="single" w:sz="4" w:space="0" w:color="auto"/>
            </w:tcBorders>
            <w:vAlign w:val="center"/>
          </w:tcPr>
          <w:p w14:paraId="0E9F9AC4"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w:t>
            </w:r>
          </w:p>
        </w:tc>
      </w:tr>
      <w:tr w:rsidR="000827F7" w:rsidRPr="007D6F1A" w14:paraId="1CA9371C" w14:textId="77777777" w:rsidTr="0077002B">
        <w:trPr>
          <w:trHeight w:val="70"/>
        </w:trPr>
        <w:tc>
          <w:tcPr>
            <w:tcW w:w="2425" w:type="dxa"/>
            <w:tcBorders>
              <w:top w:val="single" w:sz="4" w:space="0" w:color="auto"/>
              <w:left w:val="single" w:sz="4" w:space="0" w:color="auto"/>
              <w:bottom w:val="single" w:sz="4" w:space="0" w:color="auto"/>
              <w:right w:val="single" w:sz="4" w:space="0" w:color="auto"/>
            </w:tcBorders>
            <w:vAlign w:val="center"/>
          </w:tcPr>
          <w:p w14:paraId="6FFD6348" w14:textId="77777777" w:rsidR="000827F7" w:rsidRPr="007D6F1A" w:rsidRDefault="000827F7" w:rsidP="0077002B">
            <w:pPr>
              <w:keepNext/>
              <w:keepLines/>
              <w:jc w:val="left"/>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Cumulative incidence to 24 months</w:t>
            </w:r>
          </w:p>
        </w:tc>
        <w:tc>
          <w:tcPr>
            <w:tcW w:w="1495" w:type="dxa"/>
            <w:tcBorders>
              <w:top w:val="single" w:sz="4" w:space="0" w:color="auto"/>
              <w:left w:val="single" w:sz="4" w:space="0" w:color="auto"/>
              <w:bottom w:val="single" w:sz="4" w:space="0" w:color="auto"/>
              <w:right w:val="single" w:sz="4" w:space="0" w:color="auto"/>
            </w:tcBorders>
            <w:vAlign w:val="center"/>
          </w:tcPr>
          <w:p w14:paraId="66D6C33B"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146/2046 (7.1)</w:t>
            </w:r>
          </w:p>
        </w:tc>
        <w:tc>
          <w:tcPr>
            <w:tcW w:w="1526" w:type="dxa"/>
            <w:tcBorders>
              <w:top w:val="single" w:sz="4" w:space="0" w:color="auto"/>
              <w:left w:val="single" w:sz="4" w:space="0" w:color="auto"/>
              <w:bottom w:val="single" w:sz="4" w:space="0" w:color="auto"/>
              <w:right w:val="single" w:sz="4" w:space="0" w:color="auto"/>
            </w:tcBorders>
            <w:vAlign w:val="center"/>
          </w:tcPr>
          <w:p w14:paraId="580C94DC"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197/2047 (9.6)</w:t>
            </w:r>
          </w:p>
        </w:tc>
        <w:tc>
          <w:tcPr>
            <w:tcW w:w="1777" w:type="dxa"/>
            <w:tcBorders>
              <w:top w:val="single" w:sz="4" w:space="0" w:color="auto"/>
              <w:left w:val="single" w:sz="4" w:space="0" w:color="auto"/>
              <w:bottom w:val="single" w:sz="4" w:space="0" w:color="auto"/>
              <w:right w:val="single" w:sz="4" w:space="0" w:color="auto"/>
            </w:tcBorders>
            <w:vAlign w:val="center"/>
          </w:tcPr>
          <w:p w14:paraId="75B7A15F"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HR 0.74 (0.59, 0.91)</w:t>
            </w:r>
          </w:p>
        </w:tc>
        <w:tc>
          <w:tcPr>
            <w:tcW w:w="1794" w:type="dxa"/>
            <w:tcBorders>
              <w:top w:val="single" w:sz="4" w:space="0" w:color="auto"/>
              <w:left w:val="single" w:sz="4" w:space="0" w:color="auto"/>
              <w:bottom w:val="single" w:sz="4" w:space="0" w:color="auto"/>
              <w:right w:val="single" w:sz="4" w:space="0" w:color="auto"/>
            </w:tcBorders>
            <w:vAlign w:val="center"/>
          </w:tcPr>
          <w:p w14:paraId="20B6B778"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w:t>
            </w:r>
          </w:p>
        </w:tc>
      </w:tr>
      <w:tr w:rsidR="000827F7" w:rsidRPr="007D6F1A" w14:paraId="228832AA" w14:textId="77777777" w:rsidTr="0077002B">
        <w:trPr>
          <w:trHeight w:val="70"/>
        </w:trPr>
        <w:tc>
          <w:tcPr>
            <w:tcW w:w="2425" w:type="dxa"/>
            <w:tcBorders>
              <w:top w:val="single" w:sz="4" w:space="0" w:color="auto"/>
              <w:left w:val="single" w:sz="4" w:space="0" w:color="auto"/>
              <w:bottom w:val="single" w:sz="4" w:space="0" w:color="auto"/>
              <w:right w:val="single" w:sz="4" w:space="0" w:color="auto"/>
            </w:tcBorders>
            <w:shd w:val="clear" w:color="auto" w:fill="FFC000"/>
            <w:vAlign w:val="center"/>
          </w:tcPr>
          <w:p w14:paraId="22B3EFB6" w14:textId="77777777" w:rsidR="000827F7" w:rsidRPr="007D6F1A" w:rsidRDefault="000827F7" w:rsidP="0077002B">
            <w:pPr>
              <w:keepNext/>
              <w:keepLines/>
              <w:jc w:val="left"/>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 xml:space="preserve">Cumulative incidence to primary analysis </w:t>
            </w:r>
            <w:r w:rsidRPr="007D6F1A">
              <w:rPr>
                <w:rFonts w:ascii="Arial Narrow" w:eastAsiaTheme="minorHAnsi" w:hAnsi="Arial Narrow" w:cstheme="minorBidi"/>
                <w:sz w:val="20"/>
                <w:szCs w:val="22"/>
                <w:lang w:eastAsia="en-US"/>
              </w:rPr>
              <w:br/>
              <w:t>(co-primary outcome) (median 33 months)</w:t>
            </w:r>
          </w:p>
        </w:tc>
        <w:tc>
          <w:tcPr>
            <w:tcW w:w="1495" w:type="dxa"/>
            <w:tcBorders>
              <w:top w:val="single" w:sz="4" w:space="0" w:color="auto"/>
              <w:left w:val="single" w:sz="4" w:space="0" w:color="auto"/>
              <w:bottom w:val="single" w:sz="4" w:space="0" w:color="auto"/>
              <w:right w:val="single" w:sz="4" w:space="0" w:color="auto"/>
            </w:tcBorders>
            <w:shd w:val="clear" w:color="auto" w:fill="FFC000"/>
            <w:vAlign w:val="center"/>
          </w:tcPr>
          <w:p w14:paraId="6BFFD7FB"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198/2046 (9.7)</w:t>
            </w:r>
          </w:p>
        </w:tc>
        <w:tc>
          <w:tcPr>
            <w:tcW w:w="1526" w:type="dxa"/>
            <w:tcBorders>
              <w:top w:val="single" w:sz="4" w:space="0" w:color="auto"/>
              <w:left w:val="single" w:sz="4" w:space="0" w:color="auto"/>
              <w:bottom w:val="single" w:sz="4" w:space="0" w:color="auto"/>
              <w:right w:val="single" w:sz="4" w:space="0" w:color="auto"/>
            </w:tcBorders>
            <w:shd w:val="clear" w:color="auto" w:fill="FFC000"/>
            <w:vAlign w:val="center"/>
          </w:tcPr>
          <w:p w14:paraId="510DA13B"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266/2047 (13.0)</w:t>
            </w:r>
          </w:p>
        </w:tc>
        <w:tc>
          <w:tcPr>
            <w:tcW w:w="1777" w:type="dxa"/>
            <w:tcBorders>
              <w:top w:val="single" w:sz="4" w:space="0" w:color="auto"/>
              <w:left w:val="single" w:sz="4" w:space="0" w:color="auto"/>
              <w:bottom w:val="single" w:sz="4" w:space="0" w:color="auto"/>
              <w:right w:val="single" w:sz="4" w:space="0" w:color="auto"/>
            </w:tcBorders>
            <w:shd w:val="clear" w:color="auto" w:fill="FFC000"/>
            <w:vAlign w:val="center"/>
          </w:tcPr>
          <w:p w14:paraId="12EF47C0"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b/>
                <w:sz w:val="20"/>
                <w:szCs w:val="22"/>
                <w:lang w:eastAsia="en-US"/>
              </w:rPr>
              <w:t>HR 0.73 (0.61, 0.88)</w:t>
            </w:r>
          </w:p>
        </w:tc>
        <w:tc>
          <w:tcPr>
            <w:tcW w:w="1794" w:type="dxa"/>
            <w:tcBorders>
              <w:top w:val="single" w:sz="4" w:space="0" w:color="auto"/>
              <w:left w:val="single" w:sz="4" w:space="0" w:color="auto"/>
              <w:bottom w:val="single" w:sz="4" w:space="0" w:color="auto"/>
              <w:right w:val="single" w:sz="4" w:space="0" w:color="auto"/>
            </w:tcBorders>
            <w:shd w:val="clear" w:color="auto" w:fill="FFC000"/>
            <w:vAlign w:val="center"/>
          </w:tcPr>
          <w:p w14:paraId="00A05923"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p &lt; 0.001</w:t>
            </w:r>
          </w:p>
        </w:tc>
      </w:tr>
      <w:tr w:rsidR="000827F7" w:rsidRPr="007D6F1A" w14:paraId="1A9554CF" w14:textId="77777777" w:rsidTr="0077002B">
        <w:trPr>
          <w:trHeight w:val="70"/>
        </w:trPr>
        <w:tc>
          <w:tcPr>
            <w:tcW w:w="9017" w:type="dxa"/>
            <w:gridSpan w:val="5"/>
            <w:tcBorders>
              <w:top w:val="double" w:sz="4" w:space="0" w:color="auto"/>
              <w:left w:val="single" w:sz="4" w:space="0" w:color="auto"/>
              <w:bottom w:val="single" w:sz="4" w:space="0" w:color="auto"/>
              <w:right w:val="single" w:sz="4" w:space="0" w:color="auto"/>
            </w:tcBorders>
            <w:vAlign w:val="center"/>
          </w:tcPr>
          <w:p w14:paraId="5E0C57E8" w14:textId="77777777" w:rsidR="000827F7" w:rsidRPr="007D6F1A" w:rsidRDefault="000827F7" w:rsidP="0077002B">
            <w:pPr>
              <w:keepNext/>
              <w:keepLines/>
              <w:jc w:val="left"/>
              <w:rPr>
                <w:rFonts w:ascii="Arial Narrow" w:eastAsiaTheme="minorHAnsi" w:hAnsi="Arial Narrow" w:cstheme="minorBidi"/>
                <w:b/>
                <w:sz w:val="20"/>
                <w:szCs w:val="22"/>
                <w:lang w:eastAsia="en-US"/>
              </w:rPr>
            </w:pPr>
            <w:r w:rsidRPr="007D6F1A">
              <w:rPr>
                <w:rFonts w:ascii="Arial Narrow" w:eastAsiaTheme="minorHAnsi" w:hAnsi="Arial Narrow" w:cstheme="minorBidi"/>
                <w:b/>
                <w:sz w:val="20"/>
                <w:szCs w:val="22"/>
                <w:lang w:eastAsia="en-US"/>
              </w:rPr>
              <w:t>Clinical vertebral fracture, n/N (%)</w:t>
            </w:r>
          </w:p>
        </w:tc>
      </w:tr>
      <w:tr w:rsidR="000827F7" w:rsidRPr="007D6F1A" w14:paraId="31DC9701" w14:textId="77777777" w:rsidTr="0077002B">
        <w:trPr>
          <w:trHeight w:val="70"/>
        </w:trPr>
        <w:tc>
          <w:tcPr>
            <w:tcW w:w="2425" w:type="dxa"/>
            <w:tcBorders>
              <w:top w:val="single" w:sz="4" w:space="0" w:color="auto"/>
              <w:left w:val="single" w:sz="4" w:space="0" w:color="auto"/>
              <w:bottom w:val="single" w:sz="4" w:space="0" w:color="auto"/>
              <w:right w:val="single" w:sz="4" w:space="0" w:color="auto"/>
            </w:tcBorders>
            <w:vAlign w:val="center"/>
          </w:tcPr>
          <w:p w14:paraId="6DE34C2F" w14:textId="77777777" w:rsidR="000827F7" w:rsidRPr="007D6F1A" w:rsidRDefault="000827F7" w:rsidP="0077002B">
            <w:pPr>
              <w:keepNext/>
              <w:keepLines/>
              <w:jc w:val="left"/>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 xml:space="preserve">Cumulative incidence to 12 months </w:t>
            </w:r>
          </w:p>
        </w:tc>
        <w:tc>
          <w:tcPr>
            <w:tcW w:w="1495" w:type="dxa"/>
            <w:tcBorders>
              <w:top w:val="single" w:sz="4" w:space="0" w:color="auto"/>
              <w:left w:val="single" w:sz="4" w:space="0" w:color="auto"/>
              <w:bottom w:val="single" w:sz="4" w:space="0" w:color="auto"/>
              <w:right w:val="single" w:sz="4" w:space="0" w:color="auto"/>
            </w:tcBorders>
            <w:vAlign w:val="center"/>
          </w:tcPr>
          <w:p w14:paraId="43EE8FC0"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10/2046 (0.5)</w:t>
            </w:r>
          </w:p>
        </w:tc>
        <w:tc>
          <w:tcPr>
            <w:tcW w:w="1526" w:type="dxa"/>
            <w:tcBorders>
              <w:top w:val="single" w:sz="4" w:space="0" w:color="auto"/>
              <w:left w:val="single" w:sz="4" w:space="0" w:color="auto"/>
              <w:bottom w:val="single" w:sz="4" w:space="0" w:color="auto"/>
              <w:right w:val="single" w:sz="4" w:space="0" w:color="auto"/>
            </w:tcBorders>
            <w:vAlign w:val="center"/>
          </w:tcPr>
          <w:p w14:paraId="320D8926"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18/2047 (0.9)</w:t>
            </w:r>
          </w:p>
        </w:tc>
        <w:tc>
          <w:tcPr>
            <w:tcW w:w="1777" w:type="dxa"/>
            <w:tcBorders>
              <w:top w:val="single" w:sz="4" w:space="0" w:color="auto"/>
              <w:left w:val="single" w:sz="4" w:space="0" w:color="auto"/>
              <w:bottom w:val="single" w:sz="4" w:space="0" w:color="auto"/>
              <w:right w:val="single" w:sz="4" w:space="0" w:color="auto"/>
            </w:tcBorders>
            <w:vAlign w:val="center"/>
          </w:tcPr>
          <w:p w14:paraId="4C534CD2"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RR 0.56 (0.26, 1.22)</w:t>
            </w:r>
          </w:p>
        </w:tc>
        <w:tc>
          <w:tcPr>
            <w:tcW w:w="1794" w:type="dxa"/>
            <w:tcBorders>
              <w:top w:val="single" w:sz="4" w:space="0" w:color="auto"/>
              <w:left w:val="single" w:sz="4" w:space="0" w:color="auto"/>
              <w:bottom w:val="single" w:sz="4" w:space="0" w:color="auto"/>
              <w:right w:val="single" w:sz="4" w:space="0" w:color="auto"/>
            </w:tcBorders>
            <w:vAlign w:val="center"/>
          </w:tcPr>
          <w:p w14:paraId="32B70236"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w:t>
            </w:r>
          </w:p>
        </w:tc>
      </w:tr>
      <w:tr w:rsidR="000827F7" w:rsidRPr="007D6F1A" w14:paraId="67CC44AC" w14:textId="77777777" w:rsidTr="0077002B">
        <w:trPr>
          <w:trHeight w:val="70"/>
        </w:trPr>
        <w:tc>
          <w:tcPr>
            <w:tcW w:w="2425" w:type="dxa"/>
            <w:tcBorders>
              <w:top w:val="single" w:sz="4" w:space="0" w:color="auto"/>
              <w:left w:val="single" w:sz="4" w:space="0" w:color="auto"/>
              <w:bottom w:val="single" w:sz="4" w:space="0" w:color="auto"/>
              <w:right w:val="single" w:sz="4" w:space="0" w:color="auto"/>
            </w:tcBorders>
            <w:shd w:val="clear" w:color="auto" w:fill="FFC000"/>
            <w:vAlign w:val="center"/>
          </w:tcPr>
          <w:p w14:paraId="7699BC7B" w14:textId="77777777" w:rsidR="000827F7" w:rsidRPr="007D6F1A" w:rsidRDefault="000827F7" w:rsidP="0077002B">
            <w:pPr>
              <w:keepNext/>
              <w:keepLines/>
              <w:jc w:val="left"/>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Cumulative incidence to 24 months</w:t>
            </w:r>
          </w:p>
        </w:tc>
        <w:tc>
          <w:tcPr>
            <w:tcW w:w="1495" w:type="dxa"/>
            <w:tcBorders>
              <w:top w:val="single" w:sz="4" w:space="0" w:color="auto"/>
              <w:left w:val="single" w:sz="4" w:space="0" w:color="auto"/>
              <w:bottom w:val="single" w:sz="4" w:space="0" w:color="auto"/>
              <w:right w:val="single" w:sz="4" w:space="0" w:color="auto"/>
            </w:tcBorders>
            <w:shd w:val="clear" w:color="auto" w:fill="FFC000"/>
            <w:vAlign w:val="center"/>
          </w:tcPr>
          <w:p w14:paraId="02E0A097"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18/2046 (0.9)</w:t>
            </w:r>
          </w:p>
        </w:tc>
        <w:tc>
          <w:tcPr>
            <w:tcW w:w="1526" w:type="dxa"/>
            <w:tcBorders>
              <w:top w:val="single" w:sz="4" w:space="0" w:color="auto"/>
              <w:left w:val="single" w:sz="4" w:space="0" w:color="auto"/>
              <w:bottom w:val="single" w:sz="4" w:space="0" w:color="auto"/>
              <w:right w:val="single" w:sz="4" w:space="0" w:color="auto"/>
            </w:tcBorders>
            <w:shd w:val="clear" w:color="auto" w:fill="FFC000"/>
            <w:vAlign w:val="center"/>
          </w:tcPr>
          <w:p w14:paraId="7E7D7587"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44/2047 (2.1)</w:t>
            </w:r>
          </w:p>
        </w:tc>
        <w:tc>
          <w:tcPr>
            <w:tcW w:w="1777" w:type="dxa"/>
            <w:tcBorders>
              <w:top w:val="single" w:sz="4" w:space="0" w:color="auto"/>
              <w:left w:val="single" w:sz="4" w:space="0" w:color="auto"/>
              <w:bottom w:val="single" w:sz="4" w:space="0" w:color="auto"/>
              <w:right w:val="single" w:sz="4" w:space="0" w:color="auto"/>
            </w:tcBorders>
            <w:shd w:val="clear" w:color="auto" w:fill="FFC000"/>
            <w:vAlign w:val="center"/>
          </w:tcPr>
          <w:p w14:paraId="2E12B07C"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RR 0.41 (0.24, 0.71)</w:t>
            </w:r>
          </w:p>
        </w:tc>
        <w:tc>
          <w:tcPr>
            <w:tcW w:w="1794" w:type="dxa"/>
            <w:tcBorders>
              <w:top w:val="single" w:sz="4" w:space="0" w:color="auto"/>
              <w:left w:val="single" w:sz="4" w:space="0" w:color="auto"/>
              <w:bottom w:val="single" w:sz="4" w:space="0" w:color="auto"/>
              <w:right w:val="single" w:sz="4" w:space="0" w:color="auto"/>
            </w:tcBorders>
            <w:shd w:val="clear" w:color="auto" w:fill="FFC000"/>
            <w:vAlign w:val="center"/>
          </w:tcPr>
          <w:p w14:paraId="1E0959F1"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w:t>
            </w:r>
          </w:p>
        </w:tc>
      </w:tr>
      <w:tr w:rsidR="000827F7" w:rsidRPr="007D6F1A" w14:paraId="3DE9C0A7" w14:textId="77777777" w:rsidTr="0077002B">
        <w:trPr>
          <w:trHeight w:val="70"/>
        </w:trPr>
        <w:tc>
          <w:tcPr>
            <w:tcW w:w="9017" w:type="dxa"/>
            <w:gridSpan w:val="5"/>
            <w:tcBorders>
              <w:top w:val="single" w:sz="4" w:space="0" w:color="auto"/>
              <w:left w:val="single" w:sz="4" w:space="0" w:color="auto"/>
              <w:bottom w:val="single" w:sz="4" w:space="0" w:color="auto"/>
              <w:right w:val="single" w:sz="4" w:space="0" w:color="auto"/>
            </w:tcBorders>
            <w:vAlign w:val="center"/>
          </w:tcPr>
          <w:p w14:paraId="22735753" w14:textId="77777777" w:rsidR="000827F7" w:rsidRPr="007D6F1A" w:rsidRDefault="000827F7" w:rsidP="0077002B">
            <w:pPr>
              <w:keepNext/>
              <w:keepLines/>
              <w:jc w:val="left"/>
              <w:rPr>
                <w:rFonts w:ascii="Arial Narrow" w:eastAsiaTheme="minorHAnsi" w:hAnsi="Arial Narrow" w:cstheme="minorBidi"/>
                <w:b/>
                <w:sz w:val="20"/>
                <w:szCs w:val="22"/>
                <w:lang w:eastAsia="en-US"/>
              </w:rPr>
            </w:pPr>
            <w:r w:rsidRPr="007D6F1A">
              <w:rPr>
                <w:rFonts w:ascii="Arial Narrow" w:eastAsiaTheme="minorHAnsi" w:hAnsi="Arial Narrow" w:cstheme="minorBidi"/>
                <w:b/>
                <w:sz w:val="20"/>
                <w:szCs w:val="22"/>
                <w:lang w:eastAsia="en-US"/>
              </w:rPr>
              <w:t>Hip fracture, n/N (%)</w:t>
            </w:r>
          </w:p>
        </w:tc>
      </w:tr>
      <w:tr w:rsidR="000827F7" w:rsidRPr="007D6F1A" w14:paraId="735EBA23" w14:textId="77777777" w:rsidTr="0077002B">
        <w:trPr>
          <w:trHeight w:val="70"/>
        </w:trPr>
        <w:tc>
          <w:tcPr>
            <w:tcW w:w="2425" w:type="dxa"/>
            <w:tcBorders>
              <w:top w:val="single" w:sz="4" w:space="0" w:color="auto"/>
              <w:left w:val="single" w:sz="4" w:space="0" w:color="auto"/>
              <w:bottom w:val="single" w:sz="4" w:space="0" w:color="auto"/>
              <w:right w:val="single" w:sz="4" w:space="0" w:color="auto"/>
            </w:tcBorders>
            <w:vAlign w:val="center"/>
          </w:tcPr>
          <w:p w14:paraId="4B9094AB" w14:textId="77777777" w:rsidR="000827F7" w:rsidRPr="007D6F1A" w:rsidRDefault="000827F7" w:rsidP="0077002B">
            <w:pPr>
              <w:keepNext/>
              <w:keepLines/>
              <w:jc w:val="left"/>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 xml:space="preserve">Cumulative incidence to 12 months </w:t>
            </w:r>
          </w:p>
        </w:tc>
        <w:tc>
          <w:tcPr>
            <w:tcW w:w="1495" w:type="dxa"/>
            <w:tcBorders>
              <w:top w:val="single" w:sz="4" w:space="0" w:color="auto"/>
              <w:left w:val="single" w:sz="4" w:space="0" w:color="auto"/>
              <w:bottom w:val="single" w:sz="4" w:space="0" w:color="auto"/>
              <w:right w:val="single" w:sz="4" w:space="0" w:color="auto"/>
            </w:tcBorders>
            <w:vAlign w:val="center"/>
          </w:tcPr>
          <w:p w14:paraId="04A44156"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14/2046 (0.7)</w:t>
            </w:r>
          </w:p>
        </w:tc>
        <w:tc>
          <w:tcPr>
            <w:tcW w:w="1526" w:type="dxa"/>
            <w:tcBorders>
              <w:top w:val="single" w:sz="4" w:space="0" w:color="auto"/>
              <w:left w:val="single" w:sz="4" w:space="0" w:color="auto"/>
              <w:bottom w:val="single" w:sz="4" w:space="0" w:color="auto"/>
              <w:right w:val="single" w:sz="4" w:space="0" w:color="auto"/>
            </w:tcBorders>
            <w:vAlign w:val="center"/>
          </w:tcPr>
          <w:p w14:paraId="2C6B3239"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22/2047 (1.1)</w:t>
            </w:r>
          </w:p>
        </w:tc>
        <w:tc>
          <w:tcPr>
            <w:tcW w:w="1777" w:type="dxa"/>
            <w:tcBorders>
              <w:top w:val="single" w:sz="4" w:space="0" w:color="auto"/>
              <w:left w:val="single" w:sz="4" w:space="0" w:color="auto"/>
              <w:bottom w:val="single" w:sz="4" w:space="0" w:color="auto"/>
              <w:right w:val="single" w:sz="4" w:space="0" w:color="auto"/>
            </w:tcBorders>
            <w:vAlign w:val="center"/>
          </w:tcPr>
          <w:p w14:paraId="27726E1B"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HR 0.64 (0.33, 1.26)</w:t>
            </w:r>
          </w:p>
        </w:tc>
        <w:tc>
          <w:tcPr>
            <w:tcW w:w="1794" w:type="dxa"/>
            <w:tcBorders>
              <w:top w:val="single" w:sz="4" w:space="0" w:color="auto"/>
              <w:left w:val="single" w:sz="4" w:space="0" w:color="auto"/>
              <w:bottom w:val="single" w:sz="4" w:space="0" w:color="auto"/>
              <w:right w:val="single" w:sz="4" w:space="0" w:color="auto"/>
            </w:tcBorders>
            <w:vAlign w:val="center"/>
          </w:tcPr>
          <w:p w14:paraId="6BF6BA87"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w:t>
            </w:r>
          </w:p>
        </w:tc>
      </w:tr>
      <w:tr w:rsidR="000827F7" w:rsidRPr="007D6F1A" w14:paraId="1618671C" w14:textId="77777777" w:rsidTr="0077002B">
        <w:trPr>
          <w:trHeight w:val="70"/>
        </w:trPr>
        <w:tc>
          <w:tcPr>
            <w:tcW w:w="2425" w:type="dxa"/>
            <w:tcBorders>
              <w:top w:val="single" w:sz="4" w:space="0" w:color="auto"/>
              <w:left w:val="single" w:sz="4" w:space="0" w:color="auto"/>
              <w:bottom w:val="single" w:sz="4" w:space="0" w:color="auto"/>
              <w:right w:val="single" w:sz="4" w:space="0" w:color="auto"/>
            </w:tcBorders>
            <w:vAlign w:val="center"/>
          </w:tcPr>
          <w:p w14:paraId="1417BC8A" w14:textId="77777777" w:rsidR="000827F7" w:rsidRPr="007D6F1A" w:rsidRDefault="000827F7" w:rsidP="0077002B">
            <w:pPr>
              <w:keepNext/>
              <w:keepLines/>
              <w:jc w:val="left"/>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Cumulative incidence to 24 months</w:t>
            </w:r>
          </w:p>
        </w:tc>
        <w:tc>
          <w:tcPr>
            <w:tcW w:w="1495" w:type="dxa"/>
            <w:tcBorders>
              <w:top w:val="single" w:sz="4" w:space="0" w:color="auto"/>
              <w:left w:val="single" w:sz="4" w:space="0" w:color="auto"/>
              <w:bottom w:val="single" w:sz="4" w:space="0" w:color="auto"/>
              <w:right w:val="single" w:sz="4" w:space="0" w:color="auto"/>
            </w:tcBorders>
            <w:vAlign w:val="center"/>
          </w:tcPr>
          <w:p w14:paraId="6DA8BC4B"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31/2046 (1.5)</w:t>
            </w:r>
          </w:p>
        </w:tc>
        <w:tc>
          <w:tcPr>
            <w:tcW w:w="1526" w:type="dxa"/>
            <w:tcBorders>
              <w:top w:val="single" w:sz="4" w:space="0" w:color="auto"/>
              <w:left w:val="single" w:sz="4" w:space="0" w:color="auto"/>
              <w:bottom w:val="single" w:sz="4" w:space="0" w:color="auto"/>
              <w:right w:val="single" w:sz="4" w:space="0" w:color="auto"/>
            </w:tcBorders>
            <w:vAlign w:val="center"/>
          </w:tcPr>
          <w:p w14:paraId="7D4C71FE"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43/2047 (2.1)</w:t>
            </w:r>
          </w:p>
        </w:tc>
        <w:tc>
          <w:tcPr>
            <w:tcW w:w="1777" w:type="dxa"/>
            <w:tcBorders>
              <w:top w:val="single" w:sz="4" w:space="0" w:color="auto"/>
              <w:left w:val="single" w:sz="4" w:space="0" w:color="auto"/>
              <w:bottom w:val="single" w:sz="4" w:space="0" w:color="auto"/>
              <w:right w:val="single" w:sz="4" w:space="0" w:color="auto"/>
            </w:tcBorders>
            <w:vAlign w:val="center"/>
          </w:tcPr>
          <w:p w14:paraId="78BE1B13"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HR 0.72 (0.46, 1.15)</w:t>
            </w:r>
          </w:p>
        </w:tc>
        <w:tc>
          <w:tcPr>
            <w:tcW w:w="1794" w:type="dxa"/>
            <w:tcBorders>
              <w:top w:val="single" w:sz="4" w:space="0" w:color="auto"/>
              <w:left w:val="single" w:sz="4" w:space="0" w:color="auto"/>
              <w:bottom w:val="single" w:sz="4" w:space="0" w:color="auto"/>
              <w:right w:val="single" w:sz="4" w:space="0" w:color="auto"/>
            </w:tcBorders>
            <w:vAlign w:val="center"/>
          </w:tcPr>
          <w:p w14:paraId="3021A735"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w:t>
            </w:r>
          </w:p>
        </w:tc>
      </w:tr>
      <w:tr w:rsidR="000827F7" w:rsidRPr="007D6F1A" w14:paraId="066BF1B4" w14:textId="77777777" w:rsidTr="0077002B">
        <w:trPr>
          <w:trHeight w:val="70"/>
        </w:trPr>
        <w:tc>
          <w:tcPr>
            <w:tcW w:w="2425" w:type="dxa"/>
            <w:tcBorders>
              <w:top w:val="single" w:sz="4" w:space="0" w:color="auto"/>
              <w:left w:val="single" w:sz="4" w:space="0" w:color="auto"/>
              <w:bottom w:val="single" w:sz="4" w:space="0" w:color="auto"/>
              <w:right w:val="single" w:sz="4" w:space="0" w:color="auto"/>
            </w:tcBorders>
            <w:shd w:val="clear" w:color="auto" w:fill="FFC000"/>
            <w:vAlign w:val="center"/>
          </w:tcPr>
          <w:p w14:paraId="41386242" w14:textId="77777777" w:rsidR="000827F7" w:rsidRPr="007D6F1A" w:rsidRDefault="000827F7" w:rsidP="0077002B">
            <w:pPr>
              <w:keepNext/>
              <w:keepLines/>
              <w:jc w:val="left"/>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Cumulative incidence to primary analysis (median 33 months)</w:t>
            </w:r>
          </w:p>
        </w:tc>
        <w:tc>
          <w:tcPr>
            <w:tcW w:w="1495" w:type="dxa"/>
            <w:tcBorders>
              <w:top w:val="single" w:sz="4" w:space="0" w:color="auto"/>
              <w:left w:val="single" w:sz="4" w:space="0" w:color="auto"/>
              <w:bottom w:val="single" w:sz="4" w:space="0" w:color="auto"/>
              <w:right w:val="single" w:sz="4" w:space="0" w:color="auto"/>
            </w:tcBorders>
            <w:shd w:val="clear" w:color="auto" w:fill="FFC000"/>
            <w:vAlign w:val="center"/>
          </w:tcPr>
          <w:p w14:paraId="2B1E4396"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41/2046 (2.0)</w:t>
            </w:r>
          </w:p>
        </w:tc>
        <w:tc>
          <w:tcPr>
            <w:tcW w:w="1526" w:type="dxa"/>
            <w:tcBorders>
              <w:top w:val="single" w:sz="4" w:space="0" w:color="auto"/>
              <w:left w:val="single" w:sz="4" w:space="0" w:color="auto"/>
              <w:bottom w:val="single" w:sz="4" w:space="0" w:color="auto"/>
              <w:right w:val="single" w:sz="4" w:space="0" w:color="auto"/>
            </w:tcBorders>
            <w:shd w:val="clear" w:color="auto" w:fill="FFC000"/>
            <w:vAlign w:val="center"/>
          </w:tcPr>
          <w:p w14:paraId="4313A184"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66/2047 (3.2)</w:t>
            </w:r>
          </w:p>
        </w:tc>
        <w:tc>
          <w:tcPr>
            <w:tcW w:w="1777" w:type="dxa"/>
            <w:tcBorders>
              <w:top w:val="single" w:sz="4" w:space="0" w:color="auto"/>
              <w:left w:val="single" w:sz="4" w:space="0" w:color="auto"/>
              <w:bottom w:val="single" w:sz="4" w:space="0" w:color="auto"/>
              <w:right w:val="single" w:sz="4" w:space="0" w:color="auto"/>
            </w:tcBorders>
            <w:shd w:val="clear" w:color="auto" w:fill="FFC000"/>
            <w:vAlign w:val="center"/>
          </w:tcPr>
          <w:p w14:paraId="63281E7E"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HR 0.62 (0.42, 0.92)</w:t>
            </w:r>
          </w:p>
        </w:tc>
        <w:tc>
          <w:tcPr>
            <w:tcW w:w="1794" w:type="dxa"/>
            <w:tcBorders>
              <w:top w:val="single" w:sz="4" w:space="0" w:color="auto"/>
              <w:left w:val="single" w:sz="4" w:space="0" w:color="auto"/>
              <w:bottom w:val="single" w:sz="4" w:space="0" w:color="auto"/>
              <w:right w:val="single" w:sz="4" w:space="0" w:color="auto"/>
            </w:tcBorders>
            <w:shd w:val="clear" w:color="auto" w:fill="FFC000"/>
            <w:vAlign w:val="center"/>
          </w:tcPr>
          <w:p w14:paraId="1526A3F0" w14:textId="77777777" w:rsidR="000827F7" w:rsidRPr="007D6F1A" w:rsidRDefault="000827F7" w:rsidP="0077002B">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w:t>
            </w:r>
          </w:p>
        </w:tc>
      </w:tr>
    </w:tbl>
    <w:p w14:paraId="76242CC0" w14:textId="04CBACD4" w:rsidR="000827F7" w:rsidRPr="007D6F1A" w:rsidRDefault="000827F7" w:rsidP="000827F7">
      <w:pPr>
        <w:pStyle w:val="COMTablefooter"/>
        <w:rPr>
          <w:lang w:eastAsia="en-US"/>
        </w:rPr>
      </w:pPr>
      <w:r w:rsidRPr="007D6F1A">
        <w:rPr>
          <w:lang w:eastAsia="en-US"/>
        </w:rPr>
        <w:t xml:space="preserve">Source: </w:t>
      </w:r>
      <w:r>
        <w:rPr>
          <w:lang w:eastAsia="en-US"/>
        </w:rPr>
        <w:t>Section 2.5.1, pp34-3</w:t>
      </w:r>
      <w:r w:rsidR="00927D7A">
        <w:rPr>
          <w:lang w:eastAsia="en-US"/>
        </w:rPr>
        <w:t>6</w:t>
      </w:r>
      <w:r>
        <w:rPr>
          <w:lang w:eastAsia="en-US"/>
        </w:rPr>
        <w:t xml:space="preserve"> of the resubmission</w:t>
      </w:r>
    </w:p>
    <w:p w14:paraId="64D5C1F3" w14:textId="77777777" w:rsidR="000827F7" w:rsidRPr="007D6F1A" w:rsidRDefault="000827F7" w:rsidP="000827F7">
      <w:pPr>
        <w:pStyle w:val="COMTablefooter"/>
        <w:rPr>
          <w:color w:val="3366FF"/>
          <w:lang w:eastAsia="en-US"/>
        </w:rPr>
      </w:pPr>
      <w:r w:rsidRPr="007D6F1A">
        <w:rPr>
          <w:lang w:eastAsia="en-US"/>
        </w:rPr>
        <w:t>Abbreviations: HR, hazard ratio; NR, not reported; RR, risk ratio</w:t>
      </w:r>
    </w:p>
    <w:p w14:paraId="777E7F62" w14:textId="77777777" w:rsidR="000827F7" w:rsidRDefault="000827F7" w:rsidP="000827F7">
      <w:pPr>
        <w:pStyle w:val="COMTablefooter"/>
        <w:rPr>
          <w:lang w:eastAsia="en-US"/>
        </w:rPr>
      </w:pPr>
      <w:r w:rsidRPr="007D6F1A">
        <w:rPr>
          <w:lang w:eastAsia="en-US"/>
        </w:rPr>
        <w:t>Bolding indicates results that remained statistically significant after adjustments for multiplicity testing. Exploratory outcomes (e.g. clinical vertebral fractures and hip fractures) were not adjusted for multiplicity. Short term (12 month) fracture outcomes were not adjusted for multiplicity.</w:t>
      </w:r>
    </w:p>
    <w:p w14:paraId="4AE9D953" w14:textId="77777777" w:rsidR="000827F7" w:rsidRPr="00DF2C8A" w:rsidRDefault="000827F7" w:rsidP="000827F7">
      <w:pPr>
        <w:pStyle w:val="COMTablefooter"/>
        <w:rPr>
          <w:lang w:eastAsia="en-US"/>
        </w:rPr>
      </w:pPr>
      <w:r>
        <w:rPr>
          <w:lang w:eastAsia="en-US"/>
        </w:rPr>
        <w:t>Results highlighted in orange were used in the economic analysis</w:t>
      </w:r>
    </w:p>
    <w:p w14:paraId="6529ABF5" w14:textId="1F6F190F" w:rsidR="00DF6341" w:rsidRPr="00DF6341" w:rsidRDefault="00DB0554" w:rsidP="00BE7594">
      <w:pPr>
        <w:pStyle w:val="COMexecsumnumberedpara"/>
        <w:rPr>
          <w:color w:val="0066FF"/>
        </w:rPr>
      </w:pPr>
      <w:r w:rsidRPr="00E95003">
        <w:rPr>
          <w:snapToGrid/>
        </w:rPr>
        <w:t>Treatment with romosozumab followed by alendronate was associated with statistically significant decreases in vertebral (including clinical vertebral) fractures, clinical fractures and non-vertebral fractures (including hip) over a median of 33 months compared to alendronate alone.</w:t>
      </w:r>
    </w:p>
    <w:p w14:paraId="4671B1F1" w14:textId="77777777" w:rsidR="00B47AB3" w:rsidRPr="003074AF" w:rsidRDefault="00B47AB3" w:rsidP="00B47AB3">
      <w:pPr>
        <w:pStyle w:val="ExecSumBodyText"/>
        <w:numPr>
          <w:ilvl w:val="1"/>
          <w:numId w:val="4"/>
        </w:numPr>
        <w:rPr>
          <w:snapToGrid/>
        </w:rPr>
      </w:pPr>
      <w:r w:rsidRPr="003074AF">
        <w:rPr>
          <w:snapToGrid/>
        </w:rPr>
        <w:lastRenderedPageBreak/>
        <w:t>In the FRAME placebo-controlled trial (mixed primary and secondary prevention population; predominantly treatment-naive), treatment with romosozumab followed by denosumab was associated with statistically significant decreases in vertebral (includes clinical vertebral) fractures over three years compared to placebo followed by denosumab. Romosozumab was also associated with a reduction in clinical fractures compared to placebo in the first year of treatment but the residual effect while using denosumab in later years was uncertain. There were no statistically significant differences in non-vertebral fractures between treatment arms.</w:t>
      </w:r>
    </w:p>
    <w:p w14:paraId="12C44298" w14:textId="77777777" w:rsidR="00B47AB3" w:rsidRPr="003074AF" w:rsidRDefault="00B47AB3" w:rsidP="00B47AB3">
      <w:pPr>
        <w:pStyle w:val="ExecSumBodyText"/>
        <w:numPr>
          <w:ilvl w:val="1"/>
          <w:numId w:val="4"/>
        </w:numPr>
        <w:rPr>
          <w:snapToGrid/>
        </w:rPr>
      </w:pPr>
      <w:r w:rsidRPr="003074AF">
        <w:rPr>
          <w:snapToGrid/>
        </w:rPr>
        <w:t xml:space="preserve">Fracture outcomes and quality of life measures were not assessed in the STRUCTURE trial (secondary prevention in patients previously treated with anti-resorptive therapy). Treatment with romosozumab was associated with a statistically significant increase in total hip, femoral neck and lumbar spine BMD over one year compared to teriparatide. </w:t>
      </w:r>
    </w:p>
    <w:p w14:paraId="0E3B851B" w14:textId="77777777" w:rsidR="00B47AB3" w:rsidRPr="003074AF" w:rsidDel="00EA5693" w:rsidRDefault="00B47AB3" w:rsidP="00B47AB3">
      <w:pPr>
        <w:pStyle w:val="ExecSumBodyText"/>
        <w:numPr>
          <w:ilvl w:val="1"/>
          <w:numId w:val="4"/>
        </w:numPr>
      </w:pPr>
      <w:r w:rsidRPr="003074AF" w:rsidDel="00EA5693">
        <w:t>There are no data on fracture outcomes with romosozumab compared to alendronate in patients previously treated with anti-resorptives.</w:t>
      </w:r>
    </w:p>
    <w:p w14:paraId="1C6E2604" w14:textId="77777777" w:rsidR="00B47AB3" w:rsidRPr="003074AF" w:rsidRDefault="00B47AB3" w:rsidP="00B47AB3">
      <w:pPr>
        <w:pStyle w:val="ExecSumBodyText"/>
        <w:numPr>
          <w:ilvl w:val="1"/>
          <w:numId w:val="4"/>
        </w:numPr>
        <w:rPr>
          <w:snapToGrid/>
        </w:rPr>
      </w:pPr>
      <w:r w:rsidRPr="003074AF">
        <w:rPr>
          <w:snapToGrid/>
        </w:rPr>
        <w:t>The changes to BMD observed with both romosozumab and teriparatide in patients previously treated with bisphosphonate therapy (STRUCTURE) were smaller than those reported in patients who were predominantly naïve to bisphosphonate treatment (FRAME and ARCH).</w:t>
      </w:r>
    </w:p>
    <w:p w14:paraId="38D68ACA" w14:textId="08E420AA" w:rsidR="00B47AB3" w:rsidRPr="003074AF" w:rsidRDefault="00B47AB3" w:rsidP="00B47AB3">
      <w:pPr>
        <w:pStyle w:val="COMexecsumnumberedpara"/>
        <w:rPr>
          <w:color w:val="0066FF"/>
        </w:rPr>
      </w:pPr>
      <w:r w:rsidRPr="003074AF">
        <w:t>Multiple post</w:t>
      </w:r>
      <w:r w:rsidR="0040598C" w:rsidRPr="003074AF">
        <w:t xml:space="preserve"> </w:t>
      </w:r>
      <w:r w:rsidRPr="003074AF">
        <w:t>hoc analyses of BMD outcomes in trials of romosozumab (ARCH, FRAME, STRUCTURE and Study 326) suggest that the use of romosozumab after anti-resorptive therapy provides smaller BMD gains (measured as relative effects) compared to the use of romosozumab before anti-resorptive therapy.</w:t>
      </w:r>
    </w:p>
    <w:p w14:paraId="5AE1FC7F" w14:textId="77777777" w:rsidR="00D1190D" w:rsidRDefault="00D1190D" w:rsidP="00D1190D">
      <w:pPr>
        <w:pStyle w:val="ExecSumBodyText"/>
        <w:numPr>
          <w:ilvl w:val="1"/>
          <w:numId w:val="4"/>
        </w:numPr>
        <w:rPr>
          <w:snapToGrid/>
        </w:rPr>
      </w:pPr>
      <w:r w:rsidRPr="00FE48D6">
        <w:rPr>
          <w:snapToGrid/>
        </w:rPr>
        <w:t>There were no consistent differences in quality of life outcomes associated with romosozumab treatment in the clinical trials.</w:t>
      </w:r>
    </w:p>
    <w:p w14:paraId="382F05BE" w14:textId="4A1E0FB7" w:rsidR="00F5573D" w:rsidRPr="00810C1E" w:rsidRDefault="00F5573D" w:rsidP="00B47AB3">
      <w:pPr>
        <w:pStyle w:val="COMexecsumnumberedpara"/>
        <w:rPr>
          <w:color w:val="0066FF"/>
        </w:rPr>
      </w:pPr>
      <w:r w:rsidRPr="00D21835">
        <w:t>No new data were presented in the resubmission to address the applicability of the ARCH trial data to the new proposed PBS population.</w:t>
      </w:r>
      <w:r>
        <w:rPr>
          <w:i/>
          <w:iCs/>
        </w:rPr>
        <w:t xml:space="preserve"> </w:t>
      </w:r>
      <w:r w:rsidRPr="003074AF">
        <w:t>The PBAC has previously raised concerns with the applicability of risk profiles of patients in the ARCH trial to the PBS population due to potential differences in disease severity characterised by number of fractures, BMD T-scores, fracture location, fracture severity and fracture timing, with likely differences in magnitude of benefit associated with romosozumab between patients with single versus multiple prior fractures. The sponsor has acknowledged that differences in fracture risk across patient groups would lead to differences in the absolute magnitude of benefit associated with romosozumab versus alendronate, but claimed that the proposed PBS population is likely to be at higher risk than the ARCH trial population, which would translate to greater absolute benefit with romosozumab (</w:t>
      </w:r>
      <w:r w:rsidR="001A2EC9" w:rsidRPr="003074AF">
        <w:t>p</w:t>
      </w:r>
      <w:r w:rsidRPr="003074AF">
        <w:t>ara 6.46, romosozumab PSD, July 2022 PBAC meeting).</w:t>
      </w:r>
      <w:r w:rsidR="00D27E54">
        <w:t xml:space="preserve"> </w:t>
      </w:r>
      <w:r w:rsidR="00D27E54" w:rsidRPr="00810C1E">
        <w:t xml:space="preserve">The PSCR  restated this claim. </w:t>
      </w:r>
    </w:p>
    <w:p w14:paraId="4C0D6187" w14:textId="77777777" w:rsidR="001D743F" w:rsidRPr="003074AF" w:rsidRDefault="001D743F" w:rsidP="001D743F">
      <w:pPr>
        <w:pStyle w:val="COMexecsumnumberedpara"/>
      </w:pPr>
      <w:r w:rsidRPr="003074AF">
        <w:t>The PBAC previously considered the long-term comparative efficacy of romosozumab versus alendronate was uncertain and that maintenance of treatment effect after discontinuation of romosozumab would likely depend on persistence with anti-</w:t>
      </w:r>
      <w:r w:rsidRPr="003074AF">
        <w:lastRenderedPageBreak/>
        <w:t>resorptive therapy (para 7.10, romosozumab PSD, November 2018 PBAC meeting).  In July 2019, the PBAC considered that the limited available data from Study 326 suggest that treatment effects associated with romosozumab are rapidly lost after discontinuation of subsequent anti-resorptive therapy (paragraph 7.5, romosozumab, PSD, July 2019 PBAC meeting). The PBAC reiterated these concerns at the March 2020 PBAC meeting and recommended that the utilisation of anti-resorptive therapy following cessation of romosozumab should be reviewed after an appropriate period post listing (para 7.14, romosozumab PSD, March 2020 PBAC meeting). No data were presented in the July 2022 resubmission to address these concerns, with the length of time post-listing inadequate (at the time of evaluating the July 2022 submission) for this review given romosozumab has a recommended 12-month treatment course and it was listed on 1 April 2021.</w:t>
      </w:r>
    </w:p>
    <w:p w14:paraId="562F126D" w14:textId="753FBA70" w:rsidR="001D743F" w:rsidRPr="003074AF" w:rsidRDefault="001D743F" w:rsidP="001D743F">
      <w:pPr>
        <w:pStyle w:val="COMexecsumnumberedpara"/>
      </w:pPr>
      <w:r w:rsidRPr="003074AF">
        <w:t>In May 2022, the DUSC Secretariat conducted an analysis of the utilisation of anti-resorptive therapy after stopping teriparatide. The analysis captured data from 1,454 patients who filled a teriparatide script between 1 April 2017 and 31 March 2018. The results indicated that 46% (664/1,454) of patients successfully transitioned to anti-resorptive therapy, defined as having at least 2 anti-resorptive scripts, the first of which was supplied within 2 months after stopping teriparatide. The ESC noted that this was lower than estimated in the analysis presented in the July 2019 romosozumab submission that suggested approximately 70% of patients continued with anti-resorptive therapy based on patients having at least one anti-resorptive script within 6 months after stopping teriparatide. The ESC noted the results also indicated relatively poor long-term persistence to anti-resorptive therapy, with 49% (716/1,454) of patients remaining persistent at 1 year, declining to 25% (361/1,454) at 3 years after cessation of teriparatide (</w:t>
      </w:r>
      <w:r w:rsidR="001A2EC9" w:rsidRPr="003074AF">
        <w:t>p</w:t>
      </w:r>
      <w:r w:rsidRPr="003074AF">
        <w:t>ara 6.28, romosozumab PSD, July 2022 PBAC meeting).</w:t>
      </w:r>
    </w:p>
    <w:p w14:paraId="7E4E0053" w14:textId="134EC251" w:rsidR="001D743F" w:rsidRPr="003074AF" w:rsidRDefault="001D743F" w:rsidP="001D743F">
      <w:pPr>
        <w:pStyle w:val="COMexecsumnumberedpara"/>
        <w:rPr>
          <w:color w:val="0066FF"/>
        </w:rPr>
      </w:pPr>
      <w:r w:rsidRPr="003074AF">
        <w:t xml:space="preserve">The current resubmission stated that early PBS data indicate that 70% of current initiations to anabolic therapy are to romosozumab, persistence to romosozumab is higher than to any other osteoporosis therapy and approximately 95% of romosozumab patients successfully make the transition back to anti-resorptive therapy (ART). The </w:t>
      </w:r>
      <w:r w:rsidR="00D27E54" w:rsidRPr="00810C1E">
        <w:t>ESC noted that the</w:t>
      </w:r>
      <w:r w:rsidR="00D27E54">
        <w:rPr>
          <w:i/>
          <w:iCs/>
        </w:rPr>
        <w:t xml:space="preserve"> </w:t>
      </w:r>
      <w:r w:rsidRPr="003074AF">
        <w:t>resubmission did not provide any evidence to support this statement.</w:t>
      </w:r>
    </w:p>
    <w:p w14:paraId="1452C351" w14:textId="61F240FE" w:rsidR="00B60939" w:rsidRPr="00C9624D" w:rsidRDefault="00B60939" w:rsidP="00D86231">
      <w:pPr>
        <w:pStyle w:val="COMH2-non-numbered"/>
      </w:pPr>
      <w:bookmarkStart w:id="27" w:name="_Toc22897642"/>
      <w:bookmarkStart w:id="28" w:name="_Toc124858705"/>
      <w:r w:rsidRPr="00C9624D">
        <w:t>Comparative harms</w:t>
      </w:r>
      <w:bookmarkEnd w:id="27"/>
      <w:bookmarkEnd w:id="28"/>
    </w:p>
    <w:p w14:paraId="373AD523" w14:textId="77777777" w:rsidR="003775B8" w:rsidRPr="003074AF" w:rsidRDefault="003775B8" w:rsidP="003775B8">
      <w:pPr>
        <w:pStyle w:val="ExecSumBodyText"/>
        <w:numPr>
          <w:ilvl w:val="1"/>
          <w:numId w:val="4"/>
        </w:numPr>
      </w:pPr>
      <w:bookmarkStart w:id="29" w:name="_Toc22897643"/>
      <w:r w:rsidRPr="003074AF">
        <w:t>Adverse event data from the included romosozumab trials have previously been considered by the PBAC.</w:t>
      </w:r>
    </w:p>
    <w:p w14:paraId="670F708F" w14:textId="77777777" w:rsidR="003775B8" w:rsidRPr="00645CDF" w:rsidRDefault="003775B8" w:rsidP="003775B8">
      <w:pPr>
        <w:pStyle w:val="ExecSumBodyText"/>
        <w:numPr>
          <w:ilvl w:val="1"/>
          <w:numId w:val="4"/>
        </w:numPr>
      </w:pPr>
      <w:r w:rsidRPr="00645CDF">
        <w:t>There was no clear pattern in the overall incidence of adverse events between romosozumab and comparators (teriparatide, alendronate and placebo) during the initial 12-month treatment period. The incidence of adverse events over the full trial period (including primary treatment and subsequent anti-resorptive therapy) was generally similar between treatment arms.</w:t>
      </w:r>
    </w:p>
    <w:p w14:paraId="565E1DC7" w14:textId="77777777" w:rsidR="003775B8" w:rsidRDefault="003775B8" w:rsidP="003775B8">
      <w:pPr>
        <w:pStyle w:val="ExecSumBodyText"/>
        <w:numPr>
          <w:ilvl w:val="1"/>
          <w:numId w:val="4"/>
        </w:numPr>
      </w:pPr>
      <w:r w:rsidRPr="00F61A87">
        <w:t xml:space="preserve">The most frequently reported adverse events in the romosozumab trials were musculoskeletal disorders (osteoarthritis, arthralgia, back pain, musculoskeletal pain, </w:t>
      </w:r>
      <w:r w:rsidRPr="00F61A87">
        <w:lastRenderedPageBreak/>
        <w:t>pain in the extremity), infections (nasopharyngitis, upper respiratory tract infection), injury (falls), vascular disorders (hypertension), nervous system disorders (headache) and metabolism disorders (hypercalcaemia; higher incidence with teriparatide). Individual serious adverse events and adverse events leading to discontinuation were generally low in all treatment arms.</w:t>
      </w:r>
    </w:p>
    <w:p w14:paraId="73A9307C" w14:textId="6FFEA704" w:rsidR="003775B8" w:rsidRDefault="003775B8" w:rsidP="003775B8">
      <w:pPr>
        <w:pStyle w:val="ExecSumBodyText"/>
        <w:numPr>
          <w:ilvl w:val="1"/>
          <w:numId w:val="4"/>
        </w:numPr>
      </w:pPr>
      <w:r w:rsidRPr="003528AF">
        <w:t>In regard to adverse events of special interest, treatment with romosozumab was associated with an increased risk of injection site reactions and serious cardiovascular events (primarily cardiac ischaemic and cerebrovascular events).</w:t>
      </w:r>
      <w:r>
        <w:t xml:space="preserve"> </w:t>
      </w:r>
      <w:r w:rsidR="00752827">
        <w:fldChar w:fldCharType="begin" w:fldLock="1"/>
      </w:r>
      <w:r w:rsidR="00752827">
        <w:instrText xml:space="preserve"> REF _Ref121683246 \h </w:instrText>
      </w:r>
      <w:r w:rsidR="00752827">
        <w:fldChar w:fldCharType="separate"/>
      </w:r>
      <w:r w:rsidR="00605CB9">
        <w:t xml:space="preserve">Table </w:t>
      </w:r>
      <w:r w:rsidR="00605CB9">
        <w:rPr>
          <w:noProof/>
        </w:rPr>
        <w:t>7</w:t>
      </w:r>
      <w:r w:rsidR="00752827">
        <w:fldChar w:fldCharType="end"/>
      </w:r>
      <w:r>
        <w:t xml:space="preserve"> shows a summary of serious cardiovascular events reported in the ARCH trial.</w:t>
      </w:r>
    </w:p>
    <w:p w14:paraId="3CB5F30B" w14:textId="62BB0B70" w:rsidR="003775B8" w:rsidRDefault="003775B8" w:rsidP="003775B8">
      <w:pPr>
        <w:pStyle w:val="TableHeading"/>
      </w:pPr>
      <w:bookmarkStart w:id="30" w:name="_Ref121683246"/>
      <w:r>
        <w:t xml:space="preserve">Table </w:t>
      </w:r>
      <w:fldSimple w:instr=" SEQ Table \* ARABIC " w:fldLock="1">
        <w:r w:rsidR="00B20BD0">
          <w:rPr>
            <w:noProof/>
          </w:rPr>
          <w:t>7</w:t>
        </w:r>
      </w:fldSimple>
      <w:bookmarkEnd w:id="30"/>
      <w:r>
        <w:t xml:space="preserve">: </w:t>
      </w:r>
      <w:r w:rsidRPr="00C944FC">
        <w:t>Summary of serious cardiovascular events reported in the ARCH trial</w:t>
      </w:r>
    </w:p>
    <w:tbl>
      <w:tblPr>
        <w:tblStyle w:val="TableGridbeth1"/>
        <w:tblW w:w="9015" w:type="dxa"/>
        <w:tblInd w:w="9" w:type="dxa"/>
        <w:tblLook w:val="04A0" w:firstRow="1" w:lastRow="0" w:firstColumn="1" w:lastColumn="0" w:noHBand="0" w:noVBand="1"/>
      </w:tblPr>
      <w:tblGrid>
        <w:gridCol w:w="3580"/>
        <w:gridCol w:w="2717"/>
        <w:gridCol w:w="2718"/>
      </w:tblGrid>
      <w:tr w:rsidR="003775B8" w:rsidRPr="00F71E28" w14:paraId="6C253493" w14:textId="77777777" w:rsidTr="0077002B">
        <w:trPr>
          <w:tblHeader/>
        </w:trPr>
        <w:tc>
          <w:tcPr>
            <w:tcW w:w="3580" w:type="dxa"/>
            <w:vMerge w:val="restart"/>
            <w:vAlign w:val="center"/>
          </w:tcPr>
          <w:p w14:paraId="2B39B95A" w14:textId="77777777" w:rsidR="003775B8" w:rsidRPr="00F71E28" w:rsidRDefault="003775B8" w:rsidP="0077002B">
            <w:pPr>
              <w:keepNext/>
              <w:rPr>
                <w:rFonts w:ascii="Arial Narrow" w:hAnsi="Arial Narrow"/>
                <w:sz w:val="20"/>
              </w:rPr>
            </w:pPr>
          </w:p>
        </w:tc>
        <w:tc>
          <w:tcPr>
            <w:tcW w:w="5435" w:type="dxa"/>
            <w:gridSpan w:val="2"/>
            <w:vAlign w:val="center"/>
          </w:tcPr>
          <w:p w14:paraId="608868B1" w14:textId="77777777" w:rsidR="003775B8" w:rsidRPr="00F71E28" w:rsidRDefault="003775B8" w:rsidP="0077002B">
            <w:pPr>
              <w:keepNext/>
              <w:jc w:val="center"/>
              <w:rPr>
                <w:rFonts w:ascii="Arial Narrow" w:hAnsi="Arial Narrow"/>
                <w:b/>
                <w:sz w:val="20"/>
              </w:rPr>
            </w:pPr>
            <w:r>
              <w:rPr>
                <w:rFonts w:ascii="Arial Narrow" w:hAnsi="Arial Narrow"/>
                <w:b/>
                <w:sz w:val="20"/>
              </w:rPr>
              <w:t>Patients with events, n</w:t>
            </w:r>
            <w:r w:rsidRPr="00F71E28">
              <w:rPr>
                <w:rFonts w:ascii="Arial Narrow" w:hAnsi="Arial Narrow"/>
                <w:b/>
                <w:sz w:val="20"/>
              </w:rPr>
              <w:t xml:space="preserve"> (%)</w:t>
            </w:r>
          </w:p>
        </w:tc>
      </w:tr>
      <w:tr w:rsidR="003775B8" w:rsidRPr="00F71E28" w14:paraId="4639CD67" w14:textId="77777777" w:rsidTr="0077002B">
        <w:trPr>
          <w:tblHeader/>
        </w:trPr>
        <w:tc>
          <w:tcPr>
            <w:tcW w:w="3580" w:type="dxa"/>
            <w:vMerge/>
            <w:vAlign w:val="center"/>
          </w:tcPr>
          <w:p w14:paraId="6A5EE948" w14:textId="77777777" w:rsidR="003775B8" w:rsidRPr="00F71E28" w:rsidRDefault="003775B8" w:rsidP="0077002B">
            <w:pPr>
              <w:keepNext/>
              <w:rPr>
                <w:rFonts w:ascii="Arial Narrow" w:hAnsi="Arial Narrow"/>
                <w:sz w:val="20"/>
              </w:rPr>
            </w:pPr>
          </w:p>
        </w:tc>
        <w:tc>
          <w:tcPr>
            <w:tcW w:w="2717" w:type="dxa"/>
            <w:vAlign w:val="center"/>
          </w:tcPr>
          <w:p w14:paraId="56284EFD" w14:textId="77777777" w:rsidR="003775B8" w:rsidRPr="00F71E28" w:rsidRDefault="003775B8" w:rsidP="0077002B">
            <w:pPr>
              <w:keepNext/>
              <w:jc w:val="center"/>
              <w:rPr>
                <w:rFonts w:ascii="Arial Narrow" w:hAnsi="Arial Narrow"/>
                <w:b/>
                <w:sz w:val="20"/>
              </w:rPr>
            </w:pPr>
            <w:r>
              <w:rPr>
                <w:rFonts w:ascii="Arial Narrow" w:hAnsi="Arial Narrow"/>
                <w:b/>
                <w:sz w:val="20"/>
              </w:rPr>
              <w:t>Romosozumab/alendronate</w:t>
            </w:r>
          </w:p>
          <w:p w14:paraId="636B25F6" w14:textId="77777777" w:rsidR="003775B8" w:rsidRPr="00F71E28" w:rsidRDefault="003775B8" w:rsidP="0077002B">
            <w:pPr>
              <w:keepNext/>
              <w:jc w:val="center"/>
              <w:rPr>
                <w:rFonts w:ascii="Arial Narrow" w:hAnsi="Arial Narrow"/>
                <w:b/>
                <w:sz w:val="20"/>
              </w:rPr>
            </w:pPr>
            <w:r>
              <w:rPr>
                <w:rFonts w:ascii="Arial Narrow" w:hAnsi="Arial Narrow"/>
                <w:b/>
                <w:sz w:val="20"/>
              </w:rPr>
              <w:t>N=2040</w:t>
            </w:r>
          </w:p>
        </w:tc>
        <w:tc>
          <w:tcPr>
            <w:tcW w:w="2718" w:type="dxa"/>
            <w:vAlign w:val="center"/>
          </w:tcPr>
          <w:p w14:paraId="209C3758" w14:textId="77777777" w:rsidR="003775B8" w:rsidRPr="00F71E28" w:rsidRDefault="003775B8" w:rsidP="0077002B">
            <w:pPr>
              <w:keepNext/>
              <w:jc w:val="center"/>
              <w:rPr>
                <w:rFonts w:ascii="Arial Narrow" w:hAnsi="Arial Narrow"/>
                <w:b/>
                <w:sz w:val="20"/>
              </w:rPr>
            </w:pPr>
            <w:r>
              <w:rPr>
                <w:rFonts w:ascii="Arial Narrow" w:hAnsi="Arial Narrow"/>
                <w:b/>
                <w:sz w:val="20"/>
              </w:rPr>
              <w:t>Alendronate/alendronate</w:t>
            </w:r>
          </w:p>
          <w:p w14:paraId="2403F0CE" w14:textId="77777777" w:rsidR="003775B8" w:rsidRPr="00F71E28" w:rsidRDefault="003775B8" w:rsidP="0077002B">
            <w:pPr>
              <w:keepNext/>
              <w:jc w:val="center"/>
              <w:rPr>
                <w:rFonts w:ascii="Arial Narrow" w:hAnsi="Arial Narrow"/>
                <w:b/>
                <w:sz w:val="20"/>
              </w:rPr>
            </w:pPr>
            <w:r>
              <w:rPr>
                <w:rFonts w:ascii="Arial Narrow" w:hAnsi="Arial Narrow"/>
                <w:b/>
                <w:sz w:val="20"/>
              </w:rPr>
              <w:t>N=2014</w:t>
            </w:r>
          </w:p>
        </w:tc>
      </w:tr>
      <w:tr w:rsidR="003775B8" w:rsidRPr="00F71E28" w14:paraId="68086581" w14:textId="77777777" w:rsidTr="0077002B">
        <w:tc>
          <w:tcPr>
            <w:tcW w:w="9015" w:type="dxa"/>
            <w:gridSpan w:val="3"/>
            <w:vAlign w:val="center"/>
          </w:tcPr>
          <w:p w14:paraId="3289B598" w14:textId="77777777" w:rsidR="003775B8" w:rsidRDefault="003775B8" w:rsidP="0077002B">
            <w:pPr>
              <w:keepNext/>
              <w:jc w:val="left"/>
              <w:rPr>
                <w:rFonts w:ascii="Arial Narrow" w:hAnsi="Arial Narrow"/>
                <w:sz w:val="20"/>
              </w:rPr>
            </w:pPr>
            <w:r>
              <w:rPr>
                <w:rFonts w:ascii="Arial Narrow" w:hAnsi="Arial Narrow"/>
                <w:b/>
                <w:sz w:val="20"/>
              </w:rPr>
              <w:t>Initial treatment period (12 months)</w:t>
            </w:r>
          </w:p>
        </w:tc>
      </w:tr>
      <w:tr w:rsidR="003775B8" w:rsidRPr="00F71E28" w14:paraId="50E71911" w14:textId="77777777" w:rsidTr="0077002B">
        <w:tc>
          <w:tcPr>
            <w:tcW w:w="3580" w:type="dxa"/>
            <w:vAlign w:val="center"/>
          </w:tcPr>
          <w:p w14:paraId="252AE52D" w14:textId="77777777" w:rsidR="003775B8" w:rsidRPr="00F71E28" w:rsidRDefault="003775B8" w:rsidP="0077002B">
            <w:pPr>
              <w:keepNext/>
              <w:rPr>
                <w:rFonts w:ascii="Arial Narrow" w:hAnsi="Arial Narrow"/>
                <w:sz w:val="20"/>
              </w:rPr>
            </w:pPr>
            <w:r>
              <w:rPr>
                <w:rFonts w:ascii="Arial Narrow" w:hAnsi="Arial Narrow"/>
                <w:sz w:val="20"/>
              </w:rPr>
              <w:t>Any cardiovascular event</w:t>
            </w:r>
          </w:p>
        </w:tc>
        <w:tc>
          <w:tcPr>
            <w:tcW w:w="2717" w:type="dxa"/>
            <w:vAlign w:val="center"/>
          </w:tcPr>
          <w:p w14:paraId="79A6A49E" w14:textId="77777777" w:rsidR="003775B8" w:rsidRPr="00F71E28" w:rsidRDefault="003775B8" w:rsidP="0077002B">
            <w:pPr>
              <w:keepNext/>
              <w:jc w:val="center"/>
              <w:rPr>
                <w:rFonts w:ascii="Arial Narrow" w:hAnsi="Arial Narrow"/>
                <w:sz w:val="20"/>
              </w:rPr>
            </w:pPr>
            <w:r>
              <w:rPr>
                <w:rFonts w:ascii="Arial Narrow" w:hAnsi="Arial Narrow"/>
                <w:sz w:val="20"/>
              </w:rPr>
              <w:t>50 (2.5)</w:t>
            </w:r>
          </w:p>
        </w:tc>
        <w:tc>
          <w:tcPr>
            <w:tcW w:w="2718" w:type="dxa"/>
            <w:vAlign w:val="center"/>
          </w:tcPr>
          <w:p w14:paraId="09064739" w14:textId="77777777" w:rsidR="003775B8" w:rsidRPr="00F71E28" w:rsidRDefault="003775B8" w:rsidP="0077002B">
            <w:pPr>
              <w:keepNext/>
              <w:jc w:val="center"/>
              <w:rPr>
                <w:rFonts w:ascii="Arial Narrow" w:hAnsi="Arial Narrow"/>
                <w:sz w:val="20"/>
              </w:rPr>
            </w:pPr>
            <w:r>
              <w:rPr>
                <w:rFonts w:ascii="Arial Narrow" w:hAnsi="Arial Narrow"/>
                <w:sz w:val="20"/>
              </w:rPr>
              <w:t>38 (1.9)</w:t>
            </w:r>
          </w:p>
        </w:tc>
      </w:tr>
      <w:tr w:rsidR="003775B8" w14:paraId="4437114C" w14:textId="77777777" w:rsidTr="0077002B">
        <w:tc>
          <w:tcPr>
            <w:tcW w:w="3580" w:type="dxa"/>
            <w:vAlign w:val="center"/>
          </w:tcPr>
          <w:p w14:paraId="4CB98654" w14:textId="77777777" w:rsidR="003775B8" w:rsidRDefault="003775B8" w:rsidP="0077002B">
            <w:pPr>
              <w:keepNext/>
              <w:contextualSpacing/>
              <w:rPr>
                <w:rFonts w:ascii="Arial Narrow" w:hAnsi="Arial Narrow"/>
                <w:sz w:val="20"/>
              </w:rPr>
            </w:pPr>
            <w:r>
              <w:rPr>
                <w:rFonts w:ascii="Arial Narrow" w:hAnsi="Arial Narrow"/>
                <w:sz w:val="20"/>
              </w:rPr>
              <w:t>Cardiac ischaemic event</w:t>
            </w:r>
          </w:p>
        </w:tc>
        <w:tc>
          <w:tcPr>
            <w:tcW w:w="2717" w:type="dxa"/>
            <w:vAlign w:val="center"/>
          </w:tcPr>
          <w:p w14:paraId="0463269A" w14:textId="77777777" w:rsidR="003775B8" w:rsidRDefault="003775B8" w:rsidP="0077002B">
            <w:pPr>
              <w:keepNext/>
              <w:jc w:val="center"/>
              <w:rPr>
                <w:rFonts w:ascii="Arial Narrow" w:hAnsi="Arial Narrow"/>
                <w:sz w:val="20"/>
              </w:rPr>
            </w:pPr>
            <w:r>
              <w:rPr>
                <w:rFonts w:ascii="Arial Narrow" w:hAnsi="Arial Narrow"/>
                <w:sz w:val="20"/>
              </w:rPr>
              <w:t>16 (0.8)</w:t>
            </w:r>
          </w:p>
        </w:tc>
        <w:tc>
          <w:tcPr>
            <w:tcW w:w="2718" w:type="dxa"/>
            <w:vAlign w:val="center"/>
          </w:tcPr>
          <w:p w14:paraId="6ACC8C81" w14:textId="77777777" w:rsidR="003775B8" w:rsidRDefault="003775B8" w:rsidP="0077002B">
            <w:pPr>
              <w:keepNext/>
              <w:jc w:val="center"/>
              <w:rPr>
                <w:rFonts w:ascii="Arial Narrow" w:hAnsi="Arial Narrow"/>
                <w:sz w:val="20"/>
              </w:rPr>
            </w:pPr>
            <w:r>
              <w:rPr>
                <w:rFonts w:ascii="Arial Narrow" w:hAnsi="Arial Narrow"/>
                <w:sz w:val="20"/>
              </w:rPr>
              <w:t>6 (0.3)</w:t>
            </w:r>
          </w:p>
        </w:tc>
      </w:tr>
      <w:tr w:rsidR="003775B8" w:rsidRPr="00F71E28" w14:paraId="51A8D066" w14:textId="77777777" w:rsidTr="0077002B">
        <w:tc>
          <w:tcPr>
            <w:tcW w:w="3580" w:type="dxa"/>
            <w:vAlign w:val="center"/>
          </w:tcPr>
          <w:p w14:paraId="0F9F61C3" w14:textId="77777777" w:rsidR="003775B8" w:rsidRDefault="003775B8" w:rsidP="0077002B">
            <w:pPr>
              <w:keepNext/>
              <w:rPr>
                <w:rFonts w:ascii="Arial Narrow" w:hAnsi="Arial Narrow"/>
                <w:sz w:val="20"/>
              </w:rPr>
            </w:pPr>
            <w:r>
              <w:rPr>
                <w:rFonts w:ascii="Arial Narrow" w:hAnsi="Arial Narrow"/>
                <w:sz w:val="20"/>
              </w:rPr>
              <w:t>Heart failure</w:t>
            </w:r>
          </w:p>
        </w:tc>
        <w:tc>
          <w:tcPr>
            <w:tcW w:w="2717" w:type="dxa"/>
            <w:vAlign w:val="center"/>
          </w:tcPr>
          <w:p w14:paraId="70761E73" w14:textId="77777777" w:rsidR="003775B8" w:rsidRDefault="003775B8" w:rsidP="0077002B">
            <w:pPr>
              <w:keepNext/>
              <w:jc w:val="center"/>
              <w:rPr>
                <w:rFonts w:ascii="Arial Narrow" w:hAnsi="Arial Narrow"/>
                <w:sz w:val="20"/>
              </w:rPr>
            </w:pPr>
            <w:r>
              <w:rPr>
                <w:rFonts w:ascii="Arial Narrow" w:hAnsi="Arial Narrow"/>
                <w:sz w:val="20"/>
              </w:rPr>
              <w:t>4 (0.2)</w:t>
            </w:r>
          </w:p>
        </w:tc>
        <w:tc>
          <w:tcPr>
            <w:tcW w:w="2718" w:type="dxa"/>
            <w:vAlign w:val="center"/>
          </w:tcPr>
          <w:p w14:paraId="7E7B0CD9" w14:textId="77777777" w:rsidR="003775B8" w:rsidRDefault="003775B8" w:rsidP="0077002B">
            <w:pPr>
              <w:keepNext/>
              <w:jc w:val="center"/>
              <w:rPr>
                <w:rFonts w:ascii="Arial Narrow" w:hAnsi="Arial Narrow"/>
                <w:sz w:val="20"/>
              </w:rPr>
            </w:pPr>
            <w:r>
              <w:rPr>
                <w:rFonts w:ascii="Arial Narrow" w:hAnsi="Arial Narrow"/>
                <w:sz w:val="20"/>
              </w:rPr>
              <w:t>8 (0.4)</w:t>
            </w:r>
          </w:p>
        </w:tc>
      </w:tr>
      <w:tr w:rsidR="003775B8" w:rsidRPr="00F71E28" w14:paraId="7F303254" w14:textId="77777777" w:rsidTr="0077002B">
        <w:tc>
          <w:tcPr>
            <w:tcW w:w="3580" w:type="dxa"/>
            <w:vAlign w:val="center"/>
          </w:tcPr>
          <w:p w14:paraId="544FC4BA" w14:textId="77777777" w:rsidR="003775B8" w:rsidRDefault="003775B8" w:rsidP="0077002B">
            <w:pPr>
              <w:keepNext/>
              <w:rPr>
                <w:rFonts w:ascii="Arial Narrow" w:hAnsi="Arial Narrow"/>
                <w:sz w:val="20"/>
              </w:rPr>
            </w:pPr>
            <w:r>
              <w:rPr>
                <w:rFonts w:ascii="Arial Narrow" w:hAnsi="Arial Narrow"/>
                <w:sz w:val="20"/>
              </w:rPr>
              <w:t>Non-coronary revascularisation</w:t>
            </w:r>
          </w:p>
        </w:tc>
        <w:tc>
          <w:tcPr>
            <w:tcW w:w="2717" w:type="dxa"/>
            <w:vAlign w:val="center"/>
          </w:tcPr>
          <w:p w14:paraId="133AEE16" w14:textId="77777777" w:rsidR="003775B8" w:rsidRDefault="003775B8" w:rsidP="0077002B">
            <w:pPr>
              <w:keepNext/>
              <w:jc w:val="center"/>
              <w:rPr>
                <w:rFonts w:ascii="Arial Narrow" w:hAnsi="Arial Narrow"/>
                <w:sz w:val="20"/>
              </w:rPr>
            </w:pPr>
            <w:r>
              <w:rPr>
                <w:rFonts w:ascii="Arial Narrow" w:hAnsi="Arial Narrow"/>
                <w:sz w:val="20"/>
              </w:rPr>
              <w:t>3 (0.1)</w:t>
            </w:r>
          </w:p>
        </w:tc>
        <w:tc>
          <w:tcPr>
            <w:tcW w:w="2718" w:type="dxa"/>
            <w:vAlign w:val="center"/>
          </w:tcPr>
          <w:p w14:paraId="56CC85A7" w14:textId="77777777" w:rsidR="003775B8" w:rsidRDefault="003775B8" w:rsidP="0077002B">
            <w:pPr>
              <w:keepNext/>
              <w:jc w:val="center"/>
              <w:rPr>
                <w:rFonts w:ascii="Arial Narrow" w:hAnsi="Arial Narrow"/>
                <w:sz w:val="20"/>
              </w:rPr>
            </w:pPr>
            <w:r>
              <w:rPr>
                <w:rFonts w:ascii="Arial Narrow" w:hAnsi="Arial Narrow"/>
                <w:sz w:val="20"/>
              </w:rPr>
              <w:t>5 (0.2)</w:t>
            </w:r>
          </w:p>
        </w:tc>
      </w:tr>
      <w:tr w:rsidR="003775B8" w:rsidRPr="00F71E28" w14:paraId="330A92BA" w14:textId="77777777" w:rsidTr="0077002B">
        <w:tc>
          <w:tcPr>
            <w:tcW w:w="3580" w:type="dxa"/>
            <w:vAlign w:val="center"/>
          </w:tcPr>
          <w:p w14:paraId="7707B879" w14:textId="77777777" w:rsidR="003775B8" w:rsidRDefault="003775B8" w:rsidP="0077002B">
            <w:pPr>
              <w:keepNext/>
              <w:rPr>
                <w:rFonts w:ascii="Arial Narrow" w:hAnsi="Arial Narrow"/>
                <w:sz w:val="20"/>
              </w:rPr>
            </w:pPr>
            <w:r>
              <w:rPr>
                <w:rFonts w:ascii="Arial Narrow" w:hAnsi="Arial Narrow"/>
                <w:sz w:val="20"/>
              </w:rPr>
              <w:t>Cerebrovascular event</w:t>
            </w:r>
          </w:p>
        </w:tc>
        <w:tc>
          <w:tcPr>
            <w:tcW w:w="2717" w:type="dxa"/>
            <w:vAlign w:val="center"/>
          </w:tcPr>
          <w:p w14:paraId="7E3CF2D0" w14:textId="77777777" w:rsidR="003775B8" w:rsidRDefault="003775B8" w:rsidP="0077002B">
            <w:pPr>
              <w:keepNext/>
              <w:jc w:val="center"/>
              <w:rPr>
                <w:rFonts w:ascii="Arial Narrow" w:hAnsi="Arial Narrow"/>
                <w:sz w:val="20"/>
              </w:rPr>
            </w:pPr>
            <w:r>
              <w:rPr>
                <w:rFonts w:ascii="Arial Narrow" w:hAnsi="Arial Narrow"/>
                <w:sz w:val="20"/>
              </w:rPr>
              <w:t>16 (0.8)</w:t>
            </w:r>
          </w:p>
        </w:tc>
        <w:tc>
          <w:tcPr>
            <w:tcW w:w="2718" w:type="dxa"/>
            <w:vAlign w:val="center"/>
          </w:tcPr>
          <w:p w14:paraId="033C1552" w14:textId="77777777" w:rsidR="003775B8" w:rsidRDefault="003775B8" w:rsidP="0077002B">
            <w:pPr>
              <w:keepNext/>
              <w:jc w:val="center"/>
              <w:rPr>
                <w:rFonts w:ascii="Arial Narrow" w:hAnsi="Arial Narrow"/>
                <w:sz w:val="20"/>
              </w:rPr>
            </w:pPr>
            <w:r>
              <w:rPr>
                <w:rFonts w:ascii="Arial Narrow" w:hAnsi="Arial Narrow"/>
                <w:sz w:val="20"/>
              </w:rPr>
              <w:t>7 (0.3)</w:t>
            </w:r>
          </w:p>
        </w:tc>
      </w:tr>
      <w:tr w:rsidR="003775B8" w:rsidRPr="00F71E28" w14:paraId="1DDC4DD3" w14:textId="77777777" w:rsidTr="0077002B">
        <w:tc>
          <w:tcPr>
            <w:tcW w:w="3580" w:type="dxa"/>
            <w:vAlign w:val="center"/>
          </w:tcPr>
          <w:p w14:paraId="37ABBC4B" w14:textId="77777777" w:rsidR="003775B8" w:rsidRDefault="003775B8" w:rsidP="004A4DDD">
            <w:pPr>
              <w:keepNext/>
              <w:jc w:val="left"/>
              <w:rPr>
                <w:rFonts w:ascii="Arial Narrow" w:hAnsi="Arial Narrow"/>
                <w:sz w:val="20"/>
              </w:rPr>
            </w:pPr>
            <w:r>
              <w:rPr>
                <w:rFonts w:ascii="Arial Narrow" w:hAnsi="Arial Narrow"/>
                <w:sz w:val="20"/>
              </w:rPr>
              <w:t>Peripheral vascular ischaemic event not requiring revascularisation</w:t>
            </w:r>
          </w:p>
        </w:tc>
        <w:tc>
          <w:tcPr>
            <w:tcW w:w="2717" w:type="dxa"/>
            <w:vAlign w:val="center"/>
          </w:tcPr>
          <w:p w14:paraId="5263681B" w14:textId="77777777" w:rsidR="003775B8" w:rsidRDefault="003775B8" w:rsidP="0077002B">
            <w:pPr>
              <w:keepNext/>
              <w:jc w:val="center"/>
              <w:rPr>
                <w:rFonts w:ascii="Arial Narrow" w:hAnsi="Arial Narrow"/>
                <w:sz w:val="20"/>
              </w:rPr>
            </w:pPr>
            <w:r>
              <w:rPr>
                <w:rFonts w:ascii="Arial Narrow" w:hAnsi="Arial Narrow"/>
                <w:sz w:val="20"/>
              </w:rPr>
              <w:t>0 (0.0)</w:t>
            </w:r>
          </w:p>
        </w:tc>
        <w:tc>
          <w:tcPr>
            <w:tcW w:w="2718" w:type="dxa"/>
            <w:vAlign w:val="center"/>
          </w:tcPr>
          <w:p w14:paraId="4A9DAC00" w14:textId="77777777" w:rsidR="003775B8" w:rsidRDefault="003775B8" w:rsidP="0077002B">
            <w:pPr>
              <w:keepNext/>
              <w:jc w:val="center"/>
              <w:rPr>
                <w:rFonts w:ascii="Arial Narrow" w:hAnsi="Arial Narrow"/>
                <w:sz w:val="20"/>
              </w:rPr>
            </w:pPr>
            <w:r>
              <w:rPr>
                <w:rFonts w:ascii="Arial Narrow" w:hAnsi="Arial Narrow"/>
                <w:sz w:val="20"/>
              </w:rPr>
              <w:t>2 (&lt;0.1)</w:t>
            </w:r>
          </w:p>
        </w:tc>
      </w:tr>
      <w:tr w:rsidR="003775B8" w:rsidRPr="00F71E28" w14:paraId="30E5DFBE" w14:textId="77777777" w:rsidTr="0077002B">
        <w:tc>
          <w:tcPr>
            <w:tcW w:w="3580" w:type="dxa"/>
            <w:vAlign w:val="center"/>
          </w:tcPr>
          <w:p w14:paraId="27A2589E" w14:textId="77777777" w:rsidR="003775B8" w:rsidRDefault="003775B8" w:rsidP="0077002B">
            <w:pPr>
              <w:keepNext/>
              <w:rPr>
                <w:rFonts w:ascii="Arial Narrow" w:hAnsi="Arial Narrow"/>
                <w:sz w:val="20"/>
              </w:rPr>
            </w:pPr>
            <w:r>
              <w:rPr>
                <w:rFonts w:ascii="Arial Narrow" w:hAnsi="Arial Narrow"/>
                <w:sz w:val="20"/>
              </w:rPr>
              <w:t>Cardiovascular death</w:t>
            </w:r>
          </w:p>
        </w:tc>
        <w:tc>
          <w:tcPr>
            <w:tcW w:w="2717" w:type="dxa"/>
            <w:vAlign w:val="center"/>
          </w:tcPr>
          <w:p w14:paraId="1A2E6B62" w14:textId="77777777" w:rsidR="003775B8" w:rsidRDefault="003775B8" w:rsidP="0077002B">
            <w:pPr>
              <w:keepNext/>
              <w:jc w:val="center"/>
              <w:rPr>
                <w:rFonts w:ascii="Arial Narrow" w:hAnsi="Arial Narrow"/>
                <w:sz w:val="20"/>
              </w:rPr>
            </w:pPr>
            <w:r>
              <w:rPr>
                <w:rFonts w:ascii="Arial Narrow" w:hAnsi="Arial Narrow"/>
                <w:sz w:val="20"/>
              </w:rPr>
              <w:t>17 (0.8)</w:t>
            </w:r>
          </w:p>
        </w:tc>
        <w:tc>
          <w:tcPr>
            <w:tcW w:w="2718" w:type="dxa"/>
            <w:vAlign w:val="center"/>
          </w:tcPr>
          <w:p w14:paraId="01DA5B1C" w14:textId="77777777" w:rsidR="003775B8" w:rsidRDefault="003775B8" w:rsidP="0077002B">
            <w:pPr>
              <w:keepNext/>
              <w:jc w:val="center"/>
              <w:rPr>
                <w:rFonts w:ascii="Arial Narrow" w:hAnsi="Arial Narrow"/>
                <w:sz w:val="20"/>
              </w:rPr>
            </w:pPr>
            <w:r>
              <w:rPr>
                <w:rFonts w:ascii="Arial Narrow" w:hAnsi="Arial Narrow"/>
                <w:sz w:val="20"/>
              </w:rPr>
              <w:t>12 (0.6)</w:t>
            </w:r>
          </w:p>
        </w:tc>
      </w:tr>
      <w:tr w:rsidR="003775B8" w:rsidRPr="00F71E28" w14:paraId="171CE0B8" w14:textId="77777777" w:rsidTr="0077002B">
        <w:tc>
          <w:tcPr>
            <w:tcW w:w="9015" w:type="dxa"/>
            <w:gridSpan w:val="3"/>
            <w:vAlign w:val="center"/>
          </w:tcPr>
          <w:p w14:paraId="7DC55A0F" w14:textId="77777777" w:rsidR="003775B8" w:rsidRDefault="003775B8" w:rsidP="0077002B">
            <w:pPr>
              <w:keepNext/>
              <w:jc w:val="left"/>
              <w:rPr>
                <w:rFonts w:ascii="Arial Narrow" w:hAnsi="Arial Narrow"/>
                <w:sz w:val="20"/>
              </w:rPr>
            </w:pPr>
            <w:r>
              <w:rPr>
                <w:rFonts w:ascii="Arial Narrow" w:hAnsi="Arial Narrow"/>
                <w:b/>
                <w:sz w:val="20"/>
              </w:rPr>
              <w:t>Full trial period (median 33 months)</w:t>
            </w:r>
          </w:p>
        </w:tc>
      </w:tr>
      <w:tr w:rsidR="003775B8" w:rsidRPr="00F71E28" w14:paraId="7DDDF7D8" w14:textId="77777777" w:rsidTr="0077002B">
        <w:tc>
          <w:tcPr>
            <w:tcW w:w="3580" w:type="dxa"/>
            <w:vAlign w:val="center"/>
          </w:tcPr>
          <w:p w14:paraId="49E5C2A4" w14:textId="77777777" w:rsidR="003775B8" w:rsidRDefault="003775B8" w:rsidP="0077002B">
            <w:pPr>
              <w:keepNext/>
              <w:rPr>
                <w:rFonts w:ascii="Arial Narrow" w:hAnsi="Arial Narrow"/>
                <w:sz w:val="20"/>
              </w:rPr>
            </w:pPr>
            <w:r>
              <w:rPr>
                <w:rFonts w:ascii="Arial Narrow" w:hAnsi="Arial Narrow"/>
                <w:sz w:val="20"/>
              </w:rPr>
              <w:t>Any cardiovascular event</w:t>
            </w:r>
          </w:p>
        </w:tc>
        <w:tc>
          <w:tcPr>
            <w:tcW w:w="2717" w:type="dxa"/>
            <w:vAlign w:val="center"/>
          </w:tcPr>
          <w:p w14:paraId="0E68F894" w14:textId="77777777" w:rsidR="003775B8" w:rsidRDefault="003775B8" w:rsidP="0077002B">
            <w:pPr>
              <w:keepNext/>
              <w:jc w:val="center"/>
              <w:rPr>
                <w:rFonts w:ascii="Arial Narrow" w:hAnsi="Arial Narrow"/>
                <w:sz w:val="20"/>
              </w:rPr>
            </w:pPr>
            <w:r>
              <w:rPr>
                <w:rFonts w:ascii="Arial Narrow" w:hAnsi="Arial Narrow"/>
                <w:sz w:val="20"/>
              </w:rPr>
              <w:t>133 (6.5)</w:t>
            </w:r>
          </w:p>
        </w:tc>
        <w:tc>
          <w:tcPr>
            <w:tcW w:w="2718" w:type="dxa"/>
            <w:vAlign w:val="center"/>
          </w:tcPr>
          <w:p w14:paraId="6C1507ED" w14:textId="77777777" w:rsidR="003775B8" w:rsidRDefault="003775B8" w:rsidP="0077002B">
            <w:pPr>
              <w:keepNext/>
              <w:jc w:val="center"/>
              <w:rPr>
                <w:rFonts w:ascii="Arial Narrow" w:hAnsi="Arial Narrow"/>
                <w:sz w:val="20"/>
              </w:rPr>
            </w:pPr>
            <w:r>
              <w:rPr>
                <w:rFonts w:ascii="Arial Narrow" w:hAnsi="Arial Narrow"/>
                <w:sz w:val="20"/>
              </w:rPr>
              <w:t>122 (6.1)</w:t>
            </w:r>
          </w:p>
        </w:tc>
      </w:tr>
      <w:tr w:rsidR="003775B8" w:rsidRPr="00F71E28" w14:paraId="5D1E7F5C" w14:textId="77777777" w:rsidTr="0077002B">
        <w:tc>
          <w:tcPr>
            <w:tcW w:w="3580" w:type="dxa"/>
            <w:vAlign w:val="center"/>
          </w:tcPr>
          <w:p w14:paraId="477A1746" w14:textId="77777777" w:rsidR="003775B8" w:rsidRDefault="003775B8" w:rsidP="0077002B">
            <w:pPr>
              <w:keepNext/>
              <w:rPr>
                <w:rFonts w:ascii="Arial Narrow" w:hAnsi="Arial Narrow"/>
                <w:sz w:val="20"/>
              </w:rPr>
            </w:pPr>
            <w:r>
              <w:rPr>
                <w:rFonts w:ascii="Arial Narrow" w:hAnsi="Arial Narrow"/>
                <w:sz w:val="20"/>
              </w:rPr>
              <w:t>Cardiac ischaemic event</w:t>
            </w:r>
          </w:p>
        </w:tc>
        <w:tc>
          <w:tcPr>
            <w:tcW w:w="2717" w:type="dxa"/>
            <w:vAlign w:val="center"/>
          </w:tcPr>
          <w:p w14:paraId="31DBB15F" w14:textId="77777777" w:rsidR="003775B8" w:rsidRDefault="003775B8" w:rsidP="0077002B">
            <w:pPr>
              <w:keepNext/>
              <w:jc w:val="center"/>
              <w:rPr>
                <w:rFonts w:ascii="Arial Narrow" w:hAnsi="Arial Narrow"/>
                <w:sz w:val="20"/>
              </w:rPr>
            </w:pPr>
            <w:r>
              <w:rPr>
                <w:rFonts w:ascii="Arial Narrow" w:hAnsi="Arial Narrow"/>
                <w:sz w:val="20"/>
              </w:rPr>
              <w:t>30 (1.5)</w:t>
            </w:r>
          </w:p>
        </w:tc>
        <w:tc>
          <w:tcPr>
            <w:tcW w:w="2718" w:type="dxa"/>
            <w:vAlign w:val="center"/>
          </w:tcPr>
          <w:p w14:paraId="5430544A" w14:textId="77777777" w:rsidR="003775B8" w:rsidRDefault="003775B8" w:rsidP="0077002B">
            <w:pPr>
              <w:keepNext/>
              <w:jc w:val="center"/>
              <w:rPr>
                <w:rFonts w:ascii="Arial Narrow" w:hAnsi="Arial Narrow"/>
                <w:sz w:val="20"/>
              </w:rPr>
            </w:pPr>
            <w:r>
              <w:rPr>
                <w:rFonts w:ascii="Arial Narrow" w:hAnsi="Arial Narrow"/>
                <w:sz w:val="20"/>
              </w:rPr>
              <w:t>20 (1.0)</w:t>
            </w:r>
          </w:p>
        </w:tc>
      </w:tr>
      <w:tr w:rsidR="003775B8" w:rsidRPr="00F71E28" w14:paraId="60025F00" w14:textId="77777777" w:rsidTr="0077002B">
        <w:tc>
          <w:tcPr>
            <w:tcW w:w="3580" w:type="dxa"/>
            <w:vAlign w:val="center"/>
          </w:tcPr>
          <w:p w14:paraId="7608DC83" w14:textId="77777777" w:rsidR="003775B8" w:rsidRDefault="003775B8" w:rsidP="0077002B">
            <w:pPr>
              <w:keepNext/>
              <w:rPr>
                <w:rFonts w:ascii="Arial Narrow" w:hAnsi="Arial Narrow"/>
                <w:sz w:val="20"/>
              </w:rPr>
            </w:pPr>
            <w:r>
              <w:rPr>
                <w:rFonts w:ascii="Arial Narrow" w:hAnsi="Arial Narrow"/>
                <w:sz w:val="20"/>
              </w:rPr>
              <w:t>Heart failure</w:t>
            </w:r>
          </w:p>
        </w:tc>
        <w:tc>
          <w:tcPr>
            <w:tcW w:w="2717" w:type="dxa"/>
            <w:vAlign w:val="center"/>
          </w:tcPr>
          <w:p w14:paraId="4D00839A" w14:textId="77777777" w:rsidR="003775B8" w:rsidRDefault="003775B8" w:rsidP="0077002B">
            <w:pPr>
              <w:keepNext/>
              <w:jc w:val="center"/>
              <w:rPr>
                <w:rFonts w:ascii="Arial Narrow" w:hAnsi="Arial Narrow"/>
                <w:sz w:val="20"/>
              </w:rPr>
            </w:pPr>
            <w:r>
              <w:rPr>
                <w:rFonts w:ascii="Arial Narrow" w:hAnsi="Arial Narrow"/>
                <w:sz w:val="20"/>
              </w:rPr>
              <w:t>12 (0.6)</w:t>
            </w:r>
          </w:p>
        </w:tc>
        <w:tc>
          <w:tcPr>
            <w:tcW w:w="2718" w:type="dxa"/>
            <w:vAlign w:val="center"/>
          </w:tcPr>
          <w:p w14:paraId="27C58815" w14:textId="77777777" w:rsidR="003775B8" w:rsidRDefault="003775B8" w:rsidP="0077002B">
            <w:pPr>
              <w:keepNext/>
              <w:jc w:val="center"/>
              <w:rPr>
                <w:rFonts w:ascii="Arial Narrow" w:hAnsi="Arial Narrow"/>
                <w:sz w:val="20"/>
              </w:rPr>
            </w:pPr>
            <w:r>
              <w:rPr>
                <w:rFonts w:ascii="Arial Narrow" w:hAnsi="Arial Narrow"/>
                <w:sz w:val="20"/>
              </w:rPr>
              <w:t>23 (1.1)</w:t>
            </w:r>
          </w:p>
        </w:tc>
      </w:tr>
      <w:tr w:rsidR="003775B8" w:rsidRPr="00F71E28" w14:paraId="77ECFEF8" w14:textId="77777777" w:rsidTr="0077002B">
        <w:tc>
          <w:tcPr>
            <w:tcW w:w="3580" w:type="dxa"/>
            <w:vAlign w:val="center"/>
          </w:tcPr>
          <w:p w14:paraId="560366E1" w14:textId="77777777" w:rsidR="003775B8" w:rsidRDefault="003775B8" w:rsidP="0077002B">
            <w:pPr>
              <w:keepNext/>
              <w:rPr>
                <w:rFonts w:ascii="Arial Narrow" w:hAnsi="Arial Narrow"/>
                <w:sz w:val="20"/>
              </w:rPr>
            </w:pPr>
            <w:r>
              <w:rPr>
                <w:rFonts w:ascii="Arial Narrow" w:hAnsi="Arial Narrow"/>
                <w:sz w:val="20"/>
              </w:rPr>
              <w:t>Non-coronary revascularisation</w:t>
            </w:r>
          </w:p>
        </w:tc>
        <w:tc>
          <w:tcPr>
            <w:tcW w:w="2717" w:type="dxa"/>
            <w:vAlign w:val="center"/>
          </w:tcPr>
          <w:p w14:paraId="5B8EA472" w14:textId="77777777" w:rsidR="003775B8" w:rsidRDefault="003775B8" w:rsidP="0077002B">
            <w:pPr>
              <w:keepNext/>
              <w:jc w:val="center"/>
              <w:rPr>
                <w:rFonts w:ascii="Arial Narrow" w:hAnsi="Arial Narrow"/>
                <w:sz w:val="20"/>
              </w:rPr>
            </w:pPr>
            <w:r>
              <w:rPr>
                <w:rFonts w:ascii="Arial Narrow" w:hAnsi="Arial Narrow"/>
                <w:sz w:val="20"/>
              </w:rPr>
              <w:t>6 (0.3)</w:t>
            </w:r>
          </w:p>
        </w:tc>
        <w:tc>
          <w:tcPr>
            <w:tcW w:w="2718" w:type="dxa"/>
            <w:vAlign w:val="center"/>
          </w:tcPr>
          <w:p w14:paraId="0A479A09" w14:textId="77777777" w:rsidR="003775B8" w:rsidRDefault="003775B8" w:rsidP="0077002B">
            <w:pPr>
              <w:keepNext/>
              <w:jc w:val="center"/>
              <w:rPr>
                <w:rFonts w:ascii="Arial Narrow" w:hAnsi="Arial Narrow"/>
                <w:sz w:val="20"/>
              </w:rPr>
            </w:pPr>
            <w:r>
              <w:rPr>
                <w:rFonts w:ascii="Arial Narrow" w:hAnsi="Arial Narrow"/>
                <w:sz w:val="20"/>
              </w:rPr>
              <w:t>10 (0.5)</w:t>
            </w:r>
          </w:p>
        </w:tc>
      </w:tr>
      <w:tr w:rsidR="003775B8" w:rsidRPr="00F71E28" w14:paraId="04D811A2" w14:textId="77777777" w:rsidTr="0077002B">
        <w:tc>
          <w:tcPr>
            <w:tcW w:w="3580" w:type="dxa"/>
            <w:vAlign w:val="center"/>
          </w:tcPr>
          <w:p w14:paraId="59FE56AB" w14:textId="77777777" w:rsidR="003775B8" w:rsidRDefault="003775B8" w:rsidP="0077002B">
            <w:pPr>
              <w:keepNext/>
              <w:rPr>
                <w:rFonts w:ascii="Arial Narrow" w:hAnsi="Arial Narrow"/>
                <w:sz w:val="20"/>
              </w:rPr>
            </w:pPr>
            <w:r>
              <w:rPr>
                <w:rFonts w:ascii="Arial Narrow" w:hAnsi="Arial Narrow"/>
                <w:sz w:val="20"/>
              </w:rPr>
              <w:t>Cerebrovascular event</w:t>
            </w:r>
          </w:p>
        </w:tc>
        <w:tc>
          <w:tcPr>
            <w:tcW w:w="2717" w:type="dxa"/>
            <w:vAlign w:val="center"/>
          </w:tcPr>
          <w:p w14:paraId="0D4FD197" w14:textId="77777777" w:rsidR="003775B8" w:rsidRDefault="003775B8" w:rsidP="0077002B">
            <w:pPr>
              <w:keepNext/>
              <w:jc w:val="center"/>
              <w:rPr>
                <w:rFonts w:ascii="Arial Narrow" w:hAnsi="Arial Narrow"/>
                <w:sz w:val="20"/>
              </w:rPr>
            </w:pPr>
            <w:r>
              <w:rPr>
                <w:rFonts w:ascii="Arial Narrow" w:hAnsi="Arial Narrow"/>
                <w:sz w:val="20"/>
              </w:rPr>
              <w:t>45 (2.2)</w:t>
            </w:r>
          </w:p>
        </w:tc>
        <w:tc>
          <w:tcPr>
            <w:tcW w:w="2718" w:type="dxa"/>
            <w:vAlign w:val="center"/>
          </w:tcPr>
          <w:p w14:paraId="4A283DCF" w14:textId="77777777" w:rsidR="003775B8" w:rsidRDefault="003775B8" w:rsidP="0077002B">
            <w:pPr>
              <w:keepNext/>
              <w:jc w:val="center"/>
              <w:rPr>
                <w:rFonts w:ascii="Arial Narrow" w:hAnsi="Arial Narrow"/>
                <w:sz w:val="20"/>
              </w:rPr>
            </w:pPr>
            <w:r>
              <w:rPr>
                <w:rFonts w:ascii="Arial Narrow" w:hAnsi="Arial Narrow"/>
                <w:sz w:val="20"/>
              </w:rPr>
              <w:t>27 (1.3)</w:t>
            </w:r>
          </w:p>
        </w:tc>
      </w:tr>
      <w:tr w:rsidR="003775B8" w:rsidRPr="00F71E28" w14:paraId="469D740A" w14:textId="77777777" w:rsidTr="0077002B">
        <w:tc>
          <w:tcPr>
            <w:tcW w:w="3580" w:type="dxa"/>
            <w:vAlign w:val="center"/>
          </w:tcPr>
          <w:p w14:paraId="702928C0" w14:textId="77777777" w:rsidR="003775B8" w:rsidRDefault="003775B8" w:rsidP="004A4DDD">
            <w:pPr>
              <w:keepNext/>
              <w:jc w:val="left"/>
              <w:rPr>
                <w:rFonts w:ascii="Arial Narrow" w:hAnsi="Arial Narrow"/>
                <w:sz w:val="20"/>
              </w:rPr>
            </w:pPr>
            <w:r>
              <w:rPr>
                <w:rFonts w:ascii="Arial Narrow" w:hAnsi="Arial Narrow"/>
                <w:sz w:val="20"/>
              </w:rPr>
              <w:t>Peripheral vascular ischaemic event not requiring revascularisation</w:t>
            </w:r>
          </w:p>
        </w:tc>
        <w:tc>
          <w:tcPr>
            <w:tcW w:w="2717" w:type="dxa"/>
            <w:vAlign w:val="center"/>
          </w:tcPr>
          <w:p w14:paraId="760D30BA" w14:textId="77777777" w:rsidR="003775B8" w:rsidRDefault="003775B8" w:rsidP="0077002B">
            <w:pPr>
              <w:keepNext/>
              <w:jc w:val="center"/>
              <w:rPr>
                <w:rFonts w:ascii="Arial Narrow" w:hAnsi="Arial Narrow"/>
                <w:sz w:val="20"/>
              </w:rPr>
            </w:pPr>
            <w:r>
              <w:rPr>
                <w:rFonts w:ascii="Arial Narrow" w:hAnsi="Arial Narrow"/>
                <w:sz w:val="20"/>
              </w:rPr>
              <w:t>2 (&lt;0.1)</w:t>
            </w:r>
          </w:p>
        </w:tc>
        <w:tc>
          <w:tcPr>
            <w:tcW w:w="2718" w:type="dxa"/>
            <w:vAlign w:val="center"/>
          </w:tcPr>
          <w:p w14:paraId="73134DD2" w14:textId="77777777" w:rsidR="003775B8" w:rsidRDefault="003775B8" w:rsidP="0077002B">
            <w:pPr>
              <w:keepNext/>
              <w:jc w:val="center"/>
              <w:rPr>
                <w:rFonts w:ascii="Arial Narrow" w:hAnsi="Arial Narrow"/>
                <w:sz w:val="20"/>
              </w:rPr>
            </w:pPr>
            <w:r>
              <w:rPr>
                <w:rFonts w:ascii="Arial Narrow" w:hAnsi="Arial Narrow"/>
                <w:sz w:val="20"/>
              </w:rPr>
              <w:t>5 (0.2)</w:t>
            </w:r>
          </w:p>
        </w:tc>
      </w:tr>
      <w:tr w:rsidR="003775B8" w:rsidRPr="00F71E28" w14:paraId="42F09350" w14:textId="77777777" w:rsidTr="0077002B">
        <w:tc>
          <w:tcPr>
            <w:tcW w:w="3580" w:type="dxa"/>
            <w:vAlign w:val="center"/>
          </w:tcPr>
          <w:p w14:paraId="21797C20" w14:textId="77777777" w:rsidR="003775B8" w:rsidRDefault="003775B8" w:rsidP="0077002B">
            <w:pPr>
              <w:keepNext/>
              <w:rPr>
                <w:rFonts w:ascii="Arial Narrow" w:hAnsi="Arial Narrow"/>
                <w:sz w:val="20"/>
              </w:rPr>
            </w:pPr>
            <w:r>
              <w:rPr>
                <w:rFonts w:ascii="Arial Narrow" w:hAnsi="Arial Narrow"/>
                <w:sz w:val="20"/>
              </w:rPr>
              <w:t>Cardiovascular death</w:t>
            </w:r>
          </w:p>
        </w:tc>
        <w:tc>
          <w:tcPr>
            <w:tcW w:w="2717" w:type="dxa"/>
            <w:vAlign w:val="center"/>
          </w:tcPr>
          <w:p w14:paraId="4C9B9EF5" w14:textId="77777777" w:rsidR="003775B8" w:rsidRDefault="003775B8" w:rsidP="0077002B">
            <w:pPr>
              <w:keepNext/>
              <w:jc w:val="center"/>
              <w:rPr>
                <w:rFonts w:ascii="Arial Narrow" w:hAnsi="Arial Narrow"/>
                <w:sz w:val="20"/>
              </w:rPr>
            </w:pPr>
            <w:r>
              <w:rPr>
                <w:rFonts w:ascii="Arial Narrow" w:hAnsi="Arial Narrow"/>
                <w:sz w:val="20"/>
              </w:rPr>
              <w:t>58 (2.8)</w:t>
            </w:r>
          </w:p>
        </w:tc>
        <w:tc>
          <w:tcPr>
            <w:tcW w:w="2718" w:type="dxa"/>
            <w:vAlign w:val="center"/>
          </w:tcPr>
          <w:p w14:paraId="092DF3D9" w14:textId="77777777" w:rsidR="003775B8" w:rsidRDefault="003775B8" w:rsidP="0077002B">
            <w:pPr>
              <w:keepNext/>
              <w:jc w:val="center"/>
              <w:rPr>
                <w:rFonts w:ascii="Arial Narrow" w:hAnsi="Arial Narrow"/>
                <w:sz w:val="20"/>
              </w:rPr>
            </w:pPr>
            <w:r>
              <w:rPr>
                <w:rFonts w:ascii="Arial Narrow" w:hAnsi="Arial Narrow"/>
                <w:sz w:val="20"/>
              </w:rPr>
              <w:t>55 (2.7)</w:t>
            </w:r>
          </w:p>
        </w:tc>
      </w:tr>
    </w:tbl>
    <w:p w14:paraId="225048D8" w14:textId="77777777" w:rsidR="003775B8" w:rsidRDefault="003775B8" w:rsidP="003775B8">
      <w:pPr>
        <w:pStyle w:val="TableFooter"/>
        <w:widowControl/>
      </w:pPr>
      <w:r>
        <w:t xml:space="preserve">Source: </w:t>
      </w:r>
      <w:r>
        <w:rPr>
          <w:szCs w:val="18"/>
        </w:rPr>
        <w:t>Table 12-12, p193 of the ARCH trial report</w:t>
      </w:r>
    </w:p>
    <w:p w14:paraId="7D0745B4" w14:textId="77777777" w:rsidR="003775B8" w:rsidRPr="003074AF" w:rsidRDefault="003775B8" w:rsidP="003775B8">
      <w:pPr>
        <w:pStyle w:val="ExecSumBodyText"/>
        <w:numPr>
          <w:ilvl w:val="1"/>
          <w:numId w:val="4"/>
        </w:numPr>
      </w:pPr>
      <w:r w:rsidRPr="0089254E">
        <w:t xml:space="preserve">The resubmission also provided an overall summary from a sponsor-conducted report on the cardiovascular safety of romosozumab. The report aimed to further investigate the imbalance in serious cardiovascular events observed in the ARCH and BRIDGE clinical trials but not in the FRAME trial. </w:t>
      </w:r>
      <w:r w:rsidRPr="003074AF">
        <w:t xml:space="preserve">This report had been considered by the PBAC in previous submissions. </w:t>
      </w:r>
    </w:p>
    <w:p w14:paraId="1B0A1649" w14:textId="77777777" w:rsidR="003775B8" w:rsidRPr="008F630F" w:rsidRDefault="003775B8" w:rsidP="003775B8">
      <w:pPr>
        <w:pStyle w:val="ExecSumBodyText"/>
        <w:numPr>
          <w:ilvl w:val="1"/>
          <w:numId w:val="4"/>
        </w:numPr>
      </w:pPr>
      <w:r w:rsidRPr="008F630F">
        <w:t xml:space="preserve">The report noted that a blinded re-adjudication of cardiovascular events was consistent with the original analysis reported in the ARCH, BRIDGE and FRAME trials.  The report presented extensive re-analysis of cardiovascular event data (including meta-analyses, subgroup analyses and use of different composite outcomes) which did not identify a population at consistently increased risk with romosozumab treatment. However, the report did note that the incidence of cardiovascular events in the alendronate arm of the ARCH trial was unexpectedly low in the first year and that the relative difference between treatments reduced over time. </w:t>
      </w:r>
      <w:r>
        <w:t>T</w:t>
      </w:r>
      <w:r w:rsidRPr="008F630F">
        <w:t xml:space="preserve">he report also explored plausible biological mechanisms for the increase in cardiovascular events but </w:t>
      </w:r>
      <w:r w:rsidRPr="008F630F">
        <w:lastRenderedPageBreak/>
        <w:t>stated that no specific mechanism could be identified based on genetic studies, pre-clinical models or epidemiological data. The report concluded that a causal relationship between romosozumab and serious cardiovascular events could not be confirmed or refuted based on the available data.</w:t>
      </w:r>
    </w:p>
    <w:p w14:paraId="6D05A6CA" w14:textId="06DB2A41" w:rsidR="003775B8" w:rsidRPr="00441396" w:rsidRDefault="003775B8" w:rsidP="003775B8">
      <w:pPr>
        <w:pStyle w:val="ExecSumBodyText"/>
        <w:numPr>
          <w:ilvl w:val="1"/>
          <w:numId w:val="4"/>
        </w:numPr>
      </w:pPr>
      <w:r w:rsidRPr="008F630F">
        <w:t>The resubmission also provided five Periodic Safety Update Reports (PSURs) published from 2019 with the most recent report capturing the 8 January 202</w:t>
      </w:r>
      <w:r w:rsidR="003B75DE">
        <w:t>2</w:t>
      </w:r>
      <w:r w:rsidRPr="008F630F">
        <w:t xml:space="preserve"> to 7 July 202</w:t>
      </w:r>
      <w:r w:rsidR="003B75DE">
        <w:t>2</w:t>
      </w:r>
      <w:r w:rsidRPr="008F630F">
        <w:t xml:space="preserve"> period. </w:t>
      </w:r>
      <w:r w:rsidRPr="003074AF">
        <w:t>The</w:t>
      </w:r>
      <w:r w:rsidR="003B75DE" w:rsidRPr="003074AF">
        <w:t xml:space="preserve"> two most recent PSURs</w:t>
      </w:r>
      <w:r w:rsidRPr="003074AF">
        <w:t xml:space="preserve"> ha</w:t>
      </w:r>
      <w:r w:rsidR="003B75DE" w:rsidRPr="003074AF">
        <w:t>ve</w:t>
      </w:r>
      <w:r w:rsidRPr="003074AF">
        <w:t xml:space="preserve"> not previously been considered by the PBAC.</w:t>
      </w:r>
    </w:p>
    <w:p w14:paraId="0CDC7D09" w14:textId="28E04191" w:rsidR="003775B8" w:rsidRDefault="003775B8" w:rsidP="003775B8">
      <w:pPr>
        <w:pStyle w:val="ExecSumBodyText"/>
        <w:numPr>
          <w:ilvl w:val="1"/>
          <w:numId w:val="4"/>
        </w:numPr>
      </w:pPr>
      <w:r w:rsidRPr="00441396">
        <w:t>Important identified risks were hypersensitivity, hypocalcaemia and immunogenicity (i.e. development of antibodies to romosozumab). Important potential risks were osteonecrosis of the jaw, atypical femoral fracture, serious cardiovascular events of myocardial infarction and stroke, hyperostosis, foetal risk and serious infections. Missing information included osteoporosis rebound effects and safety in patients with renal impairment</w:t>
      </w:r>
      <w:r w:rsidRPr="00810C1E">
        <w:t xml:space="preserve">. </w:t>
      </w:r>
      <w:r w:rsidR="00D27E54" w:rsidRPr="00810C1E">
        <w:t>The ESC noted that</w:t>
      </w:r>
      <w:r w:rsidR="00D27E54">
        <w:rPr>
          <w:i/>
          <w:iCs/>
        </w:rPr>
        <w:t xml:space="preserve"> </w:t>
      </w:r>
      <w:r w:rsidR="00D27E54">
        <w:t>n</w:t>
      </w:r>
      <w:r w:rsidRPr="00441396">
        <w:t>o new safety signals were identified during the most recent reporting interval.</w:t>
      </w:r>
    </w:p>
    <w:p w14:paraId="4E32BE18" w14:textId="0A18E661" w:rsidR="003B75DE" w:rsidRPr="003074AF" w:rsidRDefault="003B75DE" w:rsidP="003775B8">
      <w:pPr>
        <w:pStyle w:val="COMexecsumnumberedpara"/>
      </w:pPr>
      <w:r w:rsidRPr="00150A0C">
        <w:t>The resubmission noted that there has been a decrease in the rate of reporting of post-marketing cases of serious cardiovascular events since PSUR 5.</w:t>
      </w:r>
      <w:r>
        <w:t xml:space="preserve"> </w:t>
      </w:r>
      <w:r w:rsidRPr="003074AF">
        <w:t>A decrease in the rate of reporting of events does not indicate a reduction in potential risk, and may reflect increased awareness of potential risks and more selective prescribing to patients with cardiovascular risk factors.</w:t>
      </w:r>
    </w:p>
    <w:p w14:paraId="3B127B0A" w14:textId="377C607B" w:rsidR="003775B8" w:rsidRPr="003074AF" w:rsidRDefault="003775B8" w:rsidP="003775B8">
      <w:pPr>
        <w:pStyle w:val="COMexecsumnumberedpara"/>
      </w:pPr>
      <w:r w:rsidRPr="00441396">
        <w:t>For each PSUR, the sponsor conducts a review of published literature for cardiovascular safety information pertaining to romosozumab.</w:t>
      </w:r>
      <w:r w:rsidR="00F00A36">
        <w:t xml:space="preserve"> Since the July 2022 resubmission, there has been one additional publication included in the review (De Mare et al 2022, on the role of sclerostin in vascular calcification based on mouse models) but it had no impact on the risk-benefit profile of romosozumab. </w:t>
      </w:r>
      <w:r>
        <w:t xml:space="preserve"> </w:t>
      </w:r>
      <w:r w:rsidRPr="00441396">
        <w:t>Overall, the resubmission claimed the cardiovascular safety review did not provide any new safety information. The resubmission stated that the risk-benefit profile of romosozumab remains positive and the current label language adequately informs both patients and physicians of the potential risks associated with romosozumab use and provides risk minimisation measures for patient management.</w:t>
      </w:r>
      <w:r w:rsidR="00F00A36" w:rsidRPr="00F00A36">
        <w:rPr>
          <w:i/>
          <w:iCs/>
        </w:rPr>
        <w:t xml:space="preserve"> </w:t>
      </w:r>
      <w:r w:rsidR="00F00A36" w:rsidRPr="003074AF">
        <w:t>The new data presented in the resubmission does not refute the potential risk of cardiovascular events.</w:t>
      </w:r>
    </w:p>
    <w:p w14:paraId="04908C7F" w14:textId="36D59719" w:rsidR="007F1017" w:rsidRPr="00C9624D" w:rsidRDefault="007F1017" w:rsidP="003775B8">
      <w:pPr>
        <w:pStyle w:val="COMH2-non-numbered"/>
      </w:pPr>
      <w:bookmarkStart w:id="31" w:name="_Toc124858706"/>
      <w:r w:rsidRPr="00C9624D">
        <w:t>Benefits/harms</w:t>
      </w:r>
      <w:bookmarkEnd w:id="29"/>
      <w:bookmarkEnd w:id="31"/>
    </w:p>
    <w:p w14:paraId="12330C91" w14:textId="77777777" w:rsidR="00942C86" w:rsidRDefault="00942C86" w:rsidP="00942C86">
      <w:pPr>
        <w:pStyle w:val="ExecSumBodyText"/>
        <w:numPr>
          <w:ilvl w:val="1"/>
          <w:numId w:val="4"/>
        </w:numPr>
        <w:spacing w:after="0"/>
      </w:pPr>
      <w:r>
        <w:t>On the basis of direct evidence presented in the resubmission (ARCH trial), for every 1000 patients treated with romosozumab in comparison to alendronate over one year (primary treatment):</w:t>
      </w:r>
    </w:p>
    <w:p w14:paraId="4B75CB46" w14:textId="77777777" w:rsidR="00942C86" w:rsidRDefault="00942C86" w:rsidP="00817158">
      <w:pPr>
        <w:pStyle w:val="ExecSumBodyText"/>
        <w:numPr>
          <w:ilvl w:val="0"/>
          <w:numId w:val="8"/>
        </w:numPr>
        <w:spacing w:after="0"/>
      </w:pPr>
      <w:r>
        <w:t>Approximately 15 fewer patients would have a clinical fracture;</w:t>
      </w:r>
    </w:p>
    <w:p w14:paraId="010429E7" w14:textId="77777777" w:rsidR="00942C86" w:rsidRDefault="00942C86" w:rsidP="00817158">
      <w:pPr>
        <w:pStyle w:val="ExecSumBodyText"/>
        <w:numPr>
          <w:ilvl w:val="0"/>
          <w:numId w:val="8"/>
        </w:numPr>
      </w:pPr>
      <w:r>
        <w:t>Approximately 6 additional patients would have a serious cardiovascular event.</w:t>
      </w:r>
    </w:p>
    <w:p w14:paraId="17C844DC" w14:textId="77777777" w:rsidR="00942C86" w:rsidRDefault="00942C86" w:rsidP="00942C86">
      <w:pPr>
        <w:pStyle w:val="ExecSumBodyText"/>
        <w:numPr>
          <w:ilvl w:val="1"/>
          <w:numId w:val="4"/>
        </w:numPr>
        <w:spacing w:after="0"/>
      </w:pPr>
      <w:r>
        <w:t>On the basis of direct evidence presented in the resubmission (ARCH trial), for every 1000 patients treated with romosozumab followed by alendronate in comparison to alendronate alone over a median of 33 months (primary and subsequent treatment):</w:t>
      </w:r>
    </w:p>
    <w:p w14:paraId="79065967" w14:textId="77777777" w:rsidR="00942C86" w:rsidRDefault="00942C86" w:rsidP="00817158">
      <w:pPr>
        <w:pStyle w:val="ExecSumBodyText"/>
        <w:numPr>
          <w:ilvl w:val="0"/>
          <w:numId w:val="9"/>
        </w:numPr>
        <w:spacing w:after="0"/>
      </w:pPr>
      <w:r>
        <w:t>Approximately 33 fewer patients would have a clinical fracture;</w:t>
      </w:r>
    </w:p>
    <w:p w14:paraId="3B653B96" w14:textId="03A0B394" w:rsidR="00FC1884" w:rsidRPr="003270E4" w:rsidRDefault="00942C86" w:rsidP="00817158">
      <w:pPr>
        <w:pStyle w:val="ExecSumBodyText"/>
        <w:numPr>
          <w:ilvl w:val="0"/>
          <w:numId w:val="9"/>
        </w:numPr>
        <w:spacing w:after="0"/>
      </w:pPr>
      <w:r>
        <w:lastRenderedPageBreak/>
        <w:t>Approximately 4 additional patients would have a serious cardiovascular event.</w:t>
      </w:r>
      <w:r w:rsidR="003270E4" w:rsidRPr="004E4944">
        <w:t> </w:t>
      </w:r>
    </w:p>
    <w:p w14:paraId="7A1772B6" w14:textId="21023AE6" w:rsidR="00B60939" w:rsidRPr="00C9624D" w:rsidRDefault="00B60939" w:rsidP="00E9094A">
      <w:pPr>
        <w:pStyle w:val="COMH2-non-numbered"/>
      </w:pPr>
      <w:bookmarkStart w:id="32" w:name="_Toc22897644"/>
      <w:bookmarkStart w:id="33" w:name="_Toc124858707"/>
      <w:r w:rsidRPr="002031DF">
        <w:t>Clinical claim</w:t>
      </w:r>
      <w:bookmarkEnd w:id="32"/>
      <w:bookmarkEnd w:id="33"/>
    </w:p>
    <w:p w14:paraId="48AC601A" w14:textId="597FCFA5" w:rsidR="003E139C" w:rsidRPr="003074AF" w:rsidRDefault="003E139C" w:rsidP="003E139C">
      <w:pPr>
        <w:pStyle w:val="ExecSumBodyText"/>
        <w:numPr>
          <w:ilvl w:val="1"/>
          <w:numId w:val="4"/>
        </w:numPr>
      </w:pPr>
      <w:r w:rsidRPr="003074AF">
        <w:t>There were no major changes to the clinical evidence provided in the resubmission compared to previous submissions (November 2018, July 2019</w:t>
      </w:r>
      <w:r w:rsidR="00F00A36" w:rsidRPr="003074AF">
        <w:t>,</w:t>
      </w:r>
      <w:r w:rsidRPr="003074AF">
        <w:t xml:space="preserve"> March 2020</w:t>
      </w:r>
      <w:r w:rsidR="00F00A36" w:rsidRPr="003074AF">
        <w:t>, and July 2022</w:t>
      </w:r>
      <w:r w:rsidRPr="003074AF">
        <w:t>).</w:t>
      </w:r>
    </w:p>
    <w:p w14:paraId="17EFB3F8" w14:textId="77777777" w:rsidR="003E139C" w:rsidRPr="003074AF" w:rsidRDefault="003E139C" w:rsidP="003E139C">
      <w:pPr>
        <w:pStyle w:val="ExecSumBodyText"/>
        <w:numPr>
          <w:ilvl w:val="1"/>
          <w:numId w:val="4"/>
        </w:numPr>
        <w:rPr>
          <w:rFonts w:eastAsia="Calibri"/>
        </w:rPr>
      </w:pPr>
      <w:r w:rsidRPr="003074AF">
        <w:rPr>
          <w:rFonts w:eastAsia="Calibri"/>
        </w:rPr>
        <w:t>The resubmission described romosozumab as superior in terms of efficacy and inferior in terms of safety compared to alendronate due to the potential for increased risk of cardiovascular events with romosozumab.</w:t>
      </w:r>
    </w:p>
    <w:p w14:paraId="61D7E17F" w14:textId="4E405C62" w:rsidR="003E139C" w:rsidRPr="00810C1E" w:rsidRDefault="00F00A36" w:rsidP="003E139C">
      <w:pPr>
        <w:pStyle w:val="ExecSumBodyText"/>
        <w:numPr>
          <w:ilvl w:val="1"/>
          <w:numId w:val="4"/>
        </w:numPr>
        <w:rPr>
          <w:rFonts w:eastAsia="Calibri"/>
        </w:rPr>
      </w:pPr>
      <w:r w:rsidRPr="003074AF">
        <w:t xml:space="preserve">The PBAC previously considered that fracture outcomes data from the ARCH trial supported a claim of superior efficacy of romosozumab followed by alendronate compared to alendronate alone in treatment naïve patients, however the magnitude of benefit was likely overestimated compared to the clinical effectiveness in the Australian treatment setting due to prior use of, poor transition to and lower persistence with anti-resorptive therapy post romosozumab. The PBAC </w:t>
      </w:r>
      <w:r w:rsidR="004E4944">
        <w:t xml:space="preserve">previously </w:t>
      </w:r>
      <w:r w:rsidRPr="003074AF">
        <w:t>considered the comparative effectiveness for the additional second-line subpopulations was uncertain due to data limitations (para 7.1, romosozumab PSD, July 2022 PBAC meeting).</w:t>
      </w:r>
      <w:r w:rsidR="00E43326">
        <w:t xml:space="preserve"> </w:t>
      </w:r>
      <w:r w:rsidR="00E43326" w:rsidRPr="00810C1E">
        <w:t xml:space="preserve">The ESC advised that with no new clinical effectiveness data the above issues raised by the PBAC in July 2022 remained unchanged. </w:t>
      </w:r>
    </w:p>
    <w:p w14:paraId="31F2AC04" w14:textId="77F4A71B" w:rsidR="003E139C" w:rsidRPr="00810C1E" w:rsidRDefault="00F00A36" w:rsidP="003E139C">
      <w:pPr>
        <w:pStyle w:val="ExecSumBodyText"/>
        <w:numPr>
          <w:ilvl w:val="1"/>
          <w:numId w:val="4"/>
        </w:numPr>
        <w:rPr>
          <w:rFonts w:eastAsia="Calibri"/>
        </w:rPr>
      </w:pPr>
      <w:r w:rsidRPr="003074AF">
        <w:t>The PBAC previously considered the claim of inferior comparative safety was reasonable (para 6.49, romosozumab PSD, July 2022 PBAC meeting).</w:t>
      </w:r>
      <w:r w:rsidR="00E43326">
        <w:t xml:space="preserve"> </w:t>
      </w:r>
      <w:r w:rsidR="00E43326" w:rsidRPr="00810C1E">
        <w:t xml:space="preserve">The ESC noted the two most recent PSURs and considered the claim of inferior comparative safety remained reasonable. </w:t>
      </w:r>
    </w:p>
    <w:p w14:paraId="45BDD7FD" w14:textId="695FD5E5" w:rsidR="003E139C" w:rsidRPr="003074AF" w:rsidRDefault="003E139C" w:rsidP="003E139C">
      <w:pPr>
        <w:pStyle w:val="ExecSumBodyText"/>
        <w:numPr>
          <w:ilvl w:val="1"/>
          <w:numId w:val="4"/>
        </w:numPr>
        <w:spacing w:after="0"/>
        <w:rPr>
          <w:rFonts w:eastAsia="Calibri"/>
        </w:rPr>
      </w:pPr>
      <w:r w:rsidRPr="003074AF">
        <w:rPr>
          <w:rFonts w:eastAsia="Calibri"/>
        </w:rPr>
        <w:t xml:space="preserve">The following evidence gaps were previously noted by the PBAC </w:t>
      </w:r>
      <w:r w:rsidR="00506BD6" w:rsidRPr="003074AF">
        <w:t>when considering previous romosozumab submissions (November 2018, March 2020, July 2022) and were not addressed in the resubmission:</w:t>
      </w:r>
    </w:p>
    <w:p w14:paraId="614BD15C" w14:textId="77777777" w:rsidR="00506BD6" w:rsidRPr="003074AF" w:rsidRDefault="00506BD6" w:rsidP="00817158">
      <w:pPr>
        <w:pStyle w:val="ListParagraph"/>
        <w:numPr>
          <w:ilvl w:val="0"/>
          <w:numId w:val="10"/>
        </w:numPr>
        <w:contextualSpacing/>
        <w:rPr>
          <w:rFonts w:eastAsia="Calibri"/>
        </w:rPr>
      </w:pPr>
      <w:r w:rsidRPr="003074AF">
        <w:rPr>
          <w:rFonts w:eastAsia="Calibri"/>
        </w:rPr>
        <w:t xml:space="preserve">Lack of comparative evidence against denosumab as the therapy most likely to be replaced. </w:t>
      </w:r>
    </w:p>
    <w:p w14:paraId="26FDC673" w14:textId="00E27592" w:rsidR="00BD3F99" w:rsidRPr="003074AF" w:rsidRDefault="00BD3F99" w:rsidP="00817158">
      <w:pPr>
        <w:pStyle w:val="ListParagraph"/>
        <w:numPr>
          <w:ilvl w:val="0"/>
          <w:numId w:val="10"/>
        </w:numPr>
        <w:contextualSpacing/>
        <w:rPr>
          <w:rFonts w:eastAsia="Calibri"/>
        </w:rPr>
      </w:pPr>
      <w:r w:rsidRPr="003074AF">
        <w:rPr>
          <w:rFonts w:eastAsia="Calibri"/>
        </w:rPr>
        <w:t>No fracture outcomes data to support the efficacy of romosozumab in the expanded second</w:t>
      </w:r>
      <w:r w:rsidR="00FE4D70">
        <w:rPr>
          <w:rFonts w:eastAsia="Calibri"/>
        </w:rPr>
        <w:t>-</w:t>
      </w:r>
      <w:r w:rsidRPr="003074AF">
        <w:rPr>
          <w:rFonts w:eastAsia="Calibri"/>
        </w:rPr>
        <w:t>line population.</w:t>
      </w:r>
    </w:p>
    <w:p w14:paraId="66F3E3BC" w14:textId="2E47229A" w:rsidR="009010F2" w:rsidRPr="003074AF" w:rsidRDefault="00506BD6" w:rsidP="00817158">
      <w:pPr>
        <w:pStyle w:val="ListParagraph"/>
        <w:numPr>
          <w:ilvl w:val="0"/>
          <w:numId w:val="10"/>
        </w:numPr>
        <w:contextualSpacing/>
        <w:rPr>
          <w:rFonts w:eastAsia="Calibri"/>
        </w:rPr>
      </w:pPr>
      <w:r w:rsidRPr="003074AF">
        <w:rPr>
          <w:rFonts w:eastAsia="Calibri"/>
        </w:rPr>
        <w:t>Lack of long-term comparative efficacy data for romosozumab</w:t>
      </w:r>
      <w:r w:rsidR="00BD3F99" w:rsidRPr="003074AF">
        <w:rPr>
          <w:rFonts w:eastAsia="Calibri"/>
        </w:rPr>
        <w:t>.</w:t>
      </w:r>
    </w:p>
    <w:p w14:paraId="7F613CD1" w14:textId="6669FD63" w:rsidR="005F7588" w:rsidRDefault="009010F2" w:rsidP="00817158">
      <w:pPr>
        <w:pStyle w:val="ListParagraph"/>
        <w:numPr>
          <w:ilvl w:val="0"/>
          <w:numId w:val="10"/>
        </w:numPr>
        <w:contextualSpacing/>
        <w:rPr>
          <w:rFonts w:eastAsia="Calibri"/>
        </w:rPr>
      </w:pPr>
      <w:r w:rsidRPr="003074AF">
        <w:rPr>
          <w:rFonts w:eastAsia="Calibri"/>
        </w:rPr>
        <w:t>Uncertain magnitude of benefit associated with romosozumab versus alendronate in the proposed first-line setting, and concerns with the applicability of risk profiles of patients in the ARCH trial to the PBS population</w:t>
      </w:r>
      <w:r w:rsidR="0071528E" w:rsidRPr="003074AF">
        <w:rPr>
          <w:rFonts w:eastAsia="Calibri"/>
        </w:rPr>
        <w:t xml:space="preserve"> due to potential differences in disease severity characterised by number of fractures, BMD T-scores, and fracture location, severity and timing</w:t>
      </w:r>
      <w:r w:rsidR="0006428E" w:rsidRPr="003074AF">
        <w:rPr>
          <w:rFonts w:eastAsia="Calibri"/>
        </w:rPr>
        <w:t>.</w:t>
      </w:r>
    </w:p>
    <w:p w14:paraId="00A4556E" w14:textId="0B9E5DEA" w:rsidR="00A13E5A" w:rsidRDefault="00A13E5A" w:rsidP="00A13E5A">
      <w:pPr>
        <w:pStyle w:val="ExecSumBodyText"/>
        <w:numPr>
          <w:ilvl w:val="1"/>
          <w:numId w:val="4"/>
        </w:numPr>
      </w:pPr>
      <w:bookmarkStart w:id="34" w:name="_Hlk76376200"/>
      <w:r w:rsidRPr="009A4F80">
        <w:t>The PBAC</w:t>
      </w:r>
      <w:r w:rsidR="009A4F80" w:rsidRPr="009A4F80">
        <w:t xml:space="preserve"> re</w:t>
      </w:r>
      <w:r w:rsidR="005301F6">
        <w:t>affirmed</w:t>
      </w:r>
      <w:r w:rsidR="009A4F80" w:rsidRPr="009A4F80">
        <w:t xml:space="preserve"> its July 2022 advice that the claim of superior comparative effectiveness was reasonable for the first</w:t>
      </w:r>
      <w:r w:rsidR="00FE4D70">
        <w:t>-</w:t>
      </w:r>
      <w:r w:rsidR="009A4F80" w:rsidRPr="009A4F80">
        <w:t>line setting in treatment naïve patients, however the magnitude of effect was uncertain due to poor transition to and persistence with anti-resorptive therapy post romosozumab</w:t>
      </w:r>
      <w:r w:rsidR="005301F6">
        <w:t>.</w:t>
      </w:r>
      <w:r w:rsidR="009A4F80" w:rsidRPr="009A4F80">
        <w:t xml:space="preserve"> </w:t>
      </w:r>
      <w:r w:rsidR="00B1164E">
        <w:t xml:space="preserve">In addition, the PBAC reaffirmed its July 2022 advice that the </w:t>
      </w:r>
      <w:r w:rsidR="005301F6">
        <w:t xml:space="preserve">claim of superior comparative effectiveness </w:t>
      </w:r>
      <w:r w:rsidR="005301F6">
        <w:lastRenderedPageBreak/>
        <w:t xml:space="preserve">for the additional second-line subpopulations was uncertain due to data limitations </w:t>
      </w:r>
      <w:r w:rsidR="005301F6" w:rsidRPr="009A4F80">
        <w:t>(para 6.48, romosozumab PSD, July 2022 PBAC meeting)</w:t>
      </w:r>
      <w:r w:rsidR="005301F6">
        <w:t xml:space="preserve">. </w:t>
      </w:r>
    </w:p>
    <w:p w14:paraId="0B2AB667" w14:textId="6DC2E220" w:rsidR="00A13E5A" w:rsidRPr="004E4944" w:rsidRDefault="00A13E5A" w:rsidP="00A13E5A">
      <w:pPr>
        <w:pStyle w:val="ExecSumBodyText"/>
        <w:numPr>
          <w:ilvl w:val="1"/>
          <w:numId w:val="4"/>
        </w:numPr>
      </w:pPr>
      <w:r w:rsidRPr="004E4944">
        <w:t xml:space="preserve">The PBAC </w:t>
      </w:r>
      <w:r w:rsidR="009A4F80">
        <w:t xml:space="preserve">reaffirmed its July 2022 advice that </w:t>
      </w:r>
      <w:r w:rsidRPr="004E4944">
        <w:t>the claim of inferior comparative safety was reasonable</w:t>
      </w:r>
      <w:r w:rsidR="009A4F80">
        <w:t xml:space="preserve"> (para </w:t>
      </w:r>
      <w:r w:rsidR="009A4F80" w:rsidRPr="009A4F80">
        <w:t>6.4</w:t>
      </w:r>
      <w:r w:rsidR="009A4F80">
        <w:t>9</w:t>
      </w:r>
      <w:r w:rsidR="009A4F80" w:rsidRPr="009A4F80">
        <w:t>, romosozumab PSD, July 2022 PBAC meeting)</w:t>
      </w:r>
      <w:r w:rsidRPr="004E4944">
        <w:t>.</w:t>
      </w:r>
      <w:bookmarkEnd w:id="34"/>
    </w:p>
    <w:p w14:paraId="74A1172E" w14:textId="1F2EDB1F" w:rsidR="00B60939" w:rsidRPr="00C9624D" w:rsidRDefault="00B60939" w:rsidP="00E9094A">
      <w:pPr>
        <w:pStyle w:val="COMH2-non-numbered"/>
      </w:pPr>
      <w:bookmarkStart w:id="35" w:name="_Toc22897645"/>
      <w:bookmarkStart w:id="36" w:name="_Toc124858708"/>
      <w:r w:rsidRPr="00C9624D">
        <w:t>Economic analysis</w:t>
      </w:r>
      <w:bookmarkEnd w:id="35"/>
      <w:bookmarkEnd w:id="36"/>
      <w:r w:rsidR="00491B3A" w:rsidRPr="00C9624D">
        <w:t xml:space="preserve"> </w:t>
      </w:r>
    </w:p>
    <w:p w14:paraId="6D6A5122" w14:textId="77777777" w:rsidR="00861436" w:rsidRPr="00BA588E" w:rsidRDefault="00861436" w:rsidP="00BE7594">
      <w:pPr>
        <w:pStyle w:val="COMexecsumnumberedpara"/>
        <w:rPr>
          <w:b/>
          <w:bCs/>
          <w:lang w:val="en-US"/>
        </w:rPr>
      </w:pPr>
      <w:bookmarkStart w:id="37" w:name="_Toc22897647"/>
      <w:r w:rsidRPr="00BA588E">
        <w:t>The resubmission presented a modelled economic evaluation of romosozumab versus alendronate in patients with severe osteoporosis. The economic model was a cost-utility analysis based on data from the ARCH trial (a predominantly treatment-naïve population) and other modelled variables.</w:t>
      </w:r>
    </w:p>
    <w:p w14:paraId="22B77F90" w14:textId="2CA0940A" w:rsidR="00861436" w:rsidRPr="00810C1E" w:rsidRDefault="00861436" w:rsidP="00BE7594">
      <w:pPr>
        <w:pStyle w:val="COMexecsumnumberedpara"/>
        <w:rPr>
          <w:b/>
          <w:bCs/>
          <w:lang w:val="en-US"/>
        </w:rPr>
      </w:pPr>
      <w:bookmarkStart w:id="38" w:name="_Ref127524381"/>
      <w:bookmarkStart w:id="39" w:name="_Ref130130964"/>
      <w:r w:rsidRPr="009E6C05">
        <w:t xml:space="preserve">The PBAC previously recommended that a cost-minimisation approach versus alendronate in treatment-experienced patients be conducted (given the uncertainty of the clinical benefit of romosozumab compared to alendronate in treatment experienced patients), with a price for the expanded listing determined using a weighted average price between first- and second-line settings (para 7.13, Romosozumab PSD, July 2022 PBAC meeting). </w:t>
      </w:r>
      <w:r w:rsidRPr="003074AF">
        <w:t>The proposed price of romosozumab is based on the cost-effectiveness analysis only. The resubmission maintained the argument that the cost-effectiveness of romosozumab in the first-line setting is applicable to its use in the expanded second-line population.</w:t>
      </w:r>
      <w:r w:rsidR="002B28F6">
        <w:t xml:space="preserve"> </w:t>
      </w:r>
      <w:r w:rsidR="002B28F6" w:rsidRPr="00810C1E">
        <w:t xml:space="preserve">The PSCR </w:t>
      </w:r>
      <w:r w:rsidR="00D25042">
        <w:t>and pre-PBAC response argued</w:t>
      </w:r>
      <w:r w:rsidR="002B28F6" w:rsidRPr="00810C1E">
        <w:t xml:space="preserve"> that the sponsor has reduced the price of romosozumab to the extent possible and is unable to accommodate consideration of a cost-minimisation with alendronate or any further reduction in price for this component of the listing expansion.</w:t>
      </w:r>
      <w:bookmarkEnd w:id="38"/>
      <w:r w:rsidR="002B28F6" w:rsidRPr="00810C1E">
        <w:t xml:space="preserve"> </w:t>
      </w:r>
      <w:r w:rsidR="00E05ABD">
        <w:t>The pre-PBAC response acknowledged the lack of an economic analysis for this component of the expansion and indicated if this was an issue for the PBAC then an alternative would be to revise the proposed listing such that second-line access be limited to the currently eligible population.</w:t>
      </w:r>
      <w:bookmarkEnd w:id="39"/>
      <w:r w:rsidR="00E05ABD">
        <w:t xml:space="preserve"> </w:t>
      </w:r>
    </w:p>
    <w:p w14:paraId="74A574AD" w14:textId="38F470D2" w:rsidR="00861436" w:rsidRDefault="00861436" w:rsidP="00BE7594">
      <w:pPr>
        <w:pStyle w:val="ExecSumBodyText"/>
        <w:numPr>
          <w:ilvl w:val="1"/>
          <w:numId w:val="4"/>
        </w:numPr>
      </w:pPr>
      <w:r>
        <w:fldChar w:fldCharType="begin" w:fldLock="1"/>
      </w:r>
      <w:r>
        <w:instrText xml:space="preserve"> REF _Ref120855650 \h </w:instrText>
      </w:r>
      <w:r>
        <w:fldChar w:fldCharType="separate"/>
      </w:r>
      <w:r w:rsidR="00605CB9">
        <w:t xml:space="preserve">Table </w:t>
      </w:r>
      <w:r w:rsidR="00605CB9">
        <w:rPr>
          <w:noProof/>
        </w:rPr>
        <w:t>8</w:t>
      </w:r>
      <w:r>
        <w:fldChar w:fldCharType="end"/>
      </w:r>
      <w:r>
        <w:t xml:space="preserve"> </w:t>
      </w:r>
      <w:r w:rsidRPr="00DC010D">
        <w:t>below presents the key components of the economic evaluation.</w:t>
      </w:r>
    </w:p>
    <w:p w14:paraId="0A7A07FD" w14:textId="716609EB" w:rsidR="00861436" w:rsidRDefault="00861436" w:rsidP="008D36AC">
      <w:pPr>
        <w:pStyle w:val="COMtablefigcaption"/>
      </w:pPr>
      <w:bookmarkStart w:id="40" w:name="_Ref120855650"/>
      <w:r>
        <w:lastRenderedPageBreak/>
        <w:t xml:space="preserve">Table </w:t>
      </w:r>
      <w:fldSimple w:instr=" SEQ Table \* ARABIC " w:fldLock="1">
        <w:r w:rsidR="00B20BD0">
          <w:rPr>
            <w:noProof/>
          </w:rPr>
          <w:t>8</w:t>
        </w:r>
      </w:fldSimple>
      <w:bookmarkEnd w:id="40"/>
      <w:r>
        <w:t xml:space="preserve">: Key components of the economic evaluation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81"/>
        <w:gridCol w:w="7636"/>
      </w:tblGrid>
      <w:tr w:rsidR="00861436" w14:paraId="5F13A419" w14:textId="77777777" w:rsidTr="0077002B">
        <w:trPr>
          <w:tblHeader/>
        </w:trPr>
        <w:tc>
          <w:tcPr>
            <w:tcW w:w="766" w:type="pct"/>
            <w:tcBorders>
              <w:top w:val="single" w:sz="4" w:space="0" w:color="auto"/>
              <w:left w:val="single" w:sz="4" w:space="0" w:color="auto"/>
              <w:bottom w:val="single" w:sz="4" w:space="0" w:color="auto"/>
              <w:right w:val="single" w:sz="4" w:space="0" w:color="auto"/>
            </w:tcBorders>
            <w:vAlign w:val="center"/>
            <w:hideMark/>
          </w:tcPr>
          <w:p w14:paraId="06912132" w14:textId="77777777" w:rsidR="00861436" w:rsidRDefault="00861436" w:rsidP="0077002B">
            <w:pPr>
              <w:pStyle w:val="Tableheadingrow"/>
            </w:pPr>
            <w:r>
              <w:t>Component</w:t>
            </w:r>
          </w:p>
        </w:tc>
        <w:tc>
          <w:tcPr>
            <w:tcW w:w="4234" w:type="pct"/>
            <w:tcBorders>
              <w:top w:val="single" w:sz="4" w:space="0" w:color="auto"/>
              <w:left w:val="single" w:sz="4" w:space="0" w:color="auto"/>
              <w:bottom w:val="single" w:sz="4" w:space="0" w:color="auto"/>
              <w:right w:val="single" w:sz="4" w:space="0" w:color="auto"/>
            </w:tcBorders>
            <w:vAlign w:val="center"/>
            <w:hideMark/>
          </w:tcPr>
          <w:p w14:paraId="08B33C0E" w14:textId="77777777" w:rsidR="00861436" w:rsidRDefault="00861436" w:rsidP="0077002B">
            <w:pPr>
              <w:pStyle w:val="Tableheadingrow"/>
            </w:pPr>
            <w:r>
              <w:t>Summary</w:t>
            </w:r>
          </w:p>
        </w:tc>
      </w:tr>
      <w:tr w:rsidR="00861436" w14:paraId="7B57F5A3" w14:textId="77777777" w:rsidTr="0077002B">
        <w:tc>
          <w:tcPr>
            <w:tcW w:w="766" w:type="pct"/>
            <w:tcBorders>
              <w:top w:val="single" w:sz="4" w:space="0" w:color="auto"/>
              <w:left w:val="single" w:sz="4" w:space="0" w:color="auto"/>
              <w:bottom w:val="single" w:sz="4" w:space="0" w:color="auto"/>
              <w:right w:val="single" w:sz="4" w:space="0" w:color="auto"/>
            </w:tcBorders>
            <w:vAlign w:val="center"/>
            <w:hideMark/>
          </w:tcPr>
          <w:p w14:paraId="0F8B4A12" w14:textId="77777777" w:rsidR="00861436" w:rsidRDefault="00861436" w:rsidP="0077002B">
            <w:pPr>
              <w:pStyle w:val="TableText0"/>
            </w:pPr>
            <w:r>
              <w:t>Treatments</w:t>
            </w:r>
          </w:p>
        </w:tc>
        <w:tc>
          <w:tcPr>
            <w:tcW w:w="4234" w:type="pct"/>
            <w:tcBorders>
              <w:top w:val="single" w:sz="4" w:space="0" w:color="auto"/>
              <w:left w:val="single" w:sz="4" w:space="0" w:color="auto"/>
              <w:bottom w:val="single" w:sz="4" w:space="0" w:color="auto"/>
              <w:right w:val="single" w:sz="4" w:space="0" w:color="auto"/>
            </w:tcBorders>
            <w:vAlign w:val="center"/>
          </w:tcPr>
          <w:p w14:paraId="6DA55919" w14:textId="77777777" w:rsidR="00861436" w:rsidRDefault="00861436" w:rsidP="0077002B">
            <w:pPr>
              <w:pStyle w:val="TableText0"/>
            </w:pPr>
            <w:r>
              <w:t>Romosozumab/alendronate versus alendronate</w:t>
            </w:r>
          </w:p>
        </w:tc>
      </w:tr>
      <w:tr w:rsidR="00861436" w14:paraId="4A8D39D2" w14:textId="77777777" w:rsidTr="0077002B">
        <w:tc>
          <w:tcPr>
            <w:tcW w:w="766" w:type="pct"/>
            <w:tcBorders>
              <w:top w:val="single" w:sz="4" w:space="0" w:color="auto"/>
              <w:left w:val="single" w:sz="4" w:space="0" w:color="auto"/>
              <w:bottom w:val="single" w:sz="4" w:space="0" w:color="auto"/>
              <w:right w:val="single" w:sz="4" w:space="0" w:color="auto"/>
            </w:tcBorders>
            <w:vAlign w:val="center"/>
            <w:hideMark/>
          </w:tcPr>
          <w:p w14:paraId="78775B3B" w14:textId="77777777" w:rsidR="00861436" w:rsidRDefault="00861436" w:rsidP="0077002B">
            <w:pPr>
              <w:pStyle w:val="TableText0"/>
            </w:pPr>
            <w:r>
              <w:t>Time horizon</w:t>
            </w:r>
          </w:p>
        </w:tc>
        <w:tc>
          <w:tcPr>
            <w:tcW w:w="4234" w:type="pct"/>
            <w:tcBorders>
              <w:top w:val="single" w:sz="4" w:space="0" w:color="auto"/>
              <w:left w:val="single" w:sz="4" w:space="0" w:color="auto"/>
              <w:bottom w:val="single" w:sz="4" w:space="0" w:color="auto"/>
              <w:right w:val="single" w:sz="4" w:space="0" w:color="auto"/>
            </w:tcBorders>
            <w:vAlign w:val="center"/>
          </w:tcPr>
          <w:p w14:paraId="15F3F1BA" w14:textId="77777777" w:rsidR="00861436" w:rsidRDefault="00861436" w:rsidP="0077002B">
            <w:pPr>
              <w:pStyle w:val="TableText0"/>
            </w:pPr>
            <w:r>
              <w:t>20 years in the model base case (to age 94) versus 3 years in the ARCH trial</w:t>
            </w:r>
          </w:p>
        </w:tc>
      </w:tr>
      <w:tr w:rsidR="00861436" w14:paraId="74680195" w14:textId="77777777" w:rsidTr="0077002B">
        <w:tc>
          <w:tcPr>
            <w:tcW w:w="766" w:type="pct"/>
            <w:tcBorders>
              <w:top w:val="single" w:sz="4" w:space="0" w:color="auto"/>
              <w:left w:val="single" w:sz="4" w:space="0" w:color="auto"/>
              <w:bottom w:val="single" w:sz="4" w:space="0" w:color="auto"/>
              <w:right w:val="single" w:sz="4" w:space="0" w:color="auto"/>
            </w:tcBorders>
            <w:vAlign w:val="center"/>
            <w:hideMark/>
          </w:tcPr>
          <w:p w14:paraId="26F0118C" w14:textId="77777777" w:rsidR="00861436" w:rsidRDefault="00861436" w:rsidP="0077002B">
            <w:pPr>
              <w:pStyle w:val="TableText0"/>
            </w:pPr>
            <w:r>
              <w:t>Outcomes</w:t>
            </w:r>
          </w:p>
        </w:tc>
        <w:tc>
          <w:tcPr>
            <w:tcW w:w="4234" w:type="pct"/>
            <w:tcBorders>
              <w:top w:val="single" w:sz="4" w:space="0" w:color="auto"/>
              <w:left w:val="single" w:sz="4" w:space="0" w:color="auto"/>
              <w:bottom w:val="single" w:sz="4" w:space="0" w:color="auto"/>
              <w:right w:val="single" w:sz="4" w:space="0" w:color="auto"/>
            </w:tcBorders>
            <w:vAlign w:val="center"/>
          </w:tcPr>
          <w:p w14:paraId="62DDDCAF" w14:textId="77777777" w:rsidR="00861436" w:rsidRDefault="00861436" w:rsidP="0077002B">
            <w:pPr>
              <w:pStyle w:val="TableText0"/>
            </w:pPr>
            <w:r>
              <w:t>Life years and quality adjusted life years (QALYs)</w:t>
            </w:r>
          </w:p>
        </w:tc>
      </w:tr>
      <w:tr w:rsidR="00861436" w14:paraId="37C5FE6C" w14:textId="77777777" w:rsidTr="0077002B">
        <w:tc>
          <w:tcPr>
            <w:tcW w:w="766" w:type="pct"/>
            <w:tcBorders>
              <w:top w:val="single" w:sz="4" w:space="0" w:color="auto"/>
              <w:left w:val="single" w:sz="4" w:space="0" w:color="auto"/>
              <w:bottom w:val="single" w:sz="4" w:space="0" w:color="auto"/>
              <w:right w:val="single" w:sz="4" w:space="0" w:color="auto"/>
            </w:tcBorders>
            <w:vAlign w:val="center"/>
            <w:hideMark/>
          </w:tcPr>
          <w:p w14:paraId="5511B36E" w14:textId="77777777" w:rsidR="00861436" w:rsidRDefault="00861436" w:rsidP="0077002B">
            <w:pPr>
              <w:pStyle w:val="TableText0"/>
            </w:pPr>
            <w:r>
              <w:t>Methods used to generate results</w:t>
            </w:r>
          </w:p>
        </w:tc>
        <w:tc>
          <w:tcPr>
            <w:tcW w:w="4234" w:type="pct"/>
            <w:tcBorders>
              <w:top w:val="single" w:sz="4" w:space="0" w:color="auto"/>
              <w:left w:val="single" w:sz="4" w:space="0" w:color="auto"/>
              <w:bottom w:val="single" w:sz="4" w:space="0" w:color="auto"/>
              <w:right w:val="single" w:sz="4" w:space="0" w:color="auto"/>
            </w:tcBorders>
            <w:vAlign w:val="center"/>
          </w:tcPr>
          <w:p w14:paraId="231D5802" w14:textId="77777777" w:rsidR="00861436" w:rsidRDefault="00861436" w:rsidP="0077002B">
            <w:pPr>
              <w:pStyle w:val="TableText0"/>
            </w:pPr>
            <w:r>
              <w:t>Markov cohort model with tunnel states (half-cycle corrected)</w:t>
            </w:r>
          </w:p>
        </w:tc>
      </w:tr>
      <w:tr w:rsidR="00861436" w14:paraId="2B8DB572" w14:textId="77777777" w:rsidTr="0077002B">
        <w:tc>
          <w:tcPr>
            <w:tcW w:w="766" w:type="pct"/>
            <w:tcBorders>
              <w:top w:val="single" w:sz="4" w:space="0" w:color="auto"/>
              <w:left w:val="single" w:sz="4" w:space="0" w:color="auto"/>
              <w:bottom w:val="single" w:sz="4" w:space="0" w:color="auto"/>
              <w:right w:val="single" w:sz="4" w:space="0" w:color="auto"/>
            </w:tcBorders>
            <w:vAlign w:val="center"/>
            <w:hideMark/>
          </w:tcPr>
          <w:p w14:paraId="41BE49D4" w14:textId="77777777" w:rsidR="00861436" w:rsidRDefault="00861436" w:rsidP="0077002B">
            <w:pPr>
              <w:pStyle w:val="TableText0"/>
            </w:pPr>
            <w:r>
              <w:t>Health states</w:t>
            </w:r>
          </w:p>
        </w:tc>
        <w:tc>
          <w:tcPr>
            <w:tcW w:w="4234" w:type="pct"/>
            <w:tcBorders>
              <w:top w:val="single" w:sz="4" w:space="0" w:color="auto"/>
              <w:left w:val="single" w:sz="4" w:space="0" w:color="auto"/>
              <w:bottom w:val="single" w:sz="4" w:space="0" w:color="auto"/>
              <w:right w:val="single" w:sz="4" w:space="0" w:color="auto"/>
            </w:tcBorders>
            <w:vAlign w:val="center"/>
          </w:tcPr>
          <w:p w14:paraId="3C2326A1" w14:textId="77777777" w:rsidR="00861436" w:rsidRDefault="00861436" w:rsidP="0077002B">
            <w:pPr>
              <w:pStyle w:val="TableText0"/>
            </w:pPr>
            <w:r>
              <w:t xml:space="preserve">7 health states including 3 on-treatment health states (no fracture/other fracture, post- hip fracture, post-vertebral fracture), 3 off-treatment health states (no fracture/other fracture, post- hip fracture, post-vertebral fracture) and dead. </w:t>
            </w:r>
          </w:p>
        </w:tc>
      </w:tr>
      <w:tr w:rsidR="00861436" w14:paraId="4290D238" w14:textId="77777777" w:rsidTr="0077002B">
        <w:tc>
          <w:tcPr>
            <w:tcW w:w="766" w:type="pct"/>
            <w:tcBorders>
              <w:top w:val="single" w:sz="4" w:space="0" w:color="auto"/>
              <w:left w:val="single" w:sz="4" w:space="0" w:color="auto"/>
              <w:bottom w:val="single" w:sz="4" w:space="0" w:color="auto"/>
              <w:right w:val="single" w:sz="4" w:space="0" w:color="auto"/>
            </w:tcBorders>
            <w:vAlign w:val="center"/>
            <w:hideMark/>
          </w:tcPr>
          <w:p w14:paraId="7676B0C6" w14:textId="77777777" w:rsidR="00861436" w:rsidRDefault="00861436" w:rsidP="0077002B">
            <w:pPr>
              <w:pStyle w:val="TableText0"/>
            </w:pPr>
            <w:r>
              <w:t>Cycle length</w:t>
            </w:r>
          </w:p>
        </w:tc>
        <w:tc>
          <w:tcPr>
            <w:tcW w:w="4234" w:type="pct"/>
            <w:tcBorders>
              <w:top w:val="single" w:sz="4" w:space="0" w:color="auto"/>
              <w:left w:val="single" w:sz="4" w:space="0" w:color="auto"/>
              <w:bottom w:val="single" w:sz="4" w:space="0" w:color="auto"/>
              <w:right w:val="single" w:sz="4" w:space="0" w:color="auto"/>
            </w:tcBorders>
            <w:vAlign w:val="center"/>
          </w:tcPr>
          <w:p w14:paraId="42689E61" w14:textId="77777777" w:rsidR="00861436" w:rsidRDefault="00861436" w:rsidP="0077002B">
            <w:pPr>
              <w:pStyle w:val="TableText0"/>
            </w:pPr>
            <w:r>
              <w:t>Annual</w:t>
            </w:r>
          </w:p>
        </w:tc>
      </w:tr>
      <w:tr w:rsidR="00861436" w14:paraId="116A6EED" w14:textId="77777777" w:rsidTr="0077002B">
        <w:tc>
          <w:tcPr>
            <w:tcW w:w="766" w:type="pct"/>
            <w:tcBorders>
              <w:top w:val="single" w:sz="4" w:space="0" w:color="auto"/>
              <w:left w:val="single" w:sz="4" w:space="0" w:color="auto"/>
              <w:bottom w:val="single" w:sz="4" w:space="0" w:color="auto"/>
              <w:right w:val="single" w:sz="4" w:space="0" w:color="auto"/>
            </w:tcBorders>
            <w:vAlign w:val="center"/>
            <w:hideMark/>
          </w:tcPr>
          <w:p w14:paraId="48DD8629" w14:textId="77777777" w:rsidR="00861436" w:rsidRDefault="00861436" w:rsidP="0077002B">
            <w:pPr>
              <w:pStyle w:val="TableText0"/>
            </w:pPr>
            <w:r>
              <w:t>Transition probabilities</w:t>
            </w:r>
          </w:p>
        </w:tc>
        <w:tc>
          <w:tcPr>
            <w:tcW w:w="4234" w:type="pct"/>
            <w:tcBorders>
              <w:top w:val="single" w:sz="4" w:space="0" w:color="auto"/>
              <w:left w:val="single" w:sz="4" w:space="0" w:color="auto"/>
              <w:bottom w:val="single" w:sz="4" w:space="0" w:color="auto"/>
              <w:right w:val="single" w:sz="4" w:space="0" w:color="auto"/>
            </w:tcBorders>
            <w:vAlign w:val="center"/>
          </w:tcPr>
          <w:p w14:paraId="7570A83C" w14:textId="77777777" w:rsidR="00861436" w:rsidRDefault="00861436" w:rsidP="0077002B">
            <w:pPr>
              <w:pStyle w:val="TableText0"/>
            </w:pPr>
            <w:r>
              <w:t xml:space="preserve">Transition probabilities for fracture in the on-treatment health states were derived from the alendronate arm of the ARCH trial. Treatment effect estimates for the romosozumab/alendronate arm were derived from the ARCH trial for the first 3 years then assumed to diminish in a linear fashion until convergence of fracture risks with the alendronate arm by Year 6. Treatment discontinuation was assumed to be 20% yearly. Transition probabilities for fracture in the off-treatment health states were derived from the alendronate arm of the ARCH trial and adjusted using fracture risk multipliers. The incidence of serious cardiovascular events was derived from the ARCH trial. Probability of death was based on Australian life tables adjusted using fracture-related mortality multipliers. </w:t>
            </w:r>
          </w:p>
          <w:p w14:paraId="7DF301BA" w14:textId="77777777" w:rsidR="00861436" w:rsidRDefault="00861436" w:rsidP="0077002B">
            <w:pPr>
              <w:pStyle w:val="TableText0"/>
            </w:pPr>
          </w:p>
          <w:p w14:paraId="6E962731" w14:textId="77777777" w:rsidR="00861436" w:rsidRDefault="00861436" w:rsidP="0077002B">
            <w:pPr>
              <w:pStyle w:val="TableText0"/>
            </w:pPr>
            <w:r>
              <w:t xml:space="preserve">75% of incremental QALYs were accrued in the extrapolated period beyond 3 years. Incremental costs were accrued in the trial period and were partly offset over time, primarily due to reduced fracture costs. </w:t>
            </w:r>
          </w:p>
        </w:tc>
      </w:tr>
      <w:tr w:rsidR="00861436" w14:paraId="63D0062B" w14:textId="77777777" w:rsidTr="0077002B">
        <w:tc>
          <w:tcPr>
            <w:tcW w:w="766" w:type="pct"/>
            <w:tcBorders>
              <w:top w:val="single" w:sz="4" w:space="0" w:color="auto"/>
              <w:left w:val="single" w:sz="4" w:space="0" w:color="auto"/>
              <w:bottom w:val="single" w:sz="4" w:space="0" w:color="auto"/>
              <w:right w:val="single" w:sz="4" w:space="0" w:color="auto"/>
            </w:tcBorders>
            <w:vAlign w:val="center"/>
            <w:hideMark/>
          </w:tcPr>
          <w:p w14:paraId="3B2E31C5" w14:textId="77777777" w:rsidR="00861436" w:rsidRDefault="00861436" w:rsidP="0077002B">
            <w:pPr>
              <w:pStyle w:val="TableText0"/>
            </w:pPr>
            <w:r>
              <w:t>Costs</w:t>
            </w:r>
          </w:p>
        </w:tc>
        <w:tc>
          <w:tcPr>
            <w:tcW w:w="4234" w:type="pct"/>
            <w:tcBorders>
              <w:top w:val="single" w:sz="4" w:space="0" w:color="auto"/>
              <w:left w:val="single" w:sz="4" w:space="0" w:color="auto"/>
              <w:bottom w:val="single" w:sz="4" w:space="0" w:color="auto"/>
              <w:right w:val="single" w:sz="4" w:space="0" w:color="auto"/>
            </w:tcBorders>
            <w:vAlign w:val="center"/>
          </w:tcPr>
          <w:p w14:paraId="76382AD4" w14:textId="77777777" w:rsidR="00861436" w:rsidRDefault="00861436" w:rsidP="0077002B">
            <w:pPr>
              <w:pStyle w:val="TableText0"/>
            </w:pPr>
            <w:r>
              <w:t xml:space="preserve">Drug acquisition costs were estimated using the proposed effective price for romosozumab and published DPMQ for alendronate and denosumab. Administration costs were based on MBS costs for GP and nurse administrations. Acute fracture costs were derived from the ICUROS study (Watts 2013), inflated from 2012 estimates to 2021 costs. Cardiovascular event management costs were based on acute hospitalisation and additional costs during the initial 12 months (readmissions and out of hospital costs) (Ioannides-Demos 2010). Cardiovascular monitoring costs were based on MBS costs for blood tests, electrocardiograms, and specialist visits.  </w:t>
            </w:r>
          </w:p>
        </w:tc>
      </w:tr>
      <w:tr w:rsidR="00861436" w14:paraId="222326BF" w14:textId="77777777" w:rsidTr="0077002B">
        <w:tc>
          <w:tcPr>
            <w:tcW w:w="766" w:type="pct"/>
            <w:tcBorders>
              <w:top w:val="single" w:sz="4" w:space="0" w:color="auto"/>
              <w:left w:val="single" w:sz="4" w:space="0" w:color="auto"/>
              <w:bottom w:val="single" w:sz="4" w:space="0" w:color="auto"/>
              <w:right w:val="single" w:sz="4" w:space="0" w:color="auto"/>
            </w:tcBorders>
            <w:vAlign w:val="center"/>
            <w:hideMark/>
          </w:tcPr>
          <w:p w14:paraId="3E8982E7" w14:textId="77777777" w:rsidR="00861436" w:rsidRDefault="00861436" w:rsidP="0077002B">
            <w:pPr>
              <w:pStyle w:val="TableText0"/>
            </w:pPr>
            <w:r>
              <w:t>Health related quality of life</w:t>
            </w:r>
          </w:p>
        </w:tc>
        <w:tc>
          <w:tcPr>
            <w:tcW w:w="4234" w:type="pct"/>
            <w:tcBorders>
              <w:top w:val="single" w:sz="4" w:space="0" w:color="auto"/>
              <w:left w:val="single" w:sz="4" w:space="0" w:color="auto"/>
              <w:bottom w:val="single" w:sz="4" w:space="0" w:color="auto"/>
              <w:right w:val="single" w:sz="4" w:space="0" w:color="auto"/>
            </w:tcBorders>
            <w:vAlign w:val="center"/>
          </w:tcPr>
          <w:p w14:paraId="3C6FA53F" w14:textId="77777777" w:rsidR="00861436" w:rsidRDefault="00861436" w:rsidP="0077002B">
            <w:pPr>
              <w:pStyle w:val="TableText0"/>
            </w:pPr>
            <w:r>
              <w:t>Baseline utility, incident fracture QALY loss and ongoing fracture disutilities were derived from the Australian cohort of the ICUROS study (</w:t>
            </w:r>
            <w:r w:rsidRPr="001C2B9A">
              <w:t>Abimanyi-Ochom 2015</w:t>
            </w:r>
            <w:r>
              <w:t>). The cardiovascular event disutility was based on a published disutility for an acute myocardial infarction (Sullivan 2011).</w:t>
            </w:r>
          </w:p>
        </w:tc>
      </w:tr>
      <w:tr w:rsidR="00861436" w14:paraId="5E5CFD75" w14:textId="77777777" w:rsidTr="0077002B">
        <w:tc>
          <w:tcPr>
            <w:tcW w:w="766" w:type="pct"/>
            <w:tcBorders>
              <w:top w:val="single" w:sz="4" w:space="0" w:color="auto"/>
              <w:left w:val="single" w:sz="4" w:space="0" w:color="auto"/>
              <w:bottom w:val="single" w:sz="4" w:space="0" w:color="auto"/>
              <w:right w:val="single" w:sz="4" w:space="0" w:color="auto"/>
            </w:tcBorders>
            <w:vAlign w:val="center"/>
            <w:hideMark/>
          </w:tcPr>
          <w:p w14:paraId="39924474" w14:textId="77777777" w:rsidR="00861436" w:rsidRDefault="00861436" w:rsidP="0077002B">
            <w:pPr>
              <w:pStyle w:val="TableText0"/>
            </w:pPr>
            <w:r>
              <w:t>Discount rate</w:t>
            </w:r>
          </w:p>
        </w:tc>
        <w:tc>
          <w:tcPr>
            <w:tcW w:w="4234" w:type="pct"/>
            <w:tcBorders>
              <w:top w:val="single" w:sz="4" w:space="0" w:color="auto"/>
              <w:left w:val="single" w:sz="4" w:space="0" w:color="auto"/>
              <w:bottom w:val="single" w:sz="4" w:space="0" w:color="auto"/>
              <w:right w:val="single" w:sz="4" w:space="0" w:color="auto"/>
            </w:tcBorders>
            <w:vAlign w:val="center"/>
            <w:hideMark/>
          </w:tcPr>
          <w:p w14:paraId="3B58F287" w14:textId="77777777" w:rsidR="00861436" w:rsidRPr="004768FF" w:rsidRDefault="00861436" w:rsidP="0077002B">
            <w:pPr>
              <w:pStyle w:val="TableText0"/>
              <w:rPr>
                <w:i/>
                <w:iCs/>
              </w:rPr>
            </w:pPr>
            <w:r>
              <w:t>5% for costs and benefits</w:t>
            </w:r>
            <w:r>
              <w:rPr>
                <w:i/>
                <w:iCs/>
              </w:rPr>
              <w:t>.</w:t>
            </w:r>
          </w:p>
        </w:tc>
      </w:tr>
      <w:tr w:rsidR="00861436" w14:paraId="42BAD229" w14:textId="77777777" w:rsidTr="0077002B">
        <w:tc>
          <w:tcPr>
            <w:tcW w:w="766" w:type="pct"/>
            <w:tcBorders>
              <w:top w:val="single" w:sz="4" w:space="0" w:color="auto"/>
              <w:left w:val="single" w:sz="4" w:space="0" w:color="auto"/>
              <w:bottom w:val="single" w:sz="4" w:space="0" w:color="auto"/>
              <w:right w:val="single" w:sz="4" w:space="0" w:color="auto"/>
            </w:tcBorders>
            <w:vAlign w:val="center"/>
            <w:hideMark/>
          </w:tcPr>
          <w:p w14:paraId="3074583B" w14:textId="77777777" w:rsidR="00861436" w:rsidRDefault="00861436" w:rsidP="0077002B">
            <w:pPr>
              <w:pStyle w:val="TableText0"/>
            </w:pPr>
            <w:r>
              <w:t>Software package</w:t>
            </w:r>
          </w:p>
        </w:tc>
        <w:tc>
          <w:tcPr>
            <w:tcW w:w="4234" w:type="pct"/>
            <w:tcBorders>
              <w:top w:val="single" w:sz="4" w:space="0" w:color="auto"/>
              <w:left w:val="single" w:sz="4" w:space="0" w:color="auto"/>
              <w:bottom w:val="single" w:sz="4" w:space="0" w:color="auto"/>
              <w:right w:val="single" w:sz="4" w:space="0" w:color="auto"/>
            </w:tcBorders>
            <w:vAlign w:val="center"/>
            <w:hideMark/>
          </w:tcPr>
          <w:p w14:paraId="7A69AA65" w14:textId="77777777" w:rsidR="00861436" w:rsidRDefault="00861436" w:rsidP="0077002B">
            <w:pPr>
              <w:pStyle w:val="TableText0"/>
            </w:pPr>
            <w:r>
              <w:t>Excel</w:t>
            </w:r>
          </w:p>
        </w:tc>
      </w:tr>
    </w:tbl>
    <w:p w14:paraId="141D5746" w14:textId="77777777" w:rsidR="00861436" w:rsidRDefault="00861436" w:rsidP="00861436">
      <w:pPr>
        <w:pStyle w:val="COMTablefooter"/>
      </w:pPr>
      <w:r>
        <w:t>Source: Table 3.1-1, p54 of the resubmission</w:t>
      </w:r>
    </w:p>
    <w:p w14:paraId="44A9CCE1" w14:textId="77777777" w:rsidR="00861436" w:rsidRPr="00DD4B0A" w:rsidRDefault="00861436" w:rsidP="00861436">
      <w:pPr>
        <w:pStyle w:val="COMTablefooter"/>
      </w:pPr>
      <w:r>
        <w:t>Abbreviations: QALY, quality adjusted life year</w:t>
      </w:r>
    </w:p>
    <w:p w14:paraId="4125B346" w14:textId="77777777" w:rsidR="00861436" w:rsidRPr="008F0B24" w:rsidRDefault="00861436" w:rsidP="00BE7594">
      <w:pPr>
        <w:pStyle w:val="COMexecsumnumberedpara"/>
        <w:spacing w:after="0"/>
      </w:pPr>
      <w:bookmarkStart w:id="41" w:name="_Ref127519546"/>
      <w:r w:rsidRPr="008F0B24">
        <w:t xml:space="preserve">Key changes to the model compared to the July 2022 submission </w:t>
      </w:r>
      <w:r>
        <w:t>include</w:t>
      </w:r>
      <w:r w:rsidRPr="008F0B24">
        <w:t>:</w:t>
      </w:r>
      <w:bookmarkEnd w:id="41"/>
      <w:r w:rsidRPr="008F0B24">
        <w:t xml:space="preserve"> </w:t>
      </w:r>
    </w:p>
    <w:p w14:paraId="5E5B4E9B" w14:textId="77777777" w:rsidR="00861436" w:rsidRPr="008F0B24" w:rsidRDefault="00861436" w:rsidP="00861436">
      <w:pPr>
        <w:pStyle w:val="COMexecsummbulletlist"/>
        <w:spacing w:after="0"/>
      </w:pPr>
      <w:r w:rsidRPr="008F0B24">
        <w:t xml:space="preserve">Acute fracture costs </w:t>
      </w:r>
      <w:r>
        <w:t>were</w:t>
      </w:r>
      <w:r w:rsidRPr="008F0B24">
        <w:t xml:space="preserve"> revised to correct for an error identified in the July 2022 commentary (para 6.60, Romosozumab PSD, July 2022 PBAC meeting).</w:t>
      </w:r>
    </w:p>
    <w:p w14:paraId="6FE389C4" w14:textId="77777777" w:rsidR="00861436" w:rsidRPr="008F0B24" w:rsidRDefault="00861436" w:rsidP="00861436">
      <w:pPr>
        <w:pStyle w:val="COMexecsummbulletlist"/>
        <w:numPr>
          <w:ilvl w:val="0"/>
          <w:numId w:val="1"/>
        </w:numPr>
        <w:spacing w:after="0"/>
        <w:ind w:left="1134"/>
      </w:pPr>
      <w:r w:rsidRPr="008F0B24">
        <w:t xml:space="preserve">Discount rates </w:t>
      </w:r>
      <w:r>
        <w:t>were increased</w:t>
      </w:r>
      <w:r w:rsidRPr="008F0B24">
        <w:t xml:space="preserve"> from 1.5% to 5% in line with ESC’s advice (para 6.52, Romosozumab ESC Advice, July 2022 PBAC meeting).</w:t>
      </w:r>
    </w:p>
    <w:p w14:paraId="07290EE8" w14:textId="77777777" w:rsidR="00861436" w:rsidRPr="008F0B24" w:rsidRDefault="00861436" w:rsidP="00861436">
      <w:pPr>
        <w:pStyle w:val="COMexecsummbulletlist"/>
        <w:spacing w:after="0"/>
      </w:pPr>
      <w:r w:rsidRPr="008F0B24">
        <w:t xml:space="preserve">Discontinuation rates </w:t>
      </w:r>
      <w:r>
        <w:t>were</w:t>
      </w:r>
      <w:r w:rsidRPr="008F0B24">
        <w:t xml:space="preserve"> increased from 5% to 20% for both romosozumab and alendronate, as recommended by the PBAC (para 7.10, romosozumab PSD, July 2022 PBAC meeting).</w:t>
      </w:r>
    </w:p>
    <w:p w14:paraId="4D2D8092" w14:textId="2E84BE94" w:rsidR="00861436" w:rsidRPr="008F0B24" w:rsidRDefault="00861436" w:rsidP="00861436">
      <w:pPr>
        <w:pStyle w:val="COMexecsummbulletlist"/>
        <w:numPr>
          <w:ilvl w:val="0"/>
          <w:numId w:val="1"/>
        </w:numPr>
        <w:spacing w:after="0"/>
        <w:ind w:left="1134"/>
      </w:pPr>
      <w:r w:rsidRPr="008F0B24">
        <w:t xml:space="preserve">The price of romosozumab </w:t>
      </w:r>
      <w:r>
        <w:t>was</w:t>
      </w:r>
      <w:r w:rsidRPr="008F0B24">
        <w:t xml:space="preserve"> reduced from a DPMQ of </w:t>
      </w:r>
      <w:r w:rsidRPr="00BB5864">
        <w:t>$</w:t>
      </w:r>
      <w:r w:rsidR="009E0870" w:rsidRPr="009E0870">
        <w:rPr>
          <w:color w:val="000000"/>
          <w:w w:val="15"/>
          <w:shd w:val="solid" w:color="000000" w:fill="000000"/>
          <w:fitText w:val="26" w:id="-1232957688"/>
          <w14:textFill>
            <w14:solidFill>
              <w14:srgbClr w14:val="000000">
                <w14:alpha w14:val="100000"/>
              </w14:srgbClr>
            </w14:solidFill>
          </w14:textFill>
        </w:rPr>
        <w:t xml:space="preserve">|  </w:t>
      </w:r>
      <w:r w:rsidR="009E0870" w:rsidRPr="009E0870">
        <w:rPr>
          <w:color w:val="000000"/>
          <w:spacing w:val="-23"/>
          <w:w w:val="15"/>
          <w:shd w:val="solid" w:color="000000" w:fill="000000"/>
          <w:fitText w:val="26" w:id="-1232957688"/>
          <w14:textFill>
            <w14:solidFill>
              <w14:srgbClr w14:val="000000">
                <w14:alpha w14:val="100000"/>
              </w14:srgbClr>
            </w14:solidFill>
          </w14:textFill>
        </w:rPr>
        <w:t>|</w:t>
      </w:r>
      <w:r w:rsidRPr="00BB5864">
        <w:t>to $</w:t>
      </w:r>
      <w:r w:rsidR="009E0870" w:rsidRPr="009E0870">
        <w:rPr>
          <w:color w:val="000000"/>
          <w:w w:val="15"/>
          <w:shd w:val="solid" w:color="000000" w:fill="000000"/>
          <w:fitText w:val="26" w:id="-1232957687"/>
          <w14:textFill>
            <w14:solidFill>
              <w14:srgbClr w14:val="000000">
                <w14:alpha w14:val="100000"/>
              </w14:srgbClr>
            </w14:solidFill>
          </w14:textFill>
        </w:rPr>
        <w:t xml:space="preserve">|  </w:t>
      </w:r>
      <w:r w:rsidR="009E0870" w:rsidRPr="009E0870">
        <w:rPr>
          <w:color w:val="000000"/>
          <w:spacing w:val="-23"/>
          <w:w w:val="15"/>
          <w:shd w:val="solid" w:color="000000" w:fill="000000"/>
          <w:fitText w:val="26" w:id="-1232957687"/>
          <w14:textFill>
            <w14:solidFill>
              <w14:srgbClr w14:val="000000">
                <w14:alpha w14:val="100000"/>
              </w14:srgbClr>
            </w14:solidFill>
          </w14:textFill>
        </w:rPr>
        <w:t>|</w:t>
      </w:r>
      <w:r w:rsidRPr="008F0B24">
        <w:t>.</w:t>
      </w:r>
    </w:p>
    <w:p w14:paraId="65AA33E8" w14:textId="77777777" w:rsidR="00861436" w:rsidRPr="008F0B24" w:rsidRDefault="00861436" w:rsidP="00861436">
      <w:pPr>
        <w:pStyle w:val="COMexecsummbulletlist"/>
      </w:pPr>
      <w:r w:rsidRPr="008F0B24">
        <w:t xml:space="preserve">Several inputs </w:t>
      </w:r>
      <w:r>
        <w:t>were</w:t>
      </w:r>
      <w:r w:rsidRPr="008F0B24">
        <w:t xml:space="preserve"> updated to reflect the most recently published data sources (PBS pricing, MBS fees, ABS lifetables).</w:t>
      </w:r>
    </w:p>
    <w:p w14:paraId="247C2623" w14:textId="1B37070D" w:rsidR="00A449B3" w:rsidRPr="00810C1E" w:rsidRDefault="00861436" w:rsidP="005F6E7C">
      <w:pPr>
        <w:pStyle w:val="COMexecsumnumberedpara"/>
        <w:rPr>
          <w:b/>
          <w:bCs/>
          <w:lang w:val="en-US"/>
        </w:rPr>
      </w:pPr>
      <w:bookmarkStart w:id="42" w:name="_Ref130125326"/>
      <w:bookmarkStart w:id="43" w:name="_Ref127524419"/>
      <w:bookmarkStart w:id="44" w:name="_Ref127959799"/>
      <w:r w:rsidRPr="008D67B1">
        <w:t>The resubmission maintained that applying romosozumab treatment effect convergence over 6 years was appropriate, based on ARCH trial data and implementation of a higher discontinuation rate, and considered th</w:t>
      </w:r>
      <w:r>
        <w:t>at</w:t>
      </w:r>
      <w:r w:rsidRPr="008D67B1">
        <w:t xml:space="preserve"> convergence at </w:t>
      </w:r>
      <w:r w:rsidRPr="008D67B1">
        <w:lastRenderedPageBreak/>
        <w:t>4 years, considered by PBAC to more likely reflect a real-world setting</w:t>
      </w:r>
      <w:r>
        <w:t xml:space="preserve"> (para 7.10, Romosozumab PSD, July 2022 PBAC meeting)</w:t>
      </w:r>
      <w:r w:rsidRPr="008D67B1">
        <w:t>, was unrealistically conservative.</w:t>
      </w:r>
      <w:r w:rsidR="00A449B3">
        <w:t xml:space="preserve"> </w:t>
      </w:r>
      <w:bookmarkStart w:id="45" w:name="_Hlk127786504"/>
      <w:r w:rsidR="00A449B3" w:rsidRPr="00810C1E">
        <w:t xml:space="preserve">The  PSCR restated that applying convergence of treatment effects by 4 years in patients persistent to treatment implies the elimination of treatment effects beyond 3 years. The PSCR argued that in the ARCH trial, treatment effects observed at 12 months were either sustained or improved out to the primary analysis, approximately two years after the completion of romosozumab. The PSCR stated that based on sustained treatment effects post completion of romosozumab in ARCH, it was considered clinically implausible and overly conservative to apply zero extrapolation of treatment effects beyond three years in the model.  </w:t>
      </w:r>
      <w:bookmarkEnd w:id="45"/>
      <w:r w:rsidR="00A449B3" w:rsidRPr="00810C1E">
        <w:t xml:space="preserve">Therefore, the PSCR maintained that application of convergence of treatment effects for persistent patients by year 6 (i.e., diminishing treatment effects in years 4 and 5) was reasonable. </w:t>
      </w:r>
      <w:r w:rsidR="00C05908" w:rsidRPr="00810C1E">
        <w:t xml:space="preserve">The ESC noted the annual cycle length of the economic model </w:t>
      </w:r>
      <w:r w:rsidR="003A231B" w:rsidRPr="00810C1E">
        <w:t>and that the modelled estimates were adjusted with a half-cycle correction</w:t>
      </w:r>
      <w:r w:rsidR="00D8662B" w:rsidRPr="00810C1E">
        <w:t xml:space="preserve">. </w:t>
      </w:r>
      <w:r w:rsidR="000F1C7B">
        <w:t>The pre-PBAC response argued that maintaining a modest amount of extrapolation of effect for romosozumab vs alendronate over years 4 and 5 was</w:t>
      </w:r>
      <w:r w:rsidR="00BD6B44">
        <w:t xml:space="preserve"> appropriate.</w:t>
      </w:r>
      <w:bookmarkEnd w:id="42"/>
      <w:r w:rsidR="00BD6B44">
        <w:t xml:space="preserve"> </w:t>
      </w:r>
      <w:r w:rsidR="00B85807">
        <w:t xml:space="preserve">In addition, the pre-PBAC response argued that applying both the treatment discontinuation of 20% per year and convergence by 4 years would be overly conservative. </w:t>
      </w:r>
      <w:r w:rsidR="00D8662B" w:rsidRPr="00810C1E">
        <w:t xml:space="preserve"> </w:t>
      </w:r>
      <w:r w:rsidR="00166719" w:rsidRPr="00810C1E" w:rsidDel="00166719">
        <w:t xml:space="preserve"> </w:t>
      </w:r>
      <w:bookmarkEnd w:id="43"/>
      <w:bookmarkEnd w:id="44"/>
    </w:p>
    <w:p w14:paraId="193F6CB4" w14:textId="77777777" w:rsidR="00861436" w:rsidRPr="000F11B3" w:rsidRDefault="00861436" w:rsidP="00BE7594">
      <w:pPr>
        <w:pStyle w:val="COMexecsumnumberedpara"/>
      </w:pPr>
      <w:r w:rsidRPr="000F11B3">
        <w:t>The model structure was unchanged from the July 2022 submission. All patients start in the baseline health state of no incident fracture, with an elevated mortality risk due to prior prevalent fracture. In each annual cycle, patients can have no event, or experience a hip fracture, vertebral fracture, other fracture, or death. Patients experiencing multiple fracture events accrue the costs and consequences of each event and have ongoing chronic costs and consequences based on the most severe event (hip fracture &gt; vertebral fracture &gt; severe osteoporosis with no fracture/other fracture). The model uses tunnel states to adjust mortality risk based on time since fracture.</w:t>
      </w:r>
    </w:p>
    <w:p w14:paraId="313A0723" w14:textId="77777777" w:rsidR="00861436" w:rsidRDefault="00861436" w:rsidP="00BE7594">
      <w:pPr>
        <w:pStyle w:val="ExecSumBodyText"/>
        <w:numPr>
          <w:ilvl w:val="1"/>
          <w:numId w:val="4"/>
        </w:numPr>
      </w:pPr>
      <w:r w:rsidRPr="00052901">
        <w:t xml:space="preserve">Patients receive romosozumab for one year followed by alendronate or alendronate only throughout the course of the model. In each cycle, patients who are alive can discontinue treatment and enter </w:t>
      </w:r>
      <w:r>
        <w:t>corresponding</w:t>
      </w:r>
      <w:r w:rsidRPr="00052901">
        <w:t xml:space="preserve"> off-treatment health states of no fracture/other fracture, hip fracture or vertebral fracture. In each cycle, patients in the off-treatment health states can also have no event or experience a hip fracture, vertebral fracture, other fracture, or death; however, these patients are at an elevated fracture risk compared to those remaining on treatment. Patients who are off treatment have no treatment costs and accrue the same fracture-related costs and consequences as on-treatment patients.</w:t>
      </w:r>
    </w:p>
    <w:p w14:paraId="1A30AA13" w14:textId="77777777" w:rsidR="00861436" w:rsidRDefault="00861436" w:rsidP="00BE7594">
      <w:pPr>
        <w:pStyle w:val="ExecSumBodyText"/>
        <w:numPr>
          <w:ilvl w:val="1"/>
          <w:numId w:val="4"/>
        </w:numPr>
      </w:pPr>
      <w:r w:rsidRPr="00C86F91">
        <w:t xml:space="preserve">The resubmission acknowledged that the use of the cohort model structure limited the ability to track multiple fractures at the same site, which necessitated the use of incidence rather than event rates in the model and restricted the attribution of fracture-related costs and consequences. </w:t>
      </w:r>
      <w:r w:rsidRPr="003074AF">
        <w:t xml:space="preserve">A microsimulation would have greater ability to track patients when many health states are of relevance as well as when </w:t>
      </w:r>
      <w:r w:rsidRPr="003074AF">
        <w:lastRenderedPageBreak/>
        <w:t>patients are assumed to be at changing risk of incurring multiple events with long term consequences, as is the case with osteoporosis.</w:t>
      </w:r>
      <w:r w:rsidRPr="00C86F91">
        <w:t xml:space="preserve">   </w:t>
      </w:r>
    </w:p>
    <w:p w14:paraId="57F96501" w14:textId="24405F77" w:rsidR="00861436" w:rsidRPr="00052901" w:rsidRDefault="00861436" w:rsidP="00BE7594">
      <w:pPr>
        <w:pStyle w:val="ExecSumBodyText"/>
        <w:numPr>
          <w:ilvl w:val="1"/>
          <w:numId w:val="4"/>
        </w:numPr>
      </w:pPr>
      <w:r>
        <w:t xml:space="preserve">Key drivers of the economic model are summarised in </w:t>
      </w:r>
      <w:r>
        <w:fldChar w:fldCharType="begin" w:fldLock="1"/>
      </w:r>
      <w:r>
        <w:instrText xml:space="preserve"> REF _Ref120856648 \h </w:instrText>
      </w:r>
      <w:r>
        <w:fldChar w:fldCharType="separate"/>
      </w:r>
      <w:r w:rsidR="00605CB9">
        <w:t xml:space="preserve">Table </w:t>
      </w:r>
      <w:r w:rsidR="00605CB9">
        <w:rPr>
          <w:noProof/>
        </w:rPr>
        <w:t>9</w:t>
      </w:r>
      <w:r>
        <w:fldChar w:fldCharType="end"/>
      </w:r>
      <w:r>
        <w:t xml:space="preserve"> below.</w:t>
      </w:r>
    </w:p>
    <w:p w14:paraId="15A4C9DB" w14:textId="545830D9" w:rsidR="00861436" w:rsidRDefault="00861436" w:rsidP="008D36AC">
      <w:pPr>
        <w:pStyle w:val="COMtablefigcaption"/>
      </w:pPr>
      <w:bookmarkStart w:id="46" w:name="_Ref120856648"/>
      <w:r>
        <w:t xml:space="preserve">Table </w:t>
      </w:r>
      <w:fldSimple w:instr=" SEQ Table \* ARABIC " w:fldLock="1">
        <w:r w:rsidR="00B20BD0">
          <w:rPr>
            <w:noProof/>
          </w:rPr>
          <w:t>9</w:t>
        </w:r>
      </w:fldSimple>
      <w:bookmarkEnd w:id="46"/>
      <w:r>
        <w:t xml:space="preserve">: </w:t>
      </w:r>
      <w:r w:rsidRPr="00262BDA">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26"/>
        <w:gridCol w:w="6566"/>
        <w:gridCol w:w="1225"/>
      </w:tblGrid>
      <w:tr w:rsidR="00861436" w:rsidRPr="00262BDA" w14:paraId="344F6E4B" w14:textId="77777777" w:rsidTr="0077002B">
        <w:trPr>
          <w:tblHeader/>
        </w:trPr>
        <w:tc>
          <w:tcPr>
            <w:tcW w:w="680" w:type="pct"/>
            <w:shd w:val="clear" w:color="auto" w:fill="auto"/>
            <w:vAlign w:val="center"/>
          </w:tcPr>
          <w:p w14:paraId="6DE09F03" w14:textId="77777777" w:rsidR="00861436" w:rsidRPr="00262BDA" w:rsidRDefault="00861436" w:rsidP="0077002B">
            <w:pPr>
              <w:pStyle w:val="Tableheadingrow"/>
              <w:jc w:val="center"/>
              <w:rPr>
                <w:lang w:val="en-AU"/>
              </w:rPr>
            </w:pPr>
            <w:r w:rsidRPr="00262BDA">
              <w:rPr>
                <w:lang w:val="en-AU"/>
              </w:rPr>
              <w:t>Description</w:t>
            </w:r>
          </w:p>
        </w:tc>
        <w:tc>
          <w:tcPr>
            <w:tcW w:w="3641" w:type="pct"/>
            <w:shd w:val="clear" w:color="auto" w:fill="auto"/>
            <w:vAlign w:val="center"/>
          </w:tcPr>
          <w:p w14:paraId="5D4128BB" w14:textId="77777777" w:rsidR="00861436" w:rsidRPr="00262BDA" w:rsidRDefault="00861436" w:rsidP="0077002B">
            <w:pPr>
              <w:pStyle w:val="Tableheadingrow"/>
              <w:jc w:val="center"/>
              <w:rPr>
                <w:lang w:val="en-AU"/>
              </w:rPr>
            </w:pPr>
            <w:r w:rsidRPr="00262BDA">
              <w:rPr>
                <w:lang w:val="en-AU"/>
              </w:rPr>
              <w:t>Method/Value</w:t>
            </w:r>
          </w:p>
        </w:tc>
        <w:tc>
          <w:tcPr>
            <w:tcW w:w="679" w:type="pct"/>
            <w:shd w:val="clear" w:color="auto" w:fill="auto"/>
            <w:vAlign w:val="center"/>
          </w:tcPr>
          <w:p w14:paraId="27C4647A" w14:textId="77777777" w:rsidR="00861436" w:rsidRPr="00262BDA" w:rsidRDefault="00861436" w:rsidP="0077002B">
            <w:pPr>
              <w:pStyle w:val="Tableheadingrow"/>
              <w:jc w:val="center"/>
              <w:rPr>
                <w:lang w:val="en-AU"/>
              </w:rPr>
            </w:pPr>
            <w:r w:rsidRPr="00262BDA">
              <w:rPr>
                <w:lang w:val="en-AU"/>
              </w:rPr>
              <w:t>Impact</w:t>
            </w:r>
          </w:p>
        </w:tc>
      </w:tr>
      <w:tr w:rsidR="00861436" w:rsidRPr="00262BDA" w14:paraId="4765EF6D" w14:textId="77777777" w:rsidTr="0077002B">
        <w:tc>
          <w:tcPr>
            <w:tcW w:w="680" w:type="pct"/>
            <w:shd w:val="clear" w:color="auto" w:fill="auto"/>
            <w:vAlign w:val="center"/>
          </w:tcPr>
          <w:p w14:paraId="66470225" w14:textId="77777777" w:rsidR="00861436" w:rsidRPr="00262BDA" w:rsidRDefault="00861436" w:rsidP="0077002B">
            <w:pPr>
              <w:pStyle w:val="TableText0"/>
            </w:pPr>
            <w:r>
              <w:t>Magnitude of treatment effect</w:t>
            </w:r>
          </w:p>
        </w:tc>
        <w:tc>
          <w:tcPr>
            <w:tcW w:w="3641" w:type="pct"/>
            <w:shd w:val="clear" w:color="auto" w:fill="auto"/>
            <w:vAlign w:val="center"/>
          </w:tcPr>
          <w:p w14:paraId="4D2A298C" w14:textId="77777777" w:rsidR="00861436" w:rsidRPr="003074AF" w:rsidRDefault="00861436" w:rsidP="0077002B">
            <w:pPr>
              <w:pStyle w:val="TableText0"/>
            </w:pPr>
            <w:r w:rsidRPr="003074AF">
              <w:t>Treatment effects modelled based on data from the ARCH trial. The estimated cost-effectiveness of romosozumab is sensitive to uncertainty around the point estimates used in the model.</w:t>
            </w:r>
          </w:p>
        </w:tc>
        <w:tc>
          <w:tcPr>
            <w:tcW w:w="679" w:type="pct"/>
            <w:shd w:val="clear" w:color="auto" w:fill="auto"/>
            <w:vAlign w:val="center"/>
          </w:tcPr>
          <w:p w14:paraId="6588AD1C" w14:textId="77777777" w:rsidR="00861436" w:rsidRPr="003074AF" w:rsidRDefault="00861436" w:rsidP="0077002B">
            <w:pPr>
              <w:pStyle w:val="TableText0"/>
              <w:jc w:val="center"/>
            </w:pPr>
            <w:r w:rsidRPr="003074AF">
              <w:t>High, favours romosozumab</w:t>
            </w:r>
          </w:p>
        </w:tc>
      </w:tr>
      <w:tr w:rsidR="00861436" w:rsidRPr="00262BDA" w14:paraId="6CDD6B83" w14:textId="77777777" w:rsidTr="0077002B">
        <w:tc>
          <w:tcPr>
            <w:tcW w:w="680" w:type="pct"/>
            <w:shd w:val="clear" w:color="auto" w:fill="auto"/>
            <w:vAlign w:val="center"/>
          </w:tcPr>
          <w:p w14:paraId="2C9F03C9" w14:textId="77777777" w:rsidR="00861436" w:rsidRDefault="00861436" w:rsidP="0077002B">
            <w:pPr>
              <w:pStyle w:val="TableText0"/>
            </w:pPr>
            <w:r w:rsidRPr="00262BDA">
              <w:t>Extrapolation</w:t>
            </w:r>
            <w:r>
              <w:t xml:space="preserve"> of treatment effect</w:t>
            </w:r>
          </w:p>
        </w:tc>
        <w:tc>
          <w:tcPr>
            <w:tcW w:w="3641" w:type="pct"/>
            <w:shd w:val="clear" w:color="auto" w:fill="auto"/>
            <w:vAlign w:val="center"/>
          </w:tcPr>
          <w:p w14:paraId="6B611207" w14:textId="77777777" w:rsidR="00861436" w:rsidRPr="003074AF" w:rsidRDefault="00861436" w:rsidP="0077002B">
            <w:pPr>
              <w:pStyle w:val="TableText0"/>
            </w:pPr>
            <w:r w:rsidRPr="003074AF">
              <w:t xml:space="preserve">The resubmission claimed that 12-month, 24-month and primary analysis period (median 33 months) outcomes from the ARCH trial show sustained treatment benefit beyond discontinuation of romosozumab after 12 months. Therefore, the resubmission assumed that treatment benefit would not immediately diminish to zero after the 3-year trial period. In the base case, the resubmission assumed that treatment efficacy associated with romosozumab would diminish in a linear fashion between Years 4-6, after which the romosozumab arm is attributed the same fracture risks as the alendronate arm. No long-term data are available in support of the comparative efficacy of romosozumab versus alendronate beyond the trial duration. The PBAC considered that convergence at 4 years would be more likely to reflect a real world setting (para 7.10, Romosozumab PSD, July 2022 PBAC meeting).  </w:t>
            </w:r>
          </w:p>
        </w:tc>
        <w:tc>
          <w:tcPr>
            <w:tcW w:w="679" w:type="pct"/>
            <w:shd w:val="clear" w:color="auto" w:fill="auto"/>
            <w:vAlign w:val="center"/>
          </w:tcPr>
          <w:p w14:paraId="05FD98D9" w14:textId="77777777" w:rsidR="00861436" w:rsidRPr="003074AF" w:rsidRDefault="00861436" w:rsidP="0077002B">
            <w:pPr>
              <w:pStyle w:val="TableText0"/>
              <w:jc w:val="center"/>
            </w:pPr>
            <w:r w:rsidRPr="003074AF">
              <w:t xml:space="preserve">High, favours romosozumab </w:t>
            </w:r>
          </w:p>
        </w:tc>
      </w:tr>
      <w:tr w:rsidR="00861436" w:rsidRPr="00262BDA" w14:paraId="37781B5B" w14:textId="77777777" w:rsidTr="0077002B">
        <w:tc>
          <w:tcPr>
            <w:tcW w:w="680" w:type="pct"/>
            <w:shd w:val="clear" w:color="auto" w:fill="auto"/>
            <w:vAlign w:val="center"/>
          </w:tcPr>
          <w:p w14:paraId="057260A7" w14:textId="77777777" w:rsidR="00861436" w:rsidRPr="00262BDA" w:rsidRDefault="00861436" w:rsidP="0077002B">
            <w:pPr>
              <w:pStyle w:val="TableText0"/>
            </w:pPr>
            <w:r>
              <w:t>Circumstances of use</w:t>
            </w:r>
          </w:p>
        </w:tc>
        <w:tc>
          <w:tcPr>
            <w:tcW w:w="3641" w:type="pct"/>
            <w:shd w:val="clear" w:color="auto" w:fill="auto"/>
            <w:vAlign w:val="center"/>
          </w:tcPr>
          <w:p w14:paraId="0FF2950D" w14:textId="77777777" w:rsidR="00861436" w:rsidRPr="003074AF" w:rsidRDefault="00861436" w:rsidP="0077002B">
            <w:pPr>
              <w:pStyle w:val="TableText0"/>
            </w:pPr>
            <w:r w:rsidRPr="003074AF">
              <w:t xml:space="preserve">The resubmission assumed treatment adherence of 90% based on drug exposure data from the ARCH trial, applied as an ongoing fixed reduction to drug costs only. The approach used to estimate imperfect adherence may not be appropriate as the trial-based drug exposure did not differentiate between treatment adherence (i.e. extent to which patients conformed to the timing, dosage and frequency of the drug) and persistence (i.e. duration of time from treatment initiation to discontinuation). The resubmission’s approach is likely to overestimate trial-based non-adherence given 10% of patients discontinued in the first year of the trial. The resubmission did not adequately justify the assumption of equivalent treatment adherence between all modelled treatments. Overall, trial-based adherence estimates may not be representative of real-world adherence, particularly in terms of long-term use of alendronate and denosumab. </w:t>
            </w:r>
          </w:p>
          <w:p w14:paraId="684CD7E8" w14:textId="77777777" w:rsidR="00861436" w:rsidRPr="003074AF" w:rsidRDefault="00861436" w:rsidP="0077002B">
            <w:pPr>
              <w:pStyle w:val="TableText0"/>
            </w:pPr>
          </w:p>
          <w:p w14:paraId="6703C45C" w14:textId="77777777" w:rsidR="00861436" w:rsidRPr="003074AF" w:rsidRDefault="00861436" w:rsidP="0077002B">
            <w:pPr>
              <w:pStyle w:val="TableText0"/>
            </w:pPr>
            <w:r w:rsidRPr="003074AF">
              <w:t xml:space="preserve">The resubmission assumed annual treatment persistence of 80% for all modelled treatments. Patients who discontinue treatment no longer accrued drug and administration costs and were attributed elevated fracture risk. The assumption of equivalent levels of persistence between all modelled therapies was inadequately justified given differences in terms of mode of administration, dosing frequency and total treatment duration. </w:t>
            </w:r>
          </w:p>
          <w:p w14:paraId="1690D88A" w14:textId="77777777" w:rsidR="00861436" w:rsidRPr="003074AF" w:rsidRDefault="00861436" w:rsidP="0077002B">
            <w:pPr>
              <w:pStyle w:val="TableText0"/>
            </w:pPr>
          </w:p>
          <w:p w14:paraId="4DCFD4D0" w14:textId="77777777" w:rsidR="00861436" w:rsidRPr="003074AF" w:rsidRDefault="00861436" w:rsidP="0077002B">
            <w:pPr>
              <w:pStyle w:val="TableText0"/>
            </w:pPr>
            <w:r w:rsidRPr="003074AF">
              <w:t>Overall, modelled adherence and persistence are unlikely to reflect both trial-based and real-world circumstances of use. No long-term adherence and persistence data were provided in the resubmission.</w:t>
            </w:r>
          </w:p>
        </w:tc>
        <w:tc>
          <w:tcPr>
            <w:tcW w:w="679" w:type="pct"/>
            <w:shd w:val="clear" w:color="auto" w:fill="auto"/>
            <w:vAlign w:val="center"/>
          </w:tcPr>
          <w:p w14:paraId="39240F9F" w14:textId="77777777" w:rsidR="00861436" w:rsidRPr="003074AF" w:rsidRDefault="00861436" w:rsidP="0077002B">
            <w:pPr>
              <w:pStyle w:val="TableText0"/>
              <w:jc w:val="center"/>
            </w:pPr>
            <w:r w:rsidRPr="003074AF">
              <w:t>High, favours romosozumab</w:t>
            </w:r>
          </w:p>
        </w:tc>
      </w:tr>
    </w:tbl>
    <w:p w14:paraId="15BE4EAC" w14:textId="77777777" w:rsidR="00861436" w:rsidRPr="00262BDA" w:rsidRDefault="00861436" w:rsidP="00861436">
      <w:pPr>
        <w:pStyle w:val="COMTablefooter"/>
      </w:pPr>
      <w:r w:rsidRPr="00262BDA">
        <w:t xml:space="preserve">Source: </w:t>
      </w:r>
      <w:r>
        <w:t>constructed during the evaluation</w:t>
      </w:r>
    </w:p>
    <w:p w14:paraId="40DCE371" w14:textId="6C10933F" w:rsidR="00861436" w:rsidRPr="00445FAC" w:rsidRDefault="00861436" w:rsidP="00BE7594">
      <w:pPr>
        <w:pStyle w:val="COMexecsumnumberedpara"/>
      </w:pPr>
      <w:r w:rsidRPr="00445FAC">
        <w:t xml:space="preserve">The resubmission presented a comparison of fracture incidence in the current </w:t>
      </w:r>
      <w:r>
        <w:t xml:space="preserve">model </w:t>
      </w:r>
      <w:r w:rsidRPr="00445FAC">
        <w:t>versus</w:t>
      </w:r>
      <w:r>
        <w:t xml:space="preserve"> the</w:t>
      </w:r>
      <w:r w:rsidRPr="00445FAC">
        <w:t xml:space="preserve"> July 2022 model</w:t>
      </w:r>
      <w:r>
        <w:t xml:space="preserve">. </w:t>
      </w:r>
      <w:r w:rsidRPr="00F405A9">
        <w:t>The comparison indicated a higher incidence of fractures and lower incremental differences between romosozumab/alendronate and alendronate in the current submission versus the July 2022 submission, consistent with the higher annual discontinuation rate used in the current submission (20% versus 5% in the July 2022 submission).</w:t>
      </w:r>
    </w:p>
    <w:p w14:paraId="750E4069" w14:textId="77777777" w:rsidR="00861436" w:rsidRPr="003074AF" w:rsidRDefault="00861436" w:rsidP="00BE7594">
      <w:pPr>
        <w:pStyle w:val="ExecSumBodyText"/>
        <w:numPr>
          <w:ilvl w:val="1"/>
          <w:numId w:val="4"/>
        </w:numPr>
      </w:pPr>
      <w:r w:rsidRPr="003074AF">
        <w:lastRenderedPageBreak/>
        <w:t xml:space="preserve">The resubmission assumed constant fracture risk over time, which was inconsistent with the resubmission’s claim that patients with a recent fracture are at high imminent risk of a subsequent fracture. This approach was also inconsistent with published economic evaluations that calculated changing risk over time based on changing patient characteristics (e.g. age, fracture burden). </w:t>
      </w:r>
    </w:p>
    <w:p w14:paraId="3EC9FE98" w14:textId="77777777" w:rsidR="00861436" w:rsidRPr="003074AF" w:rsidRDefault="00861436" w:rsidP="00BE7594">
      <w:pPr>
        <w:pStyle w:val="ExecSumBodyText"/>
        <w:numPr>
          <w:ilvl w:val="1"/>
          <w:numId w:val="4"/>
        </w:numPr>
      </w:pPr>
      <w:r w:rsidRPr="003074AF">
        <w:t xml:space="preserve">The resubmission did not adequately justify the use of inverted treatment effect estimates from the meta-analysis of the FIT trial cohorts (alendronate placebo-controlled trial) to quantify elevated fracture risk in patients who have stopped romosozumab and/or alendronate in the economic model. There are concerns with the robustness of the meta-analysis and applicability of these estimates to the PBS population given the data are relatively old (conducted in the mid-1990s) and the trial used lower than currently recommended doses of alendronate. </w:t>
      </w:r>
    </w:p>
    <w:p w14:paraId="6638F032" w14:textId="4A57F457" w:rsidR="00861436" w:rsidRPr="00810C1E" w:rsidRDefault="00861436" w:rsidP="00BE7594">
      <w:pPr>
        <w:pStyle w:val="ExecSumBodyText"/>
        <w:numPr>
          <w:ilvl w:val="1"/>
          <w:numId w:val="4"/>
        </w:numPr>
      </w:pPr>
      <w:bookmarkStart w:id="47" w:name="_Ref127786842"/>
      <w:r>
        <w:t xml:space="preserve">The resubmission estimated mortality multipliers based on the Dubbo Osteoporosis Epidemiology Study that recruited older Australians who sustained a fracture between 1989 and 2007. </w:t>
      </w:r>
      <w:r w:rsidRPr="003074AF">
        <w:t xml:space="preserve">The results from the Dubbo Osteoporosis Epidemiology Study indicate an association between osteoporotic fracture and increased mortality but do not demonstrate causation. Additionally, the </w:t>
      </w:r>
      <w:r w:rsidR="0052319E" w:rsidRPr="00D25042">
        <w:t>ESC noted the</w:t>
      </w:r>
      <w:r w:rsidR="0052319E">
        <w:rPr>
          <w:i/>
          <w:iCs/>
        </w:rPr>
        <w:t xml:space="preserve"> </w:t>
      </w:r>
      <w:r w:rsidRPr="003074AF">
        <w:t xml:space="preserve">data are relatively old and may not be applicable to current practice. </w:t>
      </w:r>
      <w:r w:rsidR="00114B4D" w:rsidRPr="00810C1E">
        <w:t>Overall, the ESC considered there is limited evidence to support the inclusion of mortality multipliers in the model.</w:t>
      </w:r>
      <w:bookmarkEnd w:id="47"/>
      <w:r w:rsidR="00904741">
        <w:t xml:space="preserve"> </w:t>
      </w:r>
    </w:p>
    <w:p w14:paraId="3163AC58" w14:textId="77777777" w:rsidR="00861436" w:rsidRPr="003074AF" w:rsidRDefault="00861436" w:rsidP="00BE7594">
      <w:pPr>
        <w:pStyle w:val="ExecSumBodyText"/>
        <w:numPr>
          <w:ilvl w:val="1"/>
          <w:numId w:val="4"/>
        </w:numPr>
      </w:pPr>
      <w:r w:rsidRPr="00052901">
        <w:t>The impact of cardiovascular events was implemented as a fixed incremental cost (first year only) and ongoing disutility</w:t>
      </w:r>
      <w:r>
        <w:t xml:space="preserve"> in</w:t>
      </w:r>
      <w:r w:rsidRPr="00052901">
        <w:t xml:space="preserve"> the romosozumab arm only based on the between arm difference in the incidence of serious cardiovascular events reported in the ARCH trial</w:t>
      </w:r>
      <w:r w:rsidRPr="003074AF">
        <w:t xml:space="preserve">.  The resubmission assumed no mortality impact associated with cardiovascular events, which was inconsistent with the trial.  </w:t>
      </w:r>
    </w:p>
    <w:p w14:paraId="57D78150" w14:textId="095A78B3" w:rsidR="00861436" w:rsidRPr="00286CC2" w:rsidRDefault="00861436" w:rsidP="00BE7594">
      <w:pPr>
        <w:pStyle w:val="COMexecsumnumberedpara"/>
      </w:pPr>
      <w:r>
        <w:fldChar w:fldCharType="begin" w:fldLock="1"/>
      </w:r>
      <w:r>
        <w:instrText xml:space="preserve"> REF _Ref120858179 \h </w:instrText>
      </w:r>
      <w:r>
        <w:fldChar w:fldCharType="separate"/>
      </w:r>
      <w:r w:rsidR="00605CB9" w:rsidRPr="005478BD">
        <w:t xml:space="preserve">Table </w:t>
      </w:r>
      <w:r w:rsidR="00605CB9">
        <w:rPr>
          <w:noProof/>
        </w:rPr>
        <w:t>10</w:t>
      </w:r>
      <w:r>
        <w:fldChar w:fldCharType="end"/>
      </w:r>
      <w:r>
        <w:t xml:space="preserve"> </w:t>
      </w:r>
      <w:r w:rsidRPr="00286CC2">
        <w:t>presents a stepped economic evaluation from the July 2022 base case to the base case in the current resubmission.</w:t>
      </w:r>
    </w:p>
    <w:p w14:paraId="0188AFA2" w14:textId="67EDD735" w:rsidR="00861436" w:rsidRPr="005478BD" w:rsidRDefault="00861436" w:rsidP="008D36AC">
      <w:pPr>
        <w:pStyle w:val="COMtablefigcaption"/>
      </w:pPr>
      <w:bookmarkStart w:id="48" w:name="_Ref120858179"/>
      <w:r w:rsidRPr="005478BD">
        <w:lastRenderedPageBreak/>
        <w:t xml:space="preserve">Table </w:t>
      </w:r>
      <w:fldSimple w:instr=" SEQ Table \* ARABIC " w:fldLock="1">
        <w:r w:rsidR="00B20BD0">
          <w:rPr>
            <w:noProof/>
          </w:rPr>
          <w:t>10</w:t>
        </w:r>
      </w:fldSimple>
      <w:bookmarkEnd w:id="48"/>
      <w:r w:rsidRPr="005478BD">
        <w:t>: Results of the stepped economic evaluation</w:t>
      </w:r>
      <w:r>
        <w:t xml:space="preserve"> from July 2022 base case to current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861436" w:rsidRPr="00CF08DE" w14:paraId="52A0F35B" w14:textId="77777777" w:rsidTr="0077002B">
        <w:trPr>
          <w:tblHeader/>
        </w:trPr>
        <w:tc>
          <w:tcPr>
            <w:tcW w:w="1529" w:type="pct"/>
            <w:vAlign w:val="center"/>
          </w:tcPr>
          <w:p w14:paraId="73C69DF5" w14:textId="77777777" w:rsidR="00861436" w:rsidRPr="00CF08DE" w:rsidRDefault="00861436" w:rsidP="0077002B">
            <w:pPr>
              <w:pStyle w:val="COMTableheadingrow"/>
              <w:rPr>
                <w:szCs w:val="20"/>
              </w:rPr>
            </w:pPr>
            <w:r w:rsidRPr="00CF08DE">
              <w:rPr>
                <w:szCs w:val="20"/>
              </w:rPr>
              <w:t>Step and component</w:t>
            </w:r>
          </w:p>
        </w:tc>
        <w:tc>
          <w:tcPr>
            <w:tcW w:w="1359" w:type="pct"/>
            <w:vAlign w:val="center"/>
          </w:tcPr>
          <w:p w14:paraId="25A6C47B" w14:textId="77777777" w:rsidR="00861436" w:rsidRPr="00CF08DE" w:rsidRDefault="00861436" w:rsidP="0077002B">
            <w:pPr>
              <w:pStyle w:val="COMTableheadingrow"/>
              <w:jc w:val="center"/>
              <w:rPr>
                <w:szCs w:val="20"/>
              </w:rPr>
            </w:pPr>
            <w:r>
              <w:rPr>
                <w:szCs w:val="20"/>
              </w:rPr>
              <w:t>Romosozumab/alendronate</w:t>
            </w:r>
          </w:p>
        </w:tc>
        <w:tc>
          <w:tcPr>
            <w:tcW w:w="1274" w:type="pct"/>
            <w:vAlign w:val="center"/>
          </w:tcPr>
          <w:p w14:paraId="09CC6719" w14:textId="77777777" w:rsidR="00861436" w:rsidRPr="00CF08DE" w:rsidRDefault="00861436" w:rsidP="0077002B">
            <w:pPr>
              <w:pStyle w:val="COMTableheadingrow"/>
              <w:jc w:val="center"/>
              <w:rPr>
                <w:szCs w:val="20"/>
              </w:rPr>
            </w:pPr>
            <w:r>
              <w:rPr>
                <w:szCs w:val="20"/>
              </w:rPr>
              <w:t>Alendronate/alendronate</w:t>
            </w:r>
          </w:p>
        </w:tc>
        <w:tc>
          <w:tcPr>
            <w:tcW w:w="838" w:type="pct"/>
            <w:vAlign w:val="center"/>
          </w:tcPr>
          <w:p w14:paraId="019BD758" w14:textId="77777777" w:rsidR="00861436" w:rsidRPr="00CF08DE" w:rsidRDefault="00861436" w:rsidP="0077002B">
            <w:pPr>
              <w:pStyle w:val="COMTableheadingrow"/>
              <w:jc w:val="center"/>
              <w:rPr>
                <w:szCs w:val="20"/>
              </w:rPr>
            </w:pPr>
            <w:r w:rsidRPr="00CF08DE">
              <w:rPr>
                <w:szCs w:val="20"/>
              </w:rPr>
              <w:t>Increment</w:t>
            </w:r>
          </w:p>
        </w:tc>
      </w:tr>
      <w:tr w:rsidR="00861436" w:rsidRPr="00CF08DE" w14:paraId="626F5207" w14:textId="77777777" w:rsidTr="0077002B">
        <w:tc>
          <w:tcPr>
            <w:tcW w:w="5000" w:type="pct"/>
            <w:gridSpan w:val="4"/>
            <w:vAlign w:val="center"/>
          </w:tcPr>
          <w:p w14:paraId="03A4C03B" w14:textId="77777777" w:rsidR="00861436" w:rsidRPr="00CF08DE" w:rsidRDefault="00861436" w:rsidP="0077002B">
            <w:pPr>
              <w:pStyle w:val="COMTabletext"/>
              <w:rPr>
                <w:b/>
                <w:bCs w:val="0"/>
                <w:szCs w:val="20"/>
              </w:rPr>
            </w:pPr>
            <w:r w:rsidRPr="00CF08DE">
              <w:rPr>
                <w:b/>
                <w:bCs w:val="0"/>
                <w:szCs w:val="20"/>
              </w:rPr>
              <w:t>July 2022 submission base case</w:t>
            </w:r>
          </w:p>
        </w:tc>
      </w:tr>
      <w:tr w:rsidR="00861436" w:rsidRPr="00CF08DE" w14:paraId="2AB83ED3" w14:textId="77777777" w:rsidTr="0077002B">
        <w:tc>
          <w:tcPr>
            <w:tcW w:w="1529" w:type="pct"/>
            <w:vAlign w:val="center"/>
          </w:tcPr>
          <w:p w14:paraId="63AAB207" w14:textId="77777777" w:rsidR="00861436" w:rsidRPr="00CF08DE" w:rsidRDefault="00861436" w:rsidP="0077002B">
            <w:pPr>
              <w:pStyle w:val="COMTabletext"/>
              <w:rPr>
                <w:szCs w:val="20"/>
              </w:rPr>
            </w:pPr>
            <w:r w:rsidRPr="00CF08DE">
              <w:rPr>
                <w:szCs w:val="20"/>
              </w:rPr>
              <w:t>Costs</w:t>
            </w:r>
          </w:p>
        </w:tc>
        <w:tc>
          <w:tcPr>
            <w:tcW w:w="1359" w:type="pct"/>
            <w:vAlign w:val="center"/>
          </w:tcPr>
          <w:p w14:paraId="267CAE6E" w14:textId="1B4088EE" w:rsidR="00861436" w:rsidRPr="00CF08DE" w:rsidRDefault="00861436" w:rsidP="0077002B">
            <w:pPr>
              <w:pStyle w:val="COMTabletext"/>
              <w:jc w:val="center"/>
              <w:rPr>
                <w:szCs w:val="20"/>
              </w:rPr>
            </w:pPr>
            <w:r>
              <w:rPr>
                <w:szCs w:val="20"/>
              </w:rPr>
              <w:t>$</w:t>
            </w:r>
            <w:r w:rsidR="009E0870" w:rsidRPr="009E0870">
              <w:rPr>
                <w:color w:val="000000"/>
                <w:szCs w:val="20"/>
                <w:shd w:val="solid" w:color="000000" w:fill="000000"/>
                <w14:textFill>
                  <w14:solidFill>
                    <w14:srgbClr w14:val="000000">
                      <w14:alpha w14:val="100000"/>
                    </w14:srgbClr>
                  </w14:solidFill>
                </w14:textFill>
              </w:rPr>
              <w:t>|</w:t>
            </w:r>
          </w:p>
        </w:tc>
        <w:tc>
          <w:tcPr>
            <w:tcW w:w="1274" w:type="pct"/>
            <w:vAlign w:val="center"/>
          </w:tcPr>
          <w:p w14:paraId="183C7D6B" w14:textId="196C79E4" w:rsidR="00861436" w:rsidRPr="00CF08DE" w:rsidRDefault="00861436" w:rsidP="0077002B">
            <w:pPr>
              <w:pStyle w:val="COMTabletext"/>
              <w:jc w:val="center"/>
              <w:rPr>
                <w:szCs w:val="20"/>
              </w:rPr>
            </w:pPr>
            <w:r>
              <w:rPr>
                <w:szCs w:val="20"/>
              </w:rPr>
              <w:t>$</w:t>
            </w:r>
            <w:r w:rsidR="009E0870" w:rsidRPr="009E0870">
              <w:rPr>
                <w:color w:val="000000"/>
                <w:szCs w:val="20"/>
                <w:shd w:val="solid" w:color="000000" w:fill="000000"/>
                <w14:textFill>
                  <w14:solidFill>
                    <w14:srgbClr w14:val="000000">
                      <w14:alpha w14:val="100000"/>
                    </w14:srgbClr>
                  </w14:solidFill>
                </w14:textFill>
              </w:rPr>
              <w:t>|</w:t>
            </w:r>
          </w:p>
        </w:tc>
        <w:tc>
          <w:tcPr>
            <w:tcW w:w="838" w:type="pct"/>
            <w:vAlign w:val="center"/>
          </w:tcPr>
          <w:p w14:paraId="63A421F9" w14:textId="1366FC0B" w:rsidR="00861436" w:rsidRPr="00CF08DE" w:rsidRDefault="00861436" w:rsidP="0077002B">
            <w:pPr>
              <w:pStyle w:val="COMTabletext"/>
              <w:jc w:val="center"/>
              <w:rPr>
                <w:szCs w:val="20"/>
              </w:rPr>
            </w:pPr>
            <w:r w:rsidRPr="00CF08DE">
              <w:rPr>
                <w:szCs w:val="20"/>
              </w:rPr>
              <w:t>$</w:t>
            </w:r>
            <w:r w:rsidR="009E0870" w:rsidRPr="009E0870">
              <w:rPr>
                <w:color w:val="000000"/>
                <w:spacing w:val="106"/>
                <w:szCs w:val="20"/>
                <w:shd w:val="solid" w:color="000000" w:fill="000000"/>
                <w:fitText w:val="192" w:id="-1232957686"/>
                <w14:textFill>
                  <w14:solidFill>
                    <w14:srgbClr w14:val="000000">
                      <w14:alpha w14:val="100000"/>
                    </w14:srgbClr>
                  </w14:solidFill>
                </w14:textFill>
              </w:rPr>
              <w:t>|</w:t>
            </w:r>
            <w:r w:rsidR="009E0870" w:rsidRPr="009E0870">
              <w:rPr>
                <w:color w:val="000000"/>
                <w:spacing w:val="1"/>
                <w:szCs w:val="20"/>
                <w:shd w:val="solid" w:color="000000" w:fill="000000"/>
                <w:fitText w:val="192" w:id="-1232957686"/>
                <w14:textFill>
                  <w14:solidFill>
                    <w14:srgbClr w14:val="000000">
                      <w14:alpha w14:val="100000"/>
                    </w14:srgbClr>
                  </w14:solidFill>
                </w14:textFill>
              </w:rPr>
              <w:t>|</w:t>
            </w:r>
          </w:p>
        </w:tc>
      </w:tr>
      <w:tr w:rsidR="00861436" w:rsidRPr="00CF08DE" w14:paraId="6410A0E0" w14:textId="77777777" w:rsidTr="0077002B">
        <w:tc>
          <w:tcPr>
            <w:tcW w:w="1529" w:type="pct"/>
            <w:vAlign w:val="center"/>
          </w:tcPr>
          <w:p w14:paraId="794EF7AB" w14:textId="77777777" w:rsidR="00861436" w:rsidRPr="00CF08DE" w:rsidRDefault="00861436" w:rsidP="0077002B">
            <w:pPr>
              <w:pStyle w:val="COMTabletext"/>
              <w:rPr>
                <w:szCs w:val="20"/>
              </w:rPr>
            </w:pPr>
            <w:r w:rsidRPr="00CF08DE">
              <w:rPr>
                <w:szCs w:val="20"/>
              </w:rPr>
              <w:t>QALYs</w:t>
            </w:r>
          </w:p>
        </w:tc>
        <w:tc>
          <w:tcPr>
            <w:tcW w:w="1359" w:type="pct"/>
            <w:vAlign w:val="center"/>
          </w:tcPr>
          <w:p w14:paraId="65806536" w14:textId="77777777" w:rsidR="00861436" w:rsidRPr="00CF08DE" w:rsidRDefault="00861436" w:rsidP="0077002B">
            <w:pPr>
              <w:pStyle w:val="COMTabletext"/>
              <w:jc w:val="center"/>
              <w:rPr>
                <w:szCs w:val="20"/>
              </w:rPr>
            </w:pPr>
            <w:r>
              <w:rPr>
                <w:szCs w:val="20"/>
              </w:rPr>
              <w:t>9.4755</w:t>
            </w:r>
          </w:p>
        </w:tc>
        <w:tc>
          <w:tcPr>
            <w:tcW w:w="1274" w:type="pct"/>
            <w:vAlign w:val="center"/>
          </w:tcPr>
          <w:p w14:paraId="09B7BFD5" w14:textId="77777777" w:rsidR="00861436" w:rsidRPr="00CF08DE" w:rsidRDefault="00861436" w:rsidP="0077002B">
            <w:pPr>
              <w:pStyle w:val="COMTabletext"/>
              <w:jc w:val="center"/>
              <w:rPr>
                <w:szCs w:val="20"/>
              </w:rPr>
            </w:pPr>
            <w:r>
              <w:rPr>
                <w:szCs w:val="20"/>
              </w:rPr>
              <w:t>9,4213</w:t>
            </w:r>
          </w:p>
        </w:tc>
        <w:tc>
          <w:tcPr>
            <w:tcW w:w="838" w:type="pct"/>
            <w:vAlign w:val="center"/>
          </w:tcPr>
          <w:p w14:paraId="6947017A" w14:textId="77777777" w:rsidR="00861436" w:rsidRPr="00CF08DE" w:rsidRDefault="00861436" w:rsidP="0077002B">
            <w:pPr>
              <w:pStyle w:val="COMTabletext"/>
              <w:jc w:val="center"/>
              <w:rPr>
                <w:szCs w:val="20"/>
              </w:rPr>
            </w:pPr>
            <w:r w:rsidRPr="00CF08DE">
              <w:rPr>
                <w:szCs w:val="20"/>
              </w:rPr>
              <w:t>0.0542</w:t>
            </w:r>
          </w:p>
        </w:tc>
      </w:tr>
      <w:tr w:rsidR="00861436" w:rsidRPr="00CF08DE" w14:paraId="34C7BAB9" w14:textId="77777777" w:rsidTr="0077002B">
        <w:tc>
          <w:tcPr>
            <w:tcW w:w="4162" w:type="pct"/>
            <w:gridSpan w:val="3"/>
            <w:vAlign w:val="center"/>
          </w:tcPr>
          <w:p w14:paraId="6CF89F5E" w14:textId="77777777" w:rsidR="00861436" w:rsidRPr="00CF08DE" w:rsidRDefault="00861436" w:rsidP="0077002B">
            <w:pPr>
              <w:pStyle w:val="COMTabletext"/>
              <w:rPr>
                <w:szCs w:val="20"/>
              </w:rPr>
            </w:pPr>
            <w:r w:rsidRPr="00CF08DE">
              <w:rPr>
                <w:szCs w:val="20"/>
              </w:rPr>
              <w:t>Incremental cost/QALY gained</w:t>
            </w:r>
          </w:p>
        </w:tc>
        <w:tc>
          <w:tcPr>
            <w:tcW w:w="838" w:type="pct"/>
            <w:vAlign w:val="center"/>
          </w:tcPr>
          <w:p w14:paraId="1906CBDE" w14:textId="2C4A2286" w:rsidR="00861436" w:rsidRPr="00CF08DE" w:rsidRDefault="00861436" w:rsidP="0077002B">
            <w:pPr>
              <w:pStyle w:val="COMTabletext"/>
              <w:jc w:val="center"/>
              <w:rPr>
                <w:szCs w:val="20"/>
              </w:rPr>
            </w:pPr>
            <w:r w:rsidRPr="00CF08DE">
              <w:rPr>
                <w:szCs w:val="20"/>
              </w:rPr>
              <w:t>$</w:t>
            </w:r>
            <w:r w:rsidR="009E0870" w:rsidRPr="009E0870">
              <w:rPr>
                <w:color w:val="000000"/>
                <w:spacing w:val="45"/>
                <w:szCs w:val="20"/>
                <w:shd w:val="solid" w:color="000000" w:fill="000000"/>
                <w:fitText w:val="219" w:id="-1232957685"/>
                <w14:textFill>
                  <w14:solidFill>
                    <w14:srgbClr w14:val="000000">
                      <w14:alpha w14:val="100000"/>
                    </w14:srgbClr>
                  </w14:solidFill>
                </w14:textFill>
              </w:rPr>
              <w:t>||</w:t>
            </w:r>
            <w:r w:rsidR="009E0870" w:rsidRPr="009E0870">
              <w:rPr>
                <w:color w:val="000000"/>
                <w:spacing w:val="2"/>
                <w:szCs w:val="20"/>
                <w:shd w:val="solid" w:color="000000" w:fill="000000"/>
                <w:fitText w:val="219" w:id="-1232957685"/>
                <w14:textFill>
                  <w14:solidFill>
                    <w14:srgbClr w14:val="000000">
                      <w14:alpha w14:val="100000"/>
                    </w14:srgbClr>
                  </w14:solidFill>
                </w14:textFill>
              </w:rPr>
              <w:t>|</w:t>
            </w:r>
            <w:r w:rsidR="00C30F6E" w:rsidRPr="00BB5864">
              <w:rPr>
                <w:i/>
                <w:sz w:val="18"/>
                <w:szCs w:val="18"/>
                <w:vertAlign w:val="superscript"/>
              </w:rPr>
              <w:t>1</w:t>
            </w:r>
          </w:p>
        </w:tc>
      </w:tr>
      <w:tr w:rsidR="00861436" w:rsidRPr="00CF08DE" w14:paraId="26E9CFC1" w14:textId="77777777" w:rsidTr="0077002B">
        <w:tc>
          <w:tcPr>
            <w:tcW w:w="5000" w:type="pct"/>
            <w:gridSpan w:val="4"/>
            <w:vAlign w:val="center"/>
          </w:tcPr>
          <w:p w14:paraId="6D531216" w14:textId="77777777" w:rsidR="00861436" w:rsidRPr="00CF08DE" w:rsidRDefault="00861436" w:rsidP="0077002B">
            <w:pPr>
              <w:pStyle w:val="COMTableheadingrow"/>
              <w:rPr>
                <w:szCs w:val="20"/>
              </w:rPr>
            </w:pPr>
            <w:r w:rsidRPr="00CF08DE">
              <w:rPr>
                <w:szCs w:val="20"/>
              </w:rPr>
              <w:t>5% discount rate (updated from 1.5% in submission base case)</w:t>
            </w:r>
          </w:p>
        </w:tc>
      </w:tr>
      <w:tr w:rsidR="00861436" w:rsidRPr="00CF08DE" w14:paraId="196656DC" w14:textId="77777777" w:rsidTr="0077002B">
        <w:tc>
          <w:tcPr>
            <w:tcW w:w="1529" w:type="pct"/>
            <w:vAlign w:val="center"/>
          </w:tcPr>
          <w:p w14:paraId="72D3D908" w14:textId="77777777" w:rsidR="00861436" w:rsidRPr="00CF08DE" w:rsidRDefault="00861436" w:rsidP="0077002B">
            <w:pPr>
              <w:pStyle w:val="COMTabletext"/>
              <w:rPr>
                <w:szCs w:val="20"/>
              </w:rPr>
            </w:pPr>
            <w:r w:rsidRPr="00CF08DE">
              <w:rPr>
                <w:szCs w:val="20"/>
              </w:rPr>
              <w:t>Costs</w:t>
            </w:r>
          </w:p>
        </w:tc>
        <w:tc>
          <w:tcPr>
            <w:tcW w:w="1359" w:type="pct"/>
            <w:vAlign w:val="center"/>
          </w:tcPr>
          <w:p w14:paraId="4439F168" w14:textId="2F416DC2" w:rsidR="00861436" w:rsidRPr="00CF08DE" w:rsidRDefault="00861436" w:rsidP="0077002B">
            <w:pPr>
              <w:pStyle w:val="COMTabletext"/>
              <w:jc w:val="center"/>
              <w:rPr>
                <w:szCs w:val="20"/>
              </w:rPr>
            </w:pPr>
            <w:r>
              <w:rPr>
                <w:szCs w:val="20"/>
              </w:rPr>
              <w:t>$</w:t>
            </w:r>
            <w:r w:rsidR="009E0870" w:rsidRPr="009E0870">
              <w:rPr>
                <w:color w:val="000000"/>
                <w:szCs w:val="20"/>
                <w:shd w:val="solid" w:color="000000" w:fill="000000"/>
                <w14:textFill>
                  <w14:solidFill>
                    <w14:srgbClr w14:val="000000">
                      <w14:alpha w14:val="100000"/>
                    </w14:srgbClr>
                  </w14:solidFill>
                </w14:textFill>
              </w:rPr>
              <w:t>|</w:t>
            </w:r>
          </w:p>
        </w:tc>
        <w:tc>
          <w:tcPr>
            <w:tcW w:w="1274" w:type="pct"/>
            <w:vAlign w:val="center"/>
          </w:tcPr>
          <w:p w14:paraId="7DEEF307" w14:textId="77150AA1" w:rsidR="00861436" w:rsidRPr="00CF08DE" w:rsidRDefault="00861436" w:rsidP="0077002B">
            <w:pPr>
              <w:pStyle w:val="COMTabletext"/>
              <w:jc w:val="center"/>
              <w:rPr>
                <w:szCs w:val="20"/>
              </w:rPr>
            </w:pPr>
            <w:r>
              <w:rPr>
                <w:szCs w:val="20"/>
              </w:rPr>
              <w:t>$</w:t>
            </w:r>
            <w:r w:rsidR="009E0870" w:rsidRPr="009E0870">
              <w:rPr>
                <w:color w:val="000000"/>
                <w:szCs w:val="20"/>
                <w:shd w:val="solid" w:color="000000" w:fill="000000"/>
                <w14:textFill>
                  <w14:solidFill>
                    <w14:srgbClr w14:val="000000">
                      <w14:alpha w14:val="100000"/>
                    </w14:srgbClr>
                  </w14:solidFill>
                </w14:textFill>
              </w:rPr>
              <w:t>|</w:t>
            </w:r>
          </w:p>
        </w:tc>
        <w:tc>
          <w:tcPr>
            <w:tcW w:w="838" w:type="pct"/>
            <w:vAlign w:val="center"/>
          </w:tcPr>
          <w:p w14:paraId="52EE41FD" w14:textId="60394625" w:rsidR="00861436" w:rsidRPr="00CF08DE" w:rsidRDefault="00861436" w:rsidP="0077002B">
            <w:pPr>
              <w:pStyle w:val="COMTabletext"/>
              <w:jc w:val="center"/>
              <w:rPr>
                <w:szCs w:val="20"/>
              </w:rPr>
            </w:pPr>
            <w:r w:rsidRPr="00CF08DE">
              <w:rPr>
                <w:szCs w:val="20"/>
              </w:rPr>
              <w:t>$</w:t>
            </w:r>
            <w:r w:rsidR="009E0870" w:rsidRPr="009E0870">
              <w:rPr>
                <w:color w:val="000000"/>
                <w:spacing w:val="106"/>
                <w:szCs w:val="20"/>
                <w:shd w:val="solid" w:color="000000" w:fill="000000"/>
                <w:fitText w:val="192" w:id="-1232957440"/>
                <w14:textFill>
                  <w14:solidFill>
                    <w14:srgbClr w14:val="000000">
                      <w14:alpha w14:val="100000"/>
                    </w14:srgbClr>
                  </w14:solidFill>
                </w14:textFill>
              </w:rPr>
              <w:t>|</w:t>
            </w:r>
            <w:r w:rsidR="009E0870" w:rsidRPr="009E0870">
              <w:rPr>
                <w:color w:val="000000"/>
                <w:spacing w:val="1"/>
                <w:szCs w:val="20"/>
                <w:shd w:val="solid" w:color="000000" w:fill="000000"/>
                <w:fitText w:val="192" w:id="-1232957440"/>
                <w14:textFill>
                  <w14:solidFill>
                    <w14:srgbClr w14:val="000000">
                      <w14:alpha w14:val="100000"/>
                    </w14:srgbClr>
                  </w14:solidFill>
                </w14:textFill>
              </w:rPr>
              <w:t>|</w:t>
            </w:r>
          </w:p>
        </w:tc>
      </w:tr>
      <w:tr w:rsidR="00861436" w:rsidRPr="00CF08DE" w14:paraId="3DF6071B" w14:textId="77777777" w:rsidTr="0077002B">
        <w:tc>
          <w:tcPr>
            <w:tcW w:w="1529" w:type="pct"/>
            <w:vAlign w:val="center"/>
          </w:tcPr>
          <w:p w14:paraId="061F087F" w14:textId="77777777" w:rsidR="00861436" w:rsidRPr="00CF08DE" w:rsidRDefault="00861436" w:rsidP="0077002B">
            <w:pPr>
              <w:pStyle w:val="COMTabletext"/>
              <w:rPr>
                <w:szCs w:val="20"/>
              </w:rPr>
            </w:pPr>
            <w:r w:rsidRPr="00CF08DE">
              <w:rPr>
                <w:szCs w:val="20"/>
              </w:rPr>
              <w:t>QALYs</w:t>
            </w:r>
          </w:p>
        </w:tc>
        <w:tc>
          <w:tcPr>
            <w:tcW w:w="1359" w:type="pct"/>
            <w:vAlign w:val="center"/>
          </w:tcPr>
          <w:p w14:paraId="6F95AA0E" w14:textId="77777777" w:rsidR="00861436" w:rsidRPr="00CF08DE" w:rsidRDefault="00861436" w:rsidP="0077002B">
            <w:pPr>
              <w:pStyle w:val="COMTabletext"/>
              <w:jc w:val="center"/>
              <w:rPr>
                <w:szCs w:val="20"/>
              </w:rPr>
            </w:pPr>
            <w:r>
              <w:rPr>
                <w:szCs w:val="20"/>
              </w:rPr>
              <w:t>7.6781</w:t>
            </w:r>
          </w:p>
        </w:tc>
        <w:tc>
          <w:tcPr>
            <w:tcW w:w="1274" w:type="pct"/>
            <w:vAlign w:val="center"/>
          </w:tcPr>
          <w:p w14:paraId="5BA9C495" w14:textId="77777777" w:rsidR="00861436" w:rsidRPr="00CF08DE" w:rsidRDefault="00861436" w:rsidP="0077002B">
            <w:pPr>
              <w:pStyle w:val="COMTabletext"/>
              <w:jc w:val="center"/>
              <w:rPr>
                <w:szCs w:val="20"/>
              </w:rPr>
            </w:pPr>
            <w:r>
              <w:rPr>
                <w:szCs w:val="20"/>
              </w:rPr>
              <w:t>7.6353</w:t>
            </w:r>
          </w:p>
        </w:tc>
        <w:tc>
          <w:tcPr>
            <w:tcW w:w="838" w:type="pct"/>
            <w:vAlign w:val="center"/>
          </w:tcPr>
          <w:p w14:paraId="1AE77EBE" w14:textId="77777777" w:rsidR="00861436" w:rsidRPr="00CF08DE" w:rsidRDefault="00861436" w:rsidP="0077002B">
            <w:pPr>
              <w:pStyle w:val="COMTabletext"/>
              <w:jc w:val="center"/>
              <w:rPr>
                <w:szCs w:val="20"/>
              </w:rPr>
            </w:pPr>
            <w:r w:rsidRPr="00CF08DE">
              <w:rPr>
                <w:szCs w:val="20"/>
              </w:rPr>
              <w:t>0.0428</w:t>
            </w:r>
          </w:p>
        </w:tc>
      </w:tr>
      <w:tr w:rsidR="00861436" w:rsidRPr="00CF08DE" w14:paraId="1BE91FDD" w14:textId="77777777" w:rsidTr="0077002B">
        <w:tc>
          <w:tcPr>
            <w:tcW w:w="4162" w:type="pct"/>
            <w:gridSpan w:val="3"/>
            <w:vAlign w:val="center"/>
          </w:tcPr>
          <w:p w14:paraId="227B669C" w14:textId="77777777" w:rsidR="00861436" w:rsidRPr="00CF08DE" w:rsidRDefault="00861436" w:rsidP="0077002B">
            <w:pPr>
              <w:pStyle w:val="COMTabletext"/>
              <w:rPr>
                <w:szCs w:val="20"/>
              </w:rPr>
            </w:pPr>
            <w:r w:rsidRPr="00CF08DE">
              <w:rPr>
                <w:szCs w:val="20"/>
              </w:rPr>
              <w:t>Incremental cost/QALY gained</w:t>
            </w:r>
          </w:p>
        </w:tc>
        <w:tc>
          <w:tcPr>
            <w:tcW w:w="838" w:type="pct"/>
            <w:vAlign w:val="center"/>
          </w:tcPr>
          <w:p w14:paraId="731C334E" w14:textId="332F3488" w:rsidR="00861436" w:rsidRPr="00CF08DE" w:rsidRDefault="00861436" w:rsidP="0077002B">
            <w:pPr>
              <w:pStyle w:val="COMTabletext"/>
              <w:jc w:val="center"/>
              <w:rPr>
                <w:szCs w:val="20"/>
              </w:rPr>
            </w:pPr>
            <w:r w:rsidRPr="00CF08DE">
              <w:rPr>
                <w:szCs w:val="20"/>
              </w:rPr>
              <w:t>$</w:t>
            </w:r>
            <w:r w:rsidR="009E0870" w:rsidRPr="009E0870">
              <w:rPr>
                <w:color w:val="000000"/>
                <w:spacing w:val="45"/>
                <w:szCs w:val="20"/>
                <w:shd w:val="solid" w:color="000000" w:fill="000000"/>
                <w:fitText w:val="219" w:id="-1232957439"/>
                <w14:textFill>
                  <w14:solidFill>
                    <w14:srgbClr w14:val="000000">
                      <w14:alpha w14:val="100000"/>
                    </w14:srgbClr>
                  </w14:solidFill>
                </w14:textFill>
              </w:rPr>
              <w:t>||</w:t>
            </w:r>
            <w:r w:rsidR="009E0870" w:rsidRPr="009E0870">
              <w:rPr>
                <w:color w:val="000000"/>
                <w:spacing w:val="2"/>
                <w:szCs w:val="20"/>
                <w:shd w:val="solid" w:color="000000" w:fill="000000"/>
                <w:fitText w:val="219" w:id="-1232957439"/>
                <w14:textFill>
                  <w14:solidFill>
                    <w14:srgbClr w14:val="000000">
                      <w14:alpha w14:val="100000"/>
                    </w14:srgbClr>
                  </w14:solidFill>
                </w14:textFill>
              </w:rPr>
              <w:t>|</w:t>
            </w:r>
            <w:r w:rsidR="00C30F6E">
              <w:rPr>
                <w:i/>
                <w:sz w:val="18"/>
                <w:szCs w:val="18"/>
                <w:vertAlign w:val="superscript"/>
              </w:rPr>
              <w:t>2</w:t>
            </w:r>
          </w:p>
        </w:tc>
      </w:tr>
      <w:tr w:rsidR="00861436" w:rsidRPr="00CF08DE" w14:paraId="710034A5" w14:textId="77777777" w:rsidTr="0077002B">
        <w:tc>
          <w:tcPr>
            <w:tcW w:w="5000" w:type="pct"/>
            <w:gridSpan w:val="4"/>
            <w:vAlign w:val="center"/>
          </w:tcPr>
          <w:p w14:paraId="597823BF" w14:textId="77777777" w:rsidR="00861436" w:rsidRPr="00CF08DE" w:rsidRDefault="00861436" w:rsidP="0077002B">
            <w:pPr>
              <w:pStyle w:val="COMTableheadingrow"/>
              <w:rPr>
                <w:szCs w:val="20"/>
              </w:rPr>
            </w:pPr>
            <w:r w:rsidRPr="00CF08DE">
              <w:rPr>
                <w:szCs w:val="20"/>
              </w:rPr>
              <w:t>Acute fracture costs corrected for error (July 2022 evaluation base case)</w:t>
            </w:r>
          </w:p>
        </w:tc>
      </w:tr>
      <w:tr w:rsidR="00861436" w:rsidRPr="00CF08DE" w14:paraId="523CEE75" w14:textId="77777777" w:rsidTr="0077002B">
        <w:tc>
          <w:tcPr>
            <w:tcW w:w="1529" w:type="pct"/>
            <w:vAlign w:val="center"/>
          </w:tcPr>
          <w:p w14:paraId="2FF08B1D" w14:textId="77777777" w:rsidR="00861436" w:rsidRPr="00CF08DE" w:rsidRDefault="00861436" w:rsidP="0077002B">
            <w:pPr>
              <w:pStyle w:val="COMTabletext"/>
              <w:rPr>
                <w:szCs w:val="20"/>
              </w:rPr>
            </w:pPr>
            <w:r w:rsidRPr="00CF08DE">
              <w:rPr>
                <w:szCs w:val="20"/>
              </w:rPr>
              <w:t>Costs</w:t>
            </w:r>
          </w:p>
        </w:tc>
        <w:tc>
          <w:tcPr>
            <w:tcW w:w="1359" w:type="pct"/>
            <w:vAlign w:val="center"/>
          </w:tcPr>
          <w:p w14:paraId="3A15A40A" w14:textId="7EA7E8CB" w:rsidR="00861436" w:rsidRPr="00CF08DE" w:rsidRDefault="00861436" w:rsidP="0077002B">
            <w:pPr>
              <w:pStyle w:val="COMTabletext"/>
              <w:jc w:val="center"/>
              <w:rPr>
                <w:szCs w:val="20"/>
              </w:rPr>
            </w:pPr>
            <w:r w:rsidRPr="00CF08DE">
              <w:rPr>
                <w:szCs w:val="20"/>
              </w:rPr>
              <w:t>$</w:t>
            </w:r>
            <w:r w:rsidR="009E0870" w:rsidRPr="009E0870">
              <w:rPr>
                <w:color w:val="000000"/>
                <w:szCs w:val="20"/>
                <w:shd w:val="solid" w:color="000000" w:fill="000000"/>
                <w14:textFill>
                  <w14:solidFill>
                    <w14:srgbClr w14:val="000000">
                      <w14:alpha w14:val="100000"/>
                    </w14:srgbClr>
                  </w14:solidFill>
                </w14:textFill>
              </w:rPr>
              <w:t>|</w:t>
            </w:r>
          </w:p>
        </w:tc>
        <w:tc>
          <w:tcPr>
            <w:tcW w:w="1274" w:type="pct"/>
            <w:vAlign w:val="center"/>
          </w:tcPr>
          <w:p w14:paraId="6B42D891" w14:textId="200208E5" w:rsidR="00861436" w:rsidRPr="00CF08DE" w:rsidRDefault="00861436" w:rsidP="0077002B">
            <w:pPr>
              <w:pStyle w:val="COMTabletext"/>
              <w:jc w:val="center"/>
              <w:rPr>
                <w:szCs w:val="20"/>
              </w:rPr>
            </w:pPr>
            <w:r w:rsidRPr="00CF08DE">
              <w:rPr>
                <w:szCs w:val="20"/>
              </w:rPr>
              <w:t>$</w:t>
            </w:r>
            <w:r w:rsidR="009E0870" w:rsidRPr="009E0870">
              <w:rPr>
                <w:color w:val="000000"/>
                <w:szCs w:val="20"/>
                <w:shd w:val="solid" w:color="000000" w:fill="000000"/>
                <w14:textFill>
                  <w14:solidFill>
                    <w14:srgbClr w14:val="000000">
                      <w14:alpha w14:val="100000"/>
                    </w14:srgbClr>
                  </w14:solidFill>
                </w14:textFill>
              </w:rPr>
              <w:t>|</w:t>
            </w:r>
          </w:p>
        </w:tc>
        <w:tc>
          <w:tcPr>
            <w:tcW w:w="838" w:type="pct"/>
            <w:vAlign w:val="center"/>
          </w:tcPr>
          <w:p w14:paraId="7E7B10B5" w14:textId="28B1F126" w:rsidR="00861436" w:rsidRPr="00CF08DE" w:rsidRDefault="00861436" w:rsidP="0077002B">
            <w:pPr>
              <w:pStyle w:val="COMTabletext"/>
              <w:jc w:val="center"/>
              <w:rPr>
                <w:szCs w:val="20"/>
              </w:rPr>
            </w:pPr>
            <w:r w:rsidRPr="00CF08DE">
              <w:rPr>
                <w:szCs w:val="20"/>
              </w:rPr>
              <w:t>$</w:t>
            </w:r>
            <w:r w:rsidR="009E0870" w:rsidRPr="009E0870">
              <w:rPr>
                <w:color w:val="000000"/>
                <w:spacing w:val="106"/>
                <w:szCs w:val="20"/>
                <w:shd w:val="solid" w:color="000000" w:fill="000000"/>
                <w:fitText w:val="192" w:id="-1232957438"/>
                <w14:textFill>
                  <w14:solidFill>
                    <w14:srgbClr w14:val="000000">
                      <w14:alpha w14:val="100000"/>
                    </w14:srgbClr>
                  </w14:solidFill>
                </w14:textFill>
              </w:rPr>
              <w:t>|</w:t>
            </w:r>
            <w:r w:rsidR="009E0870" w:rsidRPr="009E0870">
              <w:rPr>
                <w:color w:val="000000"/>
                <w:spacing w:val="1"/>
                <w:szCs w:val="20"/>
                <w:shd w:val="solid" w:color="000000" w:fill="000000"/>
                <w:fitText w:val="192" w:id="-1232957438"/>
                <w14:textFill>
                  <w14:solidFill>
                    <w14:srgbClr w14:val="000000">
                      <w14:alpha w14:val="100000"/>
                    </w14:srgbClr>
                  </w14:solidFill>
                </w14:textFill>
              </w:rPr>
              <w:t>|</w:t>
            </w:r>
          </w:p>
        </w:tc>
      </w:tr>
      <w:tr w:rsidR="00861436" w:rsidRPr="00CF08DE" w14:paraId="6C27A40F" w14:textId="77777777" w:rsidTr="0077002B">
        <w:tc>
          <w:tcPr>
            <w:tcW w:w="1529" w:type="pct"/>
            <w:vAlign w:val="center"/>
          </w:tcPr>
          <w:p w14:paraId="0694DE57" w14:textId="77777777" w:rsidR="00861436" w:rsidRPr="00CF08DE" w:rsidRDefault="00861436" w:rsidP="0077002B">
            <w:pPr>
              <w:pStyle w:val="COMTabletext"/>
              <w:rPr>
                <w:szCs w:val="20"/>
              </w:rPr>
            </w:pPr>
            <w:r w:rsidRPr="00CF08DE">
              <w:rPr>
                <w:szCs w:val="20"/>
              </w:rPr>
              <w:t>QALY</w:t>
            </w:r>
            <w:r>
              <w:rPr>
                <w:szCs w:val="20"/>
              </w:rPr>
              <w:t>s</w:t>
            </w:r>
          </w:p>
        </w:tc>
        <w:tc>
          <w:tcPr>
            <w:tcW w:w="1359" w:type="pct"/>
            <w:vAlign w:val="center"/>
          </w:tcPr>
          <w:p w14:paraId="18226F4C" w14:textId="77777777" w:rsidR="00861436" w:rsidRPr="00CF08DE" w:rsidRDefault="00861436" w:rsidP="0077002B">
            <w:pPr>
              <w:pStyle w:val="COMTabletext"/>
              <w:jc w:val="center"/>
              <w:rPr>
                <w:szCs w:val="20"/>
              </w:rPr>
            </w:pPr>
            <w:r w:rsidRPr="00CF08DE">
              <w:rPr>
                <w:szCs w:val="20"/>
              </w:rPr>
              <w:t>7.6781</w:t>
            </w:r>
          </w:p>
        </w:tc>
        <w:tc>
          <w:tcPr>
            <w:tcW w:w="1274" w:type="pct"/>
            <w:vAlign w:val="center"/>
          </w:tcPr>
          <w:p w14:paraId="7C147938" w14:textId="77777777" w:rsidR="00861436" w:rsidRPr="00CF08DE" w:rsidRDefault="00861436" w:rsidP="0077002B">
            <w:pPr>
              <w:pStyle w:val="COMTabletext"/>
              <w:jc w:val="center"/>
              <w:rPr>
                <w:szCs w:val="20"/>
              </w:rPr>
            </w:pPr>
            <w:r w:rsidRPr="00CF08DE">
              <w:rPr>
                <w:szCs w:val="20"/>
              </w:rPr>
              <w:t>7.6353</w:t>
            </w:r>
          </w:p>
        </w:tc>
        <w:tc>
          <w:tcPr>
            <w:tcW w:w="838" w:type="pct"/>
            <w:vAlign w:val="center"/>
          </w:tcPr>
          <w:p w14:paraId="387B458A" w14:textId="77777777" w:rsidR="00861436" w:rsidRPr="00CF08DE" w:rsidRDefault="00861436" w:rsidP="0077002B">
            <w:pPr>
              <w:pStyle w:val="COMTabletext"/>
              <w:jc w:val="center"/>
              <w:rPr>
                <w:szCs w:val="20"/>
              </w:rPr>
            </w:pPr>
            <w:r w:rsidRPr="00CF08DE">
              <w:rPr>
                <w:szCs w:val="20"/>
              </w:rPr>
              <w:t>0.0428</w:t>
            </w:r>
          </w:p>
        </w:tc>
      </w:tr>
      <w:tr w:rsidR="00861436" w:rsidRPr="00CF08DE" w14:paraId="0BD4DE38" w14:textId="77777777" w:rsidTr="0077002B">
        <w:tc>
          <w:tcPr>
            <w:tcW w:w="4162" w:type="pct"/>
            <w:gridSpan w:val="3"/>
            <w:vAlign w:val="center"/>
          </w:tcPr>
          <w:p w14:paraId="47CDC6FD" w14:textId="77777777" w:rsidR="00861436" w:rsidRPr="00CF08DE" w:rsidRDefault="00861436" w:rsidP="0077002B">
            <w:pPr>
              <w:pStyle w:val="COMTabletext"/>
              <w:rPr>
                <w:szCs w:val="20"/>
              </w:rPr>
            </w:pPr>
            <w:r w:rsidRPr="00CF08DE">
              <w:rPr>
                <w:szCs w:val="20"/>
              </w:rPr>
              <w:t>Incremental cost/QALY gained</w:t>
            </w:r>
          </w:p>
        </w:tc>
        <w:tc>
          <w:tcPr>
            <w:tcW w:w="838" w:type="pct"/>
            <w:vAlign w:val="center"/>
          </w:tcPr>
          <w:p w14:paraId="3C57B559" w14:textId="6A01BB69" w:rsidR="00861436" w:rsidRPr="00CF08DE" w:rsidRDefault="00861436" w:rsidP="0077002B">
            <w:pPr>
              <w:pStyle w:val="COMTabletext"/>
              <w:jc w:val="center"/>
              <w:rPr>
                <w:szCs w:val="20"/>
              </w:rPr>
            </w:pPr>
            <w:r w:rsidRPr="00CF08DE">
              <w:rPr>
                <w:szCs w:val="20"/>
              </w:rPr>
              <w:t>$</w:t>
            </w:r>
            <w:r w:rsidR="009E0870" w:rsidRPr="009E0870">
              <w:rPr>
                <w:color w:val="000000"/>
                <w:spacing w:val="45"/>
                <w:szCs w:val="20"/>
                <w:shd w:val="solid" w:color="000000" w:fill="000000"/>
                <w:fitText w:val="219" w:id="-1232957437"/>
                <w14:textFill>
                  <w14:solidFill>
                    <w14:srgbClr w14:val="000000">
                      <w14:alpha w14:val="100000"/>
                    </w14:srgbClr>
                  </w14:solidFill>
                </w14:textFill>
              </w:rPr>
              <w:t>||</w:t>
            </w:r>
            <w:r w:rsidR="009E0870" w:rsidRPr="009E0870">
              <w:rPr>
                <w:color w:val="000000"/>
                <w:spacing w:val="2"/>
                <w:szCs w:val="20"/>
                <w:shd w:val="solid" w:color="000000" w:fill="000000"/>
                <w:fitText w:val="219" w:id="-1232957437"/>
                <w14:textFill>
                  <w14:solidFill>
                    <w14:srgbClr w14:val="000000">
                      <w14:alpha w14:val="100000"/>
                    </w14:srgbClr>
                  </w14:solidFill>
                </w14:textFill>
              </w:rPr>
              <w:t>|</w:t>
            </w:r>
            <w:r w:rsidR="00C30F6E">
              <w:rPr>
                <w:i/>
                <w:sz w:val="18"/>
                <w:szCs w:val="18"/>
                <w:vertAlign w:val="superscript"/>
              </w:rPr>
              <w:t>2</w:t>
            </w:r>
          </w:p>
        </w:tc>
      </w:tr>
      <w:tr w:rsidR="00861436" w:rsidRPr="00CF08DE" w14:paraId="2650BE16" w14:textId="77777777" w:rsidTr="0077002B">
        <w:tc>
          <w:tcPr>
            <w:tcW w:w="5000" w:type="pct"/>
            <w:gridSpan w:val="4"/>
            <w:vAlign w:val="center"/>
          </w:tcPr>
          <w:p w14:paraId="005DB761" w14:textId="77777777" w:rsidR="00861436" w:rsidRPr="00CF08DE" w:rsidRDefault="00861436" w:rsidP="0077002B">
            <w:pPr>
              <w:pStyle w:val="COMTableheadingrow"/>
              <w:rPr>
                <w:szCs w:val="20"/>
              </w:rPr>
            </w:pPr>
            <w:r>
              <w:rPr>
                <w:szCs w:val="20"/>
              </w:rPr>
              <w:t>Discontinuation rate 20% (increased from 5%)</w:t>
            </w:r>
          </w:p>
        </w:tc>
      </w:tr>
      <w:tr w:rsidR="00861436" w:rsidRPr="00CF08DE" w14:paraId="790543B2" w14:textId="77777777" w:rsidTr="0077002B">
        <w:tc>
          <w:tcPr>
            <w:tcW w:w="1529" w:type="pct"/>
            <w:vAlign w:val="center"/>
          </w:tcPr>
          <w:p w14:paraId="02990E2A" w14:textId="77777777" w:rsidR="00861436" w:rsidRPr="00CF08DE" w:rsidRDefault="00861436" w:rsidP="0077002B">
            <w:pPr>
              <w:pStyle w:val="COMTabletext"/>
              <w:rPr>
                <w:szCs w:val="20"/>
              </w:rPr>
            </w:pPr>
            <w:r w:rsidRPr="00CF08DE">
              <w:rPr>
                <w:szCs w:val="20"/>
              </w:rPr>
              <w:t>Costs</w:t>
            </w:r>
          </w:p>
        </w:tc>
        <w:tc>
          <w:tcPr>
            <w:tcW w:w="1359" w:type="pct"/>
            <w:vAlign w:val="center"/>
          </w:tcPr>
          <w:p w14:paraId="44C11DA6" w14:textId="70843678" w:rsidR="00861436" w:rsidRPr="00CF08DE" w:rsidRDefault="00861436" w:rsidP="0077002B">
            <w:pPr>
              <w:pStyle w:val="COMTabletext"/>
              <w:jc w:val="center"/>
              <w:rPr>
                <w:szCs w:val="20"/>
              </w:rPr>
            </w:pPr>
            <w:r w:rsidRPr="00CF08DE">
              <w:rPr>
                <w:szCs w:val="20"/>
              </w:rPr>
              <w:t>$</w:t>
            </w:r>
            <w:r w:rsidR="009E0870" w:rsidRPr="009E0870">
              <w:rPr>
                <w:color w:val="000000"/>
                <w:szCs w:val="20"/>
                <w:shd w:val="solid" w:color="000000" w:fill="000000"/>
                <w14:textFill>
                  <w14:solidFill>
                    <w14:srgbClr w14:val="000000">
                      <w14:alpha w14:val="100000"/>
                    </w14:srgbClr>
                  </w14:solidFill>
                </w14:textFill>
              </w:rPr>
              <w:t>|</w:t>
            </w:r>
          </w:p>
        </w:tc>
        <w:tc>
          <w:tcPr>
            <w:tcW w:w="1274" w:type="pct"/>
            <w:vAlign w:val="center"/>
          </w:tcPr>
          <w:p w14:paraId="3F9B5295" w14:textId="33201EAC" w:rsidR="00861436" w:rsidRPr="00CF08DE" w:rsidRDefault="00861436" w:rsidP="0077002B">
            <w:pPr>
              <w:pStyle w:val="COMTabletext"/>
              <w:jc w:val="center"/>
              <w:rPr>
                <w:szCs w:val="20"/>
              </w:rPr>
            </w:pPr>
            <w:r w:rsidRPr="00CF08DE">
              <w:rPr>
                <w:szCs w:val="20"/>
              </w:rPr>
              <w:t>$</w:t>
            </w:r>
            <w:r w:rsidR="009E0870" w:rsidRPr="009E0870">
              <w:rPr>
                <w:color w:val="000000"/>
                <w:szCs w:val="20"/>
                <w:shd w:val="solid" w:color="000000" w:fill="000000"/>
                <w14:textFill>
                  <w14:solidFill>
                    <w14:srgbClr w14:val="000000">
                      <w14:alpha w14:val="100000"/>
                    </w14:srgbClr>
                  </w14:solidFill>
                </w14:textFill>
              </w:rPr>
              <w:t>|</w:t>
            </w:r>
          </w:p>
        </w:tc>
        <w:tc>
          <w:tcPr>
            <w:tcW w:w="838" w:type="pct"/>
            <w:vAlign w:val="center"/>
          </w:tcPr>
          <w:p w14:paraId="44BBF07A" w14:textId="189E83E3" w:rsidR="00861436" w:rsidRPr="00CF08DE" w:rsidRDefault="00861436" w:rsidP="0077002B">
            <w:pPr>
              <w:pStyle w:val="COMTabletext"/>
              <w:jc w:val="center"/>
              <w:rPr>
                <w:szCs w:val="20"/>
              </w:rPr>
            </w:pPr>
            <w:r w:rsidRPr="00CF08DE">
              <w:rPr>
                <w:szCs w:val="20"/>
              </w:rPr>
              <w:t>$</w:t>
            </w:r>
            <w:r w:rsidR="009E0870" w:rsidRPr="009E0870">
              <w:rPr>
                <w:color w:val="000000"/>
                <w:spacing w:val="106"/>
                <w:szCs w:val="20"/>
                <w:shd w:val="solid" w:color="000000" w:fill="000000"/>
                <w:fitText w:val="192" w:id="-1232957436"/>
                <w14:textFill>
                  <w14:solidFill>
                    <w14:srgbClr w14:val="000000">
                      <w14:alpha w14:val="100000"/>
                    </w14:srgbClr>
                  </w14:solidFill>
                </w14:textFill>
              </w:rPr>
              <w:t>|</w:t>
            </w:r>
            <w:r w:rsidR="009E0870" w:rsidRPr="009E0870">
              <w:rPr>
                <w:color w:val="000000"/>
                <w:spacing w:val="1"/>
                <w:szCs w:val="20"/>
                <w:shd w:val="solid" w:color="000000" w:fill="000000"/>
                <w:fitText w:val="192" w:id="-1232957436"/>
                <w14:textFill>
                  <w14:solidFill>
                    <w14:srgbClr w14:val="000000">
                      <w14:alpha w14:val="100000"/>
                    </w14:srgbClr>
                  </w14:solidFill>
                </w14:textFill>
              </w:rPr>
              <w:t>|</w:t>
            </w:r>
          </w:p>
        </w:tc>
      </w:tr>
      <w:tr w:rsidR="00861436" w:rsidRPr="00CF08DE" w14:paraId="7EB10038" w14:textId="77777777" w:rsidTr="0077002B">
        <w:tc>
          <w:tcPr>
            <w:tcW w:w="1529" w:type="pct"/>
            <w:vAlign w:val="center"/>
          </w:tcPr>
          <w:p w14:paraId="5A02F986" w14:textId="77777777" w:rsidR="00861436" w:rsidRPr="00CF08DE" w:rsidRDefault="00861436" w:rsidP="0077002B">
            <w:pPr>
              <w:pStyle w:val="COMTabletext"/>
              <w:rPr>
                <w:szCs w:val="20"/>
              </w:rPr>
            </w:pPr>
            <w:r>
              <w:rPr>
                <w:szCs w:val="20"/>
              </w:rPr>
              <w:t>QALYs</w:t>
            </w:r>
          </w:p>
        </w:tc>
        <w:tc>
          <w:tcPr>
            <w:tcW w:w="1359" w:type="pct"/>
            <w:vAlign w:val="center"/>
          </w:tcPr>
          <w:p w14:paraId="3F2B7F3E" w14:textId="77777777" w:rsidR="00861436" w:rsidRPr="00CF08DE" w:rsidRDefault="00861436" w:rsidP="0077002B">
            <w:pPr>
              <w:pStyle w:val="COMTabletext"/>
              <w:jc w:val="center"/>
              <w:rPr>
                <w:szCs w:val="20"/>
              </w:rPr>
            </w:pPr>
            <w:r>
              <w:rPr>
                <w:szCs w:val="20"/>
              </w:rPr>
              <w:t>7.6163</w:t>
            </w:r>
          </w:p>
        </w:tc>
        <w:tc>
          <w:tcPr>
            <w:tcW w:w="1274" w:type="pct"/>
            <w:vAlign w:val="center"/>
          </w:tcPr>
          <w:p w14:paraId="02BD4724" w14:textId="77777777" w:rsidR="00861436" w:rsidRPr="00CF08DE" w:rsidRDefault="00861436" w:rsidP="0077002B">
            <w:pPr>
              <w:pStyle w:val="COMTabletext"/>
              <w:jc w:val="center"/>
              <w:rPr>
                <w:szCs w:val="20"/>
              </w:rPr>
            </w:pPr>
            <w:r>
              <w:rPr>
                <w:szCs w:val="20"/>
              </w:rPr>
              <w:t>7.5832</w:t>
            </w:r>
          </w:p>
        </w:tc>
        <w:tc>
          <w:tcPr>
            <w:tcW w:w="838" w:type="pct"/>
            <w:vAlign w:val="center"/>
          </w:tcPr>
          <w:p w14:paraId="325EECD9" w14:textId="77777777" w:rsidR="00861436" w:rsidRPr="00CF08DE" w:rsidRDefault="00861436" w:rsidP="0077002B">
            <w:pPr>
              <w:pStyle w:val="COMTabletext"/>
              <w:jc w:val="center"/>
              <w:rPr>
                <w:szCs w:val="20"/>
              </w:rPr>
            </w:pPr>
            <w:r>
              <w:rPr>
                <w:szCs w:val="20"/>
              </w:rPr>
              <w:t>0.0331</w:t>
            </w:r>
          </w:p>
        </w:tc>
      </w:tr>
      <w:tr w:rsidR="00861436" w:rsidRPr="00CF08DE" w14:paraId="6A7385D0" w14:textId="77777777" w:rsidTr="0077002B">
        <w:tc>
          <w:tcPr>
            <w:tcW w:w="4162" w:type="pct"/>
            <w:gridSpan w:val="3"/>
            <w:vAlign w:val="center"/>
          </w:tcPr>
          <w:p w14:paraId="67626ECF" w14:textId="77777777" w:rsidR="00861436" w:rsidRPr="00CF08DE" w:rsidRDefault="00861436" w:rsidP="0077002B">
            <w:pPr>
              <w:pStyle w:val="COMTabletext"/>
              <w:rPr>
                <w:szCs w:val="20"/>
              </w:rPr>
            </w:pPr>
            <w:r w:rsidRPr="00CF08DE">
              <w:rPr>
                <w:szCs w:val="20"/>
              </w:rPr>
              <w:t>Incremental cost/</w:t>
            </w:r>
            <w:r>
              <w:rPr>
                <w:szCs w:val="20"/>
              </w:rPr>
              <w:t>QALY</w:t>
            </w:r>
            <w:r w:rsidRPr="00CF08DE">
              <w:rPr>
                <w:szCs w:val="20"/>
              </w:rPr>
              <w:t xml:space="preserve"> gained</w:t>
            </w:r>
          </w:p>
        </w:tc>
        <w:tc>
          <w:tcPr>
            <w:tcW w:w="838" w:type="pct"/>
            <w:vAlign w:val="center"/>
          </w:tcPr>
          <w:p w14:paraId="4641EED0" w14:textId="232485C5" w:rsidR="00861436" w:rsidRPr="00CF08DE" w:rsidRDefault="00861436" w:rsidP="0077002B">
            <w:pPr>
              <w:pStyle w:val="COMTabletext"/>
              <w:jc w:val="center"/>
              <w:rPr>
                <w:szCs w:val="20"/>
              </w:rPr>
            </w:pPr>
            <w:r w:rsidRPr="00CF08DE">
              <w:rPr>
                <w:szCs w:val="20"/>
              </w:rPr>
              <w:t>$</w:t>
            </w:r>
            <w:r w:rsidR="009E0870" w:rsidRPr="009E0870">
              <w:rPr>
                <w:color w:val="000000"/>
                <w:spacing w:val="45"/>
                <w:szCs w:val="20"/>
                <w:shd w:val="solid" w:color="000000" w:fill="000000"/>
                <w:fitText w:val="219" w:id="-1232957435"/>
                <w14:textFill>
                  <w14:solidFill>
                    <w14:srgbClr w14:val="000000">
                      <w14:alpha w14:val="100000"/>
                    </w14:srgbClr>
                  </w14:solidFill>
                </w14:textFill>
              </w:rPr>
              <w:t>||</w:t>
            </w:r>
            <w:r w:rsidR="009E0870" w:rsidRPr="009E0870">
              <w:rPr>
                <w:color w:val="000000"/>
                <w:spacing w:val="2"/>
                <w:szCs w:val="20"/>
                <w:shd w:val="solid" w:color="000000" w:fill="000000"/>
                <w:fitText w:val="219" w:id="-1232957435"/>
                <w14:textFill>
                  <w14:solidFill>
                    <w14:srgbClr w14:val="000000">
                      <w14:alpha w14:val="100000"/>
                    </w14:srgbClr>
                  </w14:solidFill>
                </w14:textFill>
              </w:rPr>
              <w:t>|</w:t>
            </w:r>
            <w:r w:rsidR="00C30F6E">
              <w:rPr>
                <w:i/>
                <w:sz w:val="18"/>
                <w:szCs w:val="18"/>
                <w:vertAlign w:val="superscript"/>
              </w:rPr>
              <w:t>3</w:t>
            </w:r>
          </w:p>
        </w:tc>
      </w:tr>
      <w:tr w:rsidR="00861436" w:rsidRPr="00CF08DE" w14:paraId="21AFFA8D" w14:textId="77777777" w:rsidTr="0077002B">
        <w:tc>
          <w:tcPr>
            <w:tcW w:w="5000" w:type="pct"/>
            <w:gridSpan w:val="4"/>
            <w:vAlign w:val="center"/>
          </w:tcPr>
          <w:p w14:paraId="6CE17E1C" w14:textId="77777777" w:rsidR="00861436" w:rsidRPr="00CF08DE" w:rsidRDefault="00861436" w:rsidP="0077002B">
            <w:pPr>
              <w:pStyle w:val="COMTableheadingrow"/>
              <w:rPr>
                <w:szCs w:val="20"/>
              </w:rPr>
            </w:pPr>
            <w:r>
              <w:rPr>
                <w:szCs w:val="20"/>
              </w:rPr>
              <w:t>PBS/MBS cost inputs updated to October 2022 unit costs</w:t>
            </w:r>
          </w:p>
        </w:tc>
      </w:tr>
      <w:tr w:rsidR="00861436" w:rsidRPr="00CF08DE" w14:paraId="090DCDF4" w14:textId="77777777" w:rsidTr="0077002B">
        <w:tc>
          <w:tcPr>
            <w:tcW w:w="1529" w:type="pct"/>
            <w:vAlign w:val="center"/>
          </w:tcPr>
          <w:p w14:paraId="772BA8CB" w14:textId="77777777" w:rsidR="00861436" w:rsidRPr="00CF08DE" w:rsidRDefault="00861436" w:rsidP="0077002B">
            <w:pPr>
              <w:pStyle w:val="COMTabletext"/>
              <w:rPr>
                <w:szCs w:val="20"/>
              </w:rPr>
            </w:pPr>
            <w:r w:rsidRPr="00CF08DE">
              <w:rPr>
                <w:szCs w:val="20"/>
              </w:rPr>
              <w:t>Costs</w:t>
            </w:r>
          </w:p>
        </w:tc>
        <w:tc>
          <w:tcPr>
            <w:tcW w:w="1359" w:type="pct"/>
            <w:vAlign w:val="center"/>
          </w:tcPr>
          <w:p w14:paraId="60F76F14" w14:textId="5A11FD10" w:rsidR="00861436" w:rsidRPr="00CF08DE" w:rsidRDefault="00861436" w:rsidP="0077002B">
            <w:pPr>
              <w:pStyle w:val="COMTabletext"/>
              <w:jc w:val="center"/>
              <w:rPr>
                <w:szCs w:val="20"/>
              </w:rPr>
            </w:pPr>
            <w:r w:rsidRPr="00CF08DE">
              <w:rPr>
                <w:szCs w:val="20"/>
              </w:rPr>
              <w:t>$</w:t>
            </w:r>
            <w:r w:rsidR="009E0870" w:rsidRPr="009E0870">
              <w:rPr>
                <w:color w:val="000000"/>
                <w:szCs w:val="20"/>
                <w:shd w:val="solid" w:color="000000" w:fill="000000"/>
                <w14:textFill>
                  <w14:solidFill>
                    <w14:srgbClr w14:val="000000">
                      <w14:alpha w14:val="100000"/>
                    </w14:srgbClr>
                  </w14:solidFill>
                </w14:textFill>
              </w:rPr>
              <w:t>|</w:t>
            </w:r>
          </w:p>
        </w:tc>
        <w:tc>
          <w:tcPr>
            <w:tcW w:w="1274" w:type="pct"/>
            <w:vAlign w:val="center"/>
          </w:tcPr>
          <w:p w14:paraId="0F6D2B82" w14:textId="03BEBA67" w:rsidR="00861436" w:rsidRPr="00CF08DE" w:rsidRDefault="00861436" w:rsidP="0077002B">
            <w:pPr>
              <w:pStyle w:val="COMTabletext"/>
              <w:jc w:val="center"/>
              <w:rPr>
                <w:szCs w:val="20"/>
              </w:rPr>
            </w:pPr>
            <w:r w:rsidRPr="00CF08DE">
              <w:rPr>
                <w:szCs w:val="20"/>
              </w:rPr>
              <w:t>$</w:t>
            </w:r>
            <w:r w:rsidR="009E0870" w:rsidRPr="009E0870">
              <w:rPr>
                <w:color w:val="000000"/>
                <w:szCs w:val="20"/>
                <w:shd w:val="solid" w:color="000000" w:fill="000000"/>
                <w14:textFill>
                  <w14:solidFill>
                    <w14:srgbClr w14:val="000000">
                      <w14:alpha w14:val="100000"/>
                    </w14:srgbClr>
                  </w14:solidFill>
                </w14:textFill>
              </w:rPr>
              <w:t>|</w:t>
            </w:r>
          </w:p>
        </w:tc>
        <w:tc>
          <w:tcPr>
            <w:tcW w:w="838" w:type="pct"/>
            <w:vAlign w:val="center"/>
          </w:tcPr>
          <w:p w14:paraId="6A2ADA83" w14:textId="5F862AE9" w:rsidR="00861436" w:rsidRPr="00CF08DE" w:rsidRDefault="00861436" w:rsidP="0077002B">
            <w:pPr>
              <w:pStyle w:val="COMTabletext"/>
              <w:jc w:val="center"/>
              <w:rPr>
                <w:szCs w:val="20"/>
              </w:rPr>
            </w:pPr>
            <w:r w:rsidRPr="00CF08DE">
              <w:rPr>
                <w:szCs w:val="20"/>
              </w:rPr>
              <w:t>$</w:t>
            </w:r>
            <w:r w:rsidR="009E0870" w:rsidRPr="009E0870">
              <w:rPr>
                <w:color w:val="000000"/>
                <w:spacing w:val="106"/>
                <w:szCs w:val="20"/>
                <w:shd w:val="solid" w:color="000000" w:fill="000000"/>
                <w:fitText w:val="192" w:id="-1232957434"/>
                <w14:textFill>
                  <w14:solidFill>
                    <w14:srgbClr w14:val="000000">
                      <w14:alpha w14:val="100000"/>
                    </w14:srgbClr>
                  </w14:solidFill>
                </w14:textFill>
              </w:rPr>
              <w:t>|</w:t>
            </w:r>
            <w:r w:rsidR="009E0870" w:rsidRPr="009E0870">
              <w:rPr>
                <w:color w:val="000000"/>
                <w:spacing w:val="1"/>
                <w:szCs w:val="20"/>
                <w:shd w:val="solid" w:color="000000" w:fill="000000"/>
                <w:fitText w:val="192" w:id="-1232957434"/>
                <w14:textFill>
                  <w14:solidFill>
                    <w14:srgbClr w14:val="000000">
                      <w14:alpha w14:val="100000"/>
                    </w14:srgbClr>
                  </w14:solidFill>
                </w14:textFill>
              </w:rPr>
              <w:t>|</w:t>
            </w:r>
          </w:p>
        </w:tc>
      </w:tr>
      <w:tr w:rsidR="00861436" w:rsidRPr="00CF08DE" w14:paraId="44CA2320" w14:textId="77777777" w:rsidTr="0077002B">
        <w:tc>
          <w:tcPr>
            <w:tcW w:w="1529" w:type="pct"/>
            <w:vAlign w:val="center"/>
          </w:tcPr>
          <w:p w14:paraId="71A2AE81" w14:textId="77777777" w:rsidR="00861436" w:rsidRPr="00CF08DE" w:rsidRDefault="00861436" w:rsidP="0077002B">
            <w:pPr>
              <w:pStyle w:val="COMTabletext"/>
              <w:rPr>
                <w:szCs w:val="20"/>
              </w:rPr>
            </w:pPr>
            <w:r w:rsidRPr="00CF08DE">
              <w:rPr>
                <w:szCs w:val="20"/>
              </w:rPr>
              <w:t>QALYs</w:t>
            </w:r>
          </w:p>
        </w:tc>
        <w:tc>
          <w:tcPr>
            <w:tcW w:w="1359" w:type="pct"/>
            <w:vAlign w:val="center"/>
          </w:tcPr>
          <w:p w14:paraId="090D72CB" w14:textId="77777777" w:rsidR="00861436" w:rsidRPr="00CF08DE" w:rsidRDefault="00861436" w:rsidP="0077002B">
            <w:pPr>
              <w:pStyle w:val="COMTabletext"/>
              <w:jc w:val="center"/>
              <w:rPr>
                <w:szCs w:val="20"/>
              </w:rPr>
            </w:pPr>
            <w:r>
              <w:rPr>
                <w:szCs w:val="20"/>
              </w:rPr>
              <w:t>7.6163</w:t>
            </w:r>
          </w:p>
        </w:tc>
        <w:tc>
          <w:tcPr>
            <w:tcW w:w="1274" w:type="pct"/>
            <w:vAlign w:val="center"/>
          </w:tcPr>
          <w:p w14:paraId="63F986D2" w14:textId="77777777" w:rsidR="00861436" w:rsidRPr="00CF08DE" w:rsidRDefault="00861436" w:rsidP="0077002B">
            <w:pPr>
              <w:pStyle w:val="COMTabletext"/>
              <w:jc w:val="center"/>
              <w:rPr>
                <w:szCs w:val="20"/>
              </w:rPr>
            </w:pPr>
            <w:r>
              <w:rPr>
                <w:szCs w:val="20"/>
              </w:rPr>
              <w:t>7.5832</w:t>
            </w:r>
          </w:p>
        </w:tc>
        <w:tc>
          <w:tcPr>
            <w:tcW w:w="838" w:type="pct"/>
            <w:vAlign w:val="center"/>
          </w:tcPr>
          <w:p w14:paraId="76B62584" w14:textId="77777777" w:rsidR="00861436" w:rsidRPr="00CF08DE" w:rsidRDefault="00861436" w:rsidP="0077002B">
            <w:pPr>
              <w:pStyle w:val="COMTabletext"/>
              <w:jc w:val="center"/>
              <w:rPr>
                <w:szCs w:val="20"/>
              </w:rPr>
            </w:pPr>
            <w:r>
              <w:rPr>
                <w:szCs w:val="20"/>
              </w:rPr>
              <w:t>0.0331</w:t>
            </w:r>
          </w:p>
        </w:tc>
      </w:tr>
      <w:tr w:rsidR="00861436" w:rsidRPr="00CF08DE" w14:paraId="4B61E7A9" w14:textId="77777777" w:rsidTr="0077002B">
        <w:tc>
          <w:tcPr>
            <w:tcW w:w="4162" w:type="pct"/>
            <w:gridSpan w:val="3"/>
            <w:vAlign w:val="center"/>
          </w:tcPr>
          <w:p w14:paraId="19B26B4D" w14:textId="77777777" w:rsidR="00861436" w:rsidRPr="00CF08DE" w:rsidRDefault="00861436" w:rsidP="0077002B">
            <w:pPr>
              <w:pStyle w:val="COMTabletext"/>
              <w:rPr>
                <w:b/>
                <w:szCs w:val="20"/>
              </w:rPr>
            </w:pPr>
            <w:r w:rsidRPr="00CF08DE">
              <w:rPr>
                <w:b/>
                <w:szCs w:val="20"/>
              </w:rPr>
              <w:t>Incremental cost/QALY gained</w:t>
            </w:r>
          </w:p>
        </w:tc>
        <w:tc>
          <w:tcPr>
            <w:tcW w:w="838" w:type="pct"/>
            <w:vAlign w:val="center"/>
          </w:tcPr>
          <w:p w14:paraId="6CCB394B" w14:textId="1039715A" w:rsidR="00861436" w:rsidRPr="00F5100B" w:rsidRDefault="00861436" w:rsidP="0077002B">
            <w:pPr>
              <w:pStyle w:val="COMTabletext"/>
              <w:jc w:val="center"/>
              <w:rPr>
                <w:bCs w:val="0"/>
                <w:szCs w:val="20"/>
              </w:rPr>
            </w:pPr>
            <w:r w:rsidRPr="00F5100B">
              <w:rPr>
                <w:bCs w:val="0"/>
                <w:szCs w:val="20"/>
              </w:rPr>
              <w:t>$</w:t>
            </w:r>
            <w:r w:rsidR="009E0870" w:rsidRPr="009E0870">
              <w:rPr>
                <w:bCs w:val="0"/>
                <w:color w:val="000000"/>
                <w:spacing w:val="45"/>
                <w:szCs w:val="20"/>
                <w:shd w:val="solid" w:color="000000" w:fill="000000"/>
                <w:fitText w:val="219" w:id="-1232957433"/>
                <w14:textFill>
                  <w14:solidFill>
                    <w14:srgbClr w14:val="000000">
                      <w14:alpha w14:val="100000"/>
                    </w14:srgbClr>
                  </w14:solidFill>
                </w14:textFill>
              </w:rPr>
              <w:t>||</w:t>
            </w:r>
            <w:r w:rsidR="009E0870" w:rsidRPr="009E0870">
              <w:rPr>
                <w:bCs w:val="0"/>
                <w:color w:val="000000"/>
                <w:spacing w:val="2"/>
                <w:szCs w:val="20"/>
                <w:shd w:val="solid" w:color="000000" w:fill="000000"/>
                <w:fitText w:val="219" w:id="-1232957433"/>
                <w14:textFill>
                  <w14:solidFill>
                    <w14:srgbClr w14:val="000000">
                      <w14:alpha w14:val="100000"/>
                    </w14:srgbClr>
                  </w14:solidFill>
                </w14:textFill>
              </w:rPr>
              <w:t>|</w:t>
            </w:r>
            <w:r w:rsidR="00C30F6E">
              <w:rPr>
                <w:i/>
                <w:sz w:val="18"/>
                <w:szCs w:val="18"/>
                <w:vertAlign w:val="superscript"/>
              </w:rPr>
              <w:t>3</w:t>
            </w:r>
          </w:p>
        </w:tc>
      </w:tr>
      <w:tr w:rsidR="00861436" w:rsidRPr="00CF08DE" w14:paraId="70EF1FC8" w14:textId="77777777" w:rsidTr="0077002B">
        <w:tc>
          <w:tcPr>
            <w:tcW w:w="5000" w:type="pct"/>
            <w:gridSpan w:val="4"/>
            <w:vAlign w:val="center"/>
          </w:tcPr>
          <w:p w14:paraId="06010A27" w14:textId="77777777" w:rsidR="00861436" w:rsidRPr="00CF08DE" w:rsidRDefault="00861436" w:rsidP="0077002B">
            <w:pPr>
              <w:pStyle w:val="COMTableheadingrow"/>
              <w:rPr>
                <w:szCs w:val="20"/>
              </w:rPr>
            </w:pPr>
            <w:r w:rsidRPr="006B0EFB">
              <w:rPr>
                <w:szCs w:val="20"/>
              </w:rPr>
              <w:t xml:space="preserve">ABS lifetables </w:t>
            </w:r>
            <w:r>
              <w:rPr>
                <w:szCs w:val="20"/>
              </w:rPr>
              <w:t>updated to 2018-2022 (</w:t>
            </w:r>
            <w:r w:rsidRPr="006B0EFB">
              <w:rPr>
                <w:szCs w:val="20"/>
              </w:rPr>
              <w:t>from 2017-2019</w:t>
            </w:r>
            <w:r>
              <w:rPr>
                <w:szCs w:val="20"/>
              </w:rPr>
              <w:t>)</w:t>
            </w:r>
          </w:p>
        </w:tc>
      </w:tr>
      <w:tr w:rsidR="00861436" w:rsidRPr="00CF08DE" w14:paraId="2CDA5945" w14:textId="77777777" w:rsidTr="0077002B">
        <w:tc>
          <w:tcPr>
            <w:tcW w:w="1529" w:type="pct"/>
            <w:vAlign w:val="center"/>
          </w:tcPr>
          <w:p w14:paraId="20A31C8A" w14:textId="77777777" w:rsidR="00861436" w:rsidRPr="00CF08DE" w:rsidRDefault="00861436" w:rsidP="0077002B">
            <w:pPr>
              <w:pStyle w:val="COMTabletext"/>
              <w:rPr>
                <w:szCs w:val="20"/>
              </w:rPr>
            </w:pPr>
            <w:r w:rsidRPr="00CF08DE">
              <w:rPr>
                <w:szCs w:val="20"/>
              </w:rPr>
              <w:t>Costs</w:t>
            </w:r>
          </w:p>
        </w:tc>
        <w:tc>
          <w:tcPr>
            <w:tcW w:w="1359" w:type="pct"/>
            <w:vAlign w:val="center"/>
          </w:tcPr>
          <w:p w14:paraId="2C8AAEBA" w14:textId="7D6A1D8D" w:rsidR="00861436" w:rsidRPr="00CF08DE" w:rsidRDefault="00861436" w:rsidP="0077002B">
            <w:pPr>
              <w:pStyle w:val="COMTabletext"/>
              <w:jc w:val="center"/>
              <w:rPr>
                <w:szCs w:val="20"/>
              </w:rPr>
            </w:pPr>
            <w:r w:rsidRPr="00CF08DE">
              <w:rPr>
                <w:szCs w:val="20"/>
              </w:rPr>
              <w:t>$</w:t>
            </w:r>
            <w:r w:rsidR="009E0870" w:rsidRPr="009E0870">
              <w:rPr>
                <w:color w:val="000000"/>
                <w:szCs w:val="20"/>
                <w:shd w:val="solid" w:color="000000" w:fill="000000"/>
                <w14:textFill>
                  <w14:solidFill>
                    <w14:srgbClr w14:val="000000">
                      <w14:alpha w14:val="100000"/>
                    </w14:srgbClr>
                  </w14:solidFill>
                </w14:textFill>
              </w:rPr>
              <w:t>|</w:t>
            </w:r>
          </w:p>
        </w:tc>
        <w:tc>
          <w:tcPr>
            <w:tcW w:w="1274" w:type="pct"/>
            <w:vAlign w:val="center"/>
          </w:tcPr>
          <w:p w14:paraId="5F5DF22E" w14:textId="711A3A57" w:rsidR="00861436" w:rsidRPr="00CF08DE" w:rsidRDefault="00861436" w:rsidP="0077002B">
            <w:pPr>
              <w:pStyle w:val="COMTabletext"/>
              <w:jc w:val="center"/>
              <w:rPr>
                <w:szCs w:val="20"/>
              </w:rPr>
            </w:pPr>
            <w:r w:rsidRPr="00CF08DE">
              <w:rPr>
                <w:szCs w:val="20"/>
              </w:rPr>
              <w:t>$</w:t>
            </w:r>
            <w:r w:rsidR="009E0870" w:rsidRPr="009E0870">
              <w:rPr>
                <w:color w:val="000000"/>
                <w:szCs w:val="20"/>
                <w:shd w:val="solid" w:color="000000" w:fill="000000"/>
                <w14:textFill>
                  <w14:solidFill>
                    <w14:srgbClr w14:val="000000">
                      <w14:alpha w14:val="100000"/>
                    </w14:srgbClr>
                  </w14:solidFill>
                </w14:textFill>
              </w:rPr>
              <w:t>|</w:t>
            </w:r>
          </w:p>
        </w:tc>
        <w:tc>
          <w:tcPr>
            <w:tcW w:w="838" w:type="pct"/>
            <w:vAlign w:val="center"/>
          </w:tcPr>
          <w:p w14:paraId="3220BC08" w14:textId="3D78C9EA" w:rsidR="00861436" w:rsidRPr="00CF08DE" w:rsidRDefault="00861436" w:rsidP="0077002B">
            <w:pPr>
              <w:pStyle w:val="COMTabletext"/>
              <w:jc w:val="center"/>
              <w:rPr>
                <w:szCs w:val="20"/>
              </w:rPr>
            </w:pPr>
            <w:r w:rsidRPr="00CF08DE">
              <w:rPr>
                <w:szCs w:val="20"/>
              </w:rPr>
              <w:t>$</w:t>
            </w:r>
            <w:r w:rsidR="009E0870" w:rsidRPr="009E0870">
              <w:rPr>
                <w:color w:val="000000"/>
                <w:spacing w:val="106"/>
                <w:szCs w:val="20"/>
                <w:shd w:val="solid" w:color="000000" w:fill="000000"/>
                <w:fitText w:val="192" w:id="-1232957432"/>
                <w14:textFill>
                  <w14:solidFill>
                    <w14:srgbClr w14:val="000000">
                      <w14:alpha w14:val="100000"/>
                    </w14:srgbClr>
                  </w14:solidFill>
                </w14:textFill>
              </w:rPr>
              <w:t>|</w:t>
            </w:r>
            <w:r w:rsidR="009E0870" w:rsidRPr="009E0870">
              <w:rPr>
                <w:color w:val="000000"/>
                <w:spacing w:val="1"/>
                <w:szCs w:val="20"/>
                <w:shd w:val="solid" w:color="000000" w:fill="000000"/>
                <w:fitText w:val="192" w:id="-1232957432"/>
                <w14:textFill>
                  <w14:solidFill>
                    <w14:srgbClr w14:val="000000">
                      <w14:alpha w14:val="100000"/>
                    </w14:srgbClr>
                  </w14:solidFill>
                </w14:textFill>
              </w:rPr>
              <w:t>|</w:t>
            </w:r>
          </w:p>
        </w:tc>
      </w:tr>
      <w:tr w:rsidR="00861436" w:rsidRPr="00CF08DE" w14:paraId="084A3654" w14:textId="77777777" w:rsidTr="0077002B">
        <w:tc>
          <w:tcPr>
            <w:tcW w:w="1529" w:type="pct"/>
            <w:vAlign w:val="center"/>
          </w:tcPr>
          <w:p w14:paraId="4F9F8827" w14:textId="77777777" w:rsidR="00861436" w:rsidRPr="00CF08DE" w:rsidRDefault="00861436" w:rsidP="0077002B">
            <w:pPr>
              <w:pStyle w:val="COMTabletext"/>
              <w:rPr>
                <w:szCs w:val="20"/>
              </w:rPr>
            </w:pPr>
            <w:r w:rsidRPr="00CF08DE">
              <w:rPr>
                <w:szCs w:val="20"/>
              </w:rPr>
              <w:t>QALYs</w:t>
            </w:r>
          </w:p>
        </w:tc>
        <w:tc>
          <w:tcPr>
            <w:tcW w:w="1359" w:type="pct"/>
            <w:vAlign w:val="center"/>
          </w:tcPr>
          <w:p w14:paraId="36372313" w14:textId="77777777" w:rsidR="00861436" w:rsidRPr="00CF08DE" w:rsidRDefault="00861436" w:rsidP="0077002B">
            <w:pPr>
              <w:pStyle w:val="COMTabletext"/>
              <w:jc w:val="center"/>
              <w:rPr>
                <w:szCs w:val="20"/>
              </w:rPr>
            </w:pPr>
            <w:r>
              <w:rPr>
                <w:szCs w:val="20"/>
              </w:rPr>
              <w:t>7.7083</w:t>
            </w:r>
          </w:p>
        </w:tc>
        <w:tc>
          <w:tcPr>
            <w:tcW w:w="1274" w:type="pct"/>
            <w:vAlign w:val="center"/>
          </w:tcPr>
          <w:p w14:paraId="7C4960BF" w14:textId="77777777" w:rsidR="00861436" w:rsidRPr="00CF08DE" w:rsidRDefault="00861436" w:rsidP="0077002B">
            <w:pPr>
              <w:pStyle w:val="COMTabletext"/>
              <w:jc w:val="center"/>
              <w:rPr>
                <w:szCs w:val="20"/>
              </w:rPr>
            </w:pPr>
            <w:r>
              <w:rPr>
                <w:szCs w:val="20"/>
              </w:rPr>
              <w:t>7.6752</w:t>
            </w:r>
          </w:p>
        </w:tc>
        <w:tc>
          <w:tcPr>
            <w:tcW w:w="838" w:type="pct"/>
            <w:vAlign w:val="center"/>
          </w:tcPr>
          <w:p w14:paraId="26117F37" w14:textId="77777777" w:rsidR="00861436" w:rsidRPr="00CF08DE" w:rsidRDefault="00861436" w:rsidP="0077002B">
            <w:pPr>
              <w:pStyle w:val="COMTabletext"/>
              <w:jc w:val="center"/>
              <w:rPr>
                <w:szCs w:val="20"/>
              </w:rPr>
            </w:pPr>
            <w:r>
              <w:rPr>
                <w:szCs w:val="20"/>
              </w:rPr>
              <w:t>0.0331</w:t>
            </w:r>
          </w:p>
        </w:tc>
      </w:tr>
      <w:tr w:rsidR="00861436" w:rsidRPr="00CF08DE" w14:paraId="0AC7A58A" w14:textId="77777777" w:rsidTr="0077002B">
        <w:tc>
          <w:tcPr>
            <w:tcW w:w="4162" w:type="pct"/>
            <w:gridSpan w:val="3"/>
            <w:vAlign w:val="center"/>
          </w:tcPr>
          <w:p w14:paraId="2212E3B9" w14:textId="77777777" w:rsidR="00861436" w:rsidRPr="00CF08DE" w:rsidRDefault="00861436" w:rsidP="0077002B">
            <w:pPr>
              <w:pStyle w:val="COMTabletext"/>
              <w:rPr>
                <w:b/>
                <w:szCs w:val="20"/>
              </w:rPr>
            </w:pPr>
            <w:r w:rsidRPr="00CF08DE">
              <w:rPr>
                <w:b/>
                <w:szCs w:val="20"/>
              </w:rPr>
              <w:t>Incremental cost/QALY gained</w:t>
            </w:r>
          </w:p>
        </w:tc>
        <w:tc>
          <w:tcPr>
            <w:tcW w:w="838" w:type="pct"/>
            <w:vAlign w:val="center"/>
          </w:tcPr>
          <w:p w14:paraId="49B6F451" w14:textId="7668053E" w:rsidR="00861436" w:rsidRPr="00F5100B" w:rsidRDefault="00861436" w:rsidP="0077002B">
            <w:pPr>
              <w:pStyle w:val="COMTabletext"/>
              <w:jc w:val="center"/>
              <w:rPr>
                <w:bCs w:val="0"/>
                <w:szCs w:val="20"/>
              </w:rPr>
            </w:pPr>
            <w:r w:rsidRPr="00F5100B">
              <w:rPr>
                <w:bCs w:val="0"/>
                <w:szCs w:val="20"/>
              </w:rPr>
              <w:t>$</w:t>
            </w:r>
            <w:r w:rsidR="009E0870" w:rsidRPr="009E0870">
              <w:rPr>
                <w:bCs w:val="0"/>
                <w:color w:val="000000"/>
                <w:spacing w:val="45"/>
                <w:szCs w:val="20"/>
                <w:shd w:val="solid" w:color="000000" w:fill="000000"/>
                <w:fitText w:val="219" w:id="-1232957431"/>
                <w14:textFill>
                  <w14:solidFill>
                    <w14:srgbClr w14:val="000000">
                      <w14:alpha w14:val="100000"/>
                    </w14:srgbClr>
                  </w14:solidFill>
                </w14:textFill>
              </w:rPr>
              <w:t>||</w:t>
            </w:r>
            <w:r w:rsidR="009E0870" w:rsidRPr="009E0870">
              <w:rPr>
                <w:bCs w:val="0"/>
                <w:color w:val="000000"/>
                <w:spacing w:val="2"/>
                <w:szCs w:val="20"/>
                <w:shd w:val="solid" w:color="000000" w:fill="000000"/>
                <w:fitText w:val="219" w:id="-1232957431"/>
                <w14:textFill>
                  <w14:solidFill>
                    <w14:srgbClr w14:val="000000">
                      <w14:alpha w14:val="100000"/>
                    </w14:srgbClr>
                  </w14:solidFill>
                </w14:textFill>
              </w:rPr>
              <w:t>|</w:t>
            </w:r>
            <w:r w:rsidR="00C30F6E">
              <w:rPr>
                <w:i/>
                <w:sz w:val="18"/>
                <w:szCs w:val="18"/>
                <w:vertAlign w:val="superscript"/>
              </w:rPr>
              <w:t>3</w:t>
            </w:r>
          </w:p>
        </w:tc>
      </w:tr>
      <w:tr w:rsidR="00861436" w:rsidRPr="00CF08DE" w14:paraId="620AF308" w14:textId="77777777" w:rsidTr="0077002B">
        <w:tc>
          <w:tcPr>
            <w:tcW w:w="5000" w:type="pct"/>
            <w:gridSpan w:val="4"/>
            <w:vAlign w:val="center"/>
          </w:tcPr>
          <w:p w14:paraId="28265801" w14:textId="0542A8A8" w:rsidR="00861436" w:rsidRPr="00CF08DE" w:rsidRDefault="00861436" w:rsidP="0077002B">
            <w:pPr>
              <w:pStyle w:val="COMTableheadingrow"/>
              <w:rPr>
                <w:szCs w:val="20"/>
              </w:rPr>
            </w:pPr>
            <w:r>
              <w:rPr>
                <w:szCs w:val="20"/>
              </w:rPr>
              <w:t>Romosozumab DPMQ $</w:t>
            </w:r>
            <w:r w:rsidR="009E0870" w:rsidRPr="009E0870">
              <w:rPr>
                <w:color w:val="000000"/>
                <w:spacing w:val="32"/>
                <w:szCs w:val="20"/>
                <w:shd w:val="solid" w:color="000000" w:fill="000000"/>
                <w:fitText w:val="592" w:id="-1232957430"/>
                <w14:textFill>
                  <w14:solidFill>
                    <w14:srgbClr w14:val="000000">
                      <w14:alpha w14:val="100000"/>
                    </w14:srgbClr>
                  </w14:solidFill>
                </w14:textFill>
              </w:rPr>
              <w:t>|||||||</w:t>
            </w:r>
            <w:r w:rsidR="009E0870" w:rsidRPr="009E0870">
              <w:rPr>
                <w:color w:val="000000"/>
                <w:spacing w:val="1"/>
                <w:szCs w:val="20"/>
                <w:shd w:val="solid" w:color="000000" w:fill="000000"/>
                <w:fitText w:val="592" w:id="-1232957430"/>
                <w14:textFill>
                  <w14:solidFill>
                    <w14:srgbClr w14:val="000000">
                      <w14:alpha w14:val="100000"/>
                    </w14:srgbClr>
                  </w14:solidFill>
                </w14:textFill>
              </w:rPr>
              <w:t>|</w:t>
            </w:r>
            <w:r>
              <w:rPr>
                <w:szCs w:val="20"/>
              </w:rPr>
              <w:t xml:space="preserve"> (reduced from</w:t>
            </w:r>
            <w:r w:rsidRPr="00DE0963">
              <w:rPr>
                <w:szCs w:val="20"/>
              </w:rPr>
              <w:t xml:space="preserve"> $</w:t>
            </w:r>
            <w:r w:rsidR="009E0870" w:rsidRPr="009E0870">
              <w:rPr>
                <w:color w:val="000000"/>
                <w:spacing w:val="32"/>
                <w:szCs w:val="20"/>
                <w:shd w:val="solid" w:color="000000" w:fill="000000"/>
                <w:fitText w:val="592" w:id="-1232957429"/>
                <w14:textFill>
                  <w14:solidFill>
                    <w14:srgbClr w14:val="000000">
                      <w14:alpha w14:val="100000"/>
                    </w14:srgbClr>
                  </w14:solidFill>
                </w14:textFill>
              </w:rPr>
              <w:t>|||||||</w:t>
            </w:r>
            <w:r w:rsidR="009E0870" w:rsidRPr="009E0870">
              <w:rPr>
                <w:color w:val="000000"/>
                <w:spacing w:val="1"/>
                <w:szCs w:val="20"/>
                <w:shd w:val="solid" w:color="000000" w:fill="000000"/>
                <w:fitText w:val="592" w:id="-1232957429"/>
                <w14:textFill>
                  <w14:solidFill>
                    <w14:srgbClr w14:val="000000">
                      <w14:alpha w14:val="100000"/>
                    </w14:srgbClr>
                  </w14:solidFill>
                </w14:textFill>
              </w:rPr>
              <w:t>|</w:t>
            </w:r>
            <w:r>
              <w:rPr>
                <w:szCs w:val="20"/>
              </w:rPr>
              <w:t>)</w:t>
            </w:r>
          </w:p>
        </w:tc>
      </w:tr>
      <w:tr w:rsidR="00861436" w:rsidRPr="00CF08DE" w14:paraId="1391E4C1" w14:textId="77777777" w:rsidTr="0077002B">
        <w:tc>
          <w:tcPr>
            <w:tcW w:w="1529" w:type="pct"/>
            <w:vAlign w:val="center"/>
          </w:tcPr>
          <w:p w14:paraId="591A5D7C" w14:textId="77777777" w:rsidR="00861436" w:rsidRPr="00CF08DE" w:rsidRDefault="00861436" w:rsidP="0077002B">
            <w:pPr>
              <w:pStyle w:val="COMTabletext"/>
              <w:rPr>
                <w:szCs w:val="20"/>
              </w:rPr>
            </w:pPr>
            <w:r w:rsidRPr="00CF08DE">
              <w:rPr>
                <w:szCs w:val="20"/>
              </w:rPr>
              <w:t>Costs</w:t>
            </w:r>
          </w:p>
        </w:tc>
        <w:tc>
          <w:tcPr>
            <w:tcW w:w="1359" w:type="pct"/>
            <w:vAlign w:val="center"/>
          </w:tcPr>
          <w:p w14:paraId="6381473F" w14:textId="198CB0AC" w:rsidR="00861436" w:rsidRPr="00CF08DE" w:rsidRDefault="00861436" w:rsidP="0077002B">
            <w:pPr>
              <w:pStyle w:val="COMTabletext"/>
              <w:jc w:val="center"/>
              <w:rPr>
                <w:szCs w:val="20"/>
              </w:rPr>
            </w:pPr>
            <w:r w:rsidRPr="00CF08DE">
              <w:rPr>
                <w:szCs w:val="20"/>
              </w:rPr>
              <w:t>$</w:t>
            </w:r>
            <w:r w:rsidR="009E0870" w:rsidRPr="009E0870">
              <w:rPr>
                <w:color w:val="000000"/>
                <w:szCs w:val="20"/>
                <w:shd w:val="solid" w:color="000000" w:fill="000000"/>
                <w14:textFill>
                  <w14:solidFill>
                    <w14:srgbClr w14:val="000000">
                      <w14:alpha w14:val="100000"/>
                    </w14:srgbClr>
                  </w14:solidFill>
                </w14:textFill>
              </w:rPr>
              <w:t>|</w:t>
            </w:r>
          </w:p>
        </w:tc>
        <w:tc>
          <w:tcPr>
            <w:tcW w:w="1274" w:type="pct"/>
            <w:vAlign w:val="center"/>
          </w:tcPr>
          <w:p w14:paraId="7197169F" w14:textId="70D6EE60" w:rsidR="00861436" w:rsidRPr="00CF08DE" w:rsidRDefault="00861436" w:rsidP="0077002B">
            <w:pPr>
              <w:pStyle w:val="COMTabletext"/>
              <w:jc w:val="center"/>
              <w:rPr>
                <w:szCs w:val="20"/>
              </w:rPr>
            </w:pPr>
            <w:r w:rsidRPr="00CF08DE">
              <w:rPr>
                <w:szCs w:val="20"/>
              </w:rPr>
              <w:t>$</w:t>
            </w:r>
            <w:r w:rsidR="009E0870" w:rsidRPr="009E0870">
              <w:rPr>
                <w:color w:val="000000"/>
                <w:szCs w:val="20"/>
                <w:shd w:val="solid" w:color="000000" w:fill="000000"/>
                <w14:textFill>
                  <w14:solidFill>
                    <w14:srgbClr w14:val="000000">
                      <w14:alpha w14:val="100000"/>
                    </w14:srgbClr>
                  </w14:solidFill>
                </w14:textFill>
              </w:rPr>
              <w:t>|</w:t>
            </w:r>
          </w:p>
        </w:tc>
        <w:tc>
          <w:tcPr>
            <w:tcW w:w="838" w:type="pct"/>
            <w:vAlign w:val="center"/>
          </w:tcPr>
          <w:p w14:paraId="4C4BD0B1" w14:textId="5FB54B93" w:rsidR="00861436" w:rsidRPr="00CF08DE" w:rsidRDefault="00861436" w:rsidP="0077002B">
            <w:pPr>
              <w:pStyle w:val="COMTabletext"/>
              <w:jc w:val="center"/>
              <w:rPr>
                <w:szCs w:val="20"/>
              </w:rPr>
            </w:pPr>
            <w:r w:rsidRPr="00CF08DE">
              <w:rPr>
                <w:szCs w:val="20"/>
              </w:rPr>
              <w:t>$</w:t>
            </w:r>
            <w:r w:rsidR="009E0870" w:rsidRPr="009E0870">
              <w:rPr>
                <w:color w:val="000000"/>
                <w:spacing w:val="106"/>
                <w:szCs w:val="20"/>
                <w:shd w:val="solid" w:color="000000" w:fill="000000"/>
                <w:fitText w:val="192" w:id="-1232957428"/>
                <w14:textFill>
                  <w14:solidFill>
                    <w14:srgbClr w14:val="000000">
                      <w14:alpha w14:val="100000"/>
                    </w14:srgbClr>
                  </w14:solidFill>
                </w14:textFill>
              </w:rPr>
              <w:t>|</w:t>
            </w:r>
            <w:r w:rsidR="009E0870" w:rsidRPr="009E0870">
              <w:rPr>
                <w:color w:val="000000"/>
                <w:spacing w:val="1"/>
                <w:szCs w:val="20"/>
                <w:shd w:val="solid" w:color="000000" w:fill="000000"/>
                <w:fitText w:val="192" w:id="-1232957428"/>
                <w14:textFill>
                  <w14:solidFill>
                    <w14:srgbClr w14:val="000000">
                      <w14:alpha w14:val="100000"/>
                    </w14:srgbClr>
                  </w14:solidFill>
                </w14:textFill>
              </w:rPr>
              <w:t>|</w:t>
            </w:r>
          </w:p>
        </w:tc>
      </w:tr>
      <w:tr w:rsidR="00861436" w:rsidRPr="00CF08DE" w14:paraId="0791FC8F" w14:textId="77777777" w:rsidTr="0077002B">
        <w:tc>
          <w:tcPr>
            <w:tcW w:w="1529" w:type="pct"/>
            <w:vAlign w:val="center"/>
          </w:tcPr>
          <w:p w14:paraId="5F017A68" w14:textId="77777777" w:rsidR="00861436" w:rsidRPr="00CF08DE" w:rsidRDefault="00861436" w:rsidP="0077002B">
            <w:pPr>
              <w:pStyle w:val="COMTabletext"/>
              <w:rPr>
                <w:szCs w:val="20"/>
              </w:rPr>
            </w:pPr>
            <w:r w:rsidRPr="00CF08DE">
              <w:rPr>
                <w:szCs w:val="20"/>
              </w:rPr>
              <w:t>QALYs</w:t>
            </w:r>
          </w:p>
        </w:tc>
        <w:tc>
          <w:tcPr>
            <w:tcW w:w="1359" w:type="pct"/>
            <w:vAlign w:val="center"/>
          </w:tcPr>
          <w:p w14:paraId="56C1CDC2" w14:textId="77777777" w:rsidR="00861436" w:rsidRPr="00CF08DE" w:rsidRDefault="00861436" w:rsidP="0077002B">
            <w:pPr>
              <w:pStyle w:val="COMTabletext"/>
              <w:jc w:val="center"/>
              <w:rPr>
                <w:szCs w:val="20"/>
              </w:rPr>
            </w:pPr>
            <w:r>
              <w:rPr>
                <w:szCs w:val="20"/>
              </w:rPr>
              <w:t>7.7083</w:t>
            </w:r>
          </w:p>
        </w:tc>
        <w:tc>
          <w:tcPr>
            <w:tcW w:w="1274" w:type="pct"/>
            <w:vAlign w:val="center"/>
          </w:tcPr>
          <w:p w14:paraId="63FF6D7B" w14:textId="77777777" w:rsidR="00861436" w:rsidRPr="00CF08DE" w:rsidRDefault="00861436" w:rsidP="0077002B">
            <w:pPr>
              <w:pStyle w:val="COMTabletext"/>
              <w:jc w:val="center"/>
              <w:rPr>
                <w:szCs w:val="20"/>
              </w:rPr>
            </w:pPr>
            <w:r>
              <w:rPr>
                <w:szCs w:val="20"/>
              </w:rPr>
              <w:t>7.6752</w:t>
            </w:r>
          </w:p>
        </w:tc>
        <w:tc>
          <w:tcPr>
            <w:tcW w:w="838" w:type="pct"/>
            <w:vAlign w:val="center"/>
          </w:tcPr>
          <w:p w14:paraId="5917F800" w14:textId="77777777" w:rsidR="00861436" w:rsidRPr="00CF08DE" w:rsidRDefault="00861436" w:rsidP="0077002B">
            <w:pPr>
              <w:pStyle w:val="COMTabletext"/>
              <w:jc w:val="center"/>
              <w:rPr>
                <w:szCs w:val="20"/>
              </w:rPr>
            </w:pPr>
            <w:r>
              <w:rPr>
                <w:szCs w:val="20"/>
              </w:rPr>
              <w:t>0.0331</w:t>
            </w:r>
          </w:p>
        </w:tc>
      </w:tr>
      <w:tr w:rsidR="00861436" w:rsidRPr="00CF08DE" w14:paraId="40CCB9CC" w14:textId="77777777" w:rsidTr="0077002B">
        <w:tc>
          <w:tcPr>
            <w:tcW w:w="4162" w:type="pct"/>
            <w:gridSpan w:val="3"/>
            <w:vAlign w:val="center"/>
          </w:tcPr>
          <w:p w14:paraId="0692A44A" w14:textId="77777777" w:rsidR="00861436" w:rsidRPr="00CF08DE" w:rsidRDefault="00861436" w:rsidP="0077002B">
            <w:pPr>
              <w:pStyle w:val="COMTabletext"/>
              <w:rPr>
                <w:b/>
                <w:szCs w:val="20"/>
              </w:rPr>
            </w:pPr>
            <w:r w:rsidRPr="00CF08DE">
              <w:rPr>
                <w:b/>
                <w:szCs w:val="20"/>
              </w:rPr>
              <w:t>Incremental cost/QALY gained</w:t>
            </w:r>
            <w:r>
              <w:rPr>
                <w:b/>
                <w:szCs w:val="20"/>
              </w:rPr>
              <w:t xml:space="preserve"> (resubmission base case)</w:t>
            </w:r>
          </w:p>
        </w:tc>
        <w:tc>
          <w:tcPr>
            <w:tcW w:w="838" w:type="pct"/>
            <w:vAlign w:val="center"/>
          </w:tcPr>
          <w:p w14:paraId="42B5500C" w14:textId="4CC2276F" w:rsidR="00861436" w:rsidRPr="00DC26A3" w:rsidRDefault="00861436" w:rsidP="0077002B">
            <w:pPr>
              <w:pStyle w:val="COMTabletext"/>
              <w:jc w:val="center"/>
              <w:rPr>
                <w:b/>
                <w:szCs w:val="20"/>
              </w:rPr>
            </w:pPr>
            <w:r w:rsidRPr="00DC26A3">
              <w:rPr>
                <w:b/>
                <w:szCs w:val="20"/>
              </w:rPr>
              <w:t>$</w:t>
            </w:r>
            <w:r w:rsidR="009E0870" w:rsidRPr="009E0870">
              <w:rPr>
                <w:b/>
                <w:color w:val="000000"/>
                <w:spacing w:val="199"/>
                <w:szCs w:val="20"/>
                <w:shd w:val="solid" w:color="000000" w:fill="000000"/>
                <w:fitText w:val="291" w:id="-1232957427"/>
                <w14:textFill>
                  <w14:solidFill>
                    <w14:srgbClr w14:val="000000">
                      <w14:alpha w14:val="100000"/>
                    </w14:srgbClr>
                  </w14:solidFill>
                </w14:textFill>
              </w:rPr>
              <w:t>|</w:t>
            </w:r>
            <w:r w:rsidR="009E0870" w:rsidRPr="009E0870">
              <w:rPr>
                <w:b/>
                <w:color w:val="000000"/>
                <w:spacing w:val="1"/>
                <w:szCs w:val="20"/>
                <w:shd w:val="solid" w:color="000000" w:fill="000000"/>
                <w:fitText w:val="291" w:id="-1232957427"/>
                <w14:textFill>
                  <w14:solidFill>
                    <w14:srgbClr w14:val="000000">
                      <w14:alpha w14:val="100000"/>
                    </w14:srgbClr>
                  </w14:solidFill>
                </w14:textFill>
              </w:rPr>
              <w:t>|</w:t>
            </w:r>
            <w:r w:rsidR="00C30F6E">
              <w:rPr>
                <w:i/>
                <w:sz w:val="18"/>
                <w:szCs w:val="18"/>
                <w:vertAlign w:val="superscript"/>
              </w:rPr>
              <w:t>3</w:t>
            </w:r>
          </w:p>
        </w:tc>
      </w:tr>
    </w:tbl>
    <w:p w14:paraId="09008DFF" w14:textId="77777777" w:rsidR="00861436" w:rsidRDefault="00861436" w:rsidP="00861436">
      <w:pPr>
        <w:pStyle w:val="COMTablefooter"/>
      </w:pPr>
      <w:r>
        <w:t>Source: Table 3.8-4, p102 of the resubmission.</w:t>
      </w:r>
    </w:p>
    <w:p w14:paraId="75541CAA" w14:textId="58F1498A" w:rsidR="00861436" w:rsidRDefault="00861436" w:rsidP="002E1153">
      <w:pPr>
        <w:pStyle w:val="COMTablefooter"/>
        <w:spacing w:after="0"/>
      </w:pPr>
      <w:r>
        <w:t>Abbreviations: ABS, Australian Bureau of Statistics; DPMQ, dispensed price for maximum quantity; MBS, Medicare Benefits Schedule; PBS, Pharmaceutical Benefits Scheme; QALY, quality adjusted life year</w:t>
      </w:r>
    </w:p>
    <w:p w14:paraId="63FA4D80" w14:textId="77777777" w:rsidR="00C30F6E" w:rsidRPr="00BB5864" w:rsidRDefault="00C30F6E" w:rsidP="00C30F6E">
      <w:pPr>
        <w:pStyle w:val="TableFigureFooter"/>
        <w:spacing w:after="0"/>
        <w:contextualSpacing w:val="0"/>
      </w:pPr>
      <w:r w:rsidRPr="00BB5864">
        <w:rPr>
          <w:i/>
        </w:rPr>
        <w:t>The redacted values correspond to the following ranges</w:t>
      </w:r>
    </w:p>
    <w:p w14:paraId="147C1845" w14:textId="37029DDA" w:rsidR="00C30F6E" w:rsidRPr="00BB5864" w:rsidRDefault="00C30F6E" w:rsidP="00C30F6E">
      <w:pPr>
        <w:rPr>
          <w:rFonts w:ascii="Arial Narrow" w:hAnsi="Arial Narrow"/>
          <w:i/>
          <w:sz w:val="18"/>
          <w:szCs w:val="18"/>
        </w:rPr>
      </w:pPr>
      <w:r w:rsidRPr="00BB5864">
        <w:rPr>
          <w:rFonts w:ascii="Arial Narrow" w:hAnsi="Arial Narrow"/>
          <w:i/>
          <w:sz w:val="18"/>
          <w:szCs w:val="18"/>
          <w:vertAlign w:val="superscript"/>
        </w:rPr>
        <w:t>1</w:t>
      </w:r>
      <w:r w:rsidRPr="00BB5864">
        <w:rPr>
          <w:rFonts w:ascii="Arial Narrow" w:hAnsi="Arial Narrow"/>
          <w:i/>
          <w:sz w:val="18"/>
          <w:szCs w:val="18"/>
        </w:rPr>
        <w:t xml:space="preserve"> </w:t>
      </w:r>
      <w:r w:rsidRPr="00C30F6E">
        <w:rPr>
          <w:rFonts w:ascii="Arial Narrow" w:hAnsi="Arial Narrow"/>
          <w:i/>
          <w:sz w:val="18"/>
          <w:szCs w:val="18"/>
        </w:rPr>
        <w:t>$25,000 to &lt; $35,000</w:t>
      </w:r>
    </w:p>
    <w:p w14:paraId="77BBD0B3" w14:textId="5211E4B4" w:rsidR="00C30F6E" w:rsidRDefault="00C30F6E" w:rsidP="00C30F6E">
      <w:pPr>
        <w:rPr>
          <w:rFonts w:ascii="Arial Narrow" w:hAnsi="Arial Narrow"/>
          <w:i/>
          <w:sz w:val="18"/>
          <w:szCs w:val="18"/>
        </w:rPr>
      </w:pPr>
      <w:r w:rsidRPr="00BB5864">
        <w:rPr>
          <w:rFonts w:ascii="Arial Narrow" w:hAnsi="Arial Narrow"/>
          <w:i/>
          <w:sz w:val="18"/>
          <w:szCs w:val="18"/>
          <w:vertAlign w:val="superscript"/>
        </w:rPr>
        <w:t>2</w:t>
      </w:r>
      <w:r w:rsidRPr="00BB5864">
        <w:rPr>
          <w:rFonts w:ascii="Arial Narrow" w:hAnsi="Arial Narrow"/>
          <w:i/>
          <w:sz w:val="18"/>
          <w:szCs w:val="18"/>
        </w:rPr>
        <w:t xml:space="preserve"> </w:t>
      </w:r>
      <w:r w:rsidRPr="00C30F6E">
        <w:rPr>
          <w:rFonts w:ascii="Arial Narrow" w:hAnsi="Arial Narrow"/>
          <w:i/>
          <w:sz w:val="18"/>
          <w:szCs w:val="18"/>
        </w:rPr>
        <w:t>$35,000 to &lt; $45,000</w:t>
      </w:r>
    </w:p>
    <w:p w14:paraId="137FB685" w14:textId="4E36650F" w:rsidR="00D1048C" w:rsidRPr="00BB5864" w:rsidRDefault="00D1048C" w:rsidP="00C30F6E">
      <w:pPr>
        <w:rPr>
          <w:rFonts w:ascii="Arial Narrow" w:hAnsi="Arial Narrow"/>
          <w:i/>
          <w:sz w:val="18"/>
          <w:szCs w:val="18"/>
        </w:rPr>
      </w:pPr>
      <w:r w:rsidRPr="00D1048C">
        <w:rPr>
          <w:rFonts w:ascii="Arial Narrow" w:hAnsi="Arial Narrow"/>
          <w:i/>
          <w:sz w:val="18"/>
          <w:szCs w:val="18"/>
          <w:vertAlign w:val="superscript"/>
        </w:rPr>
        <w:t>3</w:t>
      </w:r>
      <w:r>
        <w:rPr>
          <w:rFonts w:ascii="Arial Narrow" w:hAnsi="Arial Narrow"/>
          <w:i/>
          <w:sz w:val="18"/>
          <w:szCs w:val="18"/>
          <w:vertAlign w:val="superscript"/>
        </w:rPr>
        <w:t xml:space="preserve"> </w:t>
      </w:r>
      <w:r w:rsidRPr="00C30F6E">
        <w:rPr>
          <w:rFonts w:ascii="Arial Narrow" w:hAnsi="Arial Narrow"/>
          <w:i/>
          <w:sz w:val="18"/>
          <w:szCs w:val="18"/>
        </w:rPr>
        <w:t>$45,000 to &lt; $55,000</w:t>
      </w:r>
    </w:p>
    <w:p w14:paraId="36DCAC54" w14:textId="417E3EE1" w:rsidR="00861436" w:rsidRPr="003074AF" w:rsidRDefault="00861436" w:rsidP="00BE7594">
      <w:pPr>
        <w:pStyle w:val="COMexecsumnumberedpara"/>
      </w:pPr>
      <w:bookmarkStart w:id="49" w:name="_Ref127957066"/>
      <w:r w:rsidRPr="00C4315D">
        <w:t xml:space="preserve">Treatment with romosozumab followed by alendronate was associated with a cost per QALY gained of </w:t>
      </w:r>
      <w:r w:rsidR="00D37FE1" w:rsidRPr="00D37FE1">
        <w:t>$45,000</w:t>
      </w:r>
      <w:r w:rsidR="00D1048C">
        <w:t> </w:t>
      </w:r>
      <w:r w:rsidR="00D37FE1" w:rsidRPr="00D37FE1">
        <w:t>to</w:t>
      </w:r>
      <w:r w:rsidR="00D1048C">
        <w:t> </w:t>
      </w:r>
      <w:r w:rsidR="00D37FE1" w:rsidRPr="00D37FE1">
        <w:t>&lt;</w:t>
      </w:r>
      <w:r w:rsidR="00D1048C">
        <w:t> </w:t>
      </w:r>
      <w:r w:rsidR="00D37FE1" w:rsidRPr="00D37FE1">
        <w:t>$55,000</w:t>
      </w:r>
      <w:r w:rsidR="00D1048C">
        <w:t> </w:t>
      </w:r>
      <w:r w:rsidR="00D909F5">
        <w:t xml:space="preserve"> </w:t>
      </w:r>
      <w:r w:rsidRPr="00C4315D">
        <w:t xml:space="preserve">compared to alendronate alone for the treatment of severe osteoporosis in the </w:t>
      </w:r>
      <w:r w:rsidR="009D7391">
        <w:t>first-line</w:t>
      </w:r>
      <w:r w:rsidRPr="00C4315D">
        <w:t xml:space="preserve"> setting.</w:t>
      </w:r>
      <w:r w:rsidRPr="00602FB0">
        <w:t xml:space="preserve"> </w:t>
      </w:r>
      <w:r w:rsidRPr="003074AF">
        <w:t xml:space="preserve">The PBAC previously considered that a revised economic model should achieve an ICER no higher than the revised base case in the July 2022 submission </w:t>
      </w:r>
      <w:r w:rsidR="00D37FE1" w:rsidRPr="00D37FE1">
        <w:t>$35,000</w:t>
      </w:r>
      <w:r w:rsidR="00D1048C">
        <w:t> </w:t>
      </w:r>
      <w:r w:rsidR="00D37FE1" w:rsidRPr="00D37FE1">
        <w:t>to</w:t>
      </w:r>
      <w:r w:rsidR="00D1048C">
        <w:t> </w:t>
      </w:r>
      <w:r w:rsidR="00D37FE1" w:rsidRPr="00D37FE1">
        <w:t>&lt;</w:t>
      </w:r>
      <w:r w:rsidR="00D1048C">
        <w:t> </w:t>
      </w:r>
      <w:r w:rsidR="00D37FE1" w:rsidRPr="00D37FE1">
        <w:t>$45,000</w:t>
      </w:r>
      <w:r w:rsidR="00D1048C">
        <w:t> </w:t>
      </w:r>
      <w:r w:rsidR="00D909F5">
        <w:t xml:space="preserve"> </w:t>
      </w:r>
      <w:r w:rsidRPr="003074AF">
        <w:t xml:space="preserve">per QALY gained; para 7.13, Romosozumab PSD, July 2022 PBAC meeting). </w:t>
      </w:r>
      <w:r w:rsidR="002E5013" w:rsidRPr="00810C1E">
        <w:t>The ESC noted that t</w:t>
      </w:r>
      <w:r w:rsidRPr="00810C1E">
        <w:t>his</w:t>
      </w:r>
      <w:r w:rsidRPr="003074AF">
        <w:t xml:space="preserve"> would require a reduction in the requested DPMQ from $</w:t>
      </w:r>
      <w:r w:rsidR="009E0870" w:rsidRPr="009E0870">
        <w:rPr>
          <w:color w:val="000000"/>
          <w:w w:val="24"/>
          <w:shd w:val="solid" w:color="000000" w:fill="000000"/>
          <w:fitText w:val="80" w:id="-1232957426"/>
          <w14:textFill>
            <w14:solidFill>
              <w14:srgbClr w14:val="000000">
                <w14:alpha w14:val="100000"/>
              </w14:srgbClr>
            </w14:solidFill>
          </w14:textFill>
        </w:rPr>
        <w:t xml:space="preserve">|  </w:t>
      </w:r>
      <w:r w:rsidR="009E0870" w:rsidRPr="009E0870">
        <w:rPr>
          <w:color w:val="000000"/>
          <w:spacing w:val="1"/>
          <w:w w:val="24"/>
          <w:shd w:val="solid" w:color="000000" w:fill="000000"/>
          <w:fitText w:val="80" w:id="-1232957426"/>
          <w14:textFill>
            <w14:solidFill>
              <w14:srgbClr w14:val="000000">
                <w14:alpha w14:val="100000"/>
              </w14:srgbClr>
            </w14:solidFill>
          </w14:textFill>
        </w:rPr>
        <w:t>|</w:t>
      </w:r>
      <w:r w:rsidRPr="003074AF">
        <w:t xml:space="preserve"> to $</w:t>
      </w:r>
      <w:r w:rsidR="009E0870" w:rsidRPr="009E0870">
        <w:rPr>
          <w:color w:val="000000"/>
          <w:w w:val="24"/>
          <w:shd w:val="solid" w:color="000000" w:fill="000000"/>
          <w:fitText w:val="80" w:id="-1232957425"/>
          <w14:textFill>
            <w14:solidFill>
              <w14:srgbClr w14:val="000000">
                <w14:alpha w14:val="100000"/>
              </w14:srgbClr>
            </w14:solidFill>
          </w14:textFill>
        </w:rPr>
        <w:t xml:space="preserve">|  </w:t>
      </w:r>
      <w:r w:rsidR="009E0870" w:rsidRPr="009E0870">
        <w:rPr>
          <w:color w:val="000000"/>
          <w:spacing w:val="1"/>
          <w:w w:val="24"/>
          <w:shd w:val="solid" w:color="000000" w:fill="000000"/>
          <w:fitText w:val="80" w:id="-1232957425"/>
          <w14:textFill>
            <w14:solidFill>
              <w14:srgbClr w14:val="000000">
                <w14:alpha w14:val="100000"/>
              </w14:srgbClr>
            </w14:solidFill>
          </w14:textFill>
        </w:rPr>
        <w:t>|</w:t>
      </w:r>
      <w:r w:rsidRPr="003074AF">
        <w:t>.</w:t>
      </w:r>
      <w:bookmarkEnd w:id="49"/>
      <w:r w:rsidR="00C70800">
        <w:t xml:space="preserve"> </w:t>
      </w:r>
    </w:p>
    <w:p w14:paraId="4ACBF50C" w14:textId="77777777" w:rsidR="00861436" w:rsidRPr="003074AF" w:rsidRDefault="00861436" w:rsidP="00BE7594">
      <w:pPr>
        <w:pStyle w:val="COMexecsumnumberedpara"/>
      </w:pPr>
      <w:r w:rsidRPr="003074AF">
        <w:t xml:space="preserve">Compared with the July 2022 evaluation base case (which corrected errors in acute fracture costs and used a 5% discount rate) increasing the discontinuation rate from 5% to 20% had the largest impact on the resubmission’s economic evaluation. </w:t>
      </w:r>
    </w:p>
    <w:p w14:paraId="0D84A1BB" w14:textId="28EDDAC5" w:rsidR="00861436" w:rsidRPr="003074AF" w:rsidRDefault="00861436" w:rsidP="00BE7594">
      <w:pPr>
        <w:pStyle w:val="COMexecsumnumberedpara"/>
      </w:pPr>
      <w:r w:rsidRPr="00C4315D">
        <w:t xml:space="preserve">The resubmission also presented a stepped economic evaluation from trial-based modelled costs and outcomes to the resubmission’s base case. </w:t>
      </w:r>
      <w:r w:rsidRPr="003074AF">
        <w:t xml:space="preserve">The extrapolation of </w:t>
      </w:r>
      <w:r w:rsidRPr="003074AF">
        <w:lastRenderedPageBreak/>
        <w:t>treatment benefits beyond the clinical trial data had the largest impact on the stepped economic evaluation.</w:t>
      </w:r>
    </w:p>
    <w:p w14:paraId="343D4AA4" w14:textId="08528871" w:rsidR="00861436" w:rsidRPr="003074AF" w:rsidRDefault="00861436" w:rsidP="00BE7594">
      <w:pPr>
        <w:pStyle w:val="COMexecsumnumberedpara"/>
        <w:numPr>
          <w:ilvl w:val="1"/>
          <w:numId w:val="3"/>
        </w:numPr>
        <w:tabs>
          <w:tab w:val="clear" w:pos="360"/>
        </w:tabs>
        <w:spacing w:after="0"/>
        <w:ind w:left="720" w:hanging="720"/>
        <w:contextualSpacing/>
      </w:pPr>
      <w:r w:rsidRPr="003074AF">
        <w:t xml:space="preserve">For every </w:t>
      </w:r>
      <w:r w:rsidR="00D37FE1" w:rsidRPr="00D37FE1">
        <w:t>0</w:t>
      </w:r>
      <w:r w:rsidR="00E6004C">
        <w:t> </w:t>
      </w:r>
      <w:r w:rsidR="00D37FE1" w:rsidRPr="00D37FE1">
        <w:t>to</w:t>
      </w:r>
      <w:r w:rsidR="00E6004C">
        <w:t> </w:t>
      </w:r>
      <w:r w:rsidR="00D37FE1" w:rsidRPr="00D37FE1">
        <w:t>&lt;</w:t>
      </w:r>
      <w:r w:rsidR="00E6004C">
        <w:t> </w:t>
      </w:r>
      <w:r w:rsidR="00D37FE1" w:rsidRPr="00D37FE1">
        <w:t>5,000</w:t>
      </w:r>
      <w:r w:rsidR="00E6004C">
        <w:t> </w:t>
      </w:r>
      <w:r w:rsidR="00E45B2A">
        <w:t xml:space="preserve"> </w:t>
      </w:r>
      <w:r w:rsidRPr="003074AF">
        <w:t>patients treated with romosozumab/alendronate versus alendronate and followed up for 20 years, the economic evaluation (using undiscounted costs and outcomes) estimated that there would be:</w:t>
      </w:r>
    </w:p>
    <w:p w14:paraId="2E6548E6" w14:textId="23011481" w:rsidR="00861436" w:rsidRPr="003074AF" w:rsidRDefault="00861436" w:rsidP="004517EE">
      <w:pPr>
        <w:pStyle w:val="COMexecsummbulletlist"/>
      </w:pPr>
      <w:r w:rsidRPr="003074AF">
        <w:t xml:space="preserve">Additional drug and administration costs of </w:t>
      </w:r>
      <w:r w:rsidR="004517EE" w:rsidRPr="004517EE">
        <w:t>$0</w:t>
      </w:r>
      <w:r w:rsidR="004517EE">
        <w:t> </w:t>
      </w:r>
      <w:r w:rsidR="004517EE" w:rsidRPr="004517EE">
        <w:t>to</w:t>
      </w:r>
      <w:r w:rsidR="004517EE">
        <w:t> </w:t>
      </w:r>
      <w:r w:rsidR="004517EE" w:rsidRPr="004517EE">
        <w:t>&lt;</w:t>
      </w:r>
      <w:r w:rsidR="004517EE">
        <w:t> </w:t>
      </w:r>
      <w:r w:rsidR="004517EE" w:rsidRPr="004517EE">
        <w:t>$10</w:t>
      </w:r>
      <w:r w:rsidR="004517EE">
        <w:t> </w:t>
      </w:r>
      <w:r w:rsidR="004517EE" w:rsidRPr="004517EE">
        <w:t>million</w:t>
      </w:r>
      <w:r w:rsidR="000551B8">
        <w:t xml:space="preserve"> </w:t>
      </w:r>
      <w:r w:rsidRPr="003074AF">
        <w:t>for romosozumab followed by alendronate, compared with alendronate treatment alone.</w:t>
      </w:r>
    </w:p>
    <w:p w14:paraId="7EAA78CA" w14:textId="1EA4A582" w:rsidR="00861436" w:rsidRPr="003074AF" w:rsidRDefault="00861436" w:rsidP="00861436">
      <w:pPr>
        <w:pStyle w:val="COMexecsummbulletlist"/>
        <w:numPr>
          <w:ilvl w:val="0"/>
          <w:numId w:val="1"/>
        </w:numPr>
        <w:ind w:left="1134"/>
        <w:contextualSpacing/>
      </w:pPr>
      <w:r w:rsidRPr="003074AF">
        <w:t xml:space="preserve">Increased cardiovascular event and monitoring costs of </w:t>
      </w:r>
      <w:r w:rsidR="004517EE" w:rsidRPr="004517EE">
        <w:t>$0</w:t>
      </w:r>
      <w:r w:rsidR="004517EE">
        <w:t> </w:t>
      </w:r>
      <w:r w:rsidR="004517EE" w:rsidRPr="004517EE">
        <w:t>to</w:t>
      </w:r>
      <w:r w:rsidR="004517EE">
        <w:t> </w:t>
      </w:r>
      <w:r w:rsidR="004517EE" w:rsidRPr="004517EE">
        <w:t>&lt;</w:t>
      </w:r>
      <w:r w:rsidR="004517EE">
        <w:t> </w:t>
      </w:r>
      <w:r w:rsidR="004517EE" w:rsidRPr="004517EE">
        <w:t>$10</w:t>
      </w:r>
      <w:r w:rsidR="004517EE">
        <w:t> </w:t>
      </w:r>
      <w:r w:rsidR="004517EE" w:rsidRPr="004517EE">
        <w:t>million</w:t>
      </w:r>
      <w:r w:rsidRPr="003074AF">
        <w:t>; associated with cardiovascular events and reduced quality of life.</w:t>
      </w:r>
    </w:p>
    <w:p w14:paraId="6CE8EA65" w14:textId="2D6E21BA" w:rsidR="00861436" w:rsidRPr="003074AF" w:rsidRDefault="00861436" w:rsidP="004517EE">
      <w:pPr>
        <w:pStyle w:val="COMexecsummbulletlist"/>
      </w:pPr>
      <w:r w:rsidRPr="003074AF">
        <w:t xml:space="preserve">35 new fractures avoided, composed of 12 hip fractures, 17 vertebral fractures and 5 other fractures; which would save </w:t>
      </w:r>
      <w:r w:rsidR="004517EE" w:rsidRPr="004517EE">
        <w:t>$0</w:t>
      </w:r>
      <w:r w:rsidR="004517EE">
        <w:t> </w:t>
      </w:r>
      <w:r w:rsidR="004517EE" w:rsidRPr="004517EE">
        <w:t>to</w:t>
      </w:r>
      <w:r w:rsidR="004517EE">
        <w:t> </w:t>
      </w:r>
      <w:r w:rsidR="004517EE" w:rsidRPr="004517EE">
        <w:t>&lt;</w:t>
      </w:r>
      <w:r w:rsidR="004517EE">
        <w:t> </w:t>
      </w:r>
      <w:r w:rsidR="004517EE" w:rsidRPr="004517EE">
        <w:t>$10</w:t>
      </w:r>
      <w:r w:rsidR="004517EE">
        <w:t> </w:t>
      </w:r>
      <w:r w:rsidR="004517EE" w:rsidRPr="004517EE">
        <w:t>million</w:t>
      </w:r>
      <w:r w:rsidR="004517EE" w:rsidRPr="003074AF" w:rsidDel="004517EE">
        <w:t xml:space="preserve"> </w:t>
      </w:r>
      <w:r w:rsidRPr="003074AF">
        <w:t>in acute and chronic fracture costs, be associated with improved quality of life, and result in an average of 20.7 life years gained.</w:t>
      </w:r>
    </w:p>
    <w:p w14:paraId="3E751F33" w14:textId="30C9ED1F" w:rsidR="00861436" w:rsidRPr="00D23D11" w:rsidRDefault="00861436" w:rsidP="00BE7594">
      <w:pPr>
        <w:pStyle w:val="COMexecsumnumberedpara"/>
      </w:pPr>
      <w:r w:rsidRPr="00D23D11">
        <w:t xml:space="preserve">The results of key sensitivity analyses are summarised </w:t>
      </w:r>
      <w:r>
        <w:t xml:space="preserve">in </w:t>
      </w:r>
      <w:r>
        <w:fldChar w:fldCharType="begin" w:fldLock="1"/>
      </w:r>
      <w:r>
        <w:instrText xml:space="preserve"> REF _Ref120858427 \h </w:instrText>
      </w:r>
      <w:r>
        <w:fldChar w:fldCharType="separate"/>
      </w:r>
      <w:r w:rsidR="00605CB9" w:rsidRPr="00656188">
        <w:t xml:space="preserve">Table </w:t>
      </w:r>
      <w:r w:rsidR="00605CB9">
        <w:rPr>
          <w:noProof/>
        </w:rPr>
        <w:t>11</w:t>
      </w:r>
      <w:r>
        <w:fldChar w:fldCharType="end"/>
      </w:r>
      <w:r w:rsidRPr="00D23D11">
        <w:t>.</w:t>
      </w:r>
    </w:p>
    <w:p w14:paraId="2E3AC0C5" w14:textId="7E590097" w:rsidR="00861436" w:rsidRDefault="00861436" w:rsidP="00EA48A9">
      <w:pPr>
        <w:pStyle w:val="COMtablefigcaption"/>
      </w:pPr>
      <w:bookmarkStart w:id="50" w:name="_Ref120858427"/>
      <w:bookmarkStart w:id="51" w:name="_Ref104804865"/>
      <w:r w:rsidRPr="00656188">
        <w:lastRenderedPageBreak/>
        <w:t xml:space="preserve">Table </w:t>
      </w:r>
      <w:fldSimple w:instr=" SEQ Table \* ARABIC " w:fldLock="1">
        <w:r w:rsidR="00B20BD0">
          <w:rPr>
            <w:noProof/>
          </w:rPr>
          <w:t>11</w:t>
        </w:r>
      </w:fldSimple>
      <w:bookmarkEnd w:id="50"/>
      <w:r w:rsidRPr="00656188">
        <w:t>: Results of sensitivity analyses</w:t>
      </w:r>
    </w:p>
    <w:tbl>
      <w:tblPr>
        <w:tblStyle w:val="TableGrid"/>
        <w:tblW w:w="0" w:type="auto"/>
        <w:tblCellMar>
          <w:left w:w="57" w:type="dxa"/>
          <w:right w:w="57" w:type="dxa"/>
        </w:tblCellMar>
        <w:tblLook w:val="04A0" w:firstRow="1" w:lastRow="0" w:firstColumn="1" w:lastColumn="0" w:noHBand="0" w:noVBand="1"/>
      </w:tblPr>
      <w:tblGrid>
        <w:gridCol w:w="3919"/>
        <w:gridCol w:w="1243"/>
        <w:gridCol w:w="1244"/>
        <w:gridCol w:w="1244"/>
        <w:gridCol w:w="1367"/>
      </w:tblGrid>
      <w:tr w:rsidR="00861436" w14:paraId="71DC4956" w14:textId="77777777" w:rsidTr="009E0870">
        <w:trPr>
          <w:tblHeader/>
        </w:trPr>
        <w:tc>
          <w:tcPr>
            <w:tcW w:w="3919" w:type="dxa"/>
          </w:tcPr>
          <w:p w14:paraId="1F0205DB" w14:textId="77777777" w:rsidR="00861436" w:rsidRPr="00CF721B" w:rsidRDefault="00861436" w:rsidP="0077002B">
            <w:pPr>
              <w:pStyle w:val="COMTableheadingrow"/>
              <w:keepLines/>
              <w:rPr>
                <w:lang w:val="en-AU"/>
              </w:rPr>
            </w:pPr>
            <w:r w:rsidRPr="00CF721B">
              <w:rPr>
                <w:lang w:val="en-AU"/>
              </w:rPr>
              <w:t>Analysis</w:t>
            </w:r>
          </w:p>
        </w:tc>
        <w:tc>
          <w:tcPr>
            <w:tcW w:w="1243" w:type="dxa"/>
            <w:tcBorders>
              <w:bottom w:val="single" w:sz="4" w:space="0" w:color="auto"/>
            </w:tcBorders>
            <w:vAlign w:val="center"/>
          </w:tcPr>
          <w:p w14:paraId="2BA7768E" w14:textId="6BBA85C5" w:rsidR="00861436" w:rsidRPr="00CF721B" w:rsidRDefault="00861436" w:rsidP="0077002B">
            <w:pPr>
              <w:pStyle w:val="COMTableheadingrow"/>
              <w:keepLines/>
              <w:jc w:val="center"/>
              <w:rPr>
                <w:lang w:val="en-AU"/>
              </w:rPr>
            </w:pPr>
            <w:r w:rsidRPr="00CF721B">
              <w:rPr>
                <w:lang w:val="en-AU"/>
              </w:rPr>
              <w:t>Incremental cost</w:t>
            </w:r>
            <w:r w:rsidR="00466DDD">
              <w:rPr>
                <w:lang w:val="en-AU"/>
              </w:rPr>
              <w:t>($)</w:t>
            </w:r>
          </w:p>
        </w:tc>
        <w:tc>
          <w:tcPr>
            <w:tcW w:w="1244" w:type="dxa"/>
            <w:vAlign w:val="center"/>
          </w:tcPr>
          <w:p w14:paraId="527BF0D0" w14:textId="77777777" w:rsidR="00861436" w:rsidRPr="00CF721B" w:rsidRDefault="00861436" w:rsidP="0077002B">
            <w:pPr>
              <w:pStyle w:val="COMTableheadingrow"/>
              <w:keepLines/>
              <w:jc w:val="center"/>
              <w:rPr>
                <w:lang w:val="en-AU"/>
              </w:rPr>
            </w:pPr>
            <w:r w:rsidRPr="00CF721B">
              <w:rPr>
                <w:lang w:val="en-AU"/>
              </w:rPr>
              <w:t>Incremental QALYs</w:t>
            </w:r>
          </w:p>
        </w:tc>
        <w:tc>
          <w:tcPr>
            <w:tcW w:w="1244" w:type="dxa"/>
            <w:vAlign w:val="center"/>
          </w:tcPr>
          <w:p w14:paraId="77D2437C" w14:textId="6A78963E" w:rsidR="00861436" w:rsidRPr="00CF721B" w:rsidRDefault="00861436" w:rsidP="0077002B">
            <w:pPr>
              <w:pStyle w:val="COMTableheadingrow"/>
              <w:keepLines/>
              <w:jc w:val="center"/>
              <w:rPr>
                <w:lang w:val="en-AU"/>
              </w:rPr>
            </w:pPr>
            <w:r w:rsidRPr="00CF721B">
              <w:rPr>
                <w:lang w:val="en-AU"/>
              </w:rPr>
              <w:t>ICER</w:t>
            </w:r>
            <w:r w:rsidR="007352D9">
              <w:rPr>
                <w:lang w:val="en-AU"/>
              </w:rPr>
              <w:t>($)</w:t>
            </w:r>
          </w:p>
        </w:tc>
        <w:tc>
          <w:tcPr>
            <w:tcW w:w="1367" w:type="dxa"/>
            <w:vAlign w:val="center"/>
          </w:tcPr>
          <w:p w14:paraId="5873E9C7" w14:textId="77777777" w:rsidR="00861436" w:rsidRPr="00CF721B" w:rsidRDefault="00861436" w:rsidP="0077002B">
            <w:pPr>
              <w:pStyle w:val="COMTableheadingrow"/>
              <w:keepLines/>
              <w:jc w:val="center"/>
              <w:rPr>
                <w:lang w:val="en-AU"/>
              </w:rPr>
            </w:pPr>
            <w:r w:rsidRPr="00CF721B">
              <w:rPr>
                <w:lang w:val="en-AU"/>
              </w:rPr>
              <w:t>% change from base case</w:t>
            </w:r>
          </w:p>
        </w:tc>
      </w:tr>
      <w:tr w:rsidR="00861436" w14:paraId="17C0333E" w14:textId="77777777" w:rsidTr="009E0870">
        <w:tc>
          <w:tcPr>
            <w:tcW w:w="3919" w:type="dxa"/>
            <w:vAlign w:val="center"/>
          </w:tcPr>
          <w:p w14:paraId="2AF6647A" w14:textId="77777777" w:rsidR="00861436" w:rsidRPr="00CF721B" w:rsidRDefault="00861436" w:rsidP="0077002B">
            <w:pPr>
              <w:pStyle w:val="COMTableheadingrow"/>
              <w:keepLines/>
              <w:rPr>
                <w:lang w:val="en-AU"/>
              </w:rPr>
            </w:pPr>
            <w:r w:rsidRPr="00CF721B">
              <w:rPr>
                <w:lang w:val="en-AU"/>
              </w:rPr>
              <w:t>Base case</w:t>
            </w:r>
          </w:p>
        </w:tc>
        <w:tc>
          <w:tcPr>
            <w:tcW w:w="1243" w:type="dxa"/>
            <w:shd w:val="solid" w:color="000000" w:fill="000000"/>
            <w:vAlign w:val="center"/>
          </w:tcPr>
          <w:p w14:paraId="49795617" w14:textId="70B327C4" w:rsidR="00861436" w:rsidRPr="009E0870" w:rsidRDefault="009E0870" w:rsidP="0077002B">
            <w:pPr>
              <w:pStyle w:val="COMTableheadingrow"/>
              <w:keepLines/>
              <w:jc w:val="center"/>
              <w:rPr>
                <w:lang w:val="en-AU"/>
              </w:rPr>
            </w:pPr>
            <w:r w:rsidRPr="009E0870">
              <w:rPr>
                <w:color w:val="000000"/>
                <w:spacing w:val="66"/>
                <w:fitText w:val="383" w:id="-1232957424"/>
                <w:lang w:val="en-AU"/>
                <w14:textFill>
                  <w14:solidFill>
                    <w14:srgbClr w14:val="000000">
                      <w14:alpha w14:val="100000"/>
                    </w14:srgbClr>
                  </w14:solidFill>
                </w14:textFill>
              </w:rPr>
              <w:t>|||</w:t>
            </w:r>
            <w:r w:rsidRPr="009E0870">
              <w:rPr>
                <w:color w:val="000000"/>
                <w:spacing w:val="2"/>
                <w:fitText w:val="383" w:id="-1232957424"/>
                <w:lang w:val="en-AU"/>
                <w14:textFill>
                  <w14:solidFill>
                    <w14:srgbClr w14:val="000000">
                      <w14:alpha w14:val="100000"/>
                    </w14:srgbClr>
                  </w14:solidFill>
                </w14:textFill>
              </w:rPr>
              <w:t>|</w:t>
            </w:r>
          </w:p>
        </w:tc>
        <w:tc>
          <w:tcPr>
            <w:tcW w:w="1244" w:type="dxa"/>
            <w:vAlign w:val="center"/>
          </w:tcPr>
          <w:p w14:paraId="4EE88BEB" w14:textId="77777777" w:rsidR="00861436" w:rsidRPr="00CF721B" w:rsidRDefault="00861436" w:rsidP="0077002B">
            <w:pPr>
              <w:pStyle w:val="COMTableheadingrow"/>
              <w:keepLines/>
              <w:jc w:val="center"/>
              <w:rPr>
                <w:lang w:val="en-AU"/>
              </w:rPr>
            </w:pPr>
            <w:r w:rsidRPr="00CF721B">
              <w:rPr>
                <w:lang w:val="en-AU"/>
              </w:rPr>
              <w:t>0.0331</w:t>
            </w:r>
          </w:p>
        </w:tc>
        <w:tc>
          <w:tcPr>
            <w:tcW w:w="1244" w:type="dxa"/>
            <w:vAlign w:val="center"/>
          </w:tcPr>
          <w:p w14:paraId="4A4C8EDC" w14:textId="7ADC77ED" w:rsidR="00861436" w:rsidRPr="002E1153" w:rsidRDefault="009E0870" w:rsidP="0077002B">
            <w:pPr>
              <w:pStyle w:val="COMTableheadingrow"/>
              <w:keepLines/>
              <w:jc w:val="center"/>
              <w:rPr>
                <w:highlight w:val="darkGray"/>
                <w:lang w:val="en-AU"/>
              </w:rPr>
            </w:pPr>
            <w:r w:rsidRPr="009E0870">
              <w:rPr>
                <w:color w:val="000000"/>
                <w:spacing w:val="75"/>
                <w:shd w:val="solid" w:color="000000" w:fill="000000"/>
                <w:fitText w:val="410" w:id="-1232957440"/>
                <w:lang w:val="en-AU"/>
                <w14:textFill>
                  <w14:solidFill>
                    <w14:srgbClr w14:val="000000">
                      <w14:alpha w14:val="100000"/>
                    </w14:srgbClr>
                  </w14:solidFill>
                </w14:textFill>
              </w:rPr>
              <w:t>|||</w:t>
            </w:r>
            <w:r w:rsidRPr="009E0870">
              <w:rPr>
                <w:color w:val="000000"/>
                <w:spacing w:val="2"/>
                <w:shd w:val="solid" w:color="000000" w:fill="000000"/>
                <w:fitText w:val="410" w:id="-1232957440"/>
                <w:lang w:val="en-AU"/>
                <w14:textFill>
                  <w14:solidFill>
                    <w14:srgbClr w14:val="000000">
                      <w14:alpha w14:val="100000"/>
                    </w14:srgbClr>
                  </w14:solidFill>
                </w14:textFill>
              </w:rPr>
              <w:t>|</w:t>
            </w:r>
            <w:r w:rsidR="007352D9" w:rsidRPr="00BB5864">
              <w:rPr>
                <w:i/>
                <w:sz w:val="18"/>
                <w:szCs w:val="18"/>
                <w:vertAlign w:val="superscript"/>
              </w:rPr>
              <w:t>1</w:t>
            </w:r>
          </w:p>
        </w:tc>
        <w:tc>
          <w:tcPr>
            <w:tcW w:w="1367" w:type="dxa"/>
            <w:vAlign w:val="center"/>
          </w:tcPr>
          <w:p w14:paraId="76117B9D" w14:textId="77777777" w:rsidR="00861436" w:rsidRPr="00CF721B" w:rsidRDefault="00861436" w:rsidP="0077002B">
            <w:pPr>
              <w:pStyle w:val="COMTableheadingrow"/>
              <w:keepLines/>
              <w:jc w:val="center"/>
              <w:rPr>
                <w:lang w:val="en-AU"/>
              </w:rPr>
            </w:pPr>
            <w:r w:rsidRPr="00CF721B">
              <w:rPr>
                <w:lang w:val="en-AU"/>
              </w:rPr>
              <w:t>-</w:t>
            </w:r>
          </w:p>
        </w:tc>
      </w:tr>
      <w:tr w:rsidR="00861436" w14:paraId="514F8003" w14:textId="77777777" w:rsidTr="0077002B">
        <w:tc>
          <w:tcPr>
            <w:tcW w:w="9017" w:type="dxa"/>
            <w:gridSpan w:val="5"/>
            <w:vAlign w:val="center"/>
          </w:tcPr>
          <w:p w14:paraId="437A9914" w14:textId="77777777" w:rsidR="00861436" w:rsidRPr="00CF721B" w:rsidRDefault="00861436" w:rsidP="0077002B">
            <w:pPr>
              <w:pStyle w:val="COMTableheadingrow"/>
              <w:keepLines/>
              <w:rPr>
                <w:lang w:val="en-AU"/>
              </w:rPr>
            </w:pPr>
            <w:r w:rsidRPr="00CF721B">
              <w:rPr>
                <w:lang w:val="en-AU"/>
              </w:rPr>
              <w:t>Discount rate (base case 5%)</w:t>
            </w:r>
          </w:p>
        </w:tc>
      </w:tr>
      <w:tr w:rsidR="00861436" w14:paraId="34B787B1" w14:textId="77777777" w:rsidTr="009E0870">
        <w:tc>
          <w:tcPr>
            <w:tcW w:w="3919" w:type="dxa"/>
            <w:vAlign w:val="center"/>
          </w:tcPr>
          <w:p w14:paraId="71EED492" w14:textId="77777777" w:rsidR="00861436" w:rsidRPr="00CF721B" w:rsidRDefault="00861436" w:rsidP="0077002B">
            <w:pPr>
              <w:pStyle w:val="COMTableheadingrow"/>
              <w:keepLines/>
              <w:rPr>
                <w:b w:val="0"/>
                <w:bCs/>
                <w:lang w:val="en-AU"/>
              </w:rPr>
            </w:pPr>
            <w:r w:rsidRPr="00CF721B">
              <w:rPr>
                <w:b w:val="0"/>
                <w:bCs/>
                <w:lang w:val="en-AU"/>
              </w:rPr>
              <w:t>3.5%</w:t>
            </w:r>
          </w:p>
        </w:tc>
        <w:tc>
          <w:tcPr>
            <w:tcW w:w="1243" w:type="dxa"/>
            <w:tcBorders>
              <w:top w:val="single" w:sz="4" w:space="0" w:color="auto"/>
              <w:left w:val="nil"/>
              <w:bottom w:val="single" w:sz="4" w:space="0" w:color="auto"/>
              <w:right w:val="single" w:sz="4" w:space="0" w:color="auto"/>
            </w:tcBorders>
            <w:shd w:val="solid" w:color="000000" w:fill="000000"/>
            <w:vAlign w:val="center"/>
          </w:tcPr>
          <w:p w14:paraId="725DCAF0" w14:textId="6DFFC63B" w:rsidR="00861436" w:rsidRPr="009E0870" w:rsidRDefault="009E0870" w:rsidP="0077002B">
            <w:pPr>
              <w:pStyle w:val="COMTableheadingrow"/>
              <w:keepLines/>
              <w:jc w:val="center"/>
              <w:rPr>
                <w:b w:val="0"/>
                <w:bCs/>
                <w:lang w:val="en-AU"/>
              </w:rPr>
            </w:pPr>
            <w:r w:rsidRPr="005C68B9">
              <w:rPr>
                <w:rFonts w:cs="Calibri"/>
                <w:b w:val="0"/>
                <w:bCs/>
                <w:color w:val="000000"/>
                <w:spacing w:val="46"/>
                <w:szCs w:val="20"/>
                <w:fitText w:val="310" w:id="-1232957439"/>
                <w14:textFill>
                  <w14:solidFill>
                    <w14:srgbClr w14:val="000000">
                      <w14:alpha w14:val="100000"/>
                    </w14:srgbClr>
                  </w14:solidFill>
                </w14:textFill>
              </w:rPr>
              <w:t>|||</w:t>
            </w:r>
            <w:r w:rsidRPr="005C68B9">
              <w:rPr>
                <w:rFonts w:cs="Calibri"/>
                <w:b w:val="0"/>
                <w:bCs/>
                <w:color w:val="000000"/>
                <w:spacing w:val="2"/>
                <w:szCs w:val="20"/>
                <w:fitText w:val="310" w:id="-1232957439"/>
                <w14:textFill>
                  <w14:solidFill>
                    <w14:srgbClr w14:val="000000">
                      <w14:alpha w14:val="100000"/>
                    </w14:srgbClr>
                  </w14:solidFill>
                </w14:textFill>
              </w:rPr>
              <w:t>|</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33F5A97"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0.0363</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0832103" w14:textId="57141E40" w:rsidR="00861436" w:rsidRPr="002E1153" w:rsidRDefault="009E0870" w:rsidP="0077002B">
            <w:pPr>
              <w:pStyle w:val="COMTableheadingrow"/>
              <w:keepLines/>
              <w:jc w:val="center"/>
              <w:rPr>
                <w:b w:val="0"/>
                <w:bCs/>
                <w:highlight w:val="darkGray"/>
                <w:lang w:val="en-AU"/>
              </w:rPr>
            </w:pPr>
            <w:r w:rsidRPr="009E0870">
              <w:rPr>
                <w:rFonts w:cs="Calibri"/>
                <w:b w:val="0"/>
                <w:bCs/>
                <w:color w:val="000000"/>
                <w:spacing w:val="55"/>
                <w:szCs w:val="20"/>
                <w:shd w:val="solid" w:color="000000" w:fill="000000"/>
                <w:fitText w:val="337" w:id="-1232957438"/>
                <w14:textFill>
                  <w14:solidFill>
                    <w14:srgbClr w14:val="000000">
                      <w14:alpha w14:val="100000"/>
                    </w14:srgbClr>
                  </w14:solidFill>
                </w14:textFill>
              </w:rPr>
              <w:t>|||</w:t>
            </w:r>
            <w:r w:rsidRPr="009E0870">
              <w:rPr>
                <w:rFonts w:cs="Calibri"/>
                <w:b w:val="0"/>
                <w:bCs/>
                <w:color w:val="000000"/>
                <w:spacing w:val="2"/>
                <w:szCs w:val="20"/>
                <w:shd w:val="solid" w:color="000000" w:fill="000000"/>
                <w:fitText w:val="337" w:id="-1232957438"/>
                <w14:textFill>
                  <w14:solidFill>
                    <w14:srgbClr w14:val="000000">
                      <w14:alpha w14:val="100000"/>
                    </w14:srgbClr>
                  </w14:solidFill>
                </w14:textFill>
              </w:rPr>
              <w:t>|</w:t>
            </w:r>
            <w:r w:rsidR="00DE7AA3">
              <w:rPr>
                <w:i/>
                <w:sz w:val="18"/>
                <w:szCs w:val="18"/>
                <w:vertAlign w:val="superscript"/>
              </w:rPr>
              <w:t>2</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41960E83"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-9%</w:t>
            </w:r>
          </w:p>
        </w:tc>
      </w:tr>
      <w:tr w:rsidR="00861436" w14:paraId="72A40497" w14:textId="77777777" w:rsidTr="009E0870">
        <w:tc>
          <w:tcPr>
            <w:tcW w:w="3919" w:type="dxa"/>
            <w:vAlign w:val="center"/>
          </w:tcPr>
          <w:p w14:paraId="7FDD56E8" w14:textId="77777777" w:rsidR="00861436" w:rsidRPr="00CF721B" w:rsidRDefault="00861436" w:rsidP="0077002B">
            <w:pPr>
              <w:pStyle w:val="COMTableheadingrow"/>
              <w:keepLines/>
              <w:rPr>
                <w:b w:val="0"/>
                <w:bCs/>
                <w:lang w:val="en-AU"/>
              </w:rPr>
            </w:pPr>
            <w:r w:rsidRPr="00CF721B">
              <w:rPr>
                <w:b w:val="0"/>
                <w:bCs/>
                <w:lang w:val="en-AU"/>
              </w:rPr>
              <w:t>0%</w:t>
            </w:r>
          </w:p>
        </w:tc>
        <w:tc>
          <w:tcPr>
            <w:tcW w:w="1243" w:type="dxa"/>
            <w:tcBorders>
              <w:top w:val="single" w:sz="4" w:space="0" w:color="auto"/>
              <w:left w:val="nil"/>
              <w:bottom w:val="single" w:sz="4" w:space="0" w:color="auto"/>
              <w:right w:val="single" w:sz="4" w:space="0" w:color="auto"/>
            </w:tcBorders>
            <w:shd w:val="solid" w:color="000000" w:fill="000000"/>
            <w:vAlign w:val="center"/>
          </w:tcPr>
          <w:p w14:paraId="695BF8AA" w14:textId="067C0494" w:rsidR="00861436" w:rsidRPr="009E0870" w:rsidRDefault="009E0870" w:rsidP="0077002B">
            <w:pPr>
              <w:pStyle w:val="COMTableheadingrow"/>
              <w:keepLines/>
              <w:jc w:val="center"/>
              <w:rPr>
                <w:b w:val="0"/>
                <w:bCs/>
                <w:lang w:val="en-AU"/>
              </w:rPr>
            </w:pPr>
            <w:r w:rsidRPr="005C68B9">
              <w:rPr>
                <w:rFonts w:cs="Calibri"/>
                <w:b w:val="0"/>
                <w:bCs/>
                <w:color w:val="000000"/>
                <w:spacing w:val="46"/>
                <w:szCs w:val="20"/>
                <w:fitText w:val="310" w:id="-1232957437"/>
                <w14:textFill>
                  <w14:solidFill>
                    <w14:srgbClr w14:val="000000">
                      <w14:alpha w14:val="100000"/>
                    </w14:srgbClr>
                  </w14:solidFill>
                </w14:textFill>
              </w:rPr>
              <w:t>|||</w:t>
            </w:r>
            <w:r w:rsidRPr="005C68B9">
              <w:rPr>
                <w:rFonts w:cs="Calibri"/>
                <w:b w:val="0"/>
                <w:bCs/>
                <w:color w:val="000000"/>
                <w:spacing w:val="2"/>
                <w:szCs w:val="20"/>
                <w:fitText w:val="310" w:id="-1232957437"/>
                <w14:textFill>
                  <w14:solidFill>
                    <w14:srgbClr w14:val="000000">
                      <w14:alpha w14:val="100000"/>
                    </w14:srgbClr>
                  </w14:solidFill>
                </w14:textFill>
              </w:rPr>
              <w:t>|</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85F91AA"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0.0462</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563DC8E" w14:textId="759CE1D2" w:rsidR="00861436" w:rsidRPr="002E1153" w:rsidRDefault="009E0870" w:rsidP="0077002B">
            <w:pPr>
              <w:pStyle w:val="COMTableheadingrow"/>
              <w:keepLines/>
              <w:jc w:val="center"/>
              <w:rPr>
                <w:b w:val="0"/>
                <w:bCs/>
                <w:highlight w:val="darkGray"/>
                <w:lang w:val="en-AU"/>
              </w:rPr>
            </w:pPr>
            <w:r w:rsidRPr="009E0870">
              <w:rPr>
                <w:rFonts w:cs="Calibri"/>
                <w:b w:val="0"/>
                <w:bCs/>
                <w:color w:val="000000"/>
                <w:spacing w:val="55"/>
                <w:szCs w:val="20"/>
                <w:shd w:val="solid" w:color="000000" w:fill="000000"/>
                <w:fitText w:val="337" w:id="-1232957436"/>
                <w14:textFill>
                  <w14:solidFill>
                    <w14:srgbClr w14:val="000000">
                      <w14:alpha w14:val="100000"/>
                    </w14:srgbClr>
                  </w14:solidFill>
                </w14:textFill>
              </w:rPr>
              <w:t>|||</w:t>
            </w:r>
            <w:r w:rsidRPr="009E0870">
              <w:rPr>
                <w:rFonts w:cs="Calibri"/>
                <w:b w:val="0"/>
                <w:bCs/>
                <w:color w:val="000000"/>
                <w:spacing w:val="2"/>
                <w:szCs w:val="20"/>
                <w:shd w:val="solid" w:color="000000" w:fill="000000"/>
                <w:fitText w:val="337" w:id="-1232957436"/>
                <w14:textFill>
                  <w14:solidFill>
                    <w14:srgbClr w14:val="000000">
                      <w14:alpha w14:val="100000"/>
                    </w14:srgbClr>
                  </w14:solidFill>
                </w14:textFill>
              </w:rPr>
              <w:t>|</w:t>
            </w:r>
            <w:r w:rsidR="00DE7AA3">
              <w:rPr>
                <w:i/>
                <w:sz w:val="18"/>
                <w:szCs w:val="18"/>
                <w:vertAlign w:val="superscript"/>
              </w:rPr>
              <w:t>2</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73111D75"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-30%</w:t>
            </w:r>
          </w:p>
        </w:tc>
      </w:tr>
      <w:tr w:rsidR="00861436" w14:paraId="56A1B232" w14:textId="77777777" w:rsidTr="0077002B">
        <w:tc>
          <w:tcPr>
            <w:tcW w:w="9017" w:type="dxa"/>
            <w:gridSpan w:val="5"/>
            <w:vAlign w:val="center"/>
          </w:tcPr>
          <w:p w14:paraId="1951150F" w14:textId="77777777" w:rsidR="00861436" w:rsidRPr="00CF721B" w:rsidRDefault="00861436" w:rsidP="0077002B">
            <w:pPr>
              <w:pStyle w:val="COMTableheadingrow"/>
              <w:keepLines/>
              <w:rPr>
                <w:lang w:val="en-AU"/>
              </w:rPr>
            </w:pPr>
            <w:r w:rsidRPr="00CF721B">
              <w:rPr>
                <w:lang w:val="en-AU"/>
              </w:rPr>
              <w:t>Time horizon (base case 20 years)</w:t>
            </w:r>
          </w:p>
        </w:tc>
      </w:tr>
      <w:tr w:rsidR="00861436" w14:paraId="5CAE28BC" w14:textId="77777777" w:rsidTr="009E0870">
        <w:tc>
          <w:tcPr>
            <w:tcW w:w="3919" w:type="dxa"/>
            <w:vAlign w:val="center"/>
          </w:tcPr>
          <w:p w14:paraId="143E0886" w14:textId="027D5EAE" w:rsidR="00861436" w:rsidRPr="00CF721B" w:rsidRDefault="00861436" w:rsidP="0077002B">
            <w:pPr>
              <w:pStyle w:val="COMTableheadingrow"/>
              <w:keepLines/>
              <w:rPr>
                <w:b w:val="0"/>
                <w:bCs/>
                <w:vertAlign w:val="superscript"/>
                <w:lang w:val="en-AU"/>
              </w:rPr>
            </w:pPr>
            <w:r w:rsidRPr="00CF721B">
              <w:rPr>
                <w:b w:val="0"/>
                <w:bCs/>
                <w:lang w:val="en-AU"/>
              </w:rPr>
              <w:t>3 years</w:t>
            </w:r>
            <w:r w:rsidR="00EE2B4C" w:rsidRPr="00CF721B">
              <w:rPr>
                <w:b w:val="0"/>
                <w:bCs/>
                <w:lang w:val="en-AU"/>
              </w:rPr>
              <w:t xml:space="preserve"> </w:t>
            </w:r>
            <w:r w:rsidR="00EE2B4C" w:rsidRPr="00CF721B">
              <w:rPr>
                <w:b w:val="0"/>
                <w:bCs/>
                <w:vertAlign w:val="superscript"/>
                <w:lang w:val="en-AU"/>
              </w:rPr>
              <w:t>a</w:t>
            </w:r>
          </w:p>
        </w:tc>
        <w:tc>
          <w:tcPr>
            <w:tcW w:w="1243" w:type="dxa"/>
            <w:tcBorders>
              <w:top w:val="single" w:sz="4" w:space="0" w:color="auto"/>
              <w:left w:val="nil"/>
              <w:bottom w:val="single" w:sz="4" w:space="0" w:color="auto"/>
              <w:right w:val="single" w:sz="4" w:space="0" w:color="auto"/>
            </w:tcBorders>
            <w:shd w:val="solid" w:color="000000" w:fill="000000"/>
            <w:vAlign w:val="center"/>
          </w:tcPr>
          <w:p w14:paraId="2AD9C6C9" w14:textId="6546A020" w:rsidR="00861436" w:rsidRPr="009E0870" w:rsidRDefault="009E0870" w:rsidP="0077002B">
            <w:pPr>
              <w:pStyle w:val="COMTableheadingrow"/>
              <w:keepLines/>
              <w:jc w:val="center"/>
              <w:rPr>
                <w:b w:val="0"/>
                <w:bCs/>
                <w:lang w:val="en-AU"/>
              </w:rPr>
            </w:pPr>
            <w:r w:rsidRPr="005C68B9">
              <w:rPr>
                <w:rFonts w:cs="Calibri"/>
                <w:b w:val="0"/>
                <w:bCs/>
                <w:color w:val="000000"/>
                <w:spacing w:val="46"/>
                <w:szCs w:val="20"/>
                <w:fitText w:val="310" w:id="-1232957435"/>
                <w14:textFill>
                  <w14:solidFill>
                    <w14:srgbClr w14:val="000000">
                      <w14:alpha w14:val="100000"/>
                    </w14:srgbClr>
                  </w14:solidFill>
                </w14:textFill>
              </w:rPr>
              <w:t>|||</w:t>
            </w:r>
            <w:r w:rsidRPr="005C68B9">
              <w:rPr>
                <w:rFonts w:cs="Calibri"/>
                <w:b w:val="0"/>
                <w:bCs/>
                <w:color w:val="000000"/>
                <w:spacing w:val="2"/>
                <w:szCs w:val="20"/>
                <w:fitText w:val="310" w:id="-1232957435"/>
                <w14:textFill>
                  <w14:solidFill>
                    <w14:srgbClr w14:val="000000">
                      <w14:alpha w14:val="100000"/>
                    </w14:srgbClr>
                  </w14:solidFill>
                </w14:textFill>
              </w:rPr>
              <w:t>|</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FABD925"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0.0083</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EB64F42" w14:textId="7A49134D" w:rsidR="00861436" w:rsidRPr="002E1153" w:rsidRDefault="009E0870" w:rsidP="0077002B">
            <w:pPr>
              <w:pStyle w:val="COMTableheadingrow"/>
              <w:keepLines/>
              <w:jc w:val="center"/>
              <w:rPr>
                <w:b w:val="0"/>
                <w:bCs/>
                <w:highlight w:val="darkGray"/>
                <w:lang w:val="en-AU"/>
              </w:rPr>
            </w:pPr>
            <w:r w:rsidRPr="009E0870">
              <w:rPr>
                <w:rFonts w:cs="Calibri"/>
                <w:b w:val="0"/>
                <w:bCs/>
                <w:color w:val="000000"/>
                <w:spacing w:val="55"/>
                <w:szCs w:val="20"/>
                <w:shd w:val="solid" w:color="000000" w:fill="000000"/>
                <w:fitText w:val="337" w:id="-1232957434"/>
                <w14:textFill>
                  <w14:solidFill>
                    <w14:srgbClr w14:val="000000">
                      <w14:alpha w14:val="100000"/>
                    </w14:srgbClr>
                  </w14:solidFill>
                </w14:textFill>
              </w:rPr>
              <w:t>|||</w:t>
            </w:r>
            <w:r w:rsidRPr="009E0870">
              <w:rPr>
                <w:rFonts w:cs="Calibri"/>
                <w:b w:val="0"/>
                <w:bCs/>
                <w:color w:val="000000"/>
                <w:spacing w:val="2"/>
                <w:szCs w:val="20"/>
                <w:shd w:val="solid" w:color="000000" w:fill="000000"/>
                <w:fitText w:val="337" w:id="-1232957434"/>
                <w14:textFill>
                  <w14:solidFill>
                    <w14:srgbClr w14:val="000000">
                      <w14:alpha w14:val="100000"/>
                    </w14:srgbClr>
                  </w14:solidFill>
                </w14:textFill>
              </w:rPr>
              <w:t>|</w:t>
            </w:r>
            <w:r w:rsidR="008B1B66">
              <w:rPr>
                <w:i/>
                <w:sz w:val="18"/>
                <w:szCs w:val="18"/>
                <w:vertAlign w:val="superscript"/>
              </w:rPr>
              <w:t>5</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330B89B1"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+323%</w:t>
            </w:r>
          </w:p>
        </w:tc>
      </w:tr>
      <w:tr w:rsidR="00861436" w14:paraId="4699F02D" w14:textId="77777777" w:rsidTr="009E0870">
        <w:tc>
          <w:tcPr>
            <w:tcW w:w="3919" w:type="dxa"/>
            <w:vAlign w:val="center"/>
          </w:tcPr>
          <w:p w14:paraId="205DA18B" w14:textId="1EA5E93E" w:rsidR="00861436" w:rsidRPr="00CF721B" w:rsidRDefault="00861436" w:rsidP="0077002B">
            <w:pPr>
              <w:pStyle w:val="COMTableheadingrow"/>
              <w:keepLines/>
              <w:rPr>
                <w:b w:val="0"/>
                <w:bCs/>
                <w:vertAlign w:val="superscript"/>
                <w:lang w:val="en-AU"/>
              </w:rPr>
            </w:pPr>
            <w:r w:rsidRPr="00CF721B">
              <w:rPr>
                <w:b w:val="0"/>
                <w:bCs/>
                <w:lang w:val="en-AU"/>
              </w:rPr>
              <w:t>5 years</w:t>
            </w:r>
            <w:r w:rsidR="00EE2B4C" w:rsidRPr="00CF721B">
              <w:rPr>
                <w:b w:val="0"/>
                <w:bCs/>
                <w:lang w:val="en-AU"/>
              </w:rPr>
              <w:t xml:space="preserve"> </w:t>
            </w:r>
            <w:r w:rsidR="00EE2B4C" w:rsidRPr="00CF721B">
              <w:rPr>
                <w:b w:val="0"/>
                <w:bCs/>
                <w:vertAlign w:val="superscript"/>
                <w:lang w:val="en-AU"/>
              </w:rPr>
              <w:t>a</w:t>
            </w:r>
          </w:p>
        </w:tc>
        <w:tc>
          <w:tcPr>
            <w:tcW w:w="1243" w:type="dxa"/>
            <w:tcBorders>
              <w:top w:val="single" w:sz="4" w:space="0" w:color="auto"/>
              <w:left w:val="nil"/>
              <w:bottom w:val="single" w:sz="4" w:space="0" w:color="auto"/>
              <w:right w:val="single" w:sz="4" w:space="0" w:color="auto"/>
            </w:tcBorders>
            <w:shd w:val="solid" w:color="000000" w:fill="000000"/>
            <w:vAlign w:val="center"/>
          </w:tcPr>
          <w:p w14:paraId="430B24E4" w14:textId="03722E27" w:rsidR="00861436" w:rsidRPr="009E0870" w:rsidRDefault="009E0870" w:rsidP="0077002B">
            <w:pPr>
              <w:pStyle w:val="COMTableheadingrow"/>
              <w:keepLines/>
              <w:jc w:val="center"/>
              <w:rPr>
                <w:b w:val="0"/>
                <w:bCs/>
                <w:lang w:val="en-AU"/>
              </w:rPr>
            </w:pPr>
            <w:r w:rsidRPr="005C68B9">
              <w:rPr>
                <w:rFonts w:cs="Calibri"/>
                <w:b w:val="0"/>
                <w:bCs/>
                <w:color w:val="000000"/>
                <w:spacing w:val="46"/>
                <w:szCs w:val="20"/>
                <w:fitText w:val="310" w:id="-1232957433"/>
                <w14:textFill>
                  <w14:solidFill>
                    <w14:srgbClr w14:val="000000">
                      <w14:alpha w14:val="100000"/>
                    </w14:srgbClr>
                  </w14:solidFill>
                </w14:textFill>
              </w:rPr>
              <w:t>|||</w:t>
            </w:r>
            <w:r w:rsidRPr="005C68B9">
              <w:rPr>
                <w:rFonts w:cs="Calibri"/>
                <w:b w:val="0"/>
                <w:bCs/>
                <w:color w:val="000000"/>
                <w:spacing w:val="2"/>
                <w:szCs w:val="20"/>
                <w:fitText w:val="310" w:id="-1232957433"/>
                <w14:textFill>
                  <w14:solidFill>
                    <w14:srgbClr w14:val="000000">
                      <w14:alpha w14:val="100000"/>
                    </w14:srgbClr>
                  </w14:solidFill>
                </w14:textFill>
              </w:rPr>
              <w:t>|</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D931F0A"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0.0138</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01A7ECD" w14:textId="2E5F7E21" w:rsidR="00861436" w:rsidRPr="002E1153" w:rsidRDefault="009E0870" w:rsidP="0077002B">
            <w:pPr>
              <w:pStyle w:val="COMTableheadingrow"/>
              <w:keepLines/>
              <w:jc w:val="center"/>
              <w:rPr>
                <w:b w:val="0"/>
                <w:bCs/>
                <w:highlight w:val="darkGray"/>
                <w:lang w:val="en-AU"/>
              </w:rPr>
            </w:pPr>
            <w:r w:rsidRPr="009E0870">
              <w:rPr>
                <w:rFonts w:cs="Calibri"/>
                <w:b w:val="0"/>
                <w:bCs/>
                <w:color w:val="000000"/>
                <w:spacing w:val="55"/>
                <w:szCs w:val="20"/>
                <w:shd w:val="solid" w:color="000000" w:fill="000000"/>
                <w:fitText w:val="337" w:id="-1232957432"/>
                <w14:textFill>
                  <w14:solidFill>
                    <w14:srgbClr w14:val="000000">
                      <w14:alpha w14:val="100000"/>
                    </w14:srgbClr>
                  </w14:solidFill>
                </w14:textFill>
              </w:rPr>
              <w:t>|||</w:t>
            </w:r>
            <w:r w:rsidRPr="009E0870">
              <w:rPr>
                <w:rFonts w:cs="Calibri"/>
                <w:b w:val="0"/>
                <w:bCs/>
                <w:color w:val="000000"/>
                <w:spacing w:val="2"/>
                <w:szCs w:val="20"/>
                <w:shd w:val="solid" w:color="000000" w:fill="000000"/>
                <w:fitText w:val="337" w:id="-1232957432"/>
                <w14:textFill>
                  <w14:solidFill>
                    <w14:srgbClr w14:val="000000">
                      <w14:alpha w14:val="100000"/>
                    </w14:srgbClr>
                  </w14:solidFill>
                </w14:textFill>
              </w:rPr>
              <w:t>|</w:t>
            </w:r>
            <w:r w:rsidR="008B1B66">
              <w:rPr>
                <w:i/>
                <w:sz w:val="18"/>
                <w:szCs w:val="18"/>
                <w:vertAlign w:val="superscript"/>
              </w:rPr>
              <w:t>6</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037F52D9"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+136%</w:t>
            </w:r>
          </w:p>
        </w:tc>
      </w:tr>
      <w:tr w:rsidR="00861436" w14:paraId="5CB7A05D" w14:textId="77777777" w:rsidTr="009E0870">
        <w:tc>
          <w:tcPr>
            <w:tcW w:w="3919" w:type="dxa"/>
            <w:vAlign w:val="center"/>
          </w:tcPr>
          <w:p w14:paraId="1A9FC1AC" w14:textId="77777777" w:rsidR="00861436" w:rsidRPr="00CF721B" w:rsidRDefault="00861436" w:rsidP="0077002B">
            <w:pPr>
              <w:pStyle w:val="COMTableheadingrow"/>
              <w:keepLines/>
              <w:rPr>
                <w:b w:val="0"/>
                <w:bCs/>
                <w:lang w:val="en-AU"/>
              </w:rPr>
            </w:pPr>
            <w:r w:rsidRPr="00CF721B">
              <w:rPr>
                <w:b w:val="0"/>
                <w:bCs/>
                <w:lang w:val="en-AU"/>
              </w:rPr>
              <w:t>10 years</w:t>
            </w:r>
          </w:p>
        </w:tc>
        <w:tc>
          <w:tcPr>
            <w:tcW w:w="1243" w:type="dxa"/>
            <w:tcBorders>
              <w:top w:val="single" w:sz="4" w:space="0" w:color="auto"/>
              <w:left w:val="nil"/>
              <w:bottom w:val="single" w:sz="4" w:space="0" w:color="auto"/>
              <w:right w:val="single" w:sz="4" w:space="0" w:color="auto"/>
            </w:tcBorders>
            <w:shd w:val="solid" w:color="000000" w:fill="000000"/>
            <w:vAlign w:val="center"/>
          </w:tcPr>
          <w:p w14:paraId="7DD5965B" w14:textId="392639D1" w:rsidR="00861436" w:rsidRPr="009E0870" w:rsidRDefault="009E0870" w:rsidP="0077002B">
            <w:pPr>
              <w:pStyle w:val="COMTableheadingrow"/>
              <w:keepLines/>
              <w:jc w:val="center"/>
              <w:rPr>
                <w:b w:val="0"/>
                <w:bCs/>
                <w:lang w:val="en-AU"/>
              </w:rPr>
            </w:pPr>
            <w:r w:rsidRPr="005C68B9">
              <w:rPr>
                <w:rFonts w:cs="Calibri"/>
                <w:b w:val="0"/>
                <w:bCs/>
                <w:color w:val="000000"/>
                <w:spacing w:val="46"/>
                <w:szCs w:val="20"/>
                <w:fitText w:val="310" w:id="-1232957431"/>
                <w14:textFill>
                  <w14:solidFill>
                    <w14:srgbClr w14:val="000000">
                      <w14:alpha w14:val="100000"/>
                    </w14:srgbClr>
                  </w14:solidFill>
                </w14:textFill>
              </w:rPr>
              <w:t>|||</w:t>
            </w:r>
            <w:r w:rsidRPr="005C68B9">
              <w:rPr>
                <w:rFonts w:cs="Calibri"/>
                <w:b w:val="0"/>
                <w:bCs/>
                <w:color w:val="000000"/>
                <w:spacing w:val="2"/>
                <w:szCs w:val="20"/>
                <w:fitText w:val="310" w:id="-1232957431"/>
                <w14:textFill>
                  <w14:solidFill>
                    <w14:srgbClr w14:val="000000">
                      <w14:alpha w14:val="100000"/>
                    </w14:srgbClr>
                  </w14:solidFill>
                </w14:textFill>
              </w:rPr>
              <w:t>|</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5F62E14"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0.0251</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052630C" w14:textId="59CCE5D2" w:rsidR="00861436" w:rsidRPr="002E1153" w:rsidRDefault="009E0870" w:rsidP="0077002B">
            <w:pPr>
              <w:pStyle w:val="COMTableheadingrow"/>
              <w:keepLines/>
              <w:jc w:val="center"/>
              <w:rPr>
                <w:b w:val="0"/>
                <w:bCs/>
                <w:highlight w:val="darkGray"/>
                <w:lang w:val="en-AU"/>
              </w:rPr>
            </w:pPr>
            <w:r w:rsidRPr="009E0870">
              <w:rPr>
                <w:rFonts w:cs="Calibri"/>
                <w:b w:val="0"/>
                <w:bCs/>
                <w:color w:val="000000"/>
                <w:spacing w:val="55"/>
                <w:szCs w:val="20"/>
                <w:shd w:val="solid" w:color="000000" w:fill="000000"/>
                <w:fitText w:val="337" w:id="-1232957430"/>
                <w14:textFill>
                  <w14:solidFill>
                    <w14:srgbClr w14:val="000000">
                      <w14:alpha w14:val="100000"/>
                    </w14:srgbClr>
                  </w14:solidFill>
                </w14:textFill>
              </w:rPr>
              <w:t>|||</w:t>
            </w:r>
            <w:r w:rsidRPr="009E0870">
              <w:rPr>
                <w:rFonts w:cs="Calibri"/>
                <w:b w:val="0"/>
                <w:bCs/>
                <w:color w:val="000000"/>
                <w:spacing w:val="2"/>
                <w:szCs w:val="20"/>
                <w:shd w:val="solid" w:color="000000" w:fill="000000"/>
                <w:fitText w:val="337" w:id="-1232957430"/>
                <w14:textFill>
                  <w14:solidFill>
                    <w14:srgbClr w14:val="000000">
                      <w14:alpha w14:val="100000"/>
                    </w14:srgbClr>
                  </w14:solidFill>
                </w14:textFill>
              </w:rPr>
              <w:t>|</w:t>
            </w:r>
            <w:r w:rsidR="008B1B66">
              <w:rPr>
                <w:i/>
                <w:sz w:val="18"/>
                <w:szCs w:val="18"/>
                <w:vertAlign w:val="superscript"/>
              </w:rPr>
              <w:t>4</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03AE9C87"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+31%</w:t>
            </w:r>
          </w:p>
        </w:tc>
      </w:tr>
      <w:tr w:rsidR="00861436" w14:paraId="2AC053C6" w14:textId="77777777" w:rsidTr="0077002B">
        <w:tc>
          <w:tcPr>
            <w:tcW w:w="9017" w:type="dxa"/>
            <w:gridSpan w:val="5"/>
            <w:vAlign w:val="center"/>
          </w:tcPr>
          <w:p w14:paraId="0B8FE7E8" w14:textId="77777777" w:rsidR="00861436" w:rsidRPr="00CF721B" w:rsidRDefault="00861436" w:rsidP="0077002B">
            <w:pPr>
              <w:pStyle w:val="COMTableheadingrow"/>
              <w:keepLines/>
              <w:rPr>
                <w:lang w:val="en-AU"/>
              </w:rPr>
            </w:pPr>
            <w:r w:rsidRPr="00CF721B">
              <w:t>Comparator (base case alendronate drug costs and fracture risks based on the ARCH trial)</w:t>
            </w:r>
          </w:p>
        </w:tc>
      </w:tr>
      <w:tr w:rsidR="00861436" w14:paraId="676E2E4C" w14:textId="77777777" w:rsidTr="009E0870">
        <w:tc>
          <w:tcPr>
            <w:tcW w:w="3919" w:type="dxa"/>
            <w:vAlign w:val="center"/>
          </w:tcPr>
          <w:p w14:paraId="2F5A9804" w14:textId="77777777" w:rsidR="00861436" w:rsidRPr="00CF721B" w:rsidRDefault="00861436" w:rsidP="0077002B">
            <w:pPr>
              <w:pStyle w:val="COMTableheadingrow"/>
              <w:keepLines/>
              <w:rPr>
                <w:b w:val="0"/>
                <w:bCs/>
                <w:lang w:val="en-AU"/>
              </w:rPr>
            </w:pPr>
            <w:r w:rsidRPr="00CF721B">
              <w:rPr>
                <w:b w:val="0"/>
                <w:bCs/>
              </w:rPr>
              <w:t>Denosumab (denosumab drug and administration costs; treatment effect of HR 0.58 applied to vertebral fracture risk)</w:t>
            </w:r>
          </w:p>
        </w:tc>
        <w:tc>
          <w:tcPr>
            <w:tcW w:w="1243" w:type="dxa"/>
            <w:tcBorders>
              <w:top w:val="single" w:sz="4" w:space="0" w:color="auto"/>
              <w:left w:val="nil"/>
              <w:bottom w:val="single" w:sz="4" w:space="0" w:color="auto"/>
              <w:right w:val="single" w:sz="4" w:space="0" w:color="auto"/>
            </w:tcBorders>
            <w:shd w:val="solid" w:color="000000" w:fill="000000"/>
            <w:vAlign w:val="center"/>
          </w:tcPr>
          <w:p w14:paraId="41869710" w14:textId="50BF135C" w:rsidR="00861436" w:rsidRPr="009E0870" w:rsidRDefault="009E0870" w:rsidP="0077002B">
            <w:pPr>
              <w:pStyle w:val="COMTableheadingrow"/>
              <w:keepLines/>
              <w:jc w:val="center"/>
              <w:rPr>
                <w:b w:val="0"/>
                <w:bCs/>
                <w:lang w:val="en-AU"/>
              </w:rPr>
            </w:pPr>
            <w:r w:rsidRPr="009E0870">
              <w:rPr>
                <w:rFonts w:cs="Calibri"/>
                <w:b w:val="0"/>
                <w:bCs/>
                <w:color w:val="000000"/>
                <w:spacing w:val="46"/>
                <w:szCs w:val="20"/>
                <w:fitText w:val="310" w:id="-1232957429"/>
                <w14:textFill>
                  <w14:solidFill>
                    <w14:srgbClr w14:val="000000">
                      <w14:alpha w14:val="100000"/>
                    </w14:srgbClr>
                  </w14:solidFill>
                </w14:textFill>
              </w:rPr>
              <w:t>|||</w:t>
            </w:r>
            <w:r w:rsidRPr="009E0870">
              <w:rPr>
                <w:rFonts w:cs="Calibri"/>
                <w:b w:val="0"/>
                <w:bCs/>
                <w:color w:val="000000"/>
                <w:spacing w:val="2"/>
                <w:szCs w:val="20"/>
                <w:fitText w:val="310" w:id="-1232957429"/>
                <w14:textFill>
                  <w14:solidFill>
                    <w14:srgbClr w14:val="000000">
                      <w14:alpha w14:val="100000"/>
                    </w14:srgbClr>
                  </w14:solidFill>
                </w14:textFill>
              </w:rPr>
              <w:t>|</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35E10D6"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0.0252</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AB8BB48" w14:textId="461F45FB" w:rsidR="00861436" w:rsidRPr="002E1153" w:rsidRDefault="009E0870" w:rsidP="0077002B">
            <w:pPr>
              <w:pStyle w:val="COMTableheadingrow"/>
              <w:keepLines/>
              <w:jc w:val="center"/>
              <w:rPr>
                <w:b w:val="0"/>
                <w:bCs/>
                <w:highlight w:val="darkGray"/>
                <w:lang w:val="en-AU"/>
              </w:rPr>
            </w:pPr>
            <w:r w:rsidRPr="009E0870">
              <w:rPr>
                <w:rFonts w:cs="Calibri"/>
                <w:b w:val="0"/>
                <w:bCs/>
                <w:color w:val="000000"/>
                <w:spacing w:val="55"/>
                <w:szCs w:val="20"/>
                <w:shd w:val="solid" w:color="000000" w:fill="000000"/>
                <w:fitText w:val="337" w:id="-1232957428"/>
                <w14:textFill>
                  <w14:solidFill>
                    <w14:srgbClr w14:val="000000">
                      <w14:alpha w14:val="100000"/>
                    </w14:srgbClr>
                  </w14:solidFill>
                </w14:textFill>
              </w:rPr>
              <w:t>|||</w:t>
            </w:r>
            <w:r w:rsidRPr="009E0870">
              <w:rPr>
                <w:rFonts w:cs="Calibri"/>
                <w:b w:val="0"/>
                <w:bCs/>
                <w:color w:val="000000"/>
                <w:spacing w:val="2"/>
                <w:szCs w:val="20"/>
                <w:shd w:val="solid" w:color="000000" w:fill="000000"/>
                <w:fitText w:val="337" w:id="-1232957428"/>
                <w14:textFill>
                  <w14:solidFill>
                    <w14:srgbClr w14:val="000000">
                      <w14:alpha w14:val="100000"/>
                    </w14:srgbClr>
                  </w14:solidFill>
                </w14:textFill>
              </w:rPr>
              <w:t>|</w:t>
            </w:r>
            <w:r w:rsidR="00DE7AA3">
              <w:rPr>
                <w:i/>
                <w:sz w:val="18"/>
                <w:szCs w:val="18"/>
                <w:vertAlign w:val="superscript"/>
              </w:rPr>
              <w:t>1</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0BF59552"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+14%</w:t>
            </w:r>
          </w:p>
        </w:tc>
      </w:tr>
      <w:tr w:rsidR="00861436" w14:paraId="6764B1B8" w14:textId="77777777" w:rsidTr="009E0870">
        <w:tc>
          <w:tcPr>
            <w:tcW w:w="3919" w:type="dxa"/>
            <w:vAlign w:val="center"/>
          </w:tcPr>
          <w:p w14:paraId="08F30CB4" w14:textId="1C826319" w:rsidR="00861436" w:rsidRPr="00CF721B" w:rsidRDefault="00861436" w:rsidP="0077002B">
            <w:pPr>
              <w:pStyle w:val="COMTableheadingrow"/>
              <w:keepLines/>
              <w:rPr>
                <w:b w:val="0"/>
                <w:bCs/>
                <w:vertAlign w:val="superscript"/>
                <w:lang w:val="en-AU"/>
              </w:rPr>
            </w:pPr>
            <w:r w:rsidRPr="00CF721B">
              <w:rPr>
                <w:b w:val="0"/>
                <w:bCs/>
              </w:rPr>
              <w:t>Denosumab (denosumab drug and administration costs; no adjustments to fracture risk)</w:t>
            </w:r>
            <w:r w:rsidR="00EE2B4C" w:rsidRPr="00CF721B">
              <w:rPr>
                <w:b w:val="0"/>
                <w:bCs/>
              </w:rPr>
              <w:t xml:space="preserve"> </w:t>
            </w:r>
            <w:r w:rsidR="00EE2B4C" w:rsidRPr="00CF721B">
              <w:rPr>
                <w:b w:val="0"/>
                <w:bCs/>
                <w:vertAlign w:val="superscript"/>
              </w:rPr>
              <w:t>a</w:t>
            </w:r>
          </w:p>
        </w:tc>
        <w:tc>
          <w:tcPr>
            <w:tcW w:w="1243" w:type="dxa"/>
            <w:tcBorders>
              <w:top w:val="single" w:sz="4" w:space="0" w:color="auto"/>
              <w:left w:val="nil"/>
              <w:bottom w:val="single" w:sz="4" w:space="0" w:color="auto"/>
              <w:right w:val="single" w:sz="4" w:space="0" w:color="auto"/>
            </w:tcBorders>
            <w:shd w:val="solid" w:color="000000" w:fill="000000"/>
            <w:vAlign w:val="center"/>
          </w:tcPr>
          <w:p w14:paraId="6F3B08DD" w14:textId="1BEE3F3F" w:rsidR="00861436" w:rsidRPr="009E0870" w:rsidRDefault="009E0870" w:rsidP="0077002B">
            <w:pPr>
              <w:pStyle w:val="COMTableheadingrow"/>
              <w:keepLines/>
              <w:jc w:val="center"/>
              <w:rPr>
                <w:b w:val="0"/>
                <w:bCs/>
                <w:lang w:val="en-AU"/>
              </w:rPr>
            </w:pPr>
            <w:r w:rsidRPr="009E0870">
              <w:rPr>
                <w:rFonts w:cs="Calibri"/>
                <w:b w:val="0"/>
                <w:bCs/>
                <w:color w:val="000000"/>
                <w:spacing w:val="46"/>
                <w:szCs w:val="20"/>
                <w:fitText w:val="310" w:id="-1232957427"/>
                <w14:textFill>
                  <w14:solidFill>
                    <w14:srgbClr w14:val="000000">
                      <w14:alpha w14:val="100000"/>
                    </w14:srgbClr>
                  </w14:solidFill>
                </w14:textFill>
              </w:rPr>
              <w:t>|||</w:t>
            </w:r>
            <w:r w:rsidRPr="009E0870">
              <w:rPr>
                <w:rFonts w:cs="Calibri"/>
                <w:b w:val="0"/>
                <w:bCs/>
                <w:color w:val="000000"/>
                <w:spacing w:val="2"/>
                <w:szCs w:val="20"/>
                <w:fitText w:val="310" w:id="-1232957427"/>
                <w14:textFill>
                  <w14:solidFill>
                    <w14:srgbClr w14:val="000000">
                      <w14:alpha w14:val="100000"/>
                    </w14:srgbClr>
                  </w14:solidFill>
                </w14:textFill>
              </w:rPr>
              <w:t>|</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6CFFE52"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0.0331</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45C6954" w14:textId="76A95816" w:rsidR="00861436" w:rsidRPr="002E1153" w:rsidRDefault="009E0870" w:rsidP="0077002B">
            <w:pPr>
              <w:pStyle w:val="COMTableheadingrow"/>
              <w:keepLines/>
              <w:jc w:val="center"/>
              <w:rPr>
                <w:b w:val="0"/>
                <w:bCs/>
                <w:highlight w:val="darkGray"/>
                <w:lang w:val="en-AU"/>
              </w:rPr>
            </w:pPr>
            <w:r w:rsidRPr="009E0870">
              <w:rPr>
                <w:rFonts w:cs="Calibri"/>
                <w:b w:val="0"/>
                <w:bCs/>
                <w:color w:val="000000"/>
                <w:spacing w:val="55"/>
                <w:szCs w:val="20"/>
                <w:shd w:val="solid" w:color="000000" w:fill="000000"/>
                <w:fitText w:val="337" w:id="-1232957426"/>
                <w14:textFill>
                  <w14:solidFill>
                    <w14:srgbClr w14:val="000000">
                      <w14:alpha w14:val="100000"/>
                    </w14:srgbClr>
                  </w14:solidFill>
                </w14:textFill>
              </w:rPr>
              <w:t>|||</w:t>
            </w:r>
            <w:r w:rsidRPr="009E0870">
              <w:rPr>
                <w:rFonts w:cs="Calibri"/>
                <w:b w:val="0"/>
                <w:bCs/>
                <w:color w:val="000000"/>
                <w:spacing w:val="2"/>
                <w:szCs w:val="20"/>
                <w:shd w:val="solid" w:color="000000" w:fill="000000"/>
                <w:fitText w:val="337" w:id="-1232957426"/>
                <w14:textFill>
                  <w14:solidFill>
                    <w14:srgbClr w14:val="000000">
                      <w14:alpha w14:val="100000"/>
                    </w14:srgbClr>
                  </w14:solidFill>
                </w14:textFill>
              </w:rPr>
              <w:t>|</w:t>
            </w:r>
            <w:r w:rsidR="00DE7AA3">
              <w:rPr>
                <w:i/>
                <w:sz w:val="18"/>
                <w:szCs w:val="18"/>
                <w:vertAlign w:val="superscript"/>
              </w:rPr>
              <w:t>3</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584197AD"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-19%</w:t>
            </w:r>
          </w:p>
        </w:tc>
      </w:tr>
      <w:tr w:rsidR="00861436" w14:paraId="1062F4AB" w14:textId="77777777" w:rsidTr="0077002B">
        <w:tc>
          <w:tcPr>
            <w:tcW w:w="9017" w:type="dxa"/>
            <w:gridSpan w:val="5"/>
            <w:tcBorders>
              <w:bottom w:val="single" w:sz="4" w:space="0" w:color="auto"/>
            </w:tcBorders>
            <w:vAlign w:val="center"/>
          </w:tcPr>
          <w:p w14:paraId="1D02D2F0" w14:textId="77777777" w:rsidR="00861436" w:rsidRPr="00CF721B" w:rsidRDefault="00861436" w:rsidP="0077002B">
            <w:pPr>
              <w:pStyle w:val="COMTableheadingrow"/>
              <w:keepLines/>
              <w:rPr>
                <w:lang w:val="en-AU"/>
              </w:rPr>
            </w:pPr>
            <w:r w:rsidRPr="00CF721B">
              <w:rPr>
                <w:lang w:val="en-AU"/>
              </w:rPr>
              <w:t>Treatment adherence (base case 90%, applied to drug costs only)</w:t>
            </w:r>
          </w:p>
        </w:tc>
      </w:tr>
      <w:tr w:rsidR="00861436" w:rsidRPr="00E467EC" w14:paraId="40990CD9" w14:textId="77777777" w:rsidTr="009E0870">
        <w:tc>
          <w:tcPr>
            <w:tcW w:w="3919" w:type="dxa"/>
            <w:tcBorders>
              <w:top w:val="single" w:sz="4" w:space="0" w:color="auto"/>
              <w:bottom w:val="single" w:sz="4" w:space="0" w:color="auto"/>
              <w:right w:val="single" w:sz="4" w:space="0" w:color="auto"/>
            </w:tcBorders>
            <w:vAlign w:val="center"/>
          </w:tcPr>
          <w:p w14:paraId="3F50EF6E" w14:textId="638FA3D8" w:rsidR="00861436" w:rsidRPr="00CF721B" w:rsidRDefault="00861436" w:rsidP="0077002B">
            <w:pPr>
              <w:pStyle w:val="COMTableheadingrow"/>
              <w:keepLines/>
              <w:rPr>
                <w:b w:val="0"/>
                <w:bCs/>
                <w:vertAlign w:val="superscript"/>
                <w:lang w:val="en-AU"/>
              </w:rPr>
            </w:pPr>
            <w:r w:rsidRPr="00CF721B">
              <w:rPr>
                <w:b w:val="0"/>
                <w:bCs/>
                <w:lang w:val="en-AU"/>
              </w:rPr>
              <w:t>Full adherence (100%)</w:t>
            </w:r>
            <w:r w:rsidR="00EE2B4C" w:rsidRPr="00CF721B">
              <w:rPr>
                <w:b w:val="0"/>
                <w:bCs/>
                <w:lang w:val="en-AU"/>
              </w:rPr>
              <w:t xml:space="preserve"> </w:t>
            </w:r>
            <w:r w:rsidR="00EE2B4C" w:rsidRPr="00CF721B">
              <w:rPr>
                <w:b w:val="0"/>
                <w:bCs/>
                <w:vertAlign w:val="superscript"/>
                <w:lang w:val="en-AU"/>
              </w:rPr>
              <w:t>a</w:t>
            </w:r>
          </w:p>
        </w:tc>
        <w:tc>
          <w:tcPr>
            <w:tcW w:w="1243" w:type="dxa"/>
            <w:tcBorders>
              <w:top w:val="single" w:sz="4" w:space="0" w:color="auto"/>
              <w:left w:val="single" w:sz="4" w:space="0" w:color="auto"/>
              <w:bottom w:val="single" w:sz="4" w:space="0" w:color="auto"/>
              <w:right w:val="single" w:sz="4" w:space="0" w:color="auto"/>
            </w:tcBorders>
            <w:shd w:val="solid" w:color="000000" w:fill="000000"/>
            <w:vAlign w:val="center"/>
          </w:tcPr>
          <w:p w14:paraId="1EFE285A" w14:textId="48097DDB" w:rsidR="00861436" w:rsidRPr="009E0870" w:rsidRDefault="009E0870" w:rsidP="0077002B">
            <w:pPr>
              <w:pStyle w:val="COMTableheadingrow"/>
              <w:keepLines/>
              <w:jc w:val="center"/>
              <w:rPr>
                <w:b w:val="0"/>
                <w:bCs/>
                <w:lang w:val="en-AU"/>
              </w:rPr>
            </w:pPr>
            <w:r w:rsidRPr="009E0870">
              <w:rPr>
                <w:rFonts w:cs="Calibri"/>
                <w:b w:val="0"/>
                <w:bCs/>
                <w:color w:val="000000"/>
                <w:spacing w:val="46"/>
                <w:szCs w:val="20"/>
                <w:fitText w:val="310" w:id="-1232957425"/>
                <w14:textFill>
                  <w14:solidFill>
                    <w14:srgbClr w14:val="000000">
                      <w14:alpha w14:val="100000"/>
                    </w14:srgbClr>
                  </w14:solidFill>
                </w14:textFill>
              </w:rPr>
              <w:t>|||</w:t>
            </w:r>
            <w:r w:rsidRPr="009E0870">
              <w:rPr>
                <w:rFonts w:cs="Calibri"/>
                <w:b w:val="0"/>
                <w:bCs/>
                <w:color w:val="000000"/>
                <w:spacing w:val="2"/>
                <w:szCs w:val="20"/>
                <w:fitText w:val="310" w:id="-1232957425"/>
                <w14:textFill>
                  <w14:solidFill>
                    <w14:srgbClr w14:val="000000">
                      <w14:alpha w14:val="100000"/>
                    </w14:srgbClr>
                  </w14:solidFill>
                </w14:textFill>
              </w:rPr>
              <w:t>|</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75ED2EC"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0.0331</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BCE737D" w14:textId="4418A51A" w:rsidR="00861436" w:rsidRPr="002E1153" w:rsidRDefault="009E0870" w:rsidP="0077002B">
            <w:pPr>
              <w:pStyle w:val="COMTableheadingrow"/>
              <w:keepLines/>
              <w:jc w:val="center"/>
              <w:rPr>
                <w:b w:val="0"/>
                <w:bCs/>
                <w:highlight w:val="darkGray"/>
                <w:lang w:val="en-AU"/>
              </w:rPr>
            </w:pPr>
            <w:r w:rsidRPr="009E0870">
              <w:rPr>
                <w:rFonts w:cs="Calibri"/>
                <w:b w:val="0"/>
                <w:bCs/>
                <w:color w:val="000000"/>
                <w:spacing w:val="55"/>
                <w:szCs w:val="20"/>
                <w:shd w:val="solid" w:color="000000" w:fill="000000"/>
                <w:fitText w:val="337" w:id="-1232957424"/>
                <w14:textFill>
                  <w14:solidFill>
                    <w14:srgbClr w14:val="000000">
                      <w14:alpha w14:val="100000"/>
                    </w14:srgbClr>
                  </w14:solidFill>
                </w14:textFill>
              </w:rPr>
              <w:t>|||</w:t>
            </w:r>
            <w:r w:rsidRPr="009E0870">
              <w:rPr>
                <w:rFonts w:cs="Calibri"/>
                <w:b w:val="0"/>
                <w:bCs/>
                <w:color w:val="000000"/>
                <w:spacing w:val="2"/>
                <w:szCs w:val="20"/>
                <w:shd w:val="solid" w:color="000000" w:fill="000000"/>
                <w:fitText w:val="337" w:id="-1232957424"/>
                <w14:textFill>
                  <w14:solidFill>
                    <w14:srgbClr w14:val="000000">
                      <w14:alpha w14:val="100000"/>
                    </w14:srgbClr>
                  </w14:solidFill>
                </w14:textFill>
              </w:rPr>
              <w:t>|</w:t>
            </w:r>
            <w:r w:rsidR="00DE7AA3">
              <w:rPr>
                <w:i/>
                <w:sz w:val="18"/>
                <w:szCs w:val="18"/>
                <w:vertAlign w:val="superscript"/>
              </w:rPr>
              <w:t>1</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2A314E64"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+15%</w:t>
            </w:r>
          </w:p>
        </w:tc>
      </w:tr>
      <w:tr w:rsidR="00861436" w:rsidRPr="00E467EC" w14:paraId="2D2087E2" w14:textId="77777777" w:rsidTr="009E0870">
        <w:tc>
          <w:tcPr>
            <w:tcW w:w="3919" w:type="dxa"/>
            <w:tcBorders>
              <w:top w:val="single" w:sz="4" w:space="0" w:color="auto"/>
              <w:bottom w:val="single" w:sz="4" w:space="0" w:color="auto"/>
              <w:right w:val="single" w:sz="4" w:space="0" w:color="auto"/>
            </w:tcBorders>
            <w:vAlign w:val="center"/>
          </w:tcPr>
          <w:p w14:paraId="4A8EB55A" w14:textId="06EDE49D" w:rsidR="00861436" w:rsidRPr="00CF721B" w:rsidRDefault="00861436" w:rsidP="0077002B">
            <w:pPr>
              <w:pStyle w:val="COMTableheadingrow"/>
              <w:keepLines/>
              <w:rPr>
                <w:b w:val="0"/>
                <w:bCs/>
                <w:vertAlign w:val="superscript"/>
                <w:lang w:val="en-AU"/>
              </w:rPr>
            </w:pPr>
            <w:r w:rsidRPr="00CF721B">
              <w:rPr>
                <w:b w:val="0"/>
                <w:bCs/>
                <w:lang w:val="en-AU"/>
              </w:rPr>
              <w:t>Reduced adherence (80%)</w:t>
            </w:r>
            <w:r w:rsidR="00EE2B4C" w:rsidRPr="00CF721B">
              <w:rPr>
                <w:b w:val="0"/>
                <w:bCs/>
                <w:lang w:val="en-AU"/>
              </w:rPr>
              <w:t xml:space="preserve"> </w:t>
            </w:r>
            <w:r w:rsidR="00EE2B4C" w:rsidRPr="00CF721B">
              <w:rPr>
                <w:b w:val="0"/>
                <w:bCs/>
                <w:vertAlign w:val="superscript"/>
                <w:lang w:val="en-AU"/>
              </w:rPr>
              <w:t>a</w:t>
            </w:r>
          </w:p>
        </w:tc>
        <w:tc>
          <w:tcPr>
            <w:tcW w:w="1243" w:type="dxa"/>
            <w:tcBorders>
              <w:top w:val="single" w:sz="4" w:space="0" w:color="auto"/>
              <w:left w:val="single" w:sz="4" w:space="0" w:color="auto"/>
              <w:bottom w:val="single" w:sz="4" w:space="0" w:color="auto"/>
              <w:right w:val="single" w:sz="4" w:space="0" w:color="auto"/>
            </w:tcBorders>
            <w:shd w:val="solid" w:color="000000" w:fill="000000"/>
            <w:vAlign w:val="center"/>
          </w:tcPr>
          <w:p w14:paraId="5FD01356" w14:textId="433FA484" w:rsidR="00861436" w:rsidRPr="009E0870" w:rsidRDefault="009E0870" w:rsidP="0077002B">
            <w:pPr>
              <w:pStyle w:val="COMTableheadingrow"/>
              <w:keepLines/>
              <w:jc w:val="center"/>
              <w:rPr>
                <w:b w:val="0"/>
                <w:bCs/>
                <w:lang w:val="en-AU"/>
              </w:rPr>
            </w:pPr>
            <w:r w:rsidRPr="009E0870">
              <w:rPr>
                <w:rFonts w:cs="Calibri"/>
                <w:b w:val="0"/>
                <w:bCs/>
                <w:color w:val="000000"/>
                <w:spacing w:val="46"/>
                <w:szCs w:val="20"/>
                <w:fitText w:val="310" w:id="-1232957440"/>
                <w14:textFill>
                  <w14:solidFill>
                    <w14:srgbClr w14:val="000000">
                      <w14:alpha w14:val="100000"/>
                    </w14:srgbClr>
                  </w14:solidFill>
                </w14:textFill>
              </w:rPr>
              <w:t>|||</w:t>
            </w:r>
            <w:r w:rsidRPr="009E0870">
              <w:rPr>
                <w:rFonts w:cs="Calibri"/>
                <w:b w:val="0"/>
                <w:bCs/>
                <w:color w:val="000000"/>
                <w:spacing w:val="2"/>
                <w:szCs w:val="20"/>
                <w:fitText w:val="310" w:id="-1232957440"/>
                <w14:textFill>
                  <w14:solidFill>
                    <w14:srgbClr w14:val="000000">
                      <w14:alpha w14:val="100000"/>
                    </w14:srgbClr>
                  </w14:solidFill>
                </w14:textFill>
              </w:rPr>
              <w:t>|</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C82BBAF"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0.0331</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E670290" w14:textId="134041BC" w:rsidR="00861436" w:rsidRPr="002E1153" w:rsidRDefault="009E0870" w:rsidP="0077002B">
            <w:pPr>
              <w:pStyle w:val="COMTableheadingrow"/>
              <w:keepLines/>
              <w:jc w:val="center"/>
              <w:rPr>
                <w:b w:val="0"/>
                <w:bCs/>
                <w:highlight w:val="darkGray"/>
                <w:lang w:val="en-AU"/>
              </w:rPr>
            </w:pPr>
            <w:r w:rsidRPr="009E0870">
              <w:rPr>
                <w:rFonts w:cs="Calibri"/>
                <w:b w:val="0"/>
                <w:bCs/>
                <w:color w:val="000000"/>
                <w:spacing w:val="55"/>
                <w:szCs w:val="20"/>
                <w:shd w:val="solid" w:color="000000" w:fill="000000"/>
                <w:fitText w:val="337" w:id="-1232957439"/>
                <w14:textFill>
                  <w14:solidFill>
                    <w14:srgbClr w14:val="000000">
                      <w14:alpha w14:val="100000"/>
                    </w14:srgbClr>
                  </w14:solidFill>
                </w14:textFill>
              </w:rPr>
              <w:t>|||</w:t>
            </w:r>
            <w:r w:rsidRPr="009E0870">
              <w:rPr>
                <w:rFonts w:cs="Calibri"/>
                <w:b w:val="0"/>
                <w:bCs/>
                <w:color w:val="000000"/>
                <w:spacing w:val="2"/>
                <w:szCs w:val="20"/>
                <w:shd w:val="solid" w:color="000000" w:fill="000000"/>
                <w:fitText w:val="337" w:id="-1232957439"/>
                <w14:textFill>
                  <w14:solidFill>
                    <w14:srgbClr w14:val="000000">
                      <w14:alpha w14:val="100000"/>
                    </w14:srgbClr>
                  </w14:solidFill>
                </w14:textFill>
              </w:rPr>
              <w:t>|</w:t>
            </w:r>
            <w:r w:rsidR="00DE7AA3">
              <w:rPr>
                <w:i/>
                <w:sz w:val="18"/>
                <w:szCs w:val="18"/>
                <w:vertAlign w:val="superscript"/>
              </w:rPr>
              <w:t>3</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60DA2DEB"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-15%</w:t>
            </w:r>
          </w:p>
        </w:tc>
      </w:tr>
      <w:tr w:rsidR="00861436" w14:paraId="13E79BFA" w14:textId="77777777" w:rsidTr="0077002B">
        <w:tc>
          <w:tcPr>
            <w:tcW w:w="9017" w:type="dxa"/>
            <w:gridSpan w:val="5"/>
            <w:tcBorders>
              <w:top w:val="single" w:sz="4" w:space="0" w:color="auto"/>
            </w:tcBorders>
            <w:vAlign w:val="center"/>
          </w:tcPr>
          <w:p w14:paraId="5409B813" w14:textId="77777777" w:rsidR="00861436" w:rsidRPr="00CF721B" w:rsidRDefault="00861436" w:rsidP="0077002B">
            <w:pPr>
              <w:pStyle w:val="COMTableheadingrow"/>
              <w:keepLines/>
              <w:rPr>
                <w:lang w:val="en-AU"/>
              </w:rPr>
            </w:pPr>
            <w:r w:rsidRPr="00CF721B">
              <w:t>Treatment discontinuation (base case 20% per year in both arms)</w:t>
            </w:r>
          </w:p>
        </w:tc>
      </w:tr>
      <w:tr w:rsidR="00861436" w14:paraId="4F849853" w14:textId="77777777" w:rsidTr="009E0870">
        <w:tc>
          <w:tcPr>
            <w:tcW w:w="3919" w:type="dxa"/>
            <w:vAlign w:val="center"/>
          </w:tcPr>
          <w:p w14:paraId="37578EF4" w14:textId="77777777" w:rsidR="00861436" w:rsidRPr="00CF721B" w:rsidRDefault="00861436" w:rsidP="0077002B">
            <w:pPr>
              <w:pStyle w:val="COMTableheadingrow"/>
              <w:keepLines/>
              <w:rPr>
                <w:b w:val="0"/>
                <w:bCs/>
                <w:lang w:val="en-AU"/>
              </w:rPr>
            </w:pPr>
            <w:r w:rsidRPr="00CF721B">
              <w:rPr>
                <w:b w:val="0"/>
                <w:bCs/>
                <w:lang w:val="en-AU"/>
              </w:rPr>
              <w:t>No discontinuation, both arms</w:t>
            </w:r>
          </w:p>
        </w:tc>
        <w:tc>
          <w:tcPr>
            <w:tcW w:w="1243" w:type="dxa"/>
            <w:tcBorders>
              <w:top w:val="single" w:sz="4" w:space="0" w:color="auto"/>
              <w:left w:val="nil"/>
              <w:bottom w:val="single" w:sz="4" w:space="0" w:color="auto"/>
              <w:right w:val="single" w:sz="4" w:space="0" w:color="auto"/>
            </w:tcBorders>
            <w:shd w:val="solid" w:color="000000" w:fill="000000"/>
            <w:vAlign w:val="center"/>
          </w:tcPr>
          <w:p w14:paraId="3513E4E8" w14:textId="6ADAC254" w:rsidR="00861436" w:rsidRPr="009E0870" w:rsidRDefault="009E0870" w:rsidP="0077002B">
            <w:pPr>
              <w:pStyle w:val="COMTableheadingrow"/>
              <w:keepLines/>
              <w:jc w:val="center"/>
              <w:rPr>
                <w:b w:val="0"/>
                <w:bCs/>
                <w:lang w:val="en-AU"/>
              </w:rPr>
            </w:pPr>
            <w:r w:rsidRPr="009E0870">
              <w:rPr>
                <w:rFonts w:cs="Calibri"/>
                <w:b w:val="0"/>
                <w:bCs/>
                <w:color w:val="000000"/>
                <w:spacing w:val="46"/>
                <w:szCs w:val="20"/>
                <w:fitText w:val="310" w:id="-1232957438"/>
                <w14:textFill>
                  <w14:solidFill>
                    <w14:srgbClr w14:val="000000">
                      <w14:alpha w14:val="100000"/>
                    </w14:srgbClr>
                  </w14:solidFill>
                </w14:textFill>
              </w:rPr>
              <w:t>|||</w:t>
            </w:r>
            <w:r w:rsidRPr="009E0870">
              <w:rPr>
                <w:rFonts w:cs="Calibri"/>
                <w:b w:val="0"/>
                <w:bCs/>
                <w:color w:val="000000"/>
                <w:spacing w:val="2"/>
                <w:szCs w:val="20"/>
                <w:fitText w:val="310" w:id="-1232957438"/>
                <w14:textFill>
                  <w14:solidFill>
                    <w14:srgbClr w14:val="000000">
                      <w14:alpha w14:val="100000"/>
                    </w14:srgbClr>
                  </w14:solidFill>
                </w14:textFill>
              </w:rPr>
              <w:t>|</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7416FF2"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0.0469</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47084B0" w14:textId="1B439C52" w:rsidR="00861436" w:rsidRPr="002E1153" w:rsidRDefault="009E0870" w:rsidP="0077002B">
            <w:pPr>
              <w:pStyle w:val="COMTableheadingrow"/>
              <w:keepLines/>
              <w:jc w:val="center"/>
              <w:rPr>
                <w:b w:val="0"/>
                <w:bCs/>
                <w:highlight w:val="darkGray"/>
                <w:lang w:val="en-AU"/>
              </w:rPr>
            </w:pPr>
            <w:r w:rsidRPr="009E0870">
              <w:rPr>
                <w:rFonts w:cs="Calibri"/>
                <w:b w:val="0"/>
                <w:bCs/>
                <w:color w:val="000000"/>
                <w:spacing w:val="55"/>
                <w:szCs w:val="20"/>
                <w:shd w:val="solid" w:color="000000" w:fill="000000"/>
                <w:fitText w:val="337" w:id="-1232957437"/>
                <w14:textFill>
                  <w14:solidFill>
                    <w14:srgbClr w14:val="000000">
                      <w14:alpha w14:val="100000"/>
                    </w14:srgbClr>
                  </w14:solidFill>
                </w14:textFill>
              </w:rPr>
              <w:t>|||</w:t>
            </w:r>
            <w:r w:rsidRPr="009E0870">
              <w:rPr>
                <w:rFonts w:cs="Calibri"/>
                <w:b w:val="0"/>
                <w:bCs/>
                <w:color w:val="000000"/>
                <w:spacing w:val="2"/>
                <w:szCs w:val="20"/>
                <w:shd w:val="solid" w:color="000000" w:fill="000000"/>
                <w:fitText w:val="337" w:id="-1232957437"/>
                <w14:textFill>
                  <w14:solidFill>
                    <w14:srgbClr w14:val="000000">
                      <w14:alpha w14:val="100000"/>
                    </w14:srgbClr>
                  </w14:solidFill>
                </w14:textFill>
              </w:rPr>
              <w:t>|</w:t>
            </w:r>
            <w:r w:rsidR="00DE7AA3">
              <w:rPr>
                <w:i/>
                <w:sz w:val="18"/>
                <w:szCs w:val="18"/>
                <w:vertAlign w:val="superscript"/>
              </w:rPr>
              <w:t>2</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6B9F0B62"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-32%</w:t>
            </w:r>
          </w:p>
        </w:tc>
      </w:tr>
      <w:tr w:rsidR="00861436" w14:paraId="3130F8D3" w14:textId="77777777" w:rsidTr="009E0870">
        <w:tc>
          <w:tcPr>
            <w:tcW w:w="3919" w:type="dxa"/>
            <w:vAlign w:val="center"/>
          </w:tcPr>
          <w:p w14:paraId="2CD48D62" w14:textId="77777777" w:rsidR="00861436" w:rsidRPr="00CF721B" w:rsidRDefault="00861436" w:rsidP="0077002B">
            <w:pPr>
              <w:pStyle w:val="COMTableheadingrow"/>
              <w:keepLines/>
              <w:rPr>
                <w:b w:val="0"/>
                <w:bCs/>
                <w:lang w:val="en-AU"/>
              </w:rPr>
            </w:pPr>
            <w:r w:rsidRPr="00CF721B">
              <w:rPr>
                <w:b w:val="0"/>
                <w:bCs/>
                <w:lang w:val="en-AU"/>
              </w:rPr>
              <w:t>5% per year, both arms</w:t>
            </w:r>
          </w:p>
        </w:tc>
        <w:tc>
          <w:tcPr>
            <w:tcW w:w="1243" w:type="dxa"/>
            <w:tcBorders>
              <w:top w:val="single" w:sz="4" w:space="0" w:color="auto"/>
              <w:left w:val="nil"/>
              <w:bottom w:val="single" w:sz="4" w:space="0" w:color="auto"/>
              <w:right w:val="single" w:sz="4" w:space="0" w:color="auto"/>
            </w:tcBorders>
            <w:shd w:val="solid" w:color="000000" w:fill="000000"/>
            <w:vAlign w:val="center"/>
          </w:tcPr>
          <w:p w14:paraId="7140AB49" w14:textId="4C16391A" w:rsidR="00861436" w:rsidRPr="009E0870" w:rsidRDefault="009E0870" w:rsidP="0077002B">
            <w:pPr>
              <w:pStyle w:val="COMTableheadingrow"/>
              <w:keepLines/>
              <w:jc w:val="center"/>
              <w:rPr>
                <w:b w:val="0"/>
                <w:bCs/>
                <w:lang w:val="en-AU"/>
              </w:rPr>
            </w:pPr>
            <w:r w:rsidRPr="009E0870">
              <w:rPr>
                <w:rFonts w:cs="Calibri"/>
                <w:b w:val="0"/>
                <w:bCs/>
                <w:color w:val="000000"/>
                <w:spacing w:val="46"/>
                <w:szCs w:val="20"/>
                <w:fitText w:val="310" w:id="-1232957436"/>
                <w14:textFill>
                  <w14:solidFill>
                    <w14:srgbClr w14:val="000000">
                      <w14:alpha w14:val="100000"/>
                    </w14:srgbClr>
                  </w14:solidFill>
                </w14:textFill>
              </w:rPr>
              <w:t>|||</w:t>
            </w:r>
            <w:r w:rsidRPr="009E0870">
              <w:rPr>
                <w:rFonts w:cs="Calibri"/>
                <w:b w:val="0"/>
                <w:bCs/>
                <w:color w:val="000000"/>
                <w:spacing w:val="2"/>
                <w:szCs w:val="20"/>
                <w:fitText w:val="310" w:id="-1232957436"/>
                <w14:textFill>
                  <w14:solidFill>
                    <w14:srgbClr w14:val="000000">
                      <w14:alpha w14:val="100000"/>
                    </w14:srgbClr>
                  </w14:solidFill>
                </w14:textFill>
              </w:rPr>
              <w:t>|</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8F802AF"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0.0428</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D8BD475" w14:textId="44B320A3" w:rsidR="00861436" w:rsidRPr="002E1153" w:rsidRDefault="009E0870" w:rsidP="0077002B">
            <w:pPr>
              <w:pStyle w:val="COMTableheadingrow"/>
              <w:keepLines/>
              <w:jc w:val="center"/>
              <w:rPr>
                <w:b w:val="0"/>
                <w:bCs/>
                <w:highlight w:val="darkGray"/>
                <w:lang w:val="en-AU"/>
              </w:rPr>
            </w:pPr>
            <w:r w:rsidRPr="009E0870">
              <w:rPr>
                <w:rFonts w:cs="Calibri"/>
                <w:b w:val="0"/>
                <w:bCs/>
                <w:color w:val="000000"/>
                <w:spacing w:val="55"/>
                <w:szCs w:val="20"/>
                <w:shd w:val="solid" w:color="000000" w:fill="000000"/>
                <w:fitText w:val="337" w:id="-1232957435"/>
                <w14:textFill>
                  <w14:solidFill>
                    <w14:srgbClr w14:val="000000">
                      <w14:alpha w14:val="100000"/>
                    </w14:srgbClr>
                  </w14:solidFill>
                </w14:textFill>
              </w:rPr>
              <w:t>|||</w:t>
            </w:r>
            <w:r w:rsidRPr="009E0870">
              <w:rPr>
                <w:rFonts w:cs="Calibri"/>
                <w:b w:val="0"/>
                <w:bCs/>
                <w:color w:val="000000"/>
                <w:spacing w:val="2"/>
                <w:szCs w:val="20"/>
                <w:shd w:val="solid" w:color="000000" w:fill="000000"/>
                <w:fitText w:val="337" w:id="-1232957435"/>
                <w14:textFill>
                  <w14:solidFill>
                    <w14:srgbClr w14:val="000000">
                      <w14:alpha w14:val="100000"/>
                    </w14:srgbClr>
                  </w14:solidFill>
                </w14:textFill>
              </w:rPr>
              <w:t>|</w:t>
            </w:r>
            <w:r w:rsidR="00DE7AA3">
              <w:rPr>
                <w:i/>
                <w:sz w:val="18"/>
                <w:szCs w:val="18"/>
                <w:vertAlign w:val="superscript"/>
              </w:rPr>
              <w:t>2</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38626106"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-24%</w:t>
            </w:r>
          </w:p>
        </w:tc>
      </w:tr>
      <w:tr w:rsidR="00861436" w14:paraId="4A3EC515" w14:textId="77777777" w:rsidTr="009E0870">
        <w:tc>
          <w:tcPr>
            <w:tcW w:w="3919" w:type="dxa"/>
            <w:vAlign w:val="center"/>
          </w:tcPr>
          <w:p w14:paraId="3EC681BB" w14:textId="067A43D5" w:rsidR="00861436" w:rsidRPr="00CF721B" w:rsidRDefault="00861436" w:rsidP="0077002B">
            <w:pPr>
              <w:pStyle w:val="COMTableheadingrow"/>
              <w:keepLines/>
              <w:rPr>
                <w:b w:val="0"/>
                <w:bCs/>
                <w:vertAlign w:val="superscript"/>
                <w:lang w:val="en-AU"/>
              </w:rPr>
            </w:pPr>
            <w:r w:rsidRPr="00CF721B">
              <w:rPr>
                <w:b w:val="0"/>
                <w:bCs/>
              </w:rPr>
              <w:t>Romosozumab/alendronate: 15% per year; alendronate/alendronate: 20% per year</w:t>
            </w:r>
            <w:r w:rsidR="00EE2B4C" w:rsidRPr="00CF721B">
              <w:rPr>
                <w:b w:val="0"/>
                <w:bCs/>
              </w:rPr>
              <w:t xml:space="preserve"> </w:t>
            </w:r>
            <w:r w:rsidR="00EE2B4C" w:rsidRPr="00CF721B">
              <w:rPr>
                <w:b w:val="0"/>
                <w:bCs/>
                <w:vertAlign w:val="superscript"/>
              </w:rPr>
              <w:t>a</w:t>
            </w:r>
          </w:p>
        </w:tc>
        <w:tc>
          <w:tcPr>
            <w:tcW w:w="1243" w:type="dxa"/>
            <w:tcBorders>
              <w:top w:val="single" w:sz="4" w:space="0" w:color="auto"/>
              <w:left w:val="nil"/>
              <w:bottom w:val="single" w:sz="4" w:space="0" w:color="auto"/>
              <w:right w:val="single" w:sz="4" w:space="0" w:color="auto"/>
            </w:tcBorders>
            <w:shd w:val="solid" w:color="000000" w:fill="000000"/>
            <w:vAlign w:val="center"/>
          </w:tcPr>
          <w:p w14:paraId="606BBCEC" w14:textId="582553EF" w:rsidR="00861436" w:rsidRPr="009E0870" w:rsidRDefault="009E0870" w:rsidP="0077002B">
            <w:pPr>
              <w:pStyle w:val="COMTableheadingrow"/>
              <w:keepLines/>
              <w:jc w:val="center"/>
              <w:rPr>
                <w:rFonts w:cs="Calibri"/>
                <w:b w:val="0"/>
                <w:bCs/>
                <w:color w:val="000000"/>
                <w:szCs w:val="20"/>
              </w:rPr>
            </w:pPr>
            <w:r w:rsidRPr="009E0870">
              <w:rPr>
                <w:rFonts w:cs="Calibri"/>
                <w:b w:val="0"/>
                <w:bCs/>
                <w:color w:val="000000"/>
                <w:spacing w:val="46"/>
                <w:szCs w:val="20"/>
                <w:fitText w:val="310" w:id="-1232957434"/>
                <w14:textFill>
                  <w14:solidFill>
                    <w14:srgbClr w14:val="000000">
                      <w14:alpha w14:val="100000"/>
                    </w14:srgbClr>
                  </w14:solidFill>
                </w14:textFill>
              </w:rPr>
              <w:t>|||</w:t>
            </w:r>
            <w:r w:rsidRPr="009E0870">
              <w:rPr>
                <w:rFonts w:cs="Calibri"/>
                <w:b w:val="0"/>
                <w:bCs/>
                <w:color w:val="000000"/>
                <w:spacing w:val="2"/>
                <w:szCs w:val="20"/>
                <w:fitText w:val="310" w:id="-1232957434"/>
                <w14:textFill>
                  <w14:solidFill>
                    <w14:srgbClr w14:val="000000">
                      <w14:alpha w14:val="100000"/>
                    </w14:srgbClr>
                  </w14:solidFill>
                </w14:textFill>
              </w:rPr>
              <w:t>|</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03B8958" w14:textId="77777777" w:rsidR="00861436" w:rsidRPr="00CF721B" w:rsidRDefault="00861436" w:rsidP="0077002B">
            <w:pPr>
              <w:pStyle w:val="COMTableheadingrow"/>
              <w:keepLines/>
              <w:jc w:val="center"/>
              <w:rPr>
                <w:rFonts w:cs="Calibri"/>
                <w:b w:val="0"/>
                <w:bCs/>
                <w:color w:val="000000"/>
                <w:szCs w:val="20"/>
              </w:rPr>
            </w:pPr>
            <w:r w:rsidRPr="00CF721B">
              <w:rPr>
                <w:rFonts w:cs="Calibri"/>
                <w:b w:val="0"/>
                <w:bCs/>
                <w:color w:val="000000"/>
                <w:szCs w:val="20"/>
              </w:rPr>
              <w:t>0.0485</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710C61E" w14:textId="3A458F9D" w:rsidR="00861436" w:rsidRPr="002E1153" w:rsidRDefault="009E0870" w:rsidP="0077002B">
            <w:pPr>
              <w:pStyle w:val="COMTableheadingrow"/>
              <w:keepLines/>
              <w:jc w:val="center"/>
              <w:rPr>
                <w:rFonts w:cs="Calibri"/>
                <w:b w:val="0"/>
                <w:bCs/>
                <w:color w:val="000000"/>
                <w:szCs w:val="20"/>
                <w:highlight w:val="darkGray"/>
              </w:rPr>
            </w:pPr>
            <w:r w:rsidRPr="009E0870">
              <w:rPr>
                <w:rFonts w:cs="Calibri"/>
                <w:b w:val="0"/>
                <w:bCs/>
                <w:color w:val="000000"/>
                <w:spacing w:val="55"/>
                <w:szCs w:val="20"/>
                <w:shd w:val="solid" w:color="000000" w:fill="000000"/>
                <w:fitText w:val="337" w:id="-1232957433"/>
                <w14:textFill>
                  <w14:solidFill>
                    <w14:srgbClr w14:val="000000">
                      <w14:alpha w14:val="100000"/>
                    </w14:srgbClr>
                  </w14:solidFill>
                </w14:textFill>
              </w:rPr>
              <w:t>|||</w:t>
            </w:r>
            <w:r w:rsidRPr="009E0870">
              <w:rPr>
                <w:rFonts w:cs="Calibri"/>
                <w:b w:val="0"/>
                <w:bCs/>
                <w:color w:val="000000"/>
                <w:spacing w:val="2"/>
                <w:szCs w:val="20"/>
                <w:shd w:val="solid" w:color="000000" w:fill="000000"/>
                <w:fitText w:val="337" w:id="-1232957433"/>
                <w14:textFill>
                  <w14:solidFill>
                    <w14:srgbClr w14:val="000000">
                      <w14:alpha w14:val="100000"/>
                    </w14:srgbClr>
                  </w14:solidFill>
                </w14:textFill>
              </w:rPr>
              <w:t>|</w:t>
            </w:r>
            <w:r w:rsidR="00DE7AA3">
              <w:rPr>
                <w:i/>
                <w:sz w:val="18"/>
                <w:szCs w:val="18"/>
                <w:vertAlign w:val="superscript"/>
              </w:rPr>
              <w:t>2</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498D3BDF" w14:textId="77777777" w:rsidR="00861436" w:rsidRPr="00CF721B" w:rsidRDefault="00861436" w:rsidP="0077002B">
            <w:pPr>
              <w:pStyle w:val="COMTableheadingrow"/>
              <w:keepLines/>
              <w:jc w:val="center"/>
              <w:rPr>
                <w:rFonts w:cs="Calibri"/>
                <w:b w:val="0"/>
                <w:bCs/>
                <w:color w:val="000000"/>
                <w:szCs w:val="20"/>
              </w:rPr>
            </w:pPr>
            <w:r w:rsidRPr="00CF721B">
              <w:rPr>
                <w:rFonts w:cs="Calibri"/>
                <w:b w:val="0"/>
                <w:bCs/>
                <w:color w:val="000000"/>
                <w:szCs w:val="20"/>
              </w:rPr>
              <w:t>-40%</w:t>
            </w:r>
          </w:p>
        </w:tc>
      </w:tr>
      <w:tr w:rsidR="00861436" w14:paraId="77872FD7" w14:textId="77777777" w:rsidTr="009E0870">
        <w:tc>
          <w:tcPr>
            <w:tcW w:w="3919" w:type="dxa"/>
            <w:vAlign w:val="center"/>
          </w:tcPr>
          <w:p w14:paraId="651BA61F" w14:textId="1B890824" w:rsidR="00861436" w:rsidRPr="00CF721B" w:rsidRDefault="00861436" w:rsidP="0077002B">
            <w:pPr>
              <w:pStyle w:val="COMTableheadingrow"/>
              <w:keepLines/>
              <w:rPr>
                <w:b w:val="0"/>
                <w:bCs/>
                <w:vertAlign w:val="superscript"/>
                <w:lang w:val="en-AU"/>
              </w:rPr>
            </w:pPr>
            <w:r w:rsidRPr="00CF721B">
              <w:rPr>
                <w:b w:val="0"/>
                <w:bCs/>
              </w:rPr>
              <w:t xml:space="preserve">Romosozumab/alendronate: 20% per year; alendronate/alendronate: 15% per year </w:t>
            </w:r>
            <w:r w:rsidR="00EE2B4C" w:rsidRPr="00CF721B">
              <w:rPr>
                <w:b w:val="0"/>
                <w:bCs/>
                <w:vertAlign w:val="superscript"/>
              </w:rPr>
              <w:t>a</w:t>
            </w:r>
          </w:p>
        </w:tc>
        <w:tc>
          <w:tcPr>
            <w:tcW w:w="1243" w:type="dxa"/>
            <w:tcBorders>
              <w:top w:val="single" w:sz="4" w:space="0" w:color="auto"/>
              <w:left w:val="nil"/>
              <w:bottom w:val="single" w:sz="4" w:space="0" w:color="auto"/>
              <w:right w:val="single" w:sz="4" w:space="0" w:color="auto"/>
            </w:tcBorders>
            <w:shd w:val="solid" w:color="000000" w:fill="000000"/>
            <w:vAlign w:val="center"/>
          </w:tcPr>
          <w:p w14:paraId="70C0D7E3" w14:textId="5F28F934" w:rsidR="00861436" w:rsidRPr="009E0870" w:rsidRDefault="009E0870" w:rsidP="0077002B">
            <w:pPr>
              <w:pStyle w:val="COMTableheadingrow"/>
              <w:keepLines/>
              <w:jc w:val="center"/>
              <w:rPr>
                <w:rFonts w:cs="Calibri"/>
                <w:b w:val="0"/>
                <w:bCs/>
                <w:color w:val="000000"/>
                <w:szCs w:val="20"/>
              </w:rPr>
            </w:pPr>
            <w:r w:rsidRPr="009E0870">
              <w:rPr>
                <w:rFonts w:cs="Calibri"/>
                <w:b w:val="0"/>
                <w:bCs/>
                <w:color w:val="000000"/>
                <w:spacing w:val="46"/>
                <w:szCs w:val="20"/>
                <w:fitText w:val="310" w:id="-1232957432"/>
                <w14:textFill>
                  <w14:solidFill>
                    <w14:srgbClr w14:val="000000">
                      <w14:alpha w14:val="100000"/>
                    </w14:srgbClr>
                  </w14:solidFill>
                </w14:textFill>
              </w:rPr>
              <w:t>|||</w:t>
            </w:r>
            <w:r w:rsidRPr="009E0870">
              <w:rPr>
                <w:rFonts w:cs="Calibri"/>
                <w:b w:val="0"/>
                <w:bCs/>
                <w:color w:val="000000"/>
                <w:spacing w:val="2"/>
                <w:szCs w:val="20"/>
                <w:fitText w:val="310" w:id="-1232957432"/>
                <w14:textFill>
                  <w14:solidFill>
                    <w14:srgbClr w14:val="000000">
                      <w14:alpha w14:val="100000"/>
                    </w14:srgbClr>
                  </w14:solidFill>
                </w14:textFill>
              </w:rPr>
              <w:t>|</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1271D7F" w14:textId="77777777" w:rsidR="00861436" w:rsidRPr="00CF721B" w:rsidRDefault="00861436" w:rsidP="0077002B">
            <w:pPr>
              <w:pStyle w:val="COMTableheadingrow"/>
              <w:keepLines/>
              <w:jc w:val="center"/>
              <w:rPr>
                <w:rFonts w:cs="Calibri"/>
                <w:b w:val="0"/>
                <w:bCs/>
                <w:color w:val="000000"/>
                <w:szCs w:val="20"/>
              </w:rPr>
            </w:pPr>
            <w:r w:rsidRPr="00CF721B">
              <w:rPr>
                <w:rFonts w:cs="Calibri"/>
                <w:b w:val="0"/>
                <w:bCs/>
                <w:color w:val="000000"/>
                <w:szCs w:val="20"/>
              </w:rPr>
              <w:t>0.0206</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4A358B1" w14:textId="180A0A50" w:rsidR="00861436" w:rsidRPr="002E1153" w:rsidRDefault="009E0870" w:rsidP="0077002B">
            <w:pPr>
              <w:pStyle w:val="COMTableheadingrow"/>
              <w:keepLines/>
              <w:jc w:val="center"/>
              <w:rPr>
                <w:rFonts w:cs="Calibri"/>
                <w:b w:val="0"/>
                <w:bCs/>
                <w:color w:val="000000"/>
                <w:szCs w:val="20"/>
                <w:highlight w:val="darkGray"/>
              </w:rPr>
            </w:pPr>
            <w:r w:rsidRPr="009E0870">
              <w:rPr>
                <w:rFonts w:cs="Calibri"/>
                <w:b w:val="0"/>
                <w:bCs/>
                <w:color w:val="000000"/>
                <w:spacing w:val="55"/>
                <w:szCs w:val="20"/>
                <w:shd w:val="solid" w:color="000000" w:fill="000000"/>
                <w:fitText w:val="337" w:id="-1232957431"/>
                <w14:textFill>
                  <w14:solidFill>
                    <w14:srgbClr w14:val="000000">
                      <w14:alpha w14:val="100000"/>
                    </w14:srgbClr>
                  </w14:solidFill>
                </w14:textFill>
              </w:rPr>
              <w:t>|||</w:t>
            </w:r>
            <w:r w:rsidRPr="009E0870">
              <w:rPr>
                <w:rFonts w:cs="Calibri"/>
                <w:b w:val="0"/>
                <w:bCs/>
                <w:color w:val="000000"/>
                <w:spacing w:val="2"/>
                <w:szCs w:val="20"/>
                <w:shd w:val="solid" w:color="000000" w:fill="000000"/>
                <w:fitText w:val="337" w:id="-1232957431"/>
                <w14:textFill>
                  <w14:solidFill>
                    <w14:srgbClr w14:val="000000">
                      <w14:alpha w14:val="100000"/>
                    </w14:srgbClr>
                  </w14:solidFill>
                </w14:textFill>
              </w:rPr>
              <w:t>|</w:t>
            </w:r>
            <w:r w:rsidR="008B1B66">
              <w:rPr>
                <w:i/>
                <w:sz w:val="18"/>
                <w:szCs w:val="18"/>
                <w:vertAlign w:val="superscript"/>
              </w:rPr>
              <w:t>7</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498E6A0C" w14:textId="77777777" w:rsidR="00861436" w:rsidRPr="00CF721B" w:rsidRDefault="00861436" w:rsidP="0077002B">
            <w:pPr>
              <w:pStyle w:val="COMTableheadingrow"/>
              <w:keepLines/>
              <w:jc w:val="center"/>
              <w:rPr>
                <w:rFonts w:cs="Calibri"/>
                <w:b w:val="0"/>
                <w:bCs/>
                <w:color w:val="000000"/>
                <w:szCs w:val="20"/>
              </w:rPr>
            </w:pPr>
            <w:r w:rsidRPr="00CF721B">
              <w:rPr>
                <w:rFonts w:cs="Calibri"/>
                <w:b w:val="0"/>
                <w:bCs/>
                <w:color w:val="000000"/>
                <w:szCs w:val="20"/>
              </w:rPr>
              <w:t>+79%</w:t>
            </w:r>
          </w:p>
        </w:tc>
      </w:tr>
      <w:tr w:rsidR="00861436" w14:paraId="64BBF4C3" w14:textId="77777777" w:rsidTr="0077002B">
        <w:tc>
          <w:tcPr>
            <w:tcW w:w="9017" w:type="dxa"/>
            <w:gridSpan w:val="5"/>
            <w:vAlign w:val="center"/>
          </w:tcPr>
          <w:p w14:paraId="18433103" w14:textId="77777777" w:rsidR="00861436" w:rsidRPr="00CF721B" w:rsidRDefault="00861436" w:rsidP="0077002B">
            <w:pPr>
              <w:pStyle w:val="COMTableheadingrow"/>
              <w:keepLines/>
              <w:rPr>
                <w:lang w:val="en-AU"/>
              </w:rPr>
            </w:pPr>
            <w:r w:rsidRPr="00CF721B">
              <w:rPr>
                <w:lang w:val="en-AU"/>
              </w:rPr>
              <w:t>Background fracture risk (base case derived from alendronate arm of ARCH trial)</w:t>
            </w:r>
          </w:p>
        </w:tc>
      </w:tr>
      <w:tr w:rsidR="00861436" w14:paraId="7FB4A3E0" w14:textId="77777777" w:rsidTr="009E0870">
        <w:tc>
          <w:tcPr>
            <w:tcW w:w="3919" w:type="dxa"/>
            <w:vAlign w:val="center"/>
          </w:tcPr>
          <w:p w14:paraId="19A9D148" w14:textId="77777777" w:rsidR="00861436" w:rsidRPr="00CF721B" w:rsidRDefault="00861436" w:rsidP="0077002B">
            <w:pPr>
              <w:pStyle w:val="COMTableheadingrow"/>
              <w:keepLines/>
              <w:rPr>
                <w:b w:val="0"/>
                <w:bCs/>
                <w:lang w:val="en-AU"/>
              </w:rPr>
            </w:pPr>
            <w:r w:rsidRPr="00CF721B">
              <w:rPr>
                <w:b w:val="0"/>
                <w:bCs/>
                <w:lang w:val="en-AU"/>
              </w:rPr>
              <w:t>Increased by 10%</w:t>
            </w:r>
          </w:p>
        </w:tc>
        <w:tc>
          <w:tcPr>
            <w:tcW w:w="1243" w:type="dxa"/>
            <w:tcBorders>
              <w:top w:val="single" w:sz="4" w:space="0" w:color="auto"/>
              <w:left w:val="nil"/>
              <w:bottom w:val="single" w:sz="4" w:space="0" w:color="auto"/>
              <w:right w:val="single" w:sz="4" w:space="0" w:color="auto"/>
            </w:tcBorders>
            <w:shd w:val="solid" w:color="000000" w:fill="000000"/>
            <w:vAlign w:val="center"/>
          </w:tcPr>
          <w:p w14:paraId="22CE74F9" w14:textId="1DA5E7A6" w:rsidR="00861436" w:rsidRPr="009E0870" w:rsidRDefault="009E0870" w:rsidP="0077002B">
            <w:pPr>
              <w:pStyle w:val="COMTableheadingrow"/>
              <w:keepLines/>
              <w:jc w:val="center"/>
              <w:rPr>
                <w:b w:val="0"/>
                <w:bCs/>
                <w:lang w:val="en-AU"/>
              </w:rPr>
            </w:pPr>
            <w:r w:rsidRPr="009E0870">
              <w:rPr>
                <w:rFonts w:cs="Calibri"/>
                <w:b w:val="0"/>
                <w:bCs/>
                <w:color w:val="000000"/>
                <w:spacing w:val="46"/>
                <w:szCs w:val="20"/>
                <w:fitText w:val="310" w:id="-1232957430"/>
                <w14:textFill>
                  <w14:solidFill>
                    <w14:srgbClr w14:val="000000">
                      <w14:alpha w14:val="100000"/>
                    </w14:srgbClr>
                  </w14:solidFill>
                </w14:textFill>
              </w:rPr>
              <w:t>|||</w:t>
            </w:r>
            <w:r w:rsidRPr="009E0870">
              <w:rPr>
                <w:rFonts w:cs="Calibri"/>
                <w:b w:val="0"/>
                <w:bCs/>
                <w:color w:val="000000"/>
                <w:spacing w:val="2"/>
                <w:szCs w:val="20"/>
                <w:fitText w:val="310" w:id="-1232957430"/>
                <w14:textFill>
                  <w14:solidFill>
                    <w14:srgbClr w14:val="000000">
                      <w14:alpha w14:val="100000"/>
                    </w14:srgbClr>
                  </w14:solidFill>
                </w14:textFill>
              </w:rPr>
              <w:t>|</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56A48AD"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0.0362</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972F4FB" w14:textId="2086BBB3" w:rsidR="00861436" w:rsidRPr="002E1153" w:rsidRDefault="009E0870" w:rsidP="0077002B">
            <w:pPr>
              <w:pStyle w:val="COMTableheadingrow"/>
              <w:keepLines/>
              <w:jc w:val="center"/>
              <w:rPr>
                <w:b w:val="0"/>
                <w:bCs/>
                <w:highlight w:val="darkGray"/>
                <w:lang w:val="en-AU"/>
              </w:rPr>
            </w:pPr>
            <w:r w:rsidRPr="009E0870">
              <w:rPr>
                <w:rFonts w:cs="Calibri"/>
                <w:b w:val="0"/>
                <w:bCs/>
                <w:color w:val="000000"/>
                <w:spacing w:val="55"/>
                <w:szCs w:val="20"/>
                <w:shd w:val="solid" w:color="000000" w:fill="000000"/>
                <w:fitText w:val="337" w:id="-1232957429"/>
                <w14:textFill>
                  <w14:solidFill>
                    <w14:srgbClr w14:val="000000">
                      <w14:alpha w14:val="100000"/>
                    </w14:srgbClr>
                  </w14:solidFill>
                </w14:textFill>
              </w:rPr>
              <w:t>|||</w:t>
            </w:r>
            <w:r w:rsidRPr="009E0870">
              <w:rPr>
                <w:rFonts w:cs="Calibri"/>
                <w:b w:val="0"/>
                <w:bCs/>
                <w:color w:val="000000"/>
                <w:spacing w:val="2"/>
                <w:szCs w:val="20"/>
                <w:shd w:val="solid" w:color="000000" w:fill="000000"/>
                <w:fitText w:val="337" w:id="-1232957429"/>
                <w14:textFill>
                  <w14:solidFill>
                    <w14:srgbClr w14:val="000000">
                      <w14:alpha w14:val="100000"/>
                    </w14:srgbClr>
                  </w14:solidFill>
                </w14:textFill>
              </w:rPr>
              <w:t>|</w:t>
            </w:r>
            <w:r w:rsidR="00DE7AA3">
              <w:rPr>
                <w:i/>
                <w:sz w:val="18"/>
                <w:szCs w:val="18"/>
                <w:vertAlign w:val="superscript"/>
              </w:rPr>
              <w:t>3</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0A2D1CC0"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-13%</w:t>
            </w:r>
          </w:p>
        </w:tc>
      </w:tr>
      <w:tr w:rsidR="00861436" w14:paraId="5262C821" w14:textId="77777777" w:rsidTr="009E0870">
        <w:tc>
          <w:tcPr>
            <w:tcW w:w="3919" w:type="dxa"/>
            <w:vAlign w:val="center"/>
          </w:tcPr>
          <w:p w14:paraId="4FFFB612" w14:textId="77777777" w:rsidR="00861436" w:rsidRPr="00CF721B" w:rsidRDefault="00861436" w:rsidP="0077002B">
            <w:pPr>
              <w:pStyle w:val="COMTableheadingrow"/>
              <w:keepLines/>
              <w:rPr>
                <w:b w:val="0"/>
                <w:bCs/>
                <w:lang w:val="en-AU"/>
              </w:rPr>
            </w:pPr>
            <w:r w:rsidRPr="00CF721B">
              <w:rPr>
                <w:b w:val="0"/>
                <w:bCs/>
                <w:lang w:val="en-AU"/>
              </w:rPr>
              <w:t>Increased by 20%</w:t>
            </w:r>
          </w:p>
        </w:tc>
        <w:tc>
          <w:tcPr>
            <w:tcW w:w="1243" w:type="dxa"/>
            <w:tcBorders>
              <w:top w:val="single" w:sz="4" w:space="0" w:color="auto"/>
              <w:left w:val="nil"/>
              <w:bottom w:val="single" w:sz="4" w:space="0" w:color="auto"/>
              <w:right w:val="single" w:sz="4" w:space="0" w:color="auto"/>
            </w:tcBorders>
            <w:shd w:val="solid" w:color="000000" w:fill="000000"/>
            <w:vAlign w:val="center"/>
          </w:tcPr>
          <w:p w14:paraId="1FF8A762" w14:textId="3E826F16" w:rsidR="00861436" w:rsidRPr="009E0870" w:rsidRDefault="009E0870" w:rsidP="0077002B">
            <w:pPr>
              <w:pStyle w:val="COMTableheadingrow"/>
              <w:keepLines/>
              <w:jc w:val="center"/>
              <w:rPr>
                <w:b w:val="0"/>
                <w:bCs/>
                <w:lang w:val="en-AU"/>
              </w:rPr>
            </w:pPr>
            <w:r w:rsidRPr="009E0870">
              <w:rPr>
                <w:rFonts w:cs="Calibri"/>
                <w:b w:val="0"/>
                <w:bCs/>
                <w:color w:val="000000"/>
                <w:spacing w:val="46"/>
                <w:szCs w:val="20"/>
                <w:fitText w:val="310" w:id="-1232957428"/>
                <w14:textFill>
                  <w14:solidFill>
                    <w14:srgbClr w14:val="000000">
                      <w14:alpha w14:val="100000"/>
                    </w14:srgbClr>
                  </w14:solidFill>
                </w14:textFill>
              </w:rPr>
              <w:t>|||</w:t>
            </w:r>
            <w:r w:rsidRPr="009E0870">
              <w:rPr>
                <w:rFonts w:cs="Calibri"/>
                <w:b w:val="0"/>
                <w:bCs/>
                <w:color w:val="000000"/>
                <w:spacing w:val="2"/>
                <w:szCs w:val="20"/>
                <w:fitText w:val="310" w:id="-1232957428"/>
                <w14:textFill>
                  <w14:solidFill>
                    <w14:srgbClr w14:val="000000">
                      <w14:alpha w14:val="100000"/>
                    </w14:srgbClr>
                  </w14:solidFill>
                </w14:textFill>
              </w:rPr>
              <w:t>|</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13A2216"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0.0392</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E3A6468" w14:textId="75BFAA9B" w:rsidR="00861436" w:rsidRPr="002E1153" w:rsidRDefault="009E0870" w:rsidP="0077002B">
            <w:pPr>
              <w:pStyle w:val="COMTableheadingrow"/>
              <w:keepLines/>
              <w:jc w:val="center"/>
              <w:rPr>
                <w:b w:val="0"/>
                <w:bCs/>
                <w:highlight w:val="darkGray"/>
                <w:lang w:val="en-AU"/>
              </w:rPr>
            </w:pPr>
            <w:r w:rsidRPr="009E0870">
              <w:rPr>
                <w:rFonts w:cs="Calibri"/>
                <w:b w:val="0"/>
                <w:bCs/>
                <w:color w:val="000000"/>
                <w:spacing w:val="55"/>
                <w:szCs w:val="20"/>
                <w:shd w:val="solid" w:color="000000" w:fill="000000"/>
                <w:fitText w:val="337" w:id="-1232957427"/>
                <w14:textFill>
                  <w14:solidFill>
                    <w14:srgbClr w14:val="000000">
                      <w14:alpha w14:val="100000"/>
                    </w14:srgbClr>
                  </w14:solidFill>
                </w14:textFill>
              </w:rPr>
              <w:t>|||</w:t>
            </w:r>
            <w:r w:rsidRPr="009E0870">
              <w:rPr>
                <w:rFonts w:cs="Calibri"/>
                <w:b w:val="0"/>
                <w:bCs/>
                <w:color w:val="000000"/>
                <w:spacing w:val="2"/>
                <w:szCs w:val="20"/>
                <w:shd w:val="solid" w:color="000000" w:fill="000000"/>
                <w:fitText w:val="337" w:id="-1232957427"/>
                <w14:textFill>
                  <w14:solidFill>
                    <w14:srgbClr w14:val="000000">
                      <w14:alpha w14:val="100000"/>
                    </w14:srgbClr>
                  </w14:solidFill>
                </w14:textFill>
              </w:rPr>
              <w:t>|</w:t>
            </w:r>
            <w:r w:rsidR="00DE7AA3">
              <w:rPr>
                <w:i/>
                <w:sz w:val="18"/>
                <w:szCs w:val="18"/>
                <w:vertAlign w:val="superscript"/>
              </w:rPr>
              <w:t>2</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312ACF63"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-24%</w:t>
            </w:r>
          </w:p>
        </w:tc>
      </w:tr>
      <w:tr w:rsidR="00861436" w14:paraId="63ED5760" w14:textId="77777777" w:rsidTr="009E0870">
        <w:tc>
          <w:tcPr>
            <w:tcW w:w="3919" w:type="dxa"/>
            <w:vAlign w:val="center"/>
          </w:tcPr>
          <w:p w14:paraId="32A4788D" w14:textId="77777777" w:rsidR="00861436" w:rsidRPr="00CF721B" w:rsidRDefault="00861436" w:rsidP="0077002B">
            <w:pPr>
              <w:pStyle w:val="COMTableheadingrow"/>
              <w:keepLines/>
              <w:rPr>
                <w:b w:val="0"/>
                <w:bCs/>
                <w:lang w:val="en-AU"/>
              </w:rPr>
            </w:pPr>
            <w:r w:rsidRPr="00CF721B">
              <w:rPr>
                <w:b w:val="0"/>
                <w:bCs/>
                <w:lang w:val="en-AU"/>
              </w:rPr>
              <w:t>Increased by 30%</w:t>
            </w:r>
          </w:p>
        </w:tc>
        <w:tc>
          <w:tcPr>
            <w:tcW w:w="1243" w:type="dxa"/>
            <w:tcBorders>
              <w:top w:val="single" w:sz="4" w:space="0" w:color="auto"/>
              <w:left w:val="nil"/>
              <w:bottom w:val="single" w:sz="4" w:space="0" w:color="auto"/>
              <w:right w:val="single" w:sz="4" w:space="0" w:color="auto"/>
            </w:tcBorders>
            <w:shd w:val="solid" w:color="000000" w:fill="000000"/>
            <w:vAlign w:val="center"/>
          </w:tcPr>
          <w:p w14:paraId="6AB1758A" w14:textId="5B95772D" w:rsidR="00861436" w:rsidRPr="009E0870" w:rsidRDefault="009E0870" w:rsidP="0077002B">
            <w:pPr>
              <w:pStyle w:val="COMTableheadingrow"/>
              <w:keepLines/>
              <w:jc w:val="center"/>
              <w:rPr>
                <w:b w:val="0"/>
                <w:bCs/>
                <w:lang w:val="en-AU"/>
              </w:rPr>
            </w:pPr>
            <w:r w:rsidRPr="009E0870">
              <w:rPr>
                <w:rFonts w:cs="Calibri"/>
                <w:b w:val="0"/>
                <w:bCs/>
                <w:color w:val="000000"/>
                <w:spacing w:val="46"/>
                <w:szCs w:val="20"/>
                <w:fitText w:val="310" w:id="-1232957426"/>
                <w14:textFill>
                  <w14:solidFill>
                    <w14:srgbClr w14:val="000000">
                      <w14:alpha w14:val="100000"/>
                    </w14:srgbClr>
                  </w14:solidFill>
                </w14:textFill>
              </w:rPr>
              <w:t>|||</w:t>
            </w:r>
            <w:r w:rsidRPr="009E0870">
              <w:rPr>
                <w:rFonts w:cs="Calibri"/>
                <w:b w:val="0"/>
                <w:bCs/>
                <w:color w:val="000000"/>
                <w:spacing w:val="2"/>
                <w:szCs w:val="20"/>
                <w:fitText w:val="310" w:id="-1232957426"/>
                <w14:textFill>
                  <w14:solidFill>
                    <w14:srgbClr w14:val="000000">
                      <w14:alpha w14:val="100000"/>
                    </w14:srgbClr>
                  </w14:solidFill>
                </w14:textFill>
              </w:rPr>
              <w:t>|</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4F71171"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0.0422</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564DB85" w14:textId="3624184C" w:rsidR="00861436" w:rsidRPr="002E1153" w:rsidRDefault="009E0870" w:rsidP="0077002B">
            <w:pPr>
              <w:pStyle w:val="COMTableheadingrow"/>
              <w:keepLines/>
              <w:jc w:val="center"/>
              <w:rPr>
                <w:b w:val="0"/>
                <w:bCs/>
                <w:highlight w:val="darkGray"/>
                <w:lang w:val="en-AU"/>
              </w:rPr>
            </w:pPr>
            <w:r w:rsidRPr="009E0870">
              <w:rPr>
                <w:rFonts w:cs="Calibri"/>
                <w:b w:val="0"/>
                <w:bCs/>
                <w:color w:val="000000"/>
                <w:spacing w:val="55"/>
                <w:szCs w:val="20"/>
                <w:shd w:val="solid" w:color="000000" w:fill="000000"/>
                <w:fitText w:val="337" w:id="-1232957425"/>
                <w14:textFill>
                  <w14:solidFill>
                    <w14:srgbClr w14:val="000000">
                      <w14:alpha w14:val="100000"/>
                    </w14:srgbClr>
                  </w14:solidFill>
                </w14:textFill>
              </w:rPr>
              <w:t>|||</w:t>
            </w:r>
            <w:r w:rsidRPr="009E0870">
              <w:rPr>
                <w:rFonts w:cs="Calibri"/>
                <w:b w:val="0"/>
                <w:bCs/>
                <w:color w:val="000000"/>
                <w:spacing w:val="2"/>
                <w:szCs w:val="20"/>
                <w:shd w:val="solid" w:color="000000" w:fill="000000"/>
                <w:fitText w:val="337" w:id="-1232957425"/>
                <w14:textFill>
                  <w14:solidFill>
                    <w14:srgbClr w14:val="000000">
                      <w14:alpha w14:val="100000"/>
                    </w14:srgbClr>
                  </w14:solidFill>
                </w14:textFill>
              </w:rPr>
              <w:t>|</w:t>
            </w:r>
            <w:r w:rsidR="00DE7AA3">
              <w:rPr>
                <w:i/>
                <w:sz w:val="18"/>
                <w:szCs w:val="18"/>
                <w:vertAlign w:val="superscript"/>
              </w:rPr>
              <w:t>2</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09462B07"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-34%</w:t>
            </w:r>
          </w:p>
        </w:tc>
      </w:tr>
      <w:tr w:rsidR="00861436" w14:paraId="1807A7F4" w14:textId="77777777" w:rsidTr="0077002B">
        <w:tc>
          <w:tcPr>
            <w:tcW w:w="9017" w:type="dxa"/>
            <w:gridSpan w:val="5"/>
            <w:vAlign w:val="center"/>
          </w:tcPr>
          <w:p w14:paraId="233DE1AE" w14:textId="77777777" w:rsidR="00861436" w:rsidRPr="00CF721B" w:rsidRDefault="00861436" w:rsidP="0077002B">
            <w:pPr>
              <w:pStyle w:val="COMTableheadingrow"/>
              <w:keepLines/>
              <w:rPr>
                <w:lang w:val="en-AU"/>
              </w:rPr>
            </w:pPr>
            <w:r w:rsidRPr="00CF721B">
              <w:rPr>
                <w:lang w:val="en-AU"/>
              </w:rPr>
              <w:t>Mortality multipliers</w:t>
            </w:r>
            <w:r w:rsidRPr="00CF721B">
              <w:t xml:space="preserve"> (base case severe osteoporosis: 1.41; 0-5 years after a fracture: 2.21)</w:t>
            </w:r>
          </w:p>
        </w:tc>
      </w:tr>
      <w:tr w:rsidR="00861436" w14:paraId="6ECBE948" w14:textId="77777777" w:rsidTr="009E0870">
        <w:tc>
          <w:tcPr>
            <w:tcW w:w="3919" w:type="dxa"/>
            <w:vAlign w:val="center"/>
          </w:tcPr>
          <w:p w14:paraId="78C30A03" w14:textId="77777777" w:rsidR="00861436" w:rsidRPr="00CF721B" w:rsidRDefault="00861436" w:rsidP="0077002B">
            <w:pPr>
              <w:pStyle w:val="COMTableheadingrow"/>
              <w:keepLines/>
              <w:rPr>
                <w:b w:val="0"/>
                <w:bCs/>
                <w:lang w:val="en-AU"/>
              </w:rPr>
            </w:pPr>
            <w:r w:rsidRPr="00CF721B">
              <w:rPr>
                <w:b w:val="0"/>
                <w:bCs/>
              </w:rPr>
              <w:t>No multipliers (i.e. no survival benefit with romosozumab)</w:t>
            </w:r>
          </w:p>
        </w:tc>
        <w:tc>
          <w:tcPr>
            <w:tcW w:w="1243" w:type="dxa"/>
            <w:tcBorders>
              <w:top w:val="single" w:sz="4" w:space="0" w:color="auto"/>
              <w:left w:val="nil"/>
              <w:bottom w:val="single" w:sz="4" w:space="0" w:color="auto"/>
              <w:right w:val="single" w:sz="4" w:space="0" w:color="auto"/>
            </w:tcBorders>
            <w:shd w:val="solid" w:color="000000" w:fill="000000"/>
            <w:vAlign w:val="center"/>
          </w:tcPr>
          <w:p w14:paraId="6D641524" w14:textId="595A21BD" w:rsidR="00861436" w:rsidRPr="009E0870" w:rsidRDefault="009E0870" w:rsidP="0077002B">
            <w:pPr>
              <w:pStyle w:val="COMTableheadingrow"/>
              <w:keepLines/>
              <w:jc w:val="center"/>
              <w:rPr>
                <w:b w:val="0"/>
                <w:bCs/>
                <w:lang w:val="en-AU"/>
              </w:rPr>
            </w:pPr>
            <w:r w:rsidRPr="009E0870">
              <w:rPr>
                <w:rFonts w:cs="Calibri"/>
                <w:b w:val="0"/>
                <w:bCs/>
                <w:color w:val="000000"/>
                <w:spacing w:val="46"/>
                <w:szCs w:val="20"/>
                <w:fitText w:val="310" w:id="-1232957424"/>
                <w14:textFill>
                  <w14:solidFill>
                    <w14:srgbClr w14:val="000000">
                      <w14:alpha w14:val="100000"/>
                    </w14:srgbClr>
                  </w14:solidFill>
                </w14:textFill>
              </w:rPr>
              <w:t>|||</w:t>
            </w:r>
            <w:r w:rsidRPr="009E0870">
              <w:rPr>
                <w:rFonts w:cs="Calibri"/>
                <w:b w:val="0"/>
                <w:bCs/>
                <w:color w:val="000000"/>
                <w:spacing w:val="2"/>
                <w:szCs w:val="20"/>
                <w:fitText w:val="310" w:id="-1232957424"/>
                <w14:textFill>
                  <w14:solidFill>
                    <w14:srgbClr w14:val="000000">
                      <w14:alpha w14:val="100000"/>
                    </w14:srgbClr>
                  </w14:solidFill>
                </w14:textFill>
              </w:rPr>
              <w:t>|</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38BF041"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0.0249</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A8CAFED" w14:textId="6117EDFE" w:rsidR="00861436" w:rsidRPr="002E1153" w:rsidRDefault="009E0870" w:rsidP="0077002B">
            <w:pPr>
              <w:pStyle w:val="COMTableheadingrow"/>
              <w:keepLines/>
              <w:jc w:val="center"/>
              <w:rPr>
                <w:b w:val="0"/>
                <w:bCs/>
                <w:highlight w:val="darkGray"/>
                <w:lang w:val="en-AU"/>
              </w:rPr>
            </w:pPr>
            <w:r w:rsidRPr="009E0870">
              <w:rPr>
                <w:rFonts w:cs="Calibri"/>
                <w:b w:val="0"/>
                <w:bCs/>
                <w:color w:val="000000"/>
                <w:spacing w:val="55"/>
                <w:szCs w:val="20"/>
                <w:shd w:val="solid" w:color="000000" w:fill="000000"/>
                <w:fitText w:val="337" w:id="-1232957440"/>
                <w14:textFill>
                  <w14:solidFill>
                    <w14:srgbClr w14:val="000000">
                      <w14:alpha w14:val="100000"/>
                    </w14:srgbClr>
                  </w14:solidFill>
                </w14:textFill>
              </w:rPr>
              <w:t>|||</w:t>
            </w:r>
            <w:r w:rsidRPr="009E0870">
              <w:rPr>
                <w:rFonts w:cs="Calibri"/>
                <w:b w:val="0"/>
                <w:bCs/>
                <w:color w:val="000000"/>
                <w:spacing w:val="2"/>
                <w:szCs w:val="20"/>
                <w:shd w:val="solid" w:color="000000" w:fill="000000"/>
                <w:fitText w:val="337" w:id="-1232957440"/>
                <w14:textFill>
                  <w14:solidFill>
                    <w14:srgbClr w14:val="000000">
                      <w14:alpha w14:val="100000"/>
                    </w14:srgbClr>
                  </w14:solidFill>
                </w14:textFill>
              </w:rPr>
              <w:t>|</w:t>
            </w:r>
            <w:r w:rsidR="008B1B66">
              <w:rPr>
                <w:i/>
                <w:sz w:val="18"/>
                <w:szCs w:val="18"/>
                <w:vertAlign w:val="superscript"/>
              </w:rPr>
              <w:t>4</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2245E76C"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+31%</w:t>
            </w:r>
          </w:p>
        </w:tc>
      </w:tr>
      <w:tr w:rsidR="00861436" w14:paraId="7781E698" w14:textId="77777777" w:rsidTr="009E0870">
        <w:tc>
          <w:tcPr>
            <w:tcW w:w="3919" w:type="dxa"/>
            <w:vAlign w:val="center"/>
          </w:tcPr>
          <w:p w14:paraId="1FC16133" w14:textId="77777777" w:rsidR="00861436" w:rsidRPr="00CF721B" w:rsidRDefault="00861436" w:rsidP="0077002B">
            <w:pPr>
              <w:pStyle w:val="COMTableheadingrow"/>
              <w:keepLines/>
              <w:rPr>
                <w:b w:val="0"/>
                <w:bCs/>
                <w:lang w:val="en-AU"/>
              </w:rPr>
            </w:pPr>
            <w:r w:rsidRPr="00CF721B">
              <w:rPr>
                <w:b w:val="0"/>
                <w:bCs/>
              </w:rPr>
              <w:t>Lower multiplier for 0-5 years after a fracture: 1.81</w:t>
            </w:r>
          </w:p>
        </w:tc>
        <w:tc>
          <w:tcPr>
            <w:tcW w:w="1243" w:type="dxa"/>
            <w:tcBorders>
              <w:top w:val="single" w:sz="4" w:space="0" w:color="auto"/>
              <w:left w:val="nil"/>
              <w:bottom w:val="single" w:sz="4" w:space="0" w:color="auto"/>
              <w:right w:val="single" w:sz="4" w:space="0" w:color="auto"/>
            </w:tcBorders>
            <w:shd w:val="solid" w:color="000000" w:fill="000000"/>
            <w:vAlign w:val="center"/>
          </w:tcPr>
          <w:p w14:paraId="58BAA6AF" w14:textId="03E8A47C" w:rsidR="00861436" w:rsidRPr="009E0870" w:rsidRDefault="009E0870" w:rsidP="0077002B">
            <w:pPr>
              <w:pStyle w:val="COMTableheadingrow"/>
              <w:keepLines/>
              <w:jc w:val="center"/>
              <w:rPr>
                <w:b w:val="0"/>
                <w:bCs/>
                <w:lang w:val="en-AU"/>
              </w:rPr>
            </w:pPr>
            <w:r w:rsidRPr="009E0870">
              <w:rPr>
                <w:rFonts w:cs="Calibri"/>
                <w:b w:val="0"/>
                <w:bCs/>
                <w:color w:val="000000"/>
                <w:spacing w:val="46"/>
                <w:szCs w:val="20"/>
                <w:fitText w:val="310" w:id="-1232957439"/>
                <w14:textFill>
                  <w14:solidFill>
                    <w14:srgbClr w14:val="000000">
                      <w14:alpha w14:val="100000"/>
                    </w14:srgbClr>
                  </w14:solidFill>
                </w14:textFill>
              </w:rPr>
              <w:t>|||</w:t>
            </w:r>
            <w:r w:rsidRPr="009E0870">
              <w:rPr>
                <w:rFonts w:cs="Calibri"/>
                <w:b w:val="0"/>
                <w:bCs/>
                <w:color w:val="000000"/>
                <w:spacing w:val="2"/>
                <w:szCs w:val="20"/>
                <w:fitText w:val="310" w:id="-1232957439"/>
                <w14:textFill>
                  <w14:solidFill>
                    <w14:srgbClr w14:val="000000">
                      <w14:alpha w14:val="100000"/>
                    </w14:srgbClr>
                  </w14:solidFill>
                </w14:textFill>
              </w:rPr>
              <w:t>|</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B997A85"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0.0283</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9FDE5DC" w14:textId="1AFA4D8C" w:rsidR="00861436" w:rsidRPr="002E1153" w:rsidRDefault="009E0870" w:rsidP="0077002B">
            <w:pPr>
              <w:pStyle w:val="COMTableheadingrow"/>
              <w:keepLines/>
              <w:jc w:val="center"/>
              <w:rPr>
                <w:b w:val="0"/>
                <w:bCs/>
                <w:highlight w:val="darkGray"/>
                <w:lang w:val="en-AU"/>
              </w:rPr>
            </w:pPr>
            <w:r w:rsidRPr="009E0870">
              <w:rPr>
                <w:rFonts w:cs="Calibri"/>
                <w:b w:val="0"/>
                <w:bCs/>
                <w:color w:val="000000"/>
                <w:spacing w:val="55"/>
                <w:szCs w:val="20"/>
                <w:shd w:val="solid" w:color="000000" w:fill="000000"/>
                <w:fitText w:val="337" w:id="-1232957438"/>
                <w14:textFill>
                  <w14:solidFill>
                    <w14:srgbClr w14:val="000000">
                      <w14:alpha w14:val="100000"/>
                    </w14:srgbClr>
                  </w14:solidFill>
                </w14:textFill>
              </w:rPr>
              <w:t>|||</w:t>
            </w:r>
            <w:r w:rsidRPr="009E0870">
              <w:rPr>
                <w:rFonts w:cs="Calibri"/>
                <w:b w:val="0"/>
                <w:bCs/>
                <w:color w:val="000000"/>
                <w:spacing w:val="2"/>
                <w:szCs w:val="20"/>
                <w:shd w:val="solid" w:color="000000" w:fill="000000"/>
                <w:fitText w:val="337" w:id="-1232957438"/>
                <w14:textFill>
                  <w14:solidFill>
                    <w14:srgbClr w14:val="000000">
                      <w14:alpha w14:val="100000"/>
                    </w14:srgbClr>
                  </w14:solidFill>
                </w14:textFill>
              </w:rPr>
              <w:t>|</w:t>
            </w:r>
            <w:r w:rsidR="008B1B66">
              <w:rPr>
                <w:i/>
                <w:sz w:val="18"/>
                <w:szCs w:val="18"/>
                <w:vertAlign w:val="superscript"/>
              </w:rPr>
              <w:t>4</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3C67DC79"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+16%</w:t>
            </w:r>
          </w:p>
        </w:tc>
      </w:tr>
      <w:tr w:rsidR="00861436" w14:paraId="1BC289F3" w14:textId="77777777" w:rsidTr="0077002B">
        <w:tc>
          <w:tcPr>
            <w:tcW w:w="9017" w:type="dxa"/>
            <w:gridSpan w:val="5"/>
            <w:vAlign w:val="center"/>
          </w:tcPr>
          <w:p w14:paraId="4D7850DA" w14:textId="77777777" w:rsidR="00861436" w:rsidRPr="00CF721B" w:rsidRDefault="00861436" w:rsidP="0077002B">
            <w:pPr>
              <w:pStyle w:val="COMTableheadingrow"/>
              <w:keepLines/>
              <w:rPr>
                <w:lang w:val="en-AU"/>
              </w:rPr>
            </w:pPr>
            <w:r w:rsidRPr="00CF721B">
              <w:t>Magnitude of treatment effect (base case hazard ratios for hip 0.62, vertebral 0.41 and other 0.92)</w:t>
            </w:r>
          </w:p>
        </w:tc>
      </w:tr>
      <w:tr w:rsidR="00861436" w14:paraId="6C98CF43" w14:textId="77777777" w:rsidTr="009E0870">
        <w:tc>
          <w:tcPr>
            <w:tcW w:w="3919" w:type="dxa"/>
            <w:vAlign w:val="center"/>
          </w:tcPr>
          <w:p w14:paraId="1132DF16" w14:textId="62623225" w:rsidR="00861436" w:rsidRPr="00CF721B" w:rsidRDefault="00861436" w:rsidP="0077002B">
            <w:pPr>
              <w:pStyle w:val="COMTableheadingrow"/>
              <w:keepLines/>
              <w:rPr>
                <w:b w:val="0"/>
                <w:bCs/>
                <w:vertAlign w:val="superscript"/>
                <w:lang w:val="en-AU"/>
              </w:rPr>
            </w:pPr>
            <w:r w:rsidRPr="00CF721B">
              <w:rPr>
                <w:b w:val="0"/>
                <w:bCs/>
              </w:rPr>
              <w:t>No impact on hip fracture (HR: 1.00)</w:t>
            </w:r>
            <w:r w:rsidR="00EE2B4C" w:rsidRPr="00CF721B">
              <w:rPr>
                <w:b w:val="0"/>
                <w:bCs/>
              </w:rPr>
              <w:t xml:space="preserve"> </w:t>
            </w:r>
            <w:r w:rsidR="00EE2B4C" w:rsidRPr="00CF721B">
              <w:rPr>
                <w:b w:val="0"/>
                <w:bCs/>
                <w:vertAlign w:val="superscript"/>
              </w:rPr>
              <w:t>a</w:t>
            </w:r>
          </w:p>
        </w:tc>
        <w:tc>
          <w:tcPr>
            <w:tcW w:w="1243" w:type="dxa"/>
            <w:tcBorders>
              <w:top w:val="single" w:sz="4" w:space="0" w:color="auto"/>
              <w:left w:val="nil"/>
              <w:bottom w:val="single" w:sz="4" w:space="0" w:color="auto"/>
              <w:right w:val="single" w:sz="4" w:space="0" w:color="auto"/>
            </w:tcBorders>
            <w:shd w:val="solid" w:color="000000" w:fill="000000"/>
            <w:vAlign w:val="center"/>
          </w:tcPr>
          <w:p w14:paraId="67A4FE1F" w14:textId="5640EC97" w:rsidR="00861436" w:rsidRPr="009E0870" w:rsidRDefault="009E0870" w:rsidP="0077002B">
            <w:pPr>
              <w:pStyle w:val="COMTableheadingrow"/>
              <w:keepLines/>
              <w:jc w:val="center"/>
              <w:rPr>
                <w:b w:val="0"/>
                <w:bCs/>
                <w:lang w:val="en-AU"/>
              </w:rPr>
            </w:pPr>
            <w:r w:rsidRPr="009E0870">
              <w:rPr>
                <w:rFonts w:cs="Calibri"/>
                <w:b w:val="0"/>
                <w:bCs/>
                <w:color w:val="000000"/>
                <w:spacing w:val="46"/>
                <w:szCs w:val="20"/>
                <w:fitText w:val="310" w:id="-1232957437"/>
                <w14:textFill>
                  <w14:solidFill>
                    <w14:srgbClr w14:val="000000">
                      <w14:alpha w14:val="100000"/>
                    </w14:srgbClr>
                  </w14:solidFill>
                </w14:textFill>
              </w:rPr>
              <w:t>|||</w:t>
            </w:r>
            <w:r w:rsidRPr="009E0870">
              <w:rPr>
                <w:rFonts w:cs="Calibri"/>
                <w:b w:val="0"/>
                <w:bCs/>
                <w:color w:val="000000"/>
                <w:spacing w:val="2"/>
                <w:szCs w:val="20"/>
                <w:fitText w:val="310" w:id="-1232957437"/>
                <w14:textFill>
                  <w14:solidFill>
                    <w14:srgbClr w14:val="000000">
                      <w14:alpha w14:val="100000"/>
                    </w14:srgbClr>
                  </w14:solidFill>
                </w14:textFill>
              </w:rPr>
              <w:t>|</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FB5CEC4"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0.0170</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CCA176F" w14:textId="45393BA0" w:rsidR="00861436" w:rsidRPr="002E1153" w:rsidRDefault="009E0870" w:rsidP="0077002B">
            <w:pPr>
              <w:pStyle w:val="COMTableheadingrow"/>
              <w:keepLines/>
              <w:jc w:val="center"/>
              <w:rPr>
                <w:b w:val="0"/>
                <w:bCs/>
                <w:highlight w:val="darkGray"/>
                <w:lang w:val="en-AU"/>
              </w:rPr>
            </w:pPr>
            <w:r w:rsidRPr="009E0870">
              <w:rPr>
                <w:rFonts w:cs="Calibri"/>
                <w:b w:val="0"/>
                <w:bCs/>
                <w:color w:val="000000"/>
                <w:spacing w:val="55"/>
                <w:szCs w:val="20"/>
                <w:shd w:val="solid" w:color="000000" w:fill="000000"/>
                <w:fitText w:val="337" w:id="-1232957436"/>
                <w14:textFill>
                  <w14:solidFill>
                    <w14:srgbClr w14:val="000000">
                      <w14:alpha w14:val="100000"/>
                    </w14:srgbClr>
                  </w14:solidFill>
                </w14:textFill>
              </w:rPr>
              <w:t>|||</w:t>
            </w:r>
            <w:r w:rsidRPr="009E0870">
              <w:rPr>
                <w:rFonts w:cs="Calibri"/>
                <w:b w:val="0"/>
                <w:bCs/>
                <w:color w:val="000000"/>
                <w:spacing w:val="2"/>
                <w:szCs w:val="20"/>
                <w:shd w:val="solid" w:color="000000" w:fill="000000"/>
                <w:fitText w:val="337" w:id="-1232957436"/>
                <w14:textFill>
                  <w14:solidFill>
                    <w14:srgbClr w14:val="000000">
                      <w14:alpha w14:val="100000"/>
                    </w14:srgbClr>
                  </w14:solidFill>
                </w14:textFill>
              </w:rPr>
              <w:t>|</w:t>
            </w:r>
            <w:r w:rsidR="0031484A">
              <w:rPr>
                <w:i/>
                <w:szCs w:val="18"/>
                <w:vertAlign w:val="superscript"/>
              </w:rPr>
              <w:t>8</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2FF1DC2F"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+166%</w:t>
            </w:r>
          </w:p>
        </w:tc>
      </w:tr>
      <w:tr w:rsidR="00861436" w14:paraId="5E470BB3" w14:textId="77777777" w:rsidTr="009E0870">
        <w:tc>
          <w:tcPr>
            <w:tcW w:w="3919" w:type="dxa"/>
            <w:vAlign w:val="center"/>
          </w:tcPr>
          <w:p w14:paraId="3D543586" w14:textId="77777777" w:rsidR="00861436" w:rsidRPr="00CF721B" w:rsidRDefault="00861436" w:rsidP="0077002B">
            <w:pPr>
              <w:pStyle w:val="COMTableheadingrow"/>
              <w:keepLines/>
              <w:rPr>
                <w:b w:val="0"/>
                <w:bCs/>
                <w:lang w:val="en-AU"/>
              </w:rPr>
            </w:pPr>
            <w:r w:rsidRPr="00CF721B">
              <w:rPr>
                <w:b w:val="0"/>
                <w:bCs/>
              </w:rPr>
              <w:t>Smaller hip fracture risk reduction (HR: 0.92)</w:t>
            </w:r>
          </w:p>
        </w:tc>
        <w:tc>
          <w:tcPr>
            <w:tcW w:w="1243" w:type="dxa"/>
            <w:tcBorders>
              <w:top w:val="single" w:sz="4" w:space="0" w:color="auto"/>
              <w:left w:val="nil"/>
              <w:bottom w:val="single" w:sz="4" w:space="0" w:color="auto"/>
              <w:right w:val="single" w:sz="4" w:space="0" w:color="auto"/>
            </w:tcBorders>
            <w:shd w:val="solid" w:color="000000" w:fill="000000"/>
            <w:vAlign w:val="center"/>
          </w:tcPr>
          <w:p w14:paraId="62963D01" w14:textId="5F0D6390" w:rsidR="00861436" w:rsidRPr="009E0870" w:rsidRDefault="009E0870" w:rsidP="0077002B">
            <w:pPr>
              <w:pStyle w:val="COMTableheadingrow"/>
              <w:keepLines/>
              <w:jc w:val="center"/>
              <w:rPr>
                <w:b w:val="0"/>
                <w:bCs/>
                <w:lang w:val="en-AU"/>
              </w:rPr>
            </w:pPr>
            <w:r w:rsidRPr="009E0870">
              <w:rPr>
                <w:rFonts w:cs="Calibri"/>
                <w:b w:val="0"/>
                <w:bCs/>
                <w:color w:val="000000"/>
                <w:spacing w:val="46"/>
                <w:szCs w:val="20"/>
                <w:fitText w:val="310" w:id="-1232957435"/>
                <w14:textFill>
                  <w14:solidFill>
                    <w14:srgbClr w14:val="000000">
                      <w14:alpha w14:val="100000"/>
                    </w14:srgbClr>
                  </w14:solidFill>
                </w14:textFill>
              </w:rPr>
              <w:t>|||</w:t>
            </w:r>
            <w:r w:rsidRPr="009E0870">
              <w:rPr>
                <w:rFonts w:cs="Calibri"/>
                <w:b w:val="0"/>
                <w:bCs/>
                <w:color w:val="000000"/>
                <w:spacing w:val="2"/>
                <w:szCs w:val="20"/>
                <w:fitText w:val="310" w:id="-1232957435"/>
                <w14:textFill>
                  <w14:solidFill>
                    <w14:srgbClr w14:val="000000">
                      <w14:alpha w14:val="100000"/>
                    </w14:srgbClr>
                  </w14:solidFill>
                </w14:textFill>
              </w:rPr>
              <w:t>|</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8AF3BB6"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0.0204</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592819F" w14:textId="76EA900C" w:rsidR="00861436" w:rsidRPr="002E1153" w:rsidRDefault="009E0870" w:rsidP="0077002B">
            <w:pPr>
              <w:pStyle w:val="COMTableheadingrow"/>
              <w:keepLines/>
              <w:jc w:val="center"/>
              <w:rPr>
                <w:b w:val="0"/>
                <w:bCs/>
                <w:highlight w:val="darkGray"/>
                <w:lang w:val="en-AU"/>
              </w:rPr>
            </w:pPr>
            <w:r w:rsidRPr="009E0870">
              <w:rPr>
                <w:rFonts w:cs="Calibri"/>
                <w:b w:val="0"/>
                <w:bCs/>
                <w:color w:val="000000"/>
                <w:spacing w:val="55"/>
                <w:szCs w:val="20"/>
                <w:shd w:val="solid" w:color="000000" w:fill="000000"/>
                <w:fitText w:val="337" w:id="-1232957434"/>
                <w14:textFill>
                  <w14:solidFill>
                    <w14:srgbClr w14:val="000000">
                      <w14:alpha w14:val="100000"/>
                    </w14:srgbClr>
                  </w14:solidFill>
                </w14:textFill>
              </w:rPr>
              <w:t>|||</w:t>
            </w:r>
            <w:r w:rsidRPr="009E0870">
              <w:rPr>
                <w:rFonts w:cs="Calibri"/>
                <w:b w:val="0"/>
                <w:bCs/>
                <w:color w:val="000000"/>
                <w:spacing w:val="2"/>
                <w:szCs w:val="20"/>
                <w:shd w:val="solid" w:color="000000" w:fill="000000"/>
                <w:fitText w:val="337" w:id="-1232957434"/>
                <w14:textFill>
                  <w14:solidFill>
                    <w14:srgbClr w14:val="000000">
                      <w14:alpha w14:val="100000"/>
                    </w14:srgbClr>
                  </w14:solidFill>
                </w14:textFill>
              </w:rPr>
              <w:t>|</w:t>
            </w:r>
            <w:r w:rsidR="0031484A">
              <w:rPr>
                <w:i/>
                <w:szCs w:val="18"/>
                <w:vertAlign w:val="superscript"/>
              </w:rPr>
              <w:t>6</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508375B2"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+110%</w:t>
            </w:r>
          </w:p>
        </w:tc>
      </w:tr>
      <w:tr w:rsidR="00861436" w14:paraId="356A9C7E" w14:textId="77777777" w:rsidTr="009E0870">
        <w:tc>
          <w:tcPr>
            <w:tcW w:w="3919" w:type="dxa"/>
            <w:vAlign w:val="center"/>
          </w:tcPr>
          <w:p w14:paraId="6698AA4A" w14:textId="77777777" w:rsidR="00861436" w:rsidRPr="00CF721B" w:rsidRDefault="00861436" w:rsidP="0077002B">
            <w:pPr>
              <w:pStyle w:val="COMTableheadingrow"/>
              <w:keepLines/>
              <w:rPr>
                <w:b w:val="0"/>
                <w:bCs/>
                <w:lang w:val="en-AU"/>
              </w:rPr>
            </w:pPr>
            <w:r w:rsidRPr="00CF721B">
              <w:rPr>
                <w:b w:val="0"/>
                <w:bCs/>
              </w:rPr>
              <w:t>Larger hip fracture risk reduction (HR: 0.42)</w:t>
            </w:r>
          </w:p>
        </w:tc>
        <w:tc>
          <w:tcPr>
            <w:tcW w:w="1243" w:type="dxa"/>
            <w:tcBorders>
              <w:top w:val="single" w:sz="4" w:space="0" w:color="auto"/>
              <w:left w:val="nil"/>
              <w:bottom w:val="single" w:sz="4" w:space="0" w:color="auto"/>
              <w:right w:val="single" w:sz="4" w:space="0" w:color="auto"/>
            </w:tcBorders>
            <w:shd w:val="solid" w:color="000000" w:fill="000000"/>
            <w:vAlign w:val="center"/>
          </w:tcPr>
          <w:p w14:paraId="09C9D80A" w14:textId="0A9BCCBF" w:rsidR="00861436" w:rsidRPr="009E0870" w:rsidRDefault="009E0870" w:rsidP="0077002B">
            <w:pPr>
              <w:pStyle w:val="COMTableheadingrow"/>
              <w:keepLines/>
              <w:jc w:val="center"/>
              <w:rPr>
                <w:b w:val="0"/>
                <w:bCs/>
                <w:lang w:val="en-AU"/>
              </w:rPr>
            </w:pPr>
            <w:r w:rsidRPr="009E0870">
              <w:rPr>
                <w:rFonts w:cs="Calibri"/>
                <w:b w:val="0"/>
                <w:bCs/>
                <w:color w:val="000000"/>
                <w:spacing w:val="46"/>
                <w:szCs w:val="20"/>
                <w:fitText w:val="310" w:id="-1232957433"/>
                <w14:textFill>
                  <w14:solidFill>
                    <w14:srgbClr w14:val="000000">
                      <w14:alpha w14:val="100000"/>
                    </w14:srgbClr>
                  </w14:solidFill>
                </w14:textFill>
              </w:rPr>
              <w:t>|||</w:t>
            </w:r>
            <w:r w:rsidRPr="009E0870">
              <w:rPr>
                <w:rFonts w:cs="Calibri"/>
                <w:b w:val="0"/>
                <w:bCs/>
                <w:color w:val="000000"/>
                <w:spacing w:val="2"/>
                <w:szCs w:val="20"/>
                <w:fitText w:val="310" w:id="-1232957433"/>
                <w14:textFill>
                  <w14:solidFill>
                    <w14:srgbClr w14:val="000000">
                      <w14:alpha w14:val="100000"/>
                    </w14:srgbClr>
                  </w14:solidFill>
                </w14:textFill>
              </w:rPr>
              <w:t>|</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F71B47A"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0.0415</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82572AD" w14:textId="1852375E" w:rsidR="00861436" w:rsidRPr="002E1153" w:rsidRDefault="009E0870" w:rsidP="0077002B">
            <w:pPr>
              <w:pStyle w:val="COMTableheadingrow"/>
              <w:keepLines/>
              <w:jc w:val="center"/>
              <w:rPr>
                <w:b w:val="0"/>
                <w:bCs/>
                <w:highlight w:val="darkGray"/>
                <w:lang w:val="en-AU"/>
              </w:rPr>
            </w:pPr>
            <w:r w:rsidRPr="009E0870">
              <w:rPr>
                <w:rFonts w:cs="Calibri"/>
                <w:b w:val="0"/>
                <w:bCs/>
                <w:color w:val="000000"/>
                <w:spacing w:val="55"/>
                <w:szCs w:val="20"/>
                <w:shd w:val="solid" w:color="000000" w:fill="000000"/>
                <w:fitText w:val="337" w:id="-1232957432"/>
                <w14:textFill>
                  <w14:solidFill>
                    <w14:srgbClr w14:val="000000">
                      <w14:alpha w14:val="100000"/>
                    </w14:srgbClr>
                  </w14:solidFill>
                </w14:textFill>
              </w:rPr>
              <w:t>|||</w:t>
            </w:r>
            <w:r w:rsidRPr="009E0870">
              <w:rPr>
                <w:rFonts w:cs="Calibri"/>
                <w:b w:val="0"/>
                <w:bCs/>
                <w:color w:val="000000"/>
                <w:spacing w:val="2"/>
                <w:szCs w:val="20"/>
                <w:shd w:val="solid" w:color="000000" w:fill="000000"/>
                <w:fitText w:val="337" w:id="-1232957432"/>
                <w14:textFill>
                  <w14:solidFill>
                    <w14:srgbClr w14:val="000000">
                      <w14:alpha w14:val="100000"/>
                    </w14:srgbClr>
                  </w14:solidFill>
                </w14:textFill>
              </w:rPr>
              <w:t>|</w:t>
            </w:r>
            <w:r w:rsidR="00DE7AA3">
              <w:rPr>
                <w:i/>
                <w:sz w:val="18"/>
                <w:szCs w:val="18"/>
                <w:vertAlign w:val="superscript"/>
              </w:rPr>
              <w:t>2</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7FAD4630"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-35%</w:t>
            </w:r>
          </w:p>
        </w:tc>
      </w:tr>
      <w:tr w:rsidR="00861436" w14:paraId="3C249BAE" w14:textId="77777777" w:rsidTr="009E0870">
        <w:tc>
          <w:tcPr>
            <w:tcW w:w="3919" w:type="dxa"/>
            <w:vAlign w:val="center"/>
          </w:tcPr>
          <w:p w14:paraId="56026DC1" w14:textId="77777777" w:rsidR="00861436" w:rsidRPr="00CF721B" w:rsidRDefault="00861436" w:rsidP="0077002B">
            <w:pPr>
              <w:pStyle w:val="COMTableheadingrow"/>
              <w:keepLines/>
              <w:rPr>
                <w:b w:val="0"/>
                <w:bCs/>
                <w:lang w:val="en-AU"/>
              </w:rPr>
            </w:pPr>
            <w:r w:rsidRPr="00CF721B">
              <w:rPr>
                <w:b w:val="0"/>
                <w:bCs/>
              </w:rPr>
              <w:t>Smaller vertebral fracture risk reduction (HR: 0.71)</w:t>
            </w:r>
          </w:p>
        </w:tc>
        <w:tc>
          <w:tcPr>
            <w:tcW w:w="1243" w:type="dxa"/>
            <w:tcBorders>
              <w:top w:val="single" w:sz="4" w:space="0" w:color="auto"/>
              <w:left w:val="nil"/>
              <w:bottom w:val="single" w:sz="4" w:space="0" w:color="auto"/>
              <w:right w:val="single" w:sz="4" w:space="0" w:color="auto"/>
            </w:tcBorders>
            <w:shd w:val="solid" w:color="000000" w:fill="000000"/>
            <w:vAlign w:val="center"/>
          </w:tcPr>
          <w:p w14:paraId="3639791A" w14:textId="4A6B59B0" w:rsidR="00861436" w:rsidRPr="009E0870" w:rsidRDefault="009E0870" w:rsidP="0077002B">
            <w:pPr>
              <w:pStyle w:val="COMTableheadingrow"/>
              <w:keepLines/>
              <w:jc w:val="center"/>
              <w:rPr>
                <w:b w:val="0"/>
                <w:bCs/>
                <w:lang w:val="en-AU"/>
              </w:rPr>
            </w:pPr>
            <w:r w:rsidRPr="009E0870">
              <w:rPr>
                <w:rFonts w:cs="Calibri"/>
                <w:b w:val="0"/>
                <w:bCs/>
                <w:color w:val="000000"/>
                <w:spacing w:val="46"/>
                <w:szCs w:val="20"/>
                <w:fitText w:val="310" w:id="-1232957431"/>
                <w14:textFill>
                  <w14:solidFill>
                    <w14:srgbClr w14:val="000000">
                      <w14:alpha w14:val="100000"/>
                    </w14:srgbClr>
                  </w14:solidFill>
                </w14:textFill>
              </w:rPr>
              <w:t>|||</w:t>
            </w:r>
            <w:r w:rsidRPr="009E0870">
              <w:rPr>
                <w:rFonts w:cs="Calibri"/>
                <w:b w:val="0"/>
                <w:bCs/>
                <w:color w:val="000000"/>
                <w:spacing w:val="2"/>
                <w:szCs w:val="20"/>
                <w:fitText w:val="310" w:id="-1232957431"/>
                <w14:textFill>
                  <w14:solidFill>
                    <w14:srgbClr w14:val="000000">
                      <w14:alpha w14:val="100000"/>
                    </w14:srgbClr>
                  </w14:solidFill>
                </w14:textFill>
              </w:rPr>
              <w:t>|</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5E7BB2D"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0.0230</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6049A4B" w14:textId="74A90F7C" w:rsidR="00861436" w:rsidRPr="002E1153" w:rsidRDefault="009E0870" w:rsidP="0077002B">
            <w:pPr>
              <w:pStyle w:val="COMTableheadingrow"/>
              <w:keepLines/>
              <w:jc w:val="center"/>
              <w:rPr>
                <w:b w:val="0"/>
                <w:bCs/>
                <w:highlight w:val="darkGray"/>
                <w:lang w:val="en-AU"/>
              </w:rPr>
            </w:pPr>
            <w:r w:rsidRPr="009E0870">
              <w:rPr>
                <w:rFonts w:cs="Calibri"/>
                <w:b w:val="0"/>
                <w:bCs/>
                <w:color w:val="000000"/>
                <w:spacing w:val="55"/>
                <w:szCs w:val="20"/>
                <w:shd w:val="solid" w:color="000000" w:fill="000000"/>
                <w:fitText w:val="337" w:id="-1232957430"/>
                <w14:textFill>
                  <w14:solidFill>
                    <w14:srgbClr w14:val="000000">
                      <w14:alpha w14:val="100000"/>
                    </w14:srgbClr>
                  </w14:solidFill>
                </w14:textFill>
              </w:rPr>
              <w:t>|||</w:t>
            </w:r>
            <w:r w:rsidRPr="009E0870">
              <w:rPr>
                <w:rFonts w:cs="Calibri"/>
                <w:b w:val="0"/>
                <w:bCs/>
                <w:color w:val="000000"/>
                <w:spacing w:val="2"/>
                <w:szCs w:val="20"/>
                <w:shd w:val="solid" w:color="000000" w:fill="000000"/>
                <w:fitText w:val="337" w:id="-1232957430"/>
                <w14:textFill>
                  <w14:solidFill>
                    <w14:srgbClr w14:val="000000">
                      <w14:alpha w14:val="100000"/>
                    </w14:srgbClr>
                  </w14:solidFill>
                </w14:textFill>
              </w:rPr>
              <w:t>|</w:t>
            </w:r>
            <w:r w:rsidR="008B1B66">
              <w:rPr>
                <w:i/>
                <w:sz w:val="18"/>
                <w:szCs w:val="18"/>
                <w:vertAlign w:val="superscript"/>
              </w:rPr>
              <w:t>4</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69A00D21"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+53%</w:t>
            </w:r>
          </w:p>
        </w:tc>
      </w:tr>
      <w:tr w:rsidR="00861436" w14:paraId="4D2D300F" w14:textId="77777777" w:rsidTr="009E0870">
        <w:tc>
          <w:tcPr>
            <w:tcW w:w="3919" w:type="dxa"/>
            <w:vAlign w:val="center"/>
          </w:tcPr>
          <w:p w14:paraId="6375433E" w14:textId="77777777" w:rsidR="00861436" w:rsidRPr="00CF721B" w:rsidRDefault="00861436" w:rsidP="0077002B">
            <w:pPr>
              <w:pStyle w:val="COMTableheadingrow"/>
              <w:keepLines/>
              <w:rPr>
                <w:b w:val="0"/>
                <w:bCs/>
              </w:rPr>
            </w:pPr>
            <w:r w:rsidRPr="00CF721B">
              <w:rPr>
                <w:b w:val="0"/>
                <w:bCs/>
              </w:rPr>
              <w:t>Larger vertebral fracture risk reduction (HR: 0.24)</w:t>
            </w:r>
          </w:p>
        </w:tc>
        <w:tc>
          <w:tcPr>
            <w:tcW w:w="1243" w:type="dxa"/>
            <w:tcBorders>
              <w:top w:val="single" w:sz="4" w:space="0" w:color="auto"/>
              <w:left w:val="nil"/>
              <w:bottom w:val="single" w:sz="4" w:space="0" w:color="auto"/>
              <w:right w:val="single" w:sz="4" w:space="0" w:color="auto"/>
            </w:tcBorders>
            <w:shd w:val="solid" w:color="000000" w:fill="000000"/>
            <w:vAlign w:val="center"/>
          </w:tcPr>
          <w:p w14:paraId="24A183FB" w14:textId="60D546C6" w:rsidR="00861436" w:rsidRPr="009E0870" w:rsidRDefault="009E0870" w:rsidP="0077002B">
            <w:pPr>
              <w:pStyle w:val="COMTableheadingrow"/>
              <w:keepLines/>
              <w:jc w:val="center"/>
              <w:rPr>
                <w:b w:val="0"/>
                <w:bCs/>
                <w:lang w:val="en-AU"/>
              </w:rPr>
            </w:pPr>
            <w:r w:rsidRPr="009E0870">
              <w:rPr>
                <w:rFonts w:cs="Calibri"/>
                <w:b w:val="0"/>
                <w:bCs/>
                <w:color w:val="000000"/>
                <w:spacing w:val="46"/>
                <w:szCs w:val="20"/>
                <w:fitText w:val="310" w:id="-1232957429"/>
                <w14:textFill>
                  <w14:solidFill>
                    <w14:srgbClr w14:val="000000">
                      <w14:alpha w14:val="100000"/>
                    </w14:srgbClr>
                  </w14:solidFill>
                </w14:textFill>
              </w:rPr>
              <w:t>|||</w:t>
            </w:r>
            <w:r w:rsidRPr="009E0870">
              <w:rPr>
                <w:rFonts w:cs="Calibri"/>
                <w:b w:val="0"/>
                <w:bCs/>
                <w:color w:val="000000"/>
                <w:spacing w:val="2"/>
                <w:szCs w:val="20"/>
                <w:fitText w:val="310" w:id="-1232957429"/>
                <w14:textFill>
                  <w14:solidFill>
                    <w14:srgbClr w14:val="000000">
                      <w14:alpha w14:val="100000"/>
                    </w14:srgbClr>
                  </w14:solidFill>
                </w14:textFill>
              </w:rPr>
              <w:t>|</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3510195"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0.0387</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5B6A352" w14:textId="3607BAC5" w:rsidR="00861436" w:rsidRPr="002E1153" w:rsidRDefault="009E0870" w:rsidP="0077002B">
            <w:pPr>
              <w:pStyle w:val="COMTableheadingrow"/>
              <w:keepLines/>
              <w:jc w:val="center"/>
              <w:rPr>
                <w:b w:val="0"/>
                <w:bCs/>
                <w:highlight w:val="darkGray"/>
                <w:lang w:val="en-AU"/>
              </w:rPr>
            </w:pPr>
            <w:r w:rsidRPr="009E0870">
              <w:rPr>
                <w:rFonts w:cs="Calibri"/>
                <w:b w:val="0"/>
                <w:bCs/>
                <w:color w:val="000000"/>
                <w:spacing w:val="55"/>
                <w:szCs w:val="20"/>
                <w:shd w:val="solid" w:color="000000" w:fill="000000"/>
                <w:fitText w:val="337" w:id="-1232957428"/>
                <w14:textFill>
                  <w14:solidFill>
                    <w14:srgbClr w14:val="000000">
                      <w14:alpha w14:val="100000"/>
                    </w14:srgbClr>
                  </w14:solidFill>
                </w14:textFill>
              </w:rPr>
              <w:t>|||</w:t>
            </w:r>
            <w:r w:rsidRPr="009E0870">
              <w:rPr>
                <w:rFonts w:cs="Calibri"/>
                <w:b w:val="0"/>
                <w:bCs/>
                <w:color w:val="000000"/>
                <w:spacing w:val="2"/>
                <w:szCs w:val="20"/>
                <w:shd w:val="solid" w:color="000000" w:fill="000000"/>
                <w:fitText w:val="337" w:id="-1232957428"/>
                <w14:textFill>
                  <w14:solidFill>
                    <w14:srgbClr w14:val="000000">
                      <w14:alpha w14:val="100000"/>
                    </w14:srgbClr>
                  </w14:solidFill>
                </w14:textFill>
              </w:rPr>
              <w:t>|</w:t>
            </w:r>
            <w:r w:rsidR="00DE7AA3">
              <w:rPr>
                <w:i/>
                <w:sz w:val="18"/>
                <w:szCs w:val="18"/>
                <w:vertAlign w:val="superscript"/>
              </w:rPr>
              <w:t>3</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3AA453BC"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-18%</w:t>
            </w:r>
          </w:p>
        </w:tc>
      </w:tr>
      <w:tr w:rsidR="00861436" w14:paraId="6F8A7072" w14:textId="77777777" w:rsidTr="009E0870">
        <w:tc>
          <w:tcPr>
            <w:tcW w:w="3919" w:type="dxa"/>
            <w:vAlign w:val="center"/>
          </w:tcPr>
          <w:p w14:paraId="59998457" w14:textId="77777777" w:rsidR="00861436" w:rsidRPr="00CF721B" w:rsidRDefault="00861436" w:rsidP="0077002B">
            <w:pPr>
              <w:pStyle w:val="COMTableheadingrow"/>
              <w:keepLines/>
              <w:rPr>
                <w:b w:val="0"/>
                <w:bCs/>
              </w:rPr>
            </w:pPr>
            <w:r w:rsidRPr="00CF721B">
              <w:rPr>
                <w:b w:val="0"/>
                <w:bCs/>
              </w:rPr>
              <w:t>No impact on other fracture (HR: 1.00)</w:t>
            </w:r>
          </w:p>
        </w:tc>
        <w:tc>
          <w:tcPr>
            <w:tcW w:w="1243" w:type="dxa"/>
            <w:tcBorders>
              <w:top w:val="single" w:sz="4" w:space="0" w:color="auto"/>
              <w:left w:val="nil"/>
              <w:bottom w:val="single" w:sz="4" w:space="0" w:color="auto"/>
              <w:right w:val="single" w:sz="4" w:space="0" w:color="auto"/>
            </w:tcBorders>
            <w:shd w:val="solid" w:color="000000" w:fill="000000"/>
            <w:vAlign w:val="center"/>
          </w:tcPr>
          <w:p w14:paraId="7176F616" w14:textId="464186D6" w:rsidR="00861436" w:rsidRPr="009E0870" w:rsidRDefault="009E0870" w:rsidP="0077002B">
            <w:pPr>
              <w:pStyle w:val="COMTableheadingrow"/>
              <w:keepLines/>
              <w:jc w:val="center"/>
              <w:rPr>
                <w:b w:val="0"/>
                <w:bCs/>
                <w:lang w:val="en-AU"/>
              </w:rPr>
            </w:pPr>
            <w:r w:rsidRPr="009E0870">
              <w:rPr>
                <w:rFonts w:cs="Calibri"/>
                <w:b w:val="0"/>
                <w:bCs/>
                <w:color w:val="000000"/>
                <w:spacing w:val="46"/>
                <w:szCs w:val="20"/>
                <w:fitText w:val="310" w:id="-1232957427"/>
                <w14:textFill>
                  <w14:solidFill>
                    <w14:srgbClr w14:val="000000">
                      <w14:alpha w14:val="100000"/>
                    </w14:srgbClr>
                  </w14:solidFill>
                </w14:textFill>
              </w:rPr>
              <w:t>|||</w:t>
            </w:r>
            <w:r w:rsidRPr="009E0870">
              <w:rPr>
                <w:rFonts w:cs="Calibri"/>
                <w:b w:val="0"/>
                <w:bCs/>
                <w:color w:val="000000"/>
                <w:spacing w:val="2"/>
                <w:szCs w:val="20"/>
                <w:fitText w:val="310" w:id="-1232957427"/>
                <w14:textFill>
                  <w14:solidFill>
                    <w14:srgbClr w14:val="000000">
                      <w14:alpha w14:val="100000"/>
                    </w14:srgbClr>
                  </w14:solidFill>
                </w14:textFill>
              </w:rPr>
              <w:t>|</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BCBAD30"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0.0323</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FC00CBD" w14:textId="3E90332C" w:rsidR="00861436" w:rsidRPr="002E1153" w:rsidRDefault="009E0870" w:rsidP="0077002B">
            <w:pPr>
              <w:pStyle w:val="COMTableheadingrow"/>
              <w:keepLines/>
              <w:jc w:val="center"/>
              <w:rPr>
                <w:b w:val="0"/>
                <w:bCs/>
                <w:highlight w:val="darkGray"/>
                <w:lang w:val="en-AU"/>
              </w:rPr>
            </w:pPr>
            <w:r w:rsidRPr="009E0870">
              <w:rPr>
                <w:rFonts w:cs="Calibri"/>
                <w:b w:val="0"/>
                <w:bCs/>
                <w:color w:val="000000"/>
                <w:spacing w:val="55"/>
                <w:szCs w:val="20"/>
                <w:shd w:val="solid" w:color="000000" w:fill="000000"/>
                <w:fitText w:val="337" w:id="-1232957426"/>
                <w14:textFill>
                  <w14:solidFill>
                    <w14:srgbClr w14:val="000000">
                      <w14:alpha w14:val="100000"/>
                    </w14:srgbClr>
                  </w14:solidFill>
                </w14:textFill>
              </w:rPr>
              <w:t>|||</w:t>
            </w:r>
            <w:r w:rsidRPr="009E0870">
              <w:rPr>
                <w:rFonts w:cs="Calibri"/>
                <w:b w:val="0"/>
                <w:bCs/>
                <w:color w:val="000000"/>
                <w:spacing w:val="2"/>
                <w:szCs w:val="20"/>
                <w:shd w:val="solid" w:color="000000" w:fill="000000"/>
                <w:fitText w:val="337" w:id="-1232957426"/>
                <w14:textFill>
                  <w14:solidFill>
                    <w14:srgbClr w14:val="000000">
                      <w14:alpha w14:val="100000"/>
                    </w14:srgbClr>
                  </w14:solidFill>
                </w14:textFill>
              </w:rPr>
              <w:t>|</w:t>
            </w:r>
            <w:r w:rsidR="008B1B66">
              <w:rPr>
                <w:i/>
                <w:sz w:val="18"/>
                <w:szCs w:val="18"/>
                <w:vertAlign w:val="superscript"/>
              </w:rPr>
              <w:t>1</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15B583B5"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+6%</w:t>
            </w:r>
          </w:p>
        </w:tc>
      </w:tr>
      <w:tr w:rsidR="00861436" w14:paraId="43C8D933" w14:textId="77777777" w:rsidTr="0077002B">
        <w:tc>
          <w:tcPr>
            <w:tcW w:w="9017" w:type="dxa"/>
            <w:gridSpan w:val="5"/>
            <w:vAlign w:val="center"/>
          </w:tcPr>
          <w:p w14:paraId="2D08C05F" w14:textId="77777777" w:rsidR="00861436" w:rsidRPr="00CF721B" w:rsidRDefault="00861436" w:rsidP="0077002B">
            <w:pPr>
              <w:pStyle w:val="COMTableheadingrow"/>
              <w:keepLines/>
              <w:rPr>
                <w:b w:val="0"/>
                <w:bCs/>
                <w:lang w:val="en-AU"/>
              </w:rPr>
            </w:pPr>
            <w:r w:rsidRPr="00CF721B">
              <w:t>Treatment effect duration (base case fixed for 3 years then linear decrease until convergence by 6 years)</w:t>
            </w:r>
          </w:p>
        </w:tc>
      </w:tr>
      <w:tr w:rsidR="00861436" w14:paraId="52727CC6" w14:textId="77777777" w:rsidTr="009E0870">
        <w:tc>
          <w:tcPr>
            <w:tcW w:w="3919" w:type="dxa"/>
            <w:vAlign w:val="center"/>
          </w:tcPr>
          <w:p w14:paraId="0B414775" w14:textId="77777777" w:rsidR="00861436" w:rsidRPr="00CF721B" w:rsidRDefault="00861436" w:rsidP="0077002B">
            <w:pPr>
              <w:pStyle w:val="COMTableheadingrow"/>
              <w:keepLines/>
              <w:rPr>
                <w:b w:val="0"/>
                <w:bCs/>
              </w:rPr>
            </w:pPr>
            <w:r w:rsidRPr="00CF721B">
              <w:rPr>
                <w:b w:val="0"/>
                <w:bCs/>
              </w:rPr>
              <w:t>Fixed for 3 years, convergence by 4 years</w:t>
            </w:r>
          </w:p>
        </w:tc>
        <w:tc>
          <w:tcPr>
            <w:tcW w:w="1243" w:type="dxa"/>
            <w:tcBorders>
              <w:top w:val="single" w:sz="4" w:space="0" w:color="auto"/>
              <w:left w:val="nil"/>
              <w:bottom w:val="single" w:sz="4" w:space="0" w:color="auto"/>
              <w:right w:val="single" w:sz="4" w:space="0" w:color="auto"/>
            </w:tcBorders>
            <w:shd w:val="solid" w:color="000000" w:fill="000000"/>
            <w:vAlign w:val="center"/>
          </w:tcPr>
          <w:p w14:paraId="625F0362" w14:textId="4B7810B4" w:rsidR="00861436" w:rsidRPr="009E0870" w:rsidRDefault="009E0870" w:rsidP="0077002B">
            <w:pPr>
              <w:pStyle w:val="COMTableheadingrow"/>
              <w:keepLines/>
              <w:jc w:val="center"/>
              <w:rPr>
                <w:b w:val="0"/>
                <w:bCs/>
                <w:lang w:val="en-AU"/>
              </w:rPr>
            </w:pPr>
            <w:r w:rsidRPr="009E0870">
              <w:rPr>
                <w:rFonts w:cs="Calibri"/>
                <w:b w:val="0"/>
                <w:bCs/>
                <w:color w:val="000000"/>
                <w:spacing w:val="46"/>
                <w:szCs w:val="20"/>
                <w:fitText w:val="310" w:id="-1232957425"/>
                <w14:textFill>
                  <w14:solidFill>
                    <w14:srgbClr w14:val="000000">
                      <w14:alpha w14:val="100000"/>
                    </w14:srgbClr>
                  </w14:solidFill>
                </w14:textFill>
              </w:rPr>
              <w:t>|||</w:t>
            </w:r>
            <w:r w:rsidRPr="009E0870">
              <w:rPr>
                <w:rFonts w:cs="Calibri"/>
                <w:b w:val="0"/>
                <w:bCs/>
                <w:color w:val="000000"/>
                <w:spacing w:val="2"/>
                <w:szCs w:val="20"/>
                <w:fitText w:val="310" w:id="-1232957425"/>
                <w14:textFill>
                  <w14:solidFill>
                    <w14:srgbClr w14:val="000000">
                      <w14:alpha w14:val="100000"/>
                    </w14:srgbClr>
                  </w14:solidFill>
                </w14:textFill>
              </w:rPr>
              <w:t>|</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211A30F"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0.0282</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9A97C33" w14:textId="4E4B6350" w:rsidR="00861436" w:rsidRPr="002E1153" w:rsidRDefault="009E0870" w:rsidP="0077002B">
            <w:pPr>
              <w:pStyle w:val="COMTableheadingrow"/>
              <w:keepLines/>
              <w:jc w:val="center"/>
              <w:rPr>
                <w:b w:val="0"/>
                <w:bCs/>
                <w:highlight w:val="darkGray"/>
                <w:lang w:val="en-AU"/>
              </w:rPr>
            </w:pPr>
            <w:r w:rsidRPr="009E0870">
              <w:rPr>
                <w:rFonts w:cs="Calibri"/>
                <w:b w:val="0"/>
                <w:bCs/>
                <w:color w:val="000000"/>
                <w:spacing w:val="55"/>
                <w:szCs w:val="20"/>
                <w:shd w:val="solid" w:color="000000" w:fill="000000"/>
                <w:fitText w:val="337" w:id="-1232957424"/>
                <w14:textFill>
                  <w14:solidFill>
                    <w14:srgbClr w14:val="000000">
                      <w14:alpha w14:val="100000"/>
                    </w14:srgbClr>
                  </w14:solidFill>
                </w14:textFill>
              </w:rPr>
              <w:t>|||</w:t>
            </w:r>
            <w:r w:rsidRPr="009E0870">
              <w:rPr>
                <w:rFonts w:cs="Calibri"/>
                <w:b w:val="0"/>
                <w:bCs/>
                <w:color w:val="000000"/>
                <w:spacing w:val="2"/>
                <w:szCs w:val="20"/>
                <w:shd w:val="solid" w:color="000000" w:fill="000000"/>
                <w:fitText w:val="337" w:id="-1232957424"/>
                <w14:textFill>
                  <w14:solidFill>
                    <w14:srgbClr w14:val="000000">
                      <w14:alpha w14:val="100000"/>
                    </w14:srgbClr>
                  </w14:solidFill>
                </w14:textFill>
              </w:rPr>
              <w:t>|</w:t>
            </w:r>
            <w:r w:rsidR="008B1B66">
              <w:rPr>
                <w:i/>
                <w:sz w:val="18"/>
                <w:szCs w:val="18"/>
                <w:vertAlign w:val="superscript"/>
              </w:rPr>
              <w:t>4</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660E6CD8"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+26%</w:t>
            </w:r>
          </w:p>
        </w:tc>
      </w:tr>
      <w:tr w:rsidR="00861436" w14:paraId="6CB4656A" w14:textId="77777777" w:rsidTr="009E0870">
        <w:tc>
          <w:tcPr>
            <w:tcW w:w="3919" w:type="dxa"/>
            <w:vAlign w:val="center"/>
          </w:tcPr>
          <w:p w14:paraId="0D299DC3" w14:textId="77777777" w:rsidR="00861436" w:rsidRPr="00CF721B" w:rsidRDefault="00861436" w:rsidP="0077002B">
            <w:pPr>
              <w:pStyle w:val="COMTableheadingrow"/>
              <w:keepLines/>
              <w:rPr>
                <w:b w:val="0"/>
                <w:bCs/>
              </w:rPr>
            </w:pPr>
            <w:r w:rsidRPr="00CF721B">
              <w:rPr>
                <w:b w:val="0"/>
                <w:bCs/>
              </w:rPr>
              <w:t>Fixed for 3 years, convergence by 5 years</w:t>
            </w:r>
          </w:p>
        </w:tc>
        <w:tc>
          <w:tcPr>
            <w:tcW w:w="1243" w:type="dxa"/>
            <w:tcBorders>
              <w:top w:val="single" w:sz="4" w:space="0" w:color="auto"/>
              <w:left w:val="nil"/>
              <w:bottom w:val="single" w:sz="4" w:space="0" w:color="auto"/>
              <w:right w:val="single" w:sz="4" w:space="0" w:color="auto"/>
            </w:tcBorders>
            <w:shd w:val="solid" w:color="000000" w:fill="000000"/>
            <w:vAlign w:val="center"/>
          </w:tcPr>
          <w:p w14:paraId="1095EF8D" w14:textId="2F46F56C" w:rsidR="00861436" w:rsidRPr="009E0870" w:rsidRDefault="009E0870" w:rsidP="0077002B">
            <w:pPr>
              <w:pStyle w:val="COMTableheadingrow"/>
              <w:keepLines/>
              <w:jc w:val="center"/>
              <w:rPr>
                <w:b w:val="0"/>
                <w:bCs/>
                <w:lang w:val="en-AU"/>
              </w:rPr>
            </w:pPr>
            <w:r w:rsidRPr="009E0870">
              <w:rPr>
                <w:rFonts w:cs="Calibri"/>
                <w:b w:val="0"/>
                <w:bCs/>
                <w:color w:val="000000"/>
                <w:spacing w:val="46"/>
                <w:szCs w:val="20"/>
                <w:fitText w:val="310" w:id="-1232957440"/>
                <w14:textFill>
                  <w14:solidFill>
                    <w14:srgbClr w14:val="000000">
                      <w14:alpha w14:val="100000"/>
                    </w14:srgbClr>
                  </w14:solidFill>
                </w14:textFill>
              </w:rPr>
              <w:t>|||</w:t>
            </w:r>
            <w:r w:rsidRPr="009E0870">
              <w:rPr>
                <w:rFonts w:cs="Calibri"/>
                <w:b w:val="0"/>
                <w:bCs/>
                <w:color w:val="000000"/>
                <w:spacing w:val="2"/>
                <w:szCs w:val="20"/>
                <w:fitText w:val="310" w:id="-1232957440"/>
                <w14:textFill>
                  <w14:solidFill>
                    <w14:srgbClr w14:val="000000">
                      <w14:alpha w14:val="100000"/>
                    </w14:srgbClr>
                  </w14:solidFill>
                </w14:textFill>
              </w:rPr>
              <w:t>|</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313A00E"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0.0309</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2F01CE5" w14:textId="5FEFD194" w:rsidR="00861436" w:rsidRPr="002E1153" w:rsidRDefault="009E0870" w:rsidP="0077002B">
            <w:pPr>
              <w:pStyle w:val="COMTableheadingrow"/>
              <w:keepLines/>
              <w:jc w:val="center"/>
              <w:rPr>
                <w:b w:val="0"/>
                <w:bCs/>
                <w:highlight w:val="darkGray"/>
                <w:lang w:val="en-AU"/>
              </w:rPr>
            </w:pPr>
            <w:r w:rsidRPr="009E0870">
              <w:rPr>
                <w:rFonts w:cs="Calibri"/>
                <w:b w:val="0"/>
                <w:bCs/>
                <w:color w:val="000000"/>
                <w:spacing w:val="55"/>
                <w:szCs w:val="20"/>
                <w:shd w:val="solid" w:color="000000" w:fill="000000"/>
                <w:fitText w:val="337" w:id="-1232957439"/>
                <w14:textFill>
                  <w14:solidFill>
                    <w14:srgbClr w14:val="000000">
                      <w14:alpha w14:val="100000"/>
                    </w14:srgbClr>
                  </w14:solidFill>
                </w14:textFill>
              </w:rPr>
              <w:t>|||</w:t>
            </w:r>
            <w:r w:rsidRPr="009E0870">
              <w:rPr>
                <w:rFonts w:cs="Calibri"/>
                <w:b w:val="0"/>
                <w:bCs/>
                <w:color w:val="000000"/>
                <w:spacing w:val="2"/>
                <w:szCs w:val="20"/>
                <w:shd w:val="solid" w:color="000000" w:fill="000000"/>
                <w:fitText w:val="337" w:id="-1232957439"/>
                <w14:textFill>
                  <w14:solidFill>
                    <w14:srgbClr w14:val="000000">
                      <w14:alpha w14:val="100000"/>
                    </w14:srgbClr>
                  </w14:solidFill>
                </w14:textFill>
              </w:rPr>
              <w:t>|</w:t>
            </w:r>
            <w:r w:rsidR="008B1B66">
              <w:rPr>
                <w:i/>
                <w:sz w:val="18"/>
                <w:szCs w:val="18"/>
                <w:vertAlign w:val="superscript"/>
              </w:rPr>
              <w:t>1</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50912E92"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+11%</w:t>
            </w:r>
          </w:p>
        </w:tc>
      </w:tr>
      <w:tr w:rsidR="00861436" w14:paraId="194942DE" w14:textId="77777777" w:rsidTr="009E0870">
        <w:tc>
          <w:tcPr>
            <w:tcW w:w="3919" w:type="dxa"/>
            <w:vAlign w:val="center"/>
          </w:tcPr>
          <w:p w14:paraId="5FA38433" w14:textId="77777777" w:rsidR="00861436" w:rsidRPr="00CF721B" w:rsidRDefault="00861436" w:rsidP="0077002B">
            <w:pPr>
              <w:pStyle w:val="COMTableheadingrow"/>
              <w:keepLines/>
              <w:rPr>
                <w:b w:val="0"/>
                <w:bCs/>
              </w:rPr>
            </w:pPr>
            <w:r w:rsidRPr="00CF721B">
              <w:rPr>
                <w:b w:val="0"/>
                <w:bCs/>
              </w:rPr>
              <w:t>Fixed for 4 years, convergence by 5 years</w:t>
            </w:r>
          </w:p>
        </w:tc>
        <w:tc>
          <w:tcPr>
            <w:tcW w:w="1243" w:type="dxa"/>
            <w:tcBorders>
              <w:top w:val="single" w:sz="4" w:space="0" w:color="auto"/>
              <w:left w:val="nil"/>
              <w:bottom w:val="single" w:sz="4" w:space="0" w:color="auto"/>
              <w:right w:val="single" w:sz="4" w:space="0" w:color="auto"/>
            </w:tcBorders>
            <w:shd w:val="solid" w:color="000000" w:fill="000000"/>
            <w:vAlign w:val="center"/>
          </w:tcPr>
          <w:p w14:paraId="1F137990" w14:textId="32F61B8A" w:rsidR="00861436" w:rsidRPr="009E0870" w:rsidRDefault="009E0870" w:rsidP="0077002B">
            <w:pPr>
              <w:pStyle w:val="COMTableheadingrow"/>
              <w:keepLines/>
              <w:jc w:val="center"/>
              <w:rPr>
                <w:b w:val="0"/>
                <w:bCs/>
                <w:lang w:val="en-AU"/>
              </w:rPr>
            </w:pPr>
            <w:r w:rsidRPr="009E0870">
              <w:rPr>
                <w:rFonts w:cs="Calibri"/>
                <w:b w:val="0"/>
                <w:bCs/>
                <w:color w:val="000000"/>
                <w:spacing w:val="46"/>
                <w:szCs w:val="20"/>
                <w:fitText w:val="310" w:id="-1232957438"/>
                <w14:textFill>
                  <w14:solidFill>
                    <w14:srgbClr w14:val="000000">
                      <w14:alpha w14:val="100000"/>
                    </w14:srgbClr>
                  </w14:solidFill>
                </w14:textFill>
              </w:rPr>
              <w:t>|||</w:t>
            </w:r>
            <w:r w:rsidRPr="009E0870">
              <w:rPr>
                <w:rFonts w:cs="Calibri"/>
                <w:b w:val="0"/>
                <w:bCs/>
                <w:color w:val="000000"/>
                <w:spacing w:val="2"/>
                <w:szCs w:val="20"/>
                <w:fitText w:val="310" w:id="-1232957438"/>
                <w14:textFill>
                  <w14:solidFill>
                    <w14:srgbClr w14:val="000000">
                      <w14:alpha w14:val="100000"/>
                    </w14:srgbClr>
                  </w14:solidFill>
                </w14:textFill>
              </w:rPr>
              <w:t>|</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92B4568"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0.0336</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C12742F" w14:textId="6BB4ECCA" w:rsidR="00861436" w:rsidRPr="002E1153" w:rsidRDefault="009E0870" w:rsidP="0077002B">
            <w:pPr>
              <w:pStyle w:val="COMTableheadingrow"/>
              <w:keepLines/>
              <w:jc w:val="center"/>
              <w:rPr>
                <w:b w:val="0"/>
                <w:bCs/>
                <w:highlight w:val="darkGray"/>
                <w:lang w:val="en-AU"/>
              </w:rPr>
            </w:pPr>
            <w:r w:rsidRPr="009E0870">
              <w:rPr>
                <w:rFonts w:cs="Calibri"/>
                <w:b w:val="0"/>
                <w:bCs/>
                <w:color w:val="000000"/>
                <w:spacing w:val="55"/>
                <w:szCs w:val="20"/>
                <w:shd w:val="solid" w:color="000000" w:fill="000000"/>
                <w:fitText w:val="337" w:id="-1232957437"/>
                <w14:textFill>
                  <w14:solidFill>
                    <w14:srgbClr w14:val="000000">
                      <w14:alpha w14:val="100000"/>
                    </w14:srgbClr>
                  </w14:solidFill>
                </w14:textFill>
              </w:rPr>
              <w:t>|||</w:t>
            </w:r>
            <w:r w:rsidRPr="009E0870">
              <w:rPr>
                <w:rFonts w:cs="Calibri"/>
                <w:b w:val="0"/>
                <w:bCs/>
                <w:color w:val="000000"/>
                <w:spacing w:val="2"/>
                <w:szCs w:val="20"/>
                <w:shd w:val="solid" w:color="000000" w:fill="000000"/>
                <w:fitText w:val="337" w:id="-1232957437"/>
                <w14:textFill>
                  <w14:solidFill>
                    <w14:srgbClr w14:val="000000">
                      <w14:alpha w14:val="100000"/>
                    </w14:srgbClr>
                  </w14:solidFill>
                </w14:textFill>
              </w:rPr>
              <w:t>|</w:t>
            </w:r>
            <w:r w:rsidR="00DE7AA3">
              <w:rPr>
                <w:i/>
                <w:sz w:val="18"/>
                <w:szCs w:val="18"/>
                <w:vertAlign w:val="superscript"/>
              </w:rPr>
              <w:t>3</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0AFFFAE8"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-2%</w:t>
            </w:r>
          </w:p>
        </w:tc>
      </w:tr>
      <w:tr w:rsidR="00861436" w14:paraId="5E3DCDFB" w14:textId="77777777" w:rsidTr="009E0870">
        <w:tc>
          <w:tcPr>
            <w:tcW w:w="3919" w:type="dxa"/>
            <w:vAlign w:val="center"/>
          </w:tcPr>
          <w:p w14:paraId="2A96F50C" w14:textId="77777777" w:rsidR="00861436" w:rsidRPr="00CF721B" w:rsidRDefault="00861436" w:rsidP="0077002B">
            <w:pPr>
              <w:pStyle w:val="COMTableheadingrow"/>
              <w:keepLines/>
              <w:rPr>
                <w:b w:val="0"/>
                <w:bCs/>
              </w:rPr>
            </w:pPr>
            <w:r w:rsidRPr="00CF721B">
              <w:rPr>
                <w:b w:val="0"/>
                <w:bCs/>
              </w:rPr>
              <w:t>Fixed for 4 years, convergence by 6 years</w:t>
            </w:r>
          </w:p>
        </w:tc>
        <w:tc>
          <w:tcPr>
            <w:tcW w:w="1243" w:type="dxa"/>
            <w:tcBorders>
              <w:top w:val="single" w:sz="4" w:space="0" w:color="auto"/>
              <w:left w:val="nil"/>
              <w:bottom w:val="single" w:sz="4" w:space="0" w:color="auto"/>
              <w:right w:val="single" w:sz="4" w:space="0" w:color="auto"/>
            </w:tcBorders>
            <w:shd w:val="solid" w:color="000000" w:fill="000000"/>
            <w:vAlign w:val="center"/>
          </w:tcPr>
          <w:p w14:paraId="7C43A240" w14:textId="27C826B9" w:rsidR="00861436" w:rsidRPr="009E0870" w:rsidRDefault="009E0870" w:rsidP="0077002B">
            <w:pPr>
              <w:pStyle w:val="COMTableheadingrow"/>
              <w:keepLines/>
              <w:jc w:val="center"/>
              <w:rPr>
                <w:b w:val="0"/>
                <w:bCs/>
                <w:lang w:val="en-AU"/>
              </w:rPr>
            </w:pPr>
            <w:r w:rsidRPr="009E0870">
              <w:rPr>
                <w:rFonts w:cs="Calibri"/>
                <w:b w:val="0"/>
                <w:bCs/>
                <w:color w:val="000000"/>
                <w:spacing w:val="46"/>
                <w:szCs w:val="20"/>
                <w:fitText w:val="310" w:id="-1232957436"/>
                <w14:textFill>
                  <w14:solidFill>
                    <w14:srgbClr w14:val="000000">
                      <w14:alpha w14:val="100000"/>
                    </w14:srgbClr>
                  </w14:solidFill>
                </w14:textFill>
              </w:rPr>
              <w:t>|||</w:t>
            </w:r>
            <w:r w:rsidRPr="009E0870">
              <w:rPr>
                <w:rFonts w:cs="Calibri"/>
                <w:b w:val="0"/>
                <w:bCs/>
                <w:color w:val="000000"/>
                <w:spacing w:val="2"/>
                <w:szCs w:val="20"/>
                <w:fitText w:val="310" w:id="-1232957436"/>
                <w14:textFill>
                  <w14:solidFill>
                    <w14:srgbClr w14:val="000000">
                      <w14:alpha w14:val="100000"/>
                    </w14:srgbClr>
                  </w14:solidFill>
                </w14:textFill>
              </w:rPr>
              <w:t>|</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9B469BC"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0.0356</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9492E22" w14:textId="7B509580" w:rsidR="00861436" w:rsidRPr="002E1153" w:rsidRDefault="009E0870" w:rsidP="0077002B">
            <w:pPr>
              <w:pStyle w:val="COMTableheadingrow"/>
              <w:keepLines/>
              <w:jc w:val="center"/>
              <w:rPr>
                <w:b w:val="0"/>
                <w:bCs/>
                <w:highlight w:val="darkGray"/>
                <w:lang w:val="en-AU"/>
              </w:rPr>
            </w:pPr>
            <w:r w:rsidRPr="009E0870">
              <w:rPr>
                <w:rFonts w:cs="Calibri"/>
                <w:b w:val="0"/>
                <w:bCs/>
                <w:color w:val="000000"/>
                <w:spacing w:val="55"/>
                <w:szCs w:val="20"/>
                <w:shd w:val="solid" w:color="000000" w:fill="000000"/>
                <w:fitText w:val="337" w:id="-1232957435"/>
                <w14:textFill>
                  <w14:solidFill>
                    <w14:srgbClr w14:val="000000">
                      <w14:alpha w14:val="100000"/>
                    </w14:srgbClr>
                  </w14:solidFill>
                </w14:textFill>
              </w:rPr>
              <w:t>|||</w:t>
            </w:r>
            <w:r w:rsidRPr="009E0870">
              <w:rPr>
                <w:rFonts w:cs="Calibri"/>
                <w:b w:val="0"/>
                <w:bCs/>
                <w:color w:val="000000"/>
                <w:spacing w:val="2"/>
                <w:szCs w:val="20"/>
                <w:shd w:val="solid" w:color="000000" w:fill="000000"/>
                <w:fitText w:val="337" w:id="-1232957435"/>
                <w14:textFill>
                  <w14:solidFill>
                    <w14:srgbClr w14:val="000000">
                      <w14:alpha w14:val="100000"/>
                    </w14:srgbClr>
                  </w14:solidFill>
                </w14:textFill>
              </w:rPr>
              <w:t>|</w:t>
            </w:r>
            <w:r w:rsidR="00DE7AA3">
              <w:rPr>
                <w:i/>
                <w:sz w:val="18"/>
                <w:szCs w:val="18"/>
                <w:vertAlign w:val="superscript"/>
              </w:rPr>
              <w:t>3</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777BAA36"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-10%</w:t>
            </w:r>
          </w:p>
        </w:tc>
      </w:tr>
      <w:tr w:rsidR="00861436" w14:paraId="74899841" w14:textId="77777777" w:rsidTr="009E0870">
        <w:tc>
          <w:tcPr>
            <w:tcW w:w="3919" w:type="dxa"/>
            <w:vAlign w:val="center"/>
          </w:tcPr>
          <w:p w14:paraId="0413F379" w14:textId="77777777" w:rsidR="00861436" w:rsidRPr="00CF721B" w:rsidRDefault="00861436" w:rsidP="0077002B">
            <w:pPr>
              <w:pStyle w:val="COMTableheadingrow"/>
              <w:keepLines/>
              <w:rPr>
                <w:b w:val="0"/>
                <w:bCs/>
              </w:rPr>
            </w:pPr>
            <w:r w:rsidRPr="00CF721B">
              <w:rPr>
                <w:b w:val="0"/>
                <w:bCs/>
              </w:rPr>
              <w:t>Fixed for 5 years, convergence by 6 years</w:t>
            </w:r>
          </w:p>
        </w:tc>
        <w:tc>
          <w:tcPr>
            <w:tcW w:w="1243" w:type="dxa"/>
            <w:tcBorders>
              <w:top w:val="single" w:sz="4" w:space="0" w:color="auto"/>
              <w:left w:val="nil"/>
              <w:bottom w:val="single" w:sz="4" w:space="0" w:color="auto"/>
              <w:right w:val="single" w:sz="4" w:space="0" w:color="auto"/>
            </w:tcBorders>
            <w:shd w:val="solid" w:color="000000" w:fill="000000"/>
            <w:vAlign w:val="center"/>
          </w:tcPr>
          <w:p w14:paraId="0C7021E8" w14:textId="776E0383" w:rsidR="00861436" w:rsidRPr="009E0870" w:rsidRDefault="009E0870" w:rsidP="0077002B">
            <w:pPr>
              <w:pStyle w:val="COMTableheadingrow"/>
              <w:keepLines/>
              <w:jc w:val="center"/>
              <w:rPr>
                <w:b w:val="0"/>
                <w:bCs/>
                <w:lang w:val="en-AU"/>
              </w:rPr>
            </w:pPr>
            <w:r w:rsidRPr="009E0870">
              <w:rPr>
                <w:rFonts w:cs="Calibri"/>
                <w:b w:val="0"/>
                <w:bCs/>
                <w:color w:val="000000"/>
                <w:spacing w:val="46"/>
                <w:szCs w:val="20"/>
                <w:fitText w:val="310" w:id="-1232957434"/>
                <w14:textFill>
                  <w14:solidFill>
                    <w14:srgbClr w14:val="000000">
                      <w14:alpha w14:val="100000"/>
                    </w14:srgbClr>
                  </w14:solidFill>
                </w14:textFill>
              </w:rPr>
              <w:t>|||</w:t>
            </w:r>
            <w:r w:rsidRPr="009E0870">
              <w:rPr>
                <w:rFonts w:cs="Calibri"/>
                <w:b w:val="0"/>
                <w:bCs/>
                <w:color w:val="000000"/>
                <w:spacing w:val="2"/>
                <w:szCs w:val="20"/>
                <w:fitText w:val="310" w:id="-1232957434"/>
                <w14:textFill>
                  <w14:solidFill>
                    <w14:srgbClr w14:val="000000">
                      <w14:alpha w14:val="100000"/>
                    </w14:srgbClr>
                  </w14:solidFill>
                </w14:textFill>
              </w:rPr>
              <w:t>|</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4D1768E"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0.0376</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2BE050C" w14:textId="3969230B" w:rsidR="00861436" w:rsidRPr="002E1153" w:rsidRDefault="009E0870" w:rsidP="0077002B">
            <w:pPr>
              <w:pStyle w:val="COMTableheadingrow"/>
              <w:keepLines/>
              <w:jc w:val="center"/>
              <w:rPr>
                <w:b w:val="0"/>
                <w:bCs/>
                <w:highlight w:val="darkGray"/>
                <w:lang w:val="en-AU"/>
              </w:rPr>
            </w:pPr>
            <w:r w:rsidRPr="009E0870">
              <w:rPr>
                <w:rFonts w:cs="Calibri"/>
                <w:b w:val="0"/>
                <w:bCs/>
                <w:color w:val="000000"/>
                <w:spacing w:val="55"/>
                <w:szCs w:val="20"/>
                <w:shd w:val="solid" w:color="000000" w:fill="000000"/>
                <w:fitText w:val="337" w:id="-1232957433"/>
                <w14:textFill>
                  <w14:solidFill>
                    <w14:srgbClr w14:val="000000">
                      <w14:alpha w14:val="100000"/>
                    </w14:srgbClr>
                  </w14:solidFill>
                </w14:textFill>
              </w:rPr>
              <w:t>|||</w:t>
            </w:r>
            <w:r w:rsidRPr="009E0870">
              <w:rPr>
                <w:rFonts w:cs="Calibri"/>
                <w:b w:val="0"/>
                <w:bCs/>
                <w:color w:val="000000"/>
                <w:spacing w:val="2"/>
                <w:szCs w:val="20"/>
                <w:shd w:val="solid" w:color="000000" w:fill="000000"/>
                <w:fitText w:val="337" w:id="-1232957433"/>
                <w14:textFill>
                  <w14:solidFill>
                    <w14:srgbClr w14:val="000000">
                      <w14:alpha w14:val="100000"/>
                    </w14:srgbClr>
                  </w14:solidFill>
                </w14:textFill>
              </w:rPr>
              <w:t>|</w:t>
            </w:r>
            <w:r w:rsidR="00DE7AA3">
              <w:rPr>
                <w:i/>
                <w:sz w:val="18"/>
                <w:szCs w:val="18"/>
                <w:vertAlign w:val="superscript"/>
              </w:rPr>
              <w:t>3</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3ED46092" w14:textId="77777777" w:rsidR="00861436" w:rsidRPr="00CF721B" w:rsidRDefault="00861436" w:rsidP="0077002B">
            <w:pPr>
              <w:pStyle w:val="COMTableheadingrow"/>
              <w:keepLines/>
              <w:jc w:val="center"/>
              <w:rPr>
                <w:b w:val="0"/>
                <w:bCs/>
                <w:lang w:val="en-AU"/>
              </w:rPr>
            </w:pPr>
            <w:r w:rsidRPr="00CF721B">
              <w:rPr>
                <w:rFonts w:cs="Calibri"/>
                <w:b w:val="0"/>
                <w:bCs/>
                <w:color w:val="000000"/>
                <w:szCs w:val="20"/>
              </w:rPr>
              <w:t>-18%</w:t>
            </w:r>
          </w:p>
        </w:tc>
      </w:tr>
      <w:tr w:rsidR="00CF721B" w14:paraId="4D46E202" w14:textId="77777777" w:rsidTr="009B2147">
        <w:tc>
          <w:tcPr>
            <w:tcW w:w="9017" w:type="dxa"/>
            <w:gridSpan w:val="5"/>
            <w:tcBorders>
              <w:right w:val="single" w:sz="4" w:space="0" w:color="auto"/>
            </w:tcBorders>
            <w:vAlign w:val="center"/>
          </w:tcPr>
          <w:p w14:paraId="5CE80CFB" w14:textId="0A2CF652" w:rsidR="00CF721B" w:rsidRPr="00911DBE" w:rsidRDefault="00CF721B" w:rsidP="005F6E7C">
            <w:pPr>
              <w:pStyle w:val="COMTableheadingrow"/>
              <w:keepLines/>
              <w:rPr>
                <w:rFonts w:cs="Calibri"/>
                <w:color w:val="000000"/>
                <w:szCs w:val="20"/>
              </w:rPr>
            </w:pPr>
            <w:r w:rsidRPr="00911DBE">
              <w:rPr>
                <w:rFonts w:cs="Calibri"/>
                <w:color w:val="000000"/>
                <w:szCs w:val="20"/>
              </w:rPr>
              <w:t xml:space="preserve">Multivariate analysis </w:t>
            </w:r>
          </w:p>
        </w:tc>
      </w:tr>
      <w:tr w:rsidR="00CF721B" w14:paraId="44585C17" w14:textId="77777777" w:rsidTr="009E0870">
        <w:tc>
          <w:tcPr>
            <w:tcW w:w="3919" w:type="dxa"/>
            <w:vAlign w:val="center"/>
          </w:tcPr>
          <w:p w14:paraId="58F91B05" w14:textId="7F9C4A98" w:rsidR="00CF721B" w:rsidRPr="00911DBE" w:rsidRDefault="00CF721B" w:rsidP="0077002B">
            <w:pPr>
              <w:pStyle w:val="COMTableheadingrow"/>
              <w:keepLines/>
              <w:rPr>
                <w:b w:val="0"/>
                <w:bCs/>
                <w:vertAlign w:val="superscript"/>
              </w:rPr>
            </w:pPr>
            <w:r w:rsidRPr="00911DBE">
              <w:rPr>
                <w:b w:val="0"/>
                <w:bCs/>
              </w:rPr>
              <w:t>No mortality multipliers; treatment effect fixed for 3 years, convergence by 4 years</w:t>
            </w:r>
            <w:r w:rsidRPr="00911DBE">
              <w:rPr>
                <w:b w:val="0"/>
                <w:bCs/>
                <w:vertAlign w:val="superscript"/>
              </w:rPr>
              <w:t xml:space="preserve"> </w:t>
            </w:r>
            <w:r w:rsidR="002E5013" w:rsidRPr="00911DBE">
              <w:rPr>
                <w:b w:val="0"/>
                <w:bCs/>
                <w:vertAlign w:val="superscript"/>
              </w:rPr>
              <w:t>b</w:t>
            </w:r>
          </w:p>
        </w:tc>
        <w:tc>
          <w:tcPr>
            <w:tcW w:w="1243" w:type="dxa"/>
            <w:tcBorders>
              <w:top w:val="single" w:sz="4" w:space="0" w:color="auto"/>
              <w:left w:val="nil"/>
              <w:bottom w:val="single" w:sz="4" w:space="0" w:color="auto"/>
              <w:right w:val="single" w:sz="4" w:space="0" w:color="auto"/>
            </w:tcBorders>
            <w:shd w:val="solid" w:color="000000" w:fill="000000"/>
            <w:vAlign w:val="center"/>
          </w:tcPr>
          <w:p w14:paraId="678E6BF3" w14:textId="72956400" w:rsidR="00CF721B" w:rsidRPr="009E0870" w:rsidRDefault="009E0870" w:rsidP="0077002B">
            <w:pPr>
              <w:pStyle w:val="COMTableheadingrow"/>
              <w:keepLines/>
              <w:jc w:val="center"/>
              <w:rPr>
                <w:rFonts w:cs="Calibri"/>
                <w:b w:val="0"/>
                <w:bCs/>
                <w:color w:val="000000"/>
                <w:szCs w:val="20"/>
              </w:rPr>
            </w:pPr>
            <w:r w:rsidRPr="009E0870">
              <w:rPr>
                <w:b w:val="0"/>
                <w:bCs/>
                <w:color w:val="000000"/>
                <w:spacing w:val="46"/>
                <w:fitText w:val="310" w:id="-1232957432"/>
                <w14:textFill>
                  <w14:solidFill>
                    <w14:srgbClr w14:val="000000">
                      <w14:alpha w14:val="100000"/>
                    </w14:srgbClr>
                  </w14:solidFill>
                </w14:textFill>
              </w:rPr>
              <w:t>|||</w:t>
            </w:r>
            <w:r w:rsidRPr="009E0870">
              <w:rPr>
                <w:b w:val="0"/>
                <w:bCs/>
                <w:color w:val="000000"/>
                <w:spacing w:val="2"/>
                <w:fitText w:val="310" w:id="-1232957432"/>
                <w14:textFill>
                  <w14:solidFill>
                    <w14:srgbClr w14:val="000000">
                      <w14:alpha w14:val="100000"/>
                    </w14:srgbClr>
                  </w14:solidFill>
                </w14:textFill>
              </w:rPr>
              <w:t>|</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DD04103" w14:textId="14A38FBF" w:rsidR="00CF721B" w:rsidRPr="00911DBE" w:rsidRDefault="00CF721B" w:rsidP="0077002B">
            <w:pPr>
              <w:pStyle w:val="COMTableheadingrow"/>
              <w:keepLines/>
              <w:jc w:val="center"/>
              <w:rPr>
                <w:rFonts w:cs="Calibri"/>
                <w:b w:val="0"/>
                <w:bCs/>
                <w:color w:val="000000"/>
                <w:szCs w:val="20"/>
              </w:rPr>
            </w:pPr>
            <w:r w:rsidRPr="00911DBE">
              <w:rPr>
                <w:b w:val="0"/>
                <w:bCs/>
              </w:rPr>
              <w:t>0.0211</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95AF3F9" w14:textId="11D57996" w:rsidR="00CF721B" w:rsidRPr="00911DBE" w:rsidRDefault="009E0870" w:rsidP="0077002B">
            <w:pPr>
              <w:pStyle w:val="COMTableheadingrow"/>
              <w:keepLines/>
              <w:jc w:val="center"/>
              <w:rPr>
                <w:rFonts w:cs="Calibri"/>
                <w:b w:val="0"/>
                <w:bCs/>
                <w:color w:val="000000"/>
                <w:szCs w:val="20"/>
              </w:rPr>
            </w:pPr>
            <w:r w:rsidRPr="009E0870">
              <w:rPr>
                <w:b w:val="0"/>
                <w:bCs/>
                <w:color w:val="000000"/>
                <w:spacing w:val="55"/>
                <w:shd w:val="solid" w:color="000000" w:fill="000000"/>
                <w:fitText w:val="337" w:id="-1232957431"/>
                <w14:textFill>
                  <w14:solidFill>
                    <w14:srgbClr w14:val="000000">
                      <w14:alpha w14:val="100000"/>
                    </w14:srgbClr>
                  </w14:solidFill>
                </w14:textFill>
              </w:rPr>
              <w:t>|||</w:t>
            </w:r>
            <w:r w:rsidRPr="009E0870">
              <w:rPr>
                <w:b w:val="0"/>
                <w:bCs/>
                <w:color w:val="000000"/>
                <w:spacing w:val="2"/>
                <w:shd w:val="solid" w:color="000000" w:fill="000000"/>
                <w:fitText w:val="337" w:id="-1232957431"/>
                <w14:textFill>
                  <w14:solidFill>
                    <w14:srgbClr w14:val="000000">
                      <w14:alpha w14:val="100000"/>
                    </w14:srgbClr>
                  </w14:solidFill>
                </w14:textFill>
              </w:rPr>
              <w:t>|</w:t>
            </w:r>
            <w:r w:rsidR="0031484A">
              <w:rPr>
                <w:i/>
                <w:szCs w:val="18"/>
                <w:vertAlign w:val="superscript"/>
              </w:rPr>
              <w:t>7</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514E4FCD" w14:textId="590A63FC" w:rsidR="00CF721B" w:rsidRPr="00911DBE" w:rsidRDefault="00CF721B" w:rsidP="0077002B">
            <w:pPr>
              <w:pStyle w:val="COMTableheadingrow"/>
              <w:keepLines/>
              <w:jc w:val="center"/>
              <w:rPr>
                <w:rFonts w:cs="Calibri"/>
                <w:b w:val="0"/>
                <w:bCs/>
                <w:color w:val="000000"/>
                <w:szCs w:val="20"/>
              </w:rPr>
            </w:pPr>
            <w:r w:rsidRPr="00911DBE">
              <w:rPr>
                <w:rFonts w:cs="Calibri"/>
                <w:b w:val="0"/>
                <w:bCs/>
                <w:color w:val="000000"/>
                <w:szCs w:val="20"/>
              </w:rPr>
              <w:t>+66%</w:t>
            </w:r>
          </w:p>
        </w:tc>
      </w:tr>
    </w:tbl>
    <w:p w14:paraId="5DA2DFEF" w14:textId="77777777" w:rsidR="00861436" w:rsidRDefault="00861436" w:rsidP="00861436">
      <w:pPr>
        <w:pStyle w:val="TableFigureFooter"/>
      </w:pPr>
      <w:r w:rsidRPr="00262BDA">
        <w:t xml:space="preserve">Source: </w:t>
      </w:r>
      <w:r>
        <w:t>constructed during the evaluation using the ‘Evenity_CEA_Mar23’ spreadsheet provided with the resubmission</w:t>
      </w:r>
    </w:p>
    <w:p w14:paraId="4C75CA6F" w14:textId="77777777" w:rsidR="00861436" w:rsidRDefault="00861436" w:rsidP="00861436">
      <w:pPr>
        <w:pStyle w:val="TableFigureFooter"/>
      </w:pPr>
      <w:r>
        <w:t>Abbreviation: HR, hazard ratio; QALY, quality adjusted life year</w:t>
      </w:r>
    </w:p>
    <w:p w14:paraId="5DE3F2C4" w14:textId="7BCE8CF3" w:rsidR="00861436" w:rsidRDefault="00EE2B4C" w:rsidP="00861436">
      <w:pPr>
        <w:pStyle w:val="TableFigureFooter"/>
      </w:pPr>
      <w:r w:rsidRPr="005F6E7C">
        <w:rPr>
          <w:vertAlign w:val="superscript"/>
        </w:rPr>
        <w:t>a</w:t>
      </w:r>
      <w:r w:rsidRPr="005F6E7C">
        <w:t xml:space="preserve"> </w:t>
      </w:r>
      <w:r w:rsidR="002E5013">
        <w:t>C</w:t>
      </w:r>
      <w:r w:rsidR="00861436" w:rsidRPr="005F6E7C">
        <w:t>alculated during the evaluation</w:t>
      </w:r>
    </w:p>
    <w:p w14:paraId="100CFC63" w14:textId="0F0F2B42" w:rsidR="002E5013" w:rsidRDefault="002E5013" w:rsidP="00861436">
      <w:pPr>
        <w:pStyle w:val="TableFigureFooter"/>
      </w:pPr>
      <w:r>
        <w:rPr>
          <w:vertAlign w:val="superscript"/>
        </w:rPr>
        <w:lastRenderedPageBreak/>
        <w:t xml:space="preserve">b </w:t>
      </w:r>
      <w:r w:rsidRPr="00911DBE">
        <w:t>Calculated during the preparation of the ESC Advice. The DPMQ would need to reduce from $</w:t>
      </w:r>
      <w:r w:rsidR="009E0870" w:rsidRPr="009E0870">
        <w:rPr>
          <w:color w:val="000000"/>
          <w:spacing w:val="22"/>
          <w:shd w:val="solid" w:color="000000" w:fill="000000"/>
          <w:fitText w:val="472" w:id="-1232957430"/>
          <w14:textFill>
            <w14:solidFill>
              <w14:srgbClr w14:val="000000">
                <w14:alpha w14:val="100000"/>
              </w14:srgbClr>
            </w14:solidFill>
          </w14:textFill>
        </w:rPr>
        <w:t>|||  ||</w:t>
      </w:r>
      <w:r w:rsidR="009E0870" w:rsidRPr="009E0870">
        <w:rPr>
          <w:color w:val="000000"/>
          <w:spacing w:val="6"/>
          <w:shd w:val="solid" w:color="000000" w:fill="000000"/>
          <w:fitText w:val="472" w:id="-1232957430"/>
          <w14:textFill>
            <w14:solidFill>
              <w14:srgbClr w14:val="000000">
                <w14:alpha w14:val="100000"/>
              </w14:srgbClr>
            </w14:solidFill>
          </w14:textFill>
        </w:rPr>
        <w:t>|</w:t>
      </w:r>
      <w:r w:rsidRPr="00911DBE">
        <w:t xml:space="preserve"> to $</w:t>
      </w:r>
      <w:r w:rsidR="009E0870" w:rsidRPr="009E0870">
        <w:rPr>
          <w:color w:val="000000"/>
          <w:spacing w:val="22"/>
          <w:shd w:val="solid" w:color="000000" w:fill="000000"/>
          <w:fitText w:val="472" w:id="-1232957429"/>
          <w14:textFill>
            <w14:solidFill>
              <w14:srgbClr w14:val="000000">
                <w14:alpha w14:val="100000"/>
              </w14:srgbClr>
            </w14:solidFill>
          </w14:textFill>
        </w:rPr>
        <w:t>|||  ||</w:t>
      </w:r>
      <w:r w:rsidR="009E0870" w:rsidRPr="009E0870">
        <w:rPr>
          <w:color w:val="000000"/>
          <w:spacing w:val="6"/>
          <w:shd w:val="solid" w:color="000000" w:fill="000000"/>
          <w:fitText w:val="472" w:id="-1232957429"/>
          <w14:textFill>
            <w14:solidFill>
              <w14:srgbClr w14:val="000000">
                <w14:alpha w14:val="100000"/>
              </w14:srgbClr>
            </w14:solidFill>
          </w14:textFill>
        </w:rPr>
        <w:t>|</w:t>
      </w:r>
      <w:r w:rsidRPr="00911DBE">
        <w:t xml:space="preserve"> to achieve an ICER of </w:t>
      </w:r>
      <w:r w:rsidR="00D44C35" w:rsidRPr="00D44C35">
        <w:t>$35,000 to &lt; $45,000</w:t>
      </w:r>
      <w:r w:rsidRPr="00911DBE">
        <w:t xml:space="preserve">per QALY gained. </w:t>
      </w:r>
    </w:p>
    <w:p w14:paraId="0F26EB2A" w14:textId="77777777" w:rsidR="007352D9" w:rsidRPr="00BB5864" w:rsidRDefault="007352D9" w:rsidP="007352D9">
      <w:pPr>
        <w:pStyle w:val="TableFigureFooter"/>
        <w:spacing w:after="0"/>
        <w:contextualSpacing w:val="0"/>
      </w:pPr>
      <w:r w:rsidRPr="00BB5864">
        <w:rPr>
          <w:i/>
        </w:rPr>
        <w:t>The redacted values correspond to the following ranges</w:t>
      </w:r>
    </w:p>
    <w:p w14:paraId="4FE128D2" w14:textId="77777777" w:rsidR="007352D9" w:rsidRDefault="007352D9" w:rsidP="007352D9">
      <w:pPr>
        <w:rPr>
          <w:rFonts w:ascii="Arial Narrow" w:hAnsi="Arial Narrow"/>
          <w:i/>
          <w:sz w:val="18"/>
          <w:szCs w:val="18"/>
        </w:rPr>
      </w:pPr>
      <w:r w:rsidRPr="00BB5864">
        <w:rPr>
          <w:rFonts w:ascii="Arial Narrow" w:hAnsi="Arial Narrow"/>
          <w:i/>
          <w:sz w:val="18"/>
          <w:szCs w:val="18"/>
          <w:vertAlign w:val="superscript"/>
        </w:rPr>
        <w:t>1</w:t>
      </w:r>
      <w:r w:rsidRPr="00BB5864">
        <w:rPr>
          <w:rFonts w:ascii="Arial Narrow" w:hAnsi="Arial Narrow"/>
          <w:i/>
          <w:sz w:val="18"/>
          <w:szCs w:val="18"/>
        </w:rPr>
        <w:t xml:space="preserve"> </w:t>
      </w:r>
      <w:r w:rsidRPr="00C30F6E">
        <w:rPr>
          <w:rFonts w:ascii="Arial Narrow" w:hAnsi="Arial Narrow"/>
          <w:i/>
          <w:sz w:val="18"/>
          <w:szCs w:val="18"/>
        </w:rPr>
        <w:t>$45,000 to &lt; $55,000</w:t>
      </w:r>
    </w:p>
    <w:p w14:paraId="45874BC6" w14:textId="77777777" w:rsidR="00DE7AA3" w:rsidRPr="00BB5864" w:rsidRDefault="00DE7AA3" w:rsidP="00DE7AA3">
      <w:pPr>
        <w:rPr>
          <w:rFonts w:ascii="Arial Narrow" w:hAnsi="Arial Narrow"/>
          <w:i/>
          <w:sz w:val="18"/>
          <w:szCs w:val="18"/>
        </w:rPr>
      </w:pPr>
      <w:r>
        <w:rPr>
          <w:rFonts w:ascii="Arial Narrow" w:hAnsi="Arial Narrow"/>
          <w:i/>
          <w:sz w:val="18"/>
          <w:szCs w:val="18"/>
          <w:vertAlign w:val="superscript"/>
        </w:rPr>
        <w:t xml:space="preserve">2 </w:t>
      </w:r>
      <w:r w:rsidRPr="00C30F6E">
        <w:rPr>
          <w:rFonts w:ascii="Arial Narrow" w:hAnsi="Arial Narrow"/>
          <w:i/>
          <w:sz w:val="18"/>
          <w:szCs w:val="18"/>
        </w:rPr>
        <w:t>$25,000 to &lt; $35,000</w:t>
      </w:r>
    </w:p>
    <w:p w14:paraId="50A77D54" w14:textId="116FDDB2" w:rsidR="00DE7AA3" w:rsidRPr="00DE7AA3" w:rsidRDefault="00DE7AA3" w:rsidP="00DE7AA3">
      <w:pPr>
        <w:rPr>
          <w:rFonts w:ascii="Arial Narrow" w:hAnsi="Arial Narrow"/>
          <w:i/>
          <w:sz w:val="18"/>
          <w:szCs w:val="18"/>
        </w:rPr>
      </w:pPr>
      <w:r>
        <w:rPr>
          <w:rFonts w:ascii="Arial Narrow" w:hAnsi="Arial Narrow"/>
          <w:i/>
          <w:sz w:val="18"/>
          <w:szCs w:val="18"/>
          <w:vertAlign w:val="superscript"/>
        </w:rPr>
        <w:t xml:space="preserve">3 </w:t>
      </w:r>
      <w:r w:rsidRPr="00DE7AA3">
        <w:rPr>
          <w:rFonts w:ascii="Arial Narrow" w:hAnsi="Arial Narrow"/>
          <w:i/>
          <w:sz w:val="18"/>
          <w:szCs w:val="18"/>
        </w:rPr>
        <w:t>$35,000 to &lt; $45,000</w:t>
      </w:r>
    </w:p>
    <w:p w14:paraId="04B35D00" w14:textId="31B03E33" w:rsidR="008B1B66" w:rsidRPr="008B1B66" w:rsidRDefault="008B1B66" w:rsidP="008B1B66">
      <w:pPr>
        <w:rPr>
          <w:rFonts w:ascii="Arial Narrow" w:hAnsi="Arial Narrow"/>
          <w:i/>
          <w:sz w:val="18"/>
          <w:szCs w:val="18"/>
        </w:rPr>
      </w:pPr>
      <w:r>
        <w:rPr>
          <w:rFonts w:ascii="Arial Narrow" w:hAnsi="Arial Narrow"/>
          <w:i/>
          <w:sz w:val="18"/>
          <w:szCs w:val="18"/>
          <w:vertAlign w:val="superscript"/>
        </w:rPr>
        <w:t>4</w:t>
      </w:r>
      <w:r w:rsidR="007352D9" w:rsidRPr="00BB5864">
        <w:rPr>
          <w:rFonts w:ascii="Arial Narrow" w:hAnsi="Arial Narrow"/>
          <w:i/>
          <w:sz w:val="18"/>
          <w:szCs w:val="18"/>
        </w:rPr>
        <w:t xml:space="preserve"> </w:t>
      </w:r>
      <w:r w:rsidRPr="008B1B66">
        <w:rPr>
          <w:rFonts w:ascii="Arial Narrow" w:hAnsi="Arial Narrow"/>
          <w:i/>
          <w:sz w:val="18"/>
          <w:szCs w:val="18"/>
        </w:rPr>
        <w:t xml:space="preserve">$55,000 to &lt; $75,000 </w:t>
      </w:r>
    </w:p>
    <w:p w14:paraId="38F6254A" w14:textId="4DE9B198" w:rsidR="007352D9" w:rsidRPr="00BB5864" w:rsidRDefault="008B1B66" w:rsidP="007352D9">
      <w:pPr>
        <w:rPr>
          <w:rFonts w:ascii="Arial Narrow" w:hAnsi="Arial Narrow"/>
          <w:i/>
          <w:sz w:val="18"/>
          <w:szCs w:val="18"/>
        </w:rPr>
      </w:pPr>
      <w:r>
        <w:rPr>
          <w:rFonts w:ascii="Arial Narrow" w:hAnsi="Arial Narrow"/>
          <w:i/>
          <w:sz w:val="18"/>
          <w:szCs w:val="18"/>
          <w:vertAlign w:val="superscript"/>
        </w:rPr>
        <w:t xml:space="preserve">5 </w:t>
      </w:r>
      <w:r w:rsidRPr="008B1B66">
        <w:rPr>
          <w:rFonts w:ascii="Arial Narrow" w:hAnsi="Arial Narrow"/>
          <w:i/>
          <w:sz w:val="18"/>
          <w:szCs w:val="18"/>
        </w:rPr>
        <w:t>$155,000 to &lt; $255,000</w:t>
      </w:r>
    </w:p>
    <w:p w14:paraId="109790FD" w14:textId="35117305" w:rsidR="007352D9" w:rsidRDefault="008B1B66" w:rsidP="007352D9">
      <w:pPr>
        <w:pStyle w:val="TableFigureFooter"/>
        <w:rPr>
          <w:i/>
          <w:szCs w:val="18"/>
        </w:rPr>
      </w:pPr>
      <w:r>
        <w:rPr>
          <w:i/>
          <w:szCs w:val="18"/>
          <w:vertAlign w:val="superscript"/>
        </w:rPr>
        <w:t>6</w:t>
      </w:r>
      <w:r w:rsidR="007352D9" w:rsidRPr="00BB5864">
        <w:rPr>
          <w:i/>
          <w:szCs w:val="18"/>
        </w:rPr>
        <w:t xml:space="preserve"> </w:t>
      </w:r>
      <w:r w:rsidRPr="008B1B66">
        <w:rPr>
          <w:i/>
          <w:szCs w:val="18"/>
        </w:rPr>
        <w:t xml:space="preserve">$95,000 to &lt; $115,000 </w:t>
      </w:r>
    </w:p>
    <w:p w14:paraId="4FF3B7A0" w14:textId="21FB42E0" w:rsidR="0031484A" w:rsidRPr="0031484A" w:rsidRDefault="0031484A" w:rsidP="0031484A">
      <w:pPr>
        <w:pStyle w:val="TableFigureFooter"/>
        <w:rPr>
          <w:i/>
          <w:szCs w:val="18"/>
        </w:rPr>
      </w:pPr>
      <w:r>
        <w:rPr>
          <w:i/>
          <w:szCs w:val="18"/>
          <w:vertAlign w:val="superscript"/>
        </w:rPr>
        <w:t xml:space="preserve">7 </w:t>
      </w:r>
      <w:r w:rsidRPr="0031484A">
        <w:rPr>
          <w:i/>
          <w:szCs w:val="18"/>
        </w:rPr>
        <w:t>$75,000 to &lt; $95,000</w:t>
      </w:r>
    </w:p>
    <w:p w14:paraId="79766958" w14:textId="6D6CD7EC" w:rsidR="0031484A" w:rsidRPr="002E1153" w:rsidRDefault="0031484A" w:rsidP="007352D9">
      <w:pPr>
        <w:pStyle w:val="TableFigureFooter"/>
        <w:rPr>
          <w:i/>
          <w:szCs w:val="18"/>
        </w:rPr>
      </w:pPr>
      <w:r>
        <w:rPr>
          <w:i/>
          <w:szCs w:val="18"/>
          <w:vertAlign w:val="superscript"/>
        </w:rPr>
        <w:t xml:space="preserve">8 </w:t>
      </w:r>
      <w:r w:rsidRPr="0031484A">
        <w:rPr>
          <w:i/>
          <w:szCs w:val="18"/>
        </w:rPr>
        <w:t>$115,000 to &lt; $135,000</w:t>
      </w:r>
    </w:p>
    <w:bookmarkEnd w:id="51"/>
    <w:p w14:paraId="0CE53F5E" w14:textId="31AA9247" w:rsidR="00861436" w:rsidRDefault="00861436" w:rsidP="00BE7594">
      <w:pPr>
        <w:pStyle w:val="COMexecsumnumberedpara"/>
      </w:pPr>
      <w:r w:rsidRPr="003074AF">
        <w:t xml:space="preserve">Results of the sensitivity analyses indicated that the model is most sensitive to the magnitude of treatment benefit, the extrapolation of treatment benefits beyond the trial duration and treatment discontinuation assumptions.  </w:t>
      </w:r>
    </w:p>
    <w:p w14:paraId="77BA8408" w14:textId="6974539D" w:rsidR="0052319E" w:rsidRPr="00810C1E" w:rsidRDefault="0052319E" w:rsidP="00BE7594">
      <w:pPr>
        <w:pStyle w:val="COMexecsumnumberedpara"/>
      </w:pPr>
      <w:r w:rsidRPr="00810C1E">
        <w:t xml:space="preserve">The ESC noted a multivariate analysis which removed mortality multipliers </w:t>
      </w:r>
      <w:r w:rsidR="00557E86" w:rsidRPr="00810C1E">
        <w:t xml:space="preserve">(see paragraph </w:t>
      </w:r>
      <w:r w:rsidR="00557E86" w:rsidRPr="00810C1E">
        <w:fldChar w:fldCharType="begin" w:fldLock="1"/>
      </w:r>
      <w:r w:rsidR="00557E86" w:rsidRPr="00810C1E">
        <w:instrText xml:space="preserve"> REF _Ref127786842 \r \h </w:instrText>
      </w:r>
      <w:r w:rsidR="00810C1E">
        <w:instrText xml:space="preserve"> \* MERGEFORMAT </w:instrText>
      </w:r>
      <w:r w:rsidR="00557E86" w:rsidRPr="00810C1E">
        <w:fldChar w:fldCharType="separate"/>
      </w:r>
      <w:r w:rsidR="00557E86" w:rsidRPr="00810C1E">
        <w:t>6.46</w:t>
      </w:r>
      <w:r w:rsidR="00557E86" w:rsidRPr="00810C1E">
        <w:fldChar w:fldCharType="end"/>
      </w:r>
      <w:r w:rsidR="00557E86" w:rsidRPr="00810C1E">
        <w:t xml:space="preserve">) </w:t>
      </w:r>
      <w:r w:rsidRPr="00810C1E">
        <w:t xml:space="preserve">and included convergence by 4 years increased the base case ICER from </w:t>
      </w:r>
      <w:r w:rsidR="00D5280E" w:rsidRPr="00D5280E">
        <w:t>$45,000</w:t>
      </w:r>
      <w:r w:rsidR="003B600D">
        <w:t> </w:t>
      </w:r>
      <w:r w:rsidR="00D5280E" w:rsidRPr="00D5280E">
        <w:t>to</w:t>
      </w:r>
      <w:r w:rsidR="003B600D">
        <w:t> </w:t>
      </w:r>
      <w:r w:rsidR="00D5280E" w:rsidRPr="00D5280E">
        <w:t>&lt;</w:t>
      </w:r>
      <w:r w:rsidR="003B600D">
        <w:t> </w:t>
      </w:r>
      <w:r w:rsidR="00D5280E" w:rsidRPr="00D5280E">
        <w:t>$55,000</w:t>
      </w:r>
      <w:r w:rsidRPr="00810C1E">
        <w:t xml:space="preserve"> per QALY gained to </w:t>
      </w:r>
      <w:r w:rsidR="00D5280E" w:rsidRPr="00D5280E">
        <w:t>$75,000</w:t>
      </w:r>
      <w:r w:rsidR="003B600D">
        <w:t> </w:t>
      </w:r>
      <w:r w:rsidR="00D5280E" w:rsidRPr="00D5280E">
        <w:t>to</w:t>
      </w:r>
      <w:r w:rsidR="003B600D">
        <w:t> </w:t>
      </w:r>
      <w:r w:rsidR="00D5280E" w:rsidRPr="00D5280E">
        <w:t>&lt;</w:t>
      </w:r>
      <w:r w:rsidR="003B600D">
        <w:t> </w:t>
      </w:r>
      <w:r w:rsidR="00D5280E" w:rsidRPr="00D5280E">
        <w:t>$95,000</w:t>
      </w:r>
      <w:r w:rsidR="002E5013" w:rsidRPr="00810C1E">
        <w:t xml:space="preserve"> per QALY gained. </w:t>
      </w:r>
      <w:r w:rsidR="00C70800" w:rsidRPr="00810C1E" w:rsidDel="00C70800">
        <w:t xml:space="preserve"> </w:t>
      </w:r>
    </w:p>
    <w:p w14:paraId="51BCBDC8" w14:textId="58CCA5CA" w:rsidR="00861436" w:rsidRPr="003074AF" w:rsidRDefault="00861436" w:rsidP="00BE7594">
      <w:pPr>
        <w:pStyle w:val="COMexecsumnumberedpara"/>
      </w:pPr>
      <w:r w:rsidRPr="003074AF">
        <w:t xml:space="preserve">The impact of </w:t>
      </w:r>
      <w:r w:rsidR="009D7391" w:rsidRPr="003074AF">
        <w:t>second-line</w:t>
      </w:r>
      <w:r w:rsidRPr="003074AF">
        <w:t xml:space="preserve"> use of romosozumab under the existing listing could not be adequately assessed due to lack of data informing the proportion of patients who would progress to </w:t>
      </w:r>
      <w:r w:rsidR="009D7391" w:rsidRPr="003074AF">
        <w:t>second-line</w:t>
      </w:r>
      <w:r w:rsidRPr="003074AF">
        <w:t xml:space="preserve"> romosozumab, underlying fracture risk and fracture outcomes associated with romosozumab in patients previously treated with anti-resorptive therapy. </w:t>
      </w:r>
    </w:p>
    <w:p w14:paraId="047ACF14" w14:textId="756EAB32" w:rsidR="0052319E" w:rsidRPr="003074AF" w:rsidRDefault="00861436" w:rsidP="00531ACE">
      <w:pPr>
        <w:pStyle w:val="COMexecsumnumberedpara"/>
      </w:pPr>
      <w:r w:rsidRPr="003074AF">
        <w:t>The structure of the economic model did not allow sensitivity analyses to assess the impact of fatal cardiovascular events.</w:t>
      </w:r>
    </w:p>
    <w:p w14:paraId="5EC6EF76" w14:textId="77777777" w:rsidR="00861436" w:rsidRPr="003074AF" w:rsidRDefault="00861436" w:rsidP="00BE7594">
      <w:pPr>
        <w:pStyle w:val="ExecSumBodyText"/>
        <w:numPr>
          <w:ilvl w:val="1"/>
          <w:numId w:val="4"/>
        </w:numPr>
      </w:pPr>
      <w:r w:rsidRPr="003074AF">
        <w:t>The resubmission presented a sensitivity analysis using denosumab as an alternative comparator. Annual fracture risks were based on the estimates derived for the alendronate arm in the base case, with an adjustment to vertebral fracture risk based on improved treatment efficacy associated with denosumab compared to alendronate. Hip and other fracture risks were unadjusted. The resubmission assumed the same relative treatment benefit of romosozumab versus alendronate would be applicable to the comparison between romosozumab and denosumab. No data were provided in support of this assumption.</w:t>
      </w:r>
    </w:p>
    <w:p w14:paraId="10DD5929" w14:textId="77777777" w:rsidR="00861436" w:rsidRDefault="00861436" w:rsidP="00761F31">
      <w:pPr>
        <w:pStyle w:val="COMH2-non-numbered"/>
        <w:keepLines/>
      </w:pPr>
      <w:bookmarkStart w:id="52" w:name="_Toc22897646"/>
      <w:bookmarkStart w:id="53" w:name="_Toc120867614"/>
      <w:bookmarkStart w:id="54" w:name="_Toc124858709"/>
      <w:r w:rsidRPr="002C2775">
        <w:lastRenderedPageBreak/>
        <w:t>Drug cost/patient/year</w:t>
      </w:r>
      <w:bookmarkEnd w:id="52"/>
      <w:bookmarkEnd w:id="53"/>
      <w:bookmarkEnd w:id="54"/>
    </w:p>
    <w:p w14:paraId="16B244D3" w14:textId="4E3636A8" w:rsidR="00861436" w:rsidRDefault="00861436" w:rsidP="00761F31">
      <w:pPr>
        <w:pStyle w:val="COMtablefigcaption"/>
        <w:keepLines/>
      </w:pPr>
      <w:bookmarkStart w:id="55" w:name="_Ref104805102"/>
      <w:r>
        <w:t>Table</w:t>
      </w:r>
      <w:r w:rsidR="002031DF">
        <w:t xml:space="preserve"> </w:t>
      </w:r>
      <w:fldSimple w:instr=" SEQ Table \* ARABIC " w:fldLock="1">
        <w:r w:rsidR="00B20BD0">
          <w:rPr>
            <w:noProof/>
          </w:rPr>
          <w:t>12</w:t>
        </w:r>
      </w:fldSimple>
      <w:r>
        <w:t>: Drug cost per patient for romosozumab/alendronate</w:t>
      </w:r>
    </w:p>
    <w:tbl>
      <w:tblPr>
        <w:tblStyle w:val="TableGrid"/>
        <w:tblW w:w="0" w:type="auto"/>
        <w:tblLook w:val="04A0" w:firstRow="1" w:lastRow="0" w:firstColumn="1" w:lastColumn="0" w:noHBand="0" w:noVBand="1"/>
      </w:tblPr>
      <w:tblGrid>
        <w:gridCol w:w="1955"/>
        <w:gridCol w:w="2354"/>
        <w:gridCol w:w="2354"/>
        <w:gridCol w:w="2354"/>
      </w:tblGrid>
      <w:tr w:rsidR="00861436" w:rsidRPr="0039214A" w14:paraId="343B87AC" w14:textId="77777777" w:rsidTr="0077002B">
        <w:tc>
          <w:tcPr>
            <w:tcW w:w="1955" w:type="dxa"/>
          </w:tcPr>
          <w:p w14:paraId="50071EB4" w14:textId="77777777" w:rsidR="00861436" w:rsidRPr="0039214A" w:rsidRDefault="00861436" w:rsidP="00761F31">
            <w:pPr>
              <w:pStyle w:val="TableText0"/>
              <w:keepLines/>
              <w:rPr>
                <w:b/>
                <w:bCs w:val="0"/>
              </w:rPr>
            </w:pPr>
          </w:p>
        </w:tc>
        <w:tc>
          <w:tcPr>
            <w:tcW w:w="2354" w:type="dxa"/>
            <w:vAlign w:val="center"/>
          </w:tcPr>
          <w:p w14:paraId="3C31C73E" w14:textId="77777777" w:rsidR="00861436" w:rsidRPr="0039214A" w:rsidRDefault="00861436" w:rsidP="00761F31">
            <w:pPr>
              <w:pStyle w:val="TableText0"/>
              <w:keepLines/>
              <w:jc w:val="center"/>
              <w:rPr>
                <w:b/>
                <w:bCs w:val="0"/>
              </w:rPr>
            </w:pPr>
            <w:r w:rsidRPr="0039214A">
              <w:rPr>
                <w:b/>
                <w:bCs w:val="0"/>
              </w:rPr>
              <w:t>ARCH trial</w:t>
            </w:r>
          </w:p>
        </w:tc>
        <w:tc>
          <w:tcPr>
            <w:tcW w:w="2354" w:type="dxa"/>
            <w:vAlign w:val="center"/>
          </w:tcPr>
          <w:p w14:paraId="5CB565EC" w14:textId="77777777" w:rsidR="00861436" w:rsidRPr="0039214A" w:rsidRDefault="00861436" w:rsidP="00761F31">
            <w:pPr>
              <w:pStyle w:val="TableText0"/>
              <w:keepLines/>
              <w:jc w:val="center"/>
              <w:rPr>
                <w:b/>
                <w:bCs w:val="0"/>
              </w:rPr>
            </w:pPr>
            <w:r w:rsidRPr="0039214A">
              <w:rPr>
                <w:b/>
                <w:bCs w:val="0"/>
              </w:rPr>
              <w:t>Economic model</w:t>
            </w:r>
          </w:p>
        </w:tc>
        <w:tc>
          <w:tcPr>
            <w:tcW w:w="2354" w:type="dxa"/>
            <w:vAlign w:val="center"/>
          </w:tcPr>
          <w:p w14:paraId="3613E4C1" w14:textId="77777777" w:rsidR="00861436" w:rsidRPr="0039214A" w:rsidRDefault="00861436" w:rsidP="00761F31">
            <w:pPr>
              <w:pStyle w:val="TableText0"/>
              <w:keepLines/>
              <w:jc w:val="center"/>
              <w:rPr>
                <w:b/>
                <w:bCs w:val="0"/>
              </w:rPr>
            </w:pPr>
            <w:r w:rsidRPr="0039214A">
              <w:rPr>
                <w:b/>
                <w:bCs w:val="0"/>
              </w:rPr>
              <w:t>Financial estimates</w:t>
            </w:r>
          </w:p>
        </w:tc>
      </w:tr>
      <w:tr w:rsidR="00861436" w14:paraId="023F509E" w14:textId="77777777" w:rsidTr="0077002B">
        <w:tc>
          <w:tcPr>
            <w:tcW w:w="1955" w:type="dxa"/>
            <w:vAlign w:val="center"/>
          </w:tcPr>
          <w:p w14:paraId="6AD096DE" w14:textId="77777777" w:rsidR="00861436" w:rsidRDefault="00861436" w:rsidP="00761F31">
            <w:pPr>
              <w:pStyle w:val="TableText0"/>
              <w:keepLines/>
            </w:pPr>
            <w:r>
              <w:t>Treatment adherence</w:t>
            </w:r>
          </w:p>
        </w:tc>
        <w:tc>
          <w:tcPr>
            <w:tcW w:w="2354" w:type="dxa"/>
            <w:vAlign w:val="center"/>
          </w:tcPr>
          <w:p w14:paraId="5F38A421" w14:textId="77777777" w:rsidR="00861436" w:rsidRPr="00143D12" w:rsidRDefault="00861436" w:rsidP="00761F31">
            <w:pPr>
              <w:pStyle w:val="TableText0"/>
              <w:keepLines/>
              <w:jc w:val="center"/>
              <w:rPr>
                <w:vertAlign w:val="superscript"/>
              </w:rPr>
            </w:pPr>
            <w:r>
              <w:t xml:space="preserve">Not reported </w:t>
            </w:r>
            <w:r>
              <w:rPr>
                <w:vertAlign w:val="superscript"/>
              </w:rPr>
              <w:t>a</w:t>
            </w:r>
          </w:p>
        </w:tc>
        <w:tc>
          <w:tcPr>
            <w:tcW w:w="2354" w:type="dxa"/>
            <w:vAlign w:val="center"/>
          </w:tcPr>
          <w:p w14:paraId="1AFD6BF8" w14:textId="77777777" w:rsidR="00861436" w:rsidRPr="00143D12" w:rsidRDefault="00861436" w:rsidP="00761F31">
            <w:pPr>
              <w:pStyle w:val="TableText0"/>
              <w:keepLines/>
              <w:jc w:val="center"/>
            </w:pPr>
            <w:r>
              <w:t>90%</w:t>
            </w:r>
            <w:r>
              <w:rPr>
                <w:vertAlign w:val="superscript"/>
              </w:rPr>
              <w:t>b</w:t>
            </w:r>
          </w:p>
        </w:tc>
        <w:tc>
          <w:tcPr>
            <w:tcW w:w="2354" w:type="dxa"/>
            <w:vAlign w:val="center"/>
          </w:tcPr>
          <w:p w14:paraId="0723C4BE" w14:textId="1CE601B8" w:rsidR="00861436" w:rsidRPr="000A3B67" w:rsidRDefault="00861436" w:rsidP="00761F31">
            <w:pPr>
              <w:pStyle w:val="TableText0"/>
              <w:keepLines/>
              <w:jc w:val="center"/>
              <w:rPr>
                <w:highlight w:val="yellow"/>
                <w:vertAlign w:val="superscript"/>
              </w:rPr>
            </w:pPr>
            <w:r w:rsidRPr="000A3B67">
              <w:t>90%</w:t>
            </w:r>
            <w:r w:rsidR="000A3B67" w:rsidRPr="000A3B67">
              <w:t xml:space="preserve"> </w:t>
            </w:r>
            <w:r w:rsidR="000A3B67" w:rsidRPr="000A3B67">
              <w:rPr>
                <w:vertAlign w:val="superscript"/>
              </w:rPr>
              <w:t>b</w:t>
            </w:r>
          </w:p>
        </w:tc>
      </w:tr>
      <w:tr w:rsidR="00861436" w14:paraId="5DA7DFC5" w14:textId="77777777" w:rsidTr="0077002B">
        <w:tc>
          <w:tcPr>
            <w:tcW w:w="1955" w:type="dxa"/>
            <w:vAlign w:val="center"/>
          </w:tcPr>
          <w:p w14:paraId="52047B97" w14:textId="77777777" w:rsidR="00861436" w:rsidRDefault="00861436" w:rsidP="00761F31">
            <w:pPr>
              <w:pStyle w:val="TableText0"/>
              <w:keepLines/>
            </w:pPr>
            <w:r>
              <w:t xml:space="preserve">Treatment persistence </w:t>
            </w:r>
          </w:p>
        </w:tc>
        <w:tc>
          <w:tcPr>
            <w:tcW w:w="2354" w:type="dxa"/>
            <w:vAlign w:val="center"/>
          </w:tcPr>
          <w:p w14:paraId="1106208F" w14:textId="77777777" w:rsidR="00861436" w:rsidRDefault="00861436" w:rsidP="00761F31">
            <w:pPr>
              <w:pStyle w:val="TableText0"/>
              <w:keepLines/>
              <w:jc w:val="center"/>
            </w:pPr>
            <w:r>
              <w:t>Not reported; approximately 90% of patients remained in the study at 1 year</w:t>
            </w:r>
          </w:p>
        </w:tc>
        <w:tc>
          <w:tcPr>
            <w:tcW w:w="2354" w:type="dxa"/>
            <w:vAlign w:val="center"/>
          </w:tcPr>
          <w:p w14:paraId="331BCA1E" w14:textId="77777777" w:rsidR="00861436" w:rsidRPr="00D94131" w:rsidRDefault="00861436" w:rsidP="00761F31">
            <w:pPr>
              <w:pStyle w:val="TableText0"/>
              <w:keepLines/>
              <w:jc w:val="center"/>
            </w:pPr>
            <w:r>
              <w:t>80%</w:t>
            </w:r>
            <w:r>
              <w:rPr>
                <w:vertAlign w:val="superscript"/>
              </w:rPr>
              <w:t>c</w:t>
            </w:r>
          </w:p>
        </w:tc>
        <w:tc>
          <w:tcPr>
            <w:tcW w:w="2354" w:type="dxa"/>
            <w:vAlign w:val="center"/>
          </w:tcPr>
          <w:p w14:paraId="4C25B544" w14:textId="77777777" w:rsidR="00861436" w:rsidRPr="000A3B67" w:rsidRDefault="00861436" w:rsidP="00761F31">
            <w:pPr>
              <w:pStyle w:val="TableText0"/>
              <w:keepLines/>
              <w:jc w:val="center"/>
            </w:pPr>
            <w:r w:rsidRPr="000A3B67">
              <w:t>Not included</w:t>
            </w:r>
          </w:p>
        </w:tc>
      </w:tr>
      <w:tr w:rsidR="00861436" w14:paraId="4A82096D" w14:textId="77777777" w:rsidTr="0077002B">
        <w:tc>
          <w:tcPr>
            <w:tcW w:w="1955" w:type="dxa"/>
            <w:vAlign w:val="center"/>
          </w:tcPr>
          <w:p w14:paraId="0C408241" w14:textId="77777777" w:rsidR="00861436" w:rsidRDefault="00861436" w:rsidP="00761F31">
            <w:pPr>
              <w:pStyle w:val="TableText0"/>
              <w:keepLines/>
            </w:pPr>
            <w:r>
              <w:t>Romosozumab doses/scripts</w:t>
            </w:r>
          </w:p>
        </w:tc>
        <w:tc>
          <w:tcPr>
            <w:tcW w:w="2354" w:type="dxa"/>
            <w:vAlign w:val="center"/>
          </w:tcPr>
          <w:p w14:paraId="21D1AA7E" w14:textId="77777777" w:rsidR="00861436" w:rsidRDefault="00861436" w:rsidP="00761F31">
            <w:pPr>
              <w:pStyle w:val="TableText0"/>
              <w:keepLines/>
              <w:jc w:val="center"/>
            </w:pPr>
            <w:r>
              <w:t>Mean 10.8 doses over 1 year</w:t>
            </w:r>
          </w:p>
        </w:tc>
        <w:tc>
          <w:tcPr>
            <w:tcW w:w="2354" w:type="dxa"/>
            <w:vAlign w:val="center"/>
          </w:tcPr>
          <w:p w14:paraId="03866411" w14:textId="56BCD3F1" w:rsidR="00861436" w:rsidRPr="00C35BFA" w:rsidRDefault="00861436" w:rsidP="00761F31">
            <w:pPr>
              <w:pStyle w:val="TableText0"/>
              <w:keepLines/>
              <w:jc w:val="center"/>
              <w:rPr>
                <w:vertAlign w:val="superscript"/>
              </w:rPr>
            </w:pPr>
            <w:r w:rsidRPr="00C35BFA">
              <w:t>8.64</w:t>
            </w:r>
            <w:r w:rsidRPr="00C35BFA">
              <w:rPr>
                <w:iCs/>
              </w:rPr>
              <w:t xml:space="preserve"> </w:t>
            </w:r>
            <w:r w:rsidRPr="00C35BFA">
              <w:t>doses in Year 1</w:t>
            </w:r>
            <w:r w:rsidRPr="00C35BFA">
              <w:rPr>
                <w:vertAlign w:val="superscript"/>
              </w:rPr>
              <w:t>d</w:t>
            </w:r>
          </w:p>
        </w:tc>
        <w:tc>
          <w:tcPr>
            <w:tcW w:w="2354" w:type="dxa"/>
            <w:vAlign w:val="center"/>
          </w:tcPr>
          <w:p w14:paraId="55B98DCE" w14:textId="22EF7088" w:rsidR="00861436" w:rsidRPr="002E1153" w:rsidRDefault="00861436" w:rsidP="00761F31">
            <w:pPr>
              <w:pStyle w:val="TableText0"/>
              <w:keepLines/>
              <w:jc w:val="center"/>
            </w:pPr>
            <w:r w:rsidRPr="00C35BFA">
              <w:t>10.8 scripts over a year</w:t>
            </w:r>
            <w:r w:rsidR="000A3B67" w:rsidRPr="00C35BFA">
              <w:t xml:space="preserve"> </w:t>
            </w:r>
            <w:r w:rsidRPr="00C35BFA">
              <w:rPr>
                <w:vertAlign w:val="superscript"/>
              </w:rPr>
              <w:t>e</w:t>
            </w:r>
          </w:p>
        </w:tc>
      </w:tr>
      <w:tr w:rsidR="00861436" w14:paraId="78E76B49" w14:textId="77777777" w:rsidTr="0077002B">
        <w:tc>
          <w:tcPr>
            <w:tcW w:w="1955" w:type="dxa"/>
            <w:vAlign w:val="center"/>
          </w:tcPr>
          <w:p w14:paraId="79B08285" w14:textId="77777777" w:rsidR="00861436" w:rsidRDefault="00861436" w:rsidP="00761F31">
            <w:pPr>
              <w:pStyle w:val="TableText0"/>
              <w:keepLines/>
            </w:pPr>
            <w:r>
              <w:t>Follow-up alendronate</w:t>
            </w:r>
          </w:p>
        </w:tc>
        <w:tc>
          <w:tcPr>
            <w:tcW w:w="2354" w:type="dxa"/>
            <w:vAlign w:val="center"/>
          </w:tcPr>
          <w:p w14:paraId="038C260D" w14:textId="77777777" w:rsidR="00861436" w:rsidRDefault="00861436" w:rsidP="00761F31">
            <w:pPr>
              <w:pStyle w:val="TableText0"/>
              <w:keepLines/>
              <w:jc w:val="center"/>
            </w:pPr>
            <w:r>
              <w:t>Not reported</w:t>
            </w:r>
          </w:p>
        </w:tc>
        <w:tc>
          <w:tcPr>
            <w:tcW w:w="2354" w:type="dxa"/>
            <w:vAlign w:val="center"/>
          </w:tcPr>
          <w:p w14:paraId="329C6C68" w14:textId="77777777" w:rsidR="00861436" w:rsidRDefault="00861436" w:rsidP="00761F31">
            <w:pPr>
              <w:pStyle w:val="TableText0"/>
              <w:keepLines/>
              <w:jc w:val="center"/>
            </w:pPr>
            <w:r>
              <w:t>11.7 scripts per year in patients remaining on treatment in subsequent years</w:t>
            </w:r>
            <w:r>
              <w:rPr>
                <w:vertAlign w:val="superscript"/>
              </w:rPr>
              <w:t>f</w:t>
            </w:r>
          </w:p>
        </w:tc>
        <w:tc>
          <w:tcPr>
            <w:tcW w:w="2354" w:type="dxa"/>
            <w:vAlign w:val="center"/>
          </w:tcPr>
          <w:p w14:paraId="35F7A7A6" w14:textId="77777777" w:rsidR="00861436" w:rsidRPr="00F042D3" w:rsidRDefault="00861436" w:rsidP="00761F31">
            <w:pPr>
              <w:pStyle w:val="TableText0"/>
              <w:keepLines/>
              <w:jc w:val="center"/>
              <w:rPr>
                <w:highlight w:val="yellow"/>
              </w:rPr>
            </w:pPr>
            <w:r w:rsidRPr="00651F6E">
              <w:t>Not included</w:t>
            </w:r>
          </w:p>
        </w:tc>
      </w:tr>
      <w:tr w:rsidR="00861436" w14:paraId="0EC33297" w14:textId="77777777" w:rsidTr="0077002B">
        <w:tc>
          <w:tcPr>
            <w:tcW w:w="1955" w:type="dxa"/>
            <w:vAlign w:val="center"/>
          </w:tcPr>
          <w:p w14:paraId="610BC382" w14:textId="77777777" w:rsidR="00861436" w:rsidRDefault="00861436" w:rsidP="00761F31">
            <w:pPr>
              <w:pStyle w:val="TableText0"/>
              <w:keepLines/>
            </w:pPr>
            <w:r>
              <w:t xml:space="preserve">Romosozumab drug cost per patient </w:t>
            </w:r>
          </w:p>
        </w:tc>
        <w:tc>
          <w:tcPr>
            <w:tcW w:w="2354" w:type="dxa"/>
            <w:vAlign w:val="center"/>
          </w:tcPr>
          <w:p w14:paraId="1B5832F6" w14:textId="77777777" w:rsidR="00861436" w:rsidRDefault="00861436" w:rsidP="00761F31">
            <w:pPr>
              <w:pStyle w:val="TableText0"/>
              <w:keepLines/>
              <w:jc w:val="center"/>
            </w:pPr>
            <w:r>
              <w:t>-</w:t>
            </w:r>
          </w:p>
        </w:tc>
        <w:tc>
          <w:tcPr>
            <w:tcW w:w="2354" w:type="dxa"/>
            <w:vAlign w:val="center"/>
          </w:tcPr>
          <w:p w14:paraId="21A7CDF4" w14:textId="73A570BF" w:rsidR="00861436" w:rsidRPr="0062251E" w:rsidRDefault="00861436" w:rsidP="00761F31">
            <w:pPr>
              <w:pStyle w:val="TableText0"/>
              <w:keepLines/>
              <w:jc w:val="center"/>
              <w:rPr>
                <w:vertAlign w:val="superscript"/>
              </w:rPr>
            </w:pPr>
            <w:r w:rsidRPr="0062251E">
              <w:t>$</w:t>
            </w:r>
            <w:r w:rsidR="009E0870" w:rsidRPr="009E0870">
              <w:rPr>
                <w:color w:val="000000"/>
                <w:spacing w:val="50"/>
                <w:shd w:val="solid" w:color="000000" w:fill="000000"/>
                <w:fitText w:val="228" w:id="-1232957428"/>
                <w14:textFill>
                  <w14:solidFill>
                    <w14:srgbClr w14:val="000000">
                      <w14:alpha w14:val="100000"/>
                    </w14:srgbClr>
                  </w14:solidFill>
                </w14:textFill>
              </w:rPr>
              <w:t>||</w:t>
            </w:r>
            <w:r w:rsidR="009E0870" w:rsidRPr="009E0870">
              <w:rPr>
                <w:color w:val="000000"/>
                <w:spacing w:val="1"/>
                <w:shd w:val="solid" w:color="000000" w:fill="000000"/>
                <w:fitText w:val="228" w:id="-1232957428"/>
                <w14:textFill>
                  <w14:solidFill>
                    <w14:srgbClr w14:val="000000">
                      <w14:alpha w14:val="100000"/>
                    </w14:srgbClr>
                  </w14:solidFill>
                </w14:textFill>
              </w:rPr>
              <w:t>|</w:t>
            </w:r>
            <w:r w:rsidRPr="0062251E">
              <w:t xml:space="preserve"> in Year 1</w:t>
            </w:r>
            <w:r w:rsidRPr="0062251E">
              <w:rPr>
                <w:vertAlign w:val="superscript"/>
              </w:rPr>
              <w:t>g</w:t>
            </w:r>
          </w:p>
        </w:tc>
        <w:tc>
          <w:tcPr>
            <w:tcW w:w="2354" w:type="dxa"/>
            <w:vAlign w:val="center"/>
          </w:tcPr>
          <w:p w14:paraId="3D94C12A" w14:textId="5D771A1C" w:rsidR="00861436" w:rsidRPr="00F042D3" w:rsidRDefault="00861436" w:rsidP="00761F31">
            <w:pPr>
              <w:pStyle w:val="TableText0"/>
              <w:keepLines/>
              <w:jc w:val="center"/>
              <w:rPr>
                <w:highlight w:val="yellow"/>
                <w:vertAlign w:val="superscript"/>
              </w:rPr>
            </w:pPr>
            <w:r w:rsidRPr="00651F6E">
              <w:t>$</w:t>
            </w:r>
            <w:r w:rsidR="009E0870" w:rsidRPr="009E0870">
              <w:rPr>
                <w:color w:val="000000"/>
                <w:spacing w:val="55"/>
                <w:shd w:val="solid" w:color="000000" w:fill="000000"/>
                <w:fitText w:val="337" w:id="-1232957427"/>
                <w14:textFill>
                  <w14:solidFill>
                    <w14:srgbClr w14:val="000000">
                      <w14:alpha w14:val="100000"/>
                    </w14:srgbClr>
                  </w14:solidFill>
                </w14:textFill>
              </w:rPr>
              <w:t>|||</w:t>
            </w:r>
            <w:r w:rsidR="009E0870" w:rsidRPr="009E0870">
              <w:rPr>
                <w:color w:val="000000"/>
                <w:spacing w:val="2"/>
                <w:shd w:val="solid" w:color="000000" w:fill="000000"/>
                <w:fitText w:val="337" w:id="-1232957427"/>
                <w14:textFill>
                  <w14:solidFill>
                    <w14:srgbClr w14:val="000000">
                      <w14:alpha w14:val="100000"/>
                    </w14:srgbClr>
                  </w14:solidFill>
                </w14:textFill>
              </w:rPr>
              <w:t>|</w:t>
            </w:r>
            <w:r w:rsidRPr="00651F6E">
              <w:t xml:space="preserve"> over a year</w:t>
            </w:r>
            <w:r w:rsidR="00651F6E" w:rsidRPr="00651F6E">
              <w:t xml:space="preserve"> </w:t>
            </w:r>
            <w:r w:rsidRPr="00651F6E">
              <w:rPr>
                <w:vertAlign w:val="superscript"/>
              </w:rPr>
              <w:t>h</w:t>
            </w:r>
          </w:p>
        </w:tc>
      </w:tr>
      <w:tr w:rsidR="00861436" w14:paraId="04853C4D" w14:textId="77777777" w:rsidTr="0077002B">
        <w:tc>
          <w:tcPr>
            <w:tcW w:w="1955" w:type="dxa"/>
            <w:vAlign w:val="center"/>
          </w:tcPr>
          <w:p w14:paraId="71788586" w14:textId="77777777" w:rsidR="00861436" w:rsidRDefault="00861436" w:rsidP="00761F31">
            <w:pPr>
              <w:pStyle w:val="TableText0"/>
              <w:keepLines/>
            </w:pPr>
            <w:r>
              <w:t>Follow-up alendronate drug cost per patient</w:t>
            </w:r>
          </w:p>
        </w:tc>
        <w:tc>
          <w:tcPr>
            <w:tcW w:w="2354" w:type="dxa"/>
            <w:vAlign w:val="center"/>
          </w:tcPr>
          <w:p w14:paraId="37A74823" w14:textId="77777777" w:rsidR="00861436" w:rsidRDefault="00861436" w:rsidP="00761F31">
            <w:pPr>
              <w:pStyle w:val="TableText0"/>
              <w:keepLines/>
              <w:jc w:val="center"/>
            </w:pPr>
            <w:r>
              <w:t>-</w:t>
            </w:r>
          </w:p>
        </w:tc>
        <w:tc>
          <w:tcPr>
            <w:tcW w:w="2354" w:type="dxa"/>
            <w:vAlign w:val="center"/>
          </w:tcPr>
          <w:p w14:paraId="27873444" w14:textId="77777777" w:rsidR="00861436" w:rsidRPr="000A395E" w:rsidRDefault="00861436" w:rsidP="00761F31">
            <w:pPr>
              <w:pStyle w:val="TableText0"/>
              <w:keepLines/>
              <w:jc w:val="center"/>
            </w:pPr>
            <w:r w:rsidRPr="000A395E">
              <w:t>$189</w:t>
            </w:r>
            <w:r w:rsidRPr="000A395E">
              <w:rPr>
                <w:vertAlign w:val="superscript"/>
              </w:rPr>
              <w:t>i</w:t>
            </w:r>
            <w:r w:rsidRPr="000A395E">
              <w:t xml:space="preserve"> per year in patients remaining on treatment in subsequent years</w:t>
            </w:r>
          </w:p>
        </w:tc>
        <w:tc>
          <w:tcPr>
            <w:tcW w:w="2354" w:type="dxa"/>
            <w:vAlign w:val="center"/>
          </w:tcPr>
          <w:p w14:paraId="08ECEE79" w14:textId="77777777" w:rsidR="00861436" w:rsidRPr="00F042D3" w:rsidRDefault="00861436" w:rsidP="00761F31">
            <w:pPr>
              <w:pStyle w:val="TableText0"/>
              <w:keepLines/>
              <w:jc w:val="center"/>
              <w:rPr>
                <w:highlight w:val="yellow"/>
              </w:rPr>
            </w:pPr>
            <w:r w:rsidRPr="008D36AC">
              <w:t>Not included</w:t>
            </w:r>
          </w:p>
        </w:tc>
      </w:tr>
    </w:tbl>
    <w:p w14:paraId="06670D20" w14:textId="0343FFA2" w:rsidR="00861436" w:rsidRDefault="00861436" w:rsidP="00761F31">
      <w:pPr>
        <w:pStyle w:val="COMTablefooter"/>
        <w:keepNext/>
        <w:keepLines/>
      </w:pPr>
      <w:r>
        <w:t xml:space="preserve">Source: </w:t>
      </w:r>
      <w:r w:rsidR="009D6FEC">
        <w:t>Sections 3 and 4 of the resubmission, ARCH clinical study report.</w:t>
      </w:r>
    </w:p>
    <w:p w14:paraId="3A6F2C1D" w14:textId="77777777" w:rsidR="00861436" w:rsidRDefault="00861436" w:rsidP="00761F31">
      <w:pPr>
        <w:pStyle w:val="COMTablefooter"/>
        <w:keepNext/>
        <w:keepLines/>
      </w:pPr>
      <w:r>
        <w:rPr>
          <w:vertAlign w:val="superscript"/>
        </w:rPr>
        <w:t xml:space="preserve">a </w:t>
      </w:r>
      <w:r>
        <w:t xml:space="preserve">Drug exposure data (i.e. reported as mean doses administered) did not differentiate between adherence and persistence  </w:t>
      </w:r>
    </w:p>
    <w:p w14:paraId="55FC23CF" w14:textId="77777777" w:rsidR="00861436" w:rsidRDefault="00861436" w:rsidP="00761F31">
      <w:pPr>
        <w:pStyle w:val="COMTablefooter"/>
        <w:keepNext/>
        <w:keepLines/>
      </w:pPr>
      <w:r w:rsidRPr="00143D12">
        <w:rPr>
          <w:vertAlign w:val="superscript"/>
        </w:rPr>
        <w:t>b</w:t>
      </w:r>
      <w:r>
        <w:t xml:space="preserve"> </w:t>
      </w:r>
      <w:r w:rsidRPr="00143D12">
        <w:t>Calculated</w:t>
      </w:r>
      <w:r>
        <w:t xml:space="preserve"> using drug exposure data from the ARCH trial, mean 10.8 doses divided by expected number of doses at full adherence and persistence (12 doses) </w:t>
      </w:r>
    </w:p>
    <w:p w14:paraId="44F69CC8" w14:textId="77777777" w:rsidR="00861436" w:rsidRPr="00071E06" w:rsidRDefault="00861436" w:rsidP="00761F31">
      <w:pPr>
        <w:pStyle w:val="COMTablefooter"/>
        <w:keepNext/>
        <w:keepLines/>
      </w:pPr>
      <w:r>
        <w:rPr>
          <w:vertAlign w:val="superscript"/>
        </w:rPr>
        <w:t>c</w:t>
      </w:r>
      <w:r>
        <w:t xml:space="preserve"> Assumption based on PBAC advice</w:t>
      </w:r>
    </w:p>
    <w:p w14:paraId="43E983AA" w14:textId="77777777" w:rsidR="00861436" w:rsidRDefault="00861436" w:rsidP="00761F31">
      <w:pPr>
        <w:pStyle w:val="COMTablefooter"/>
        <w:keepNext/>
        <w:keepLines/>
      </w:pPr>
      <w:r>
        <w:rPr>
          <w:vertAlign w:val="superscript"/>
        </w:rPr>
        <w:t>d</w:t>
      </w:r>
      <w:r>
        <w:t xml:space="preserve"> Assuming 90% adherence and 80% persistence, applied to 12 doses</w:t>
      </w:r>
    </w:p>
    <w:p w14:paraId="706CF6E2" w14:textId="77777777" w:rsidR="00861436" w:rsidRDefault="00861436" w:rsidP="00761F31">
      <w:pPr>
        <w:pStyle w:val="COMTablefooter"/>
        <w:keepNext/>
        <w:keepLines/>
      </w:pPr>
      <w:r w:rsidRPr="000A3B67">
        <w:rPr>
          <w:vertAlign w:val="superscript"/>
        </w:rPr>
        <w:t>e</w:t>
      </w:r>
      <w:r w:rsidRPr="000A3B67">
        <w:t xml:space="preserve"> Assuming 90% adherence, applied to 12 doses</w:t>
      </w:r>
    </w:p>
    <w:p w14:paraId="1F482C0C" w14:textId="77777777" w:rsidR="00861436" w:rsidRDefault="00861436" w:rsidP="00761F31">
      <w:pPr>
        <w:pStyle w:val="COMTablefooter"/>
        <w:keepNext/>
        <w:keepLines/>
      </w:pPr>
      <w:r w:rsidRPr="000F2F05">
        <w:rPr>
          <w:vertAlign w:val="superscript"/>
        </w:rPr>
        <w:t>f</w:t>
      </w:r>
      <w:r>
        <w:t xml:space="preserve"> Assuming 90% adherence, applied to 13 doses</w:t>
      </w:r>
    </w:p>
    <w:p w14:paraId="2ECE8A39" w14:textId="5531F6CF" w:rsidR="00861436" w:rsidRPr="00916B9A" w:rsidRDefault="00861436" w:rsidP="00761F31">
      <w:pPr>
        <w:pStyle w:val="COMTablefooter"/>
        <w:keepNext/>
        <w:keepLines/>
      </w:pPr>
      <w:r w:rsidRPr="00916B9A">
        <w:rPr>
          <w:vertAlign w:val="superscript"/>
        </w:rPr>
        <w:t>g</w:t>
      </w:r>
      <w:r w:rsidRPr="00916B9A">
        <w:t xml:space="preserve"> $</w:t>
      </w:r>
      <w:r w:rsidR="009E0870" w:rsidRPr="009E0870">
        <w:rPr>
          <w:color w:val="000000"/>
          <w:spacing w:val="22"/>
          <w:shd w:val="solid" w:color="000000" w:fill="000000"/>
          <w:fitText w:val="473" w:id="-1232957426"/>
          <w14:textFill>
            <w14:solidFill>
              <w14:srgbClr w14:val="000000">
                <w14:alpha w14:val="100000"/>
              </w14:srgbClr>
            </w14:solidFill>
          </w14:textFill>
        </w:rPr>
        <w:t>|||  ||</w:t>
      </w:r>
      <w:r w:rsidR="009E0870" w:rsidRPr="009E0870">
        <w:rPr>
          <w:color w:val="000000"/>
          <w:spacing w:val="7"/>
          <w:shd w:val="solid" w:color="000000" w:fill="000000"/>
          <w:fitText w:val="473" w:id="-1232957426"/>
          <w14:textFill>
            <w14:solidFill>
              <w14:srgbClr w14:val="000000">
                <w14:alpha w14:val="100000"/>
              </w14:srgbClr>
            </w14:solidFill>
          </w14:textFill>
        </w:rPr>
        <w:t>|</w:t>
      </w:r>
      <w:r w:rsidRPr="00916B9A">
        <w:t xml:space="preserve"> (proposed effective DPMQ) x </w:t>
      </w:r>
      <w:r w:rsidRPr="00C35BFA">
        <w:t>8.64 scripts</w:t>
      </w:r>
      <w:r w:rsidRPr="00916B9A">
        <w:t xml:space="preserve"> </w:t>
      </w:r>
    </w:p>
    <w:p w14:paraId="44997995" w14:textId="36471CED" w:rsidR="00861436" w:rsidRPr="00651F6E" w:rsidRDefault="00861436" w:rsidP="00761F31">
      <w:pPr>
        <w:pStyle w:val="COMTablefooter"/>
        <w:keepNext/>
        <w:keepLines/>
      </w:pPr>
      <w:r w:rsidRPr="00916B9A">
        <w:rPr>
          <w:vertAlign w:val="superscript"/>
        </w:rPr>
        <w:t>h</w:t>
      </w:r>
      <w:r w:rsidRPr="00916B9A">
        <w:t xml:space="preserve"> $</w:t>
      </w:r>
      <w:r w:rsidR="009E0870" w:rsidRPr="009E0870">
        <w:rPr>
          <w:color w:val="000000"/>
          <w:spacing w:val="22"/>
          <w:shd w:val="solid" w:color="000000" w:fill="000000"/>
          <w:fitText w:val="473" w:id="-1232957425"/>
          <w14:textFill>
            <w14:solidFill>
              <w14:srgbClr w14:val="000000">
                <w14:alpha w14:val="100000"/>
              </w14:srgbClr>
            </w14:solidFill>
          </w14:textFill>
        </w:rPr>
        <w:t>|||  ||</w:t>
      </w:r>
      <w:r w:rsidR="009E0870" w:rsidRPr="009E0870">
        <w:rPr>
          <w:color w:val="000000"/>
          <w:spacing w:val="7"/>
          <w:shd w:val="solid" w:color="000000" w:fill="000000"/>
          <w:fitText w:val="473" w:id="-1232957425"/>
          <w14:textFill>
            <w14:solidFill>
              <w14:srgbClr w14:val="000000">
                <w14:alpha w14:val="100000"/>
              </w14:srgbClr>
            </w14:solidFill>
          </w14:textFill>
        </w:rPr>
        <w:t>|</w:t>
      </w:r>
      <w:r w:rsidRPr="00916B9A">
        <w:t xml:space="preserve"> (proposed effective </w:t>
      </w:r>
      <w:r w:rsidRPr="00651F6E">
        <w:t xml:space="preserve">DPMQ) x </w:t>
      </w:r>
      <w:r w:rsidRPr="00C35BFA">
        <w:t>10.8</w:t>
      </w:r>
      <w:r w:rsidRPr="00651F6E">
        <w:t xml:space="preserve"> scripts/year </w:t>
      </w:r>
    </w:p>
    <w:p w14:paraId="4EDA30E7" w14:textId="4AA5A13C" w:rsidR="00861436" w:rsidRDefault="00861436" w:rsidP="002E1153">
      <w:pPr>
        <w:pStyle w:val="COMTablefooter"/>
        <w:keepNext/>
        <w:keepLines/>
        <w:spacing w:after="0"/>
      </w:pPr>
      <w:r w:rsidRPr="000A395E">
        <w:rPr>
          <w:vertAlign w:val="superscript"/>
        </w:rPr>
        <w:t>i</w:t>
      </w:r>
      <w:r w:rsidRPr="000A395E">
        <w:t xml:space="preserve"> $16.19 (October 2022 DPMQ, PBS Item 8511Y) x 11.7 scripts/year</w:t>
      </w:r>
    </w:p>
    <w:p w14:paraId="268768EF" w14:textId="223D5E48" w:rsidR="00B60939" w:rsidRPr="00C9624D" w:rsidRDefault="00B60939" w:rsidP="002B05A1">
      <w:pPr>
        <w:pStyle w:val="COMH2-non-numbered"/>
      </w:pPr>
      <w:bookmarkStart w:id="56" w:name="_Toc124858710"/>
      <w:bookmarkEnd w:id="55"/>
      <w:r w:rsidRPr="00C9624D">
        <w:t>Estimated PBS usage &amp; financial implications</w:t>
      </w:r>
      <w:bookmarkEnd w:id="37"/>
      <w:bookmarkEnd w:id="56"/>
    </w:p>
    <w:p w14:paraId="313A0CCB" w14:textId="176A9A0B" w:rsidR="00F23F3B" w:rsidRPr="00D0378E" w:rsidRDefault="00C25D9C" w:rsidP="00F23F3B">
      <w:pPr>
        <w:pStyle w:val="ExecSumBodyText"/>
        <w:numPr>
          <w:ilvl w:val="1"/>
          <w:numId w:val="4"/>
        </w:numPr>
        <w:spacing w:after="0"/>
        <w:rPr>
          <w:color w:val="0066FF"/>
        </w:rPr>
      </w:pPr>
      <w:r>
        <w:t xml:space="preserve">This </w:t>
      </w:r>
      <w:r w:rsidR="00A85341">
        <w:t>re</w:t>
      </w:r>
      <w:r>
        <w:t xml:space="preserve">submission </w:t>
      </w:r>
      <w:r w:rsidR="00B201A4" w:rsidRPr="00567F97">
        <w:t>w</w:t>
      </w:r>
      <w:r w:rsidR="00C7281A">
        <w:t xml:space="preserve">as </w:t>
      </w:r>
      <w:r w:rsidR="002031DF" w:rsidRPr="00567F97">
        <w:t>not</w:t>
      </w:r>
      <w:r w:rsidRPr="00567F97">
        <w:t xml:space="preserve"> considered</w:t>
      </w:r>
      <w:r>
        <w:t xml:space="preserve"> by DUSC</w:t>
      </w:r>
      <w:r w:rsidRPr="00F23F3B">
        <w:t>.</w:t>
      </w:r>
      <w:r w:rsidR="00BC591F" w:rsidRPr="00F23F3B">
        <w:t xml:space="preserve"> </w:t>
      </w:r>
      <w:r w:rsidR="00F23F3B" w:rsidRPr="00F23F3B">
        <w:t>T</w:t>
      </w:r>
      <w:r w:rsidR="00F23F3B" w:rsidRPr="00D0378E">
        <w:t>he resubmission used a</w:t>
      </w:r>
      <w:r w:rsidR="00F23F3B">
        <w:t xml:space="preserve"> mixed </w:t>
      </w:r>
      <w:r w:rsidR="00F23F3B" w:rsidRPr="00D0378E">
        <w:t>epidemiological</w:t>
      </w:r>
      <w:r w:rsidR="00F23F3B">
        <w:t>/market share</w:t>
      </w:r>
      <w:r w:rsidR="00F23F3B" w:rsidRPr="00D0378E">
        <w:t xml:space="preserve"> approach to estimate the utilisation and financial impact of romosozumab, based on the following additional subpopulations excluding patients already eligible for romosozumab under the existing listing:</w:t>
      </w:r>
    </w:p>
    <w:p w14:paraId="1B0995AD" w14:textId="485A2CCE" w:rsidR="00F23F3B" w:rsidRPr="00BF2DE4" w:rsidRDefault="00F23F3B" w:rsidP="00817158">
      <w:pPr>
        <w:pStyle w:val="ListParagraph"/>
        <w:numPr>
          <w:ilvl w:val="0"/>
          <w:numId w:val="11"/>
        </w:numPr>
        <w:spacing w:after="0"/>
        <w:contextualSpacing/>
      </w:pPr>
      <w:r w:rsidRPr="00BF2DE4">
        <w:t>First</w:t>
      </w:r>
      <w:r w:rsidR="00FE4D70">
        <w:t>-</w:t>
      </w:r>
      <w:r w:rsidRPr="00BF2DE4">
        <w:t xml:space="preserve">line population </w:t>
      </w:r>
      <w:r>
        <w:t xml:space="preserve">who are initiating osteoporosis treatment, </w:t>
      </w:r>
      <w:r w:rsidR="00793446">
        <w:t xml:space="preserve">with </w:t>
      </w:r>
      <w:r w:rsidRPr="00BF2DE4">
        <w:t xml:space="preserve">multiple </w:t>
      </w:r>
      <w:r w:rsidR="00793446">
        <w:t>symptomatic</w:t>
      </w:r>
      <w:r w:rsidRPr="00BF2DE4">
        <w:t xml:space="preserve"> fractures or a single hip</w:t>
      </w:r>
      <w:r>
        <w:t>/</w:t>
      </w:r>
      <w:r w:rsidR="00793446">
        <w:t>symptomatic</w:t>
      </w:r>
      <w:r w:rsidRPr="00BF2DE4">
        <w:t xml:space="preserve"> vertebral fracture, and BMD T-score </w:t>
      </w:r>
      <w:r w:rsidRPr="00BF2DE4">
        <w:rPr>
          <w:rFonts w:cs="Calibri"/>
        </w:rPr>
        <w:t>≤</w:t>
      </w:r>
      <w:r w:rsidRPr="00BF2DE4">
        <w:t>-2.5</w:t>
      </w:r>
      <w:r w:rsidR="00F610BF">
        <w:t>.</w:t>
      </w:r>
    </w:p>
    <w:p w14:paraId="57E55246" w14:textId="44560BF5" w:rsidR="00257DDD" w:rsidRPr="00257DDD" w:rsidRDefault="00F23F3B" w:rsidP="00817158">
      <w:pPr>
        <w:pStyle w:val="ListParagraph"/>
        <w:numPr>
          <w:ilvl w:val="0"/>
          <w:numId w:val="11"/>
        </w:numPr>
        <w:spacing w:after="0"/>
        <w:contextualSpacing/>
      </w:pPr>
      <w:r w:rsidRPr="00257DDD">
        <w:t>Second</w:t>
      </w:r>
      <w:r w:rsidR="00FE4D70">
        <w:t>-</w:t>
      </w:r>
      <w:r w:rsidRPr="00257DDD">
        <w:t xml:space="preserve">line population with multiple fractures including </w:t>
      </w:r>
      <w:r w:rsidRPr="00257DDD">
        <w:rPr>
          <w:rFonts w:cs="Calibri"/>
        </w:rPr>
        <w:t xml:space="preserve">at least one </w:t>
      </w:r>
      <w:r w:rsidRPr="00257DDD">
        <w:t xml:space="preserve">symptomatic fracture </w:t>
      </w:r>
      <w:r w:rsidR="00793446" w:rsidRPr="00257DDD">
        <w:t>whilst on osteoporosis treatment</w:t>
      </w:r>
      <w:r w:rsidRPr="00257DDD">
        <w:t xml:space="preserve">, and BMD T-score </w:t>
      </w:r>
      <w:r w:rsidRPr="00257DDD">
        <w:rPr>
          <w:rFonts w:cs="Calibri"/>
        </w:rPr>
        <w:t>≤</w:t>
      </w:r>
      <w:r w:rsidRPr="00257DDD">
        <w:t xml:space="preserve">-2.5 and </w:t>
      </w:r>
      <w:r w:rsidRPr="00257DDD">
        <w:br/>
        <w:t>&gt;-3.0.</w:t>
      </w:r>
    </w:p>
    <w:p w14:paraId="16EF4367" w14:textId="38690832" w:rsidR="002B05A1" w:rsidRPr="00672A57" w:rsidRDefault="00F23F3B" w:rsidP="00817158">
      <w:pPr>
        <w:pStyle w:val="ListParagraph"/>
        <w:numPr>
          <w:ilvl w:val="0"/>
          <w:numId w:val="11"/>
        </w:numPr>
        <w:ind w:left="1077" w:hanging="357"/>
        <w:contextualSpacing/>
      </w:pPr>
      <w:r w:rsidRPr="00672A57">
        <w:t>Second</w:t>
      </w:r>
      <w:r w:rsidR="00FE4D70">
        <w:t>-</w:t>
      </w:r>
      <w:r w:rsidRPr="00672A57">
        <w:t xml:space="preserve">line population with a single </w:t>
      </w:r>
      <w:r w:rsidR="00672A57" w:rsidRPr="00672A57">
        <w:t>hip/</w:t>
      </w:r>
      <w:r w:rsidRPr="00672A57">
        <w:t>symptomatic</w:t>
      </w:r>
      <w:r w:rsidR="00672A57" w:rsidRPr="00672A57">
        <w:t xml:space="preserve"> vertebral</w:t>
      </w:r>
      <w:r w:rsidRPr="00672A57">
        <w:t xml:space="preserve"> fracture</w:t>
      </w:r>
      <w:r w:rsidR="00672A57" w:rsidRPr="00672A57">
        <w:t xml:space="preserve"> whilst on osteoporosis treatment,</w:t>
      </w:r>
      <w:r w:rsidRPr="00672A57">
        <w:t xml:space="preserve"> and BMD T-score </w:t>
      </w:r>
      <w:r w:rsidRPr="00672A57">
        <w:rPr>
          <w:rFonts w:cs="Calibri"/>
        </w:rPr>
        <w:t>≤</w:t>
      </w:r>
      <w:r w:rsidRPr="00672A57">
        <w:t xml:space="preserve">-2.5. </w:t>
      </w:r>
    </w:p>
    <w:p w14:paraId="2DE50FE0" w14:textId="3FA42046" w:rsidR="00A71428" w:rsidRPr="005F6E7C" w:rsidRDefault="006573C3" w:rsidP="00BE7594">
      <w:pPr>
        <w:pStyle w:val="COMexecsumnumberedpara"/>
        <w:rPr>
          <w:color w:val="0066FF"/>
        </w:rPr>
      </w:pPr>
      <w:r>
        <w:t>The resubmission stated that this section was heavily revised from the July 2022 resubmission.</w:t>
      </w:r>
      <w:r w:rsidRPr="006573C3">
        <w:rPr>
          <w:i/>
          <w:iCs/>
        </w:rPr>
        <w:t xml:space="preserve"> </w:t>
      </w:r>
      <w:r w:rsidR="00AE5419" w:rsidRPr="003074AF">
        <w:t>Some of the</w:t>
      </w:r>
      <w:r w:rsidRPr="003074AF">
        <w:t xml:space="preserve"> steps taken to estimate the eligible population in the current resubmission were changed to </w:t>
      </w:r>
      <w:r w:rsidR="00CB2175" w:rsidRPr="003074AF">
        <w:t xml:space="preserve">better </w:t>
      </w:r>
      <w:r w:rsidRPr="003074AF">
        <w:t xml:space="preserve">match the new requested restriction. However, </w:t>
      </w:r>
      <w:r w:rsidR="00FA2D08" w:rsidRPr="003074AF">
        <w:t>many of the</w:t>
      </w:r>
      <w:r w:rsidRPr="003074AF">
        <w:t xml:space="preserve"> data sources and steps </w:t>
      </w:r>
      <w:r w:rsidR="00FA2D08" w:rsidRPr="003074AF">
        <w:t>were unchanged from</w:t>
      </w:r>
      <w:r w:rsidRPr="003074AF">
        <w:t xml:space="preserve"> the July 2022 resubmission.</w:t>
      </w:r>
      <w:r w:rsidR="00A050DB" w:rsidRPr="003074AF">
        <w:t xml:space="preserve"> </w:t>
      </w:r>
      <w:r w:rsidR="00FB6111" w:rsidRPr="00810C1E">
        <w:t>The PSCR note</w:t>
      </w:r>
      <w:r w:rsidR="000E7A5B">
        <w:t>d</w:t>
      </w:r>
      <w:r w:rsidR="00FB6111" w:rsidRPr="00810C1E">
        <w:t xml:space="preserve"> the financial estimates continue to rely on the number of patients who receive PBS subsidised osteoporosis therapy as the source of the </w:t>
      </w:r>
      <w:r w:rsidR="00FB6111" w:rsidRPr="00810C1E">
        <w:lastRenderedPageBreak/>
        <w:t>starting population and indicates this was a conscious decision to minimise the number of assumptions in an already complex analysis.</w:t>
      </w:r>
      <w:r w:rsidR="00FB6111" w:rsidRPr="005F6E7C">
        <w:rPr>
          <w:i/>
          <w:iCs/>
        </w:rPr>
        <w:t xml:space="preserve">  </w:t>
      </w:r>
    </w:p>
    <w:p w14:paraId="51F1F149" w14:textId="3A1AB6D6" w:rsidR="00B33566" w:rsidRPr="003074AF" w:rsidRDefault="00A050DB" w:rsidP="00BE7594">
      <w:pPr>
        <w:pStyle w:val="COMexecsumnumberedpara"/>
        <w:rPr>
          <w:color w:val="0066FF"/>
        </w:rPr>
      </w:pPr>
      <w:r w:rsidRPr="003074AF">
        <w:t xml:space="preserve">A comparison of patient populations in the July 2022 resubmission, the current resubmission and the current requested PBS restriction are presented in </w:t>
      </w:r>
      <w:r w:rsidRPr="003074AF">
        <w:fldChar w:fldCharType="begin" w:fldLock="1"/>
      </w:r>
      <w:r w:rsidRPr="003074AF">
        <w:instrText xml:space="preserve"> REF _Ref121683965 \h </w:instrText>
      </w:r>
      <w:r w:rsidR="003074AF">
        <w:instrText xml:space="preserve"> \* MERGEFORMAT </w:instrText>
      </w:r>
      <w:r w:rsidRPr="003074AF">
        <w:fldChar w:fldCharType="separate"/>
      </w:r>
      <w:r w:rsidR="00605CB9" w:rsidRPr="003074AF">
        <w:t>Table </w:t>
      </w:r>
      <w:r w:rsidR="00605CB9" w:rsidRPr="003074AF">
        <w:rPr>
          <w:noProof/>
        </w:rPr>
        <w:t>13</w:t>
      </w:r>
      <w:r w:rsidRPr="003074AF">
        <w:fldChar w:fldCharType="end"/>
      </w:r>
      <w:r w:rsidRPr="003074AF">
        <w:t>.</w:t>
      </w:r>
    </w:p>
    <w:p w14:paraId="568CA793" w14:textId="0852B04B" w:rsidR="00A050DB" w:rsidRPr="00EF27E3" w:rsidRDefault="00A050DB" w:rsidP="004A4DDD">
      <w:pPr>
        <w:pStyle w:val="COMtablefigcaption"/>
        <w:keepLines/>
      </w:pPr>
      <w:bookmarkStart w:id="57" w:name="_Ref121683965"/>
      <w:r w:rsidRPr="00610826">
        <w:t xml:space="preserve">Table </w:t>
      </w:r>
      <w:fldSimple w:instr=" SEQ Table \* ARABIC " w:fldLock="1">
        <w:r w:rsidR="00B20BD0">
          <w:rPr>
            <w:noProof/>
          </w:rPr>
          <w:t>13</w:t>
        </w:r>
      </w:fldSimple>
      <w:bookmarkEnd w:id="57"/>
      <w:r w:rsidRPr="00610826">
        <w:t xml:space="preserve">: </w:t>
      </w:r>
      <w:r>
        <w:t>Comparison of patient populations in July 2022 resubmission, current resubmission, and requested PBS restriction</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96"/>
        <w:gridCol w:w="2390"/>
        <w:gridCol w:w="2760"/>
        <w:gridCol w:w="2576"/>
      </w:tblGrid>
      <w:tr w:rsidR="00A050DB" w:rsidRPr="00EF27E3" w14:paraId="1A3D469D" w14:textId="77777777" w:rsidTr="0077002B">
        <w:trPr>
          <w:cantSplit/>
          <w:tblHeader/>
        </w:trPr>
        <w:tc>
          <w:tcPr>
            <w:tcW w:w="1296" w:type="dxa"/>
            <w:vAlign w:val="center"/>
          </w:tcPr>
          <w:p w14:paraId="6D059E99" w14:textId="77777777" w:rsidR="00A050DB" w:rsidRPr="00EF27E3" w:rsidRDefault="00A050DB" w:rsidP="004A4DDD">
            <w:pPr>
              <w:pStyle w:val="TableHeading"/>
              <w:keepLines/>
              <w:widowControl w:val="0"/>
            </w:pPr>
            <w:r>
              <w:t>Subpopulations</w:t>
            </w:r>
          </w:p>
        </w:tc>
        <w:tc>
          <w:tcPr>
            <w:tcW w:w="2390" w:type="dxa"/>
            <w:vAlign w:val="center"/>
          </w:tcPr>
          <w:p w14:paraId="0BA23884" w14:textId="77777777" w:rsidR="00A050DB" w:rsidRPr="00EF27E3" w:rsidRDefault="00A050DB" w:rsidP="004A4DDD">
            <w:pPr>
              <w:pStyle w:val="TableHeading"/>
              <w:keepLines/>
              <w:widowControl w:val="0"/>
            </w:pPr>
            <w:r>
              <w:t>July 2022 resubmission</w:t>
            </w:r>
          </w:p>
        </w:tc>
        <w:tc>
          <w:tcPr>
            <w:tcW w:w="2760" w:type="dxa"/>
            <w:vAlign w:val="center"/>
          </w:tcPr>
          <w:p w14:paraId="695EC6D7" w14:textId="77777777" w:rsidR="00A050DB" w:rsidRDefault="00A050DB" w:rsidP="004A4DDD">
            <w:pPr>
              <w:pStyle w:val="TableHeading"/>
              <w:keepLines/>
              <w:widowControl w:val="0"/>
            </w:pPr>
            <w:r>
              <w:t>Current resubmission</w:t>
            </w:r>
          </w:p>
        </w:tc>
        <w:tc>
          <w:tcPr>
            <w:tcW w:w="2576" w:type="dxa"/>
          </w:tcPr>
          <w:p w14:paraId="73FF0A5B" w14:textId="77777777" w:rsidR="00A050DB" w:rsidRDefault="00A050DB" w:rsidP="004A4DDD">
            <w:pPr>
              <w:pStyle w:val="TableHeading"/>
              <w:keepLines/>
              <w:widowControl w:val="0"/>
            </w:pPr>
            <w:r>
              <w:t>Relevant sections of requested restriction (current resubmission)</w:t>
            </w:r>
          </w:p>
        </w:tc>
      </w:tr>
      <w:tr w:rsidR="00A050DB" w:rsidRPr="008D0E60" w14:paraId="2D7B822B" w14:textId="77777777" w:rsidTr="0077002B">
        <w:trPr>
          <w:cantSplit/>
        </w:trPr>
        <w:tc>
          <w:tcPr>
            <w:tcW w:w="1296" w:type="dxa"/>
            <w:vAlign w:val="center"/>
          </w:tcPr>
          <w:p w14:paraId="3BCAAAC2" w14:textId="77777777" w:rsidR="00A050DB" w:rsidRPr="009E1919" w:rsidRDefault="00A050DB" w:rsidP="004A4DDD">
            <w:pPr>
              <w:pStyle w:val="TableText0"/>
              <w:keepLines/>
              <w:widowControl w:val="0"/>
            </w:pPr>
            <w:r>
              <w:t>First-line</w:t>
            </w:r>
          </w:p>
        </w:tc>
        <w:tc>
          <w:tcPr>
            <w:tcW w:w="2390" w:type="dxa"/>
            <w:vAlign w:val="center"/>
          </w:tcPr>
          <w:p w14:paraId="6905B761" w14:textId="77777777" w:rsidR="00A050DB" w:rsidRPr="00774A16" w:rsidRDefault="00A050DB" w:rsidP="004A4DDD">
            <w:pPr>
              <w:pStyle w:val="TableText0"/>
              <w:keepLines/>
              <w:widowControl w:val="0"/>
            </w:pPr>
            <w:r w:rsidRPr="00774A16">
              <w:t xml:space="preserve">- &lt;12 </w:t>
            </w:r>
            <w:r>
              <w:t>months</w:t>
            </w:r>
            <w:r w:rsidRPr="00774A16">
              <w:t xml:space="preserve"> osteoporosis therapy</w:t>
            </w:r>
          </w:p>
          <w:p w14:paraId="1B58FB74" w14:textId="77777777" w:rsidR="00A050DB" w:rsidRPr="00774A16" w:rsidRDefault="00A050DB" w:rsidP="004A4DDD">
            <w:pPr>
              <w:pStyle w:val="TableText0"/>
              <w:keepLines/>
              <w:widowControl w:val="0"/>
            </w:pPr>
            <w:r w:rsidRPr="00774A16">
              <w:t>- BMD ≤-2.5</w:t>
            </w:r>
          </w:p>
          <w:p w14:paraId="3FB3443E" w14:textId="77777777" w:rsidR="00A050DB" w:rsidRPr="00774A16" w:rsidRDefault="00A050DB" w:rsidP="004A4DDD">
            <w:pPr>
              <w:pStyle w:val="TableText0"/>
              <w:keepLines/>
              <w:widowControl w:val="0"/>
            </w:pPr>
            <w:r w:rsidRPr="00774A16">
              <w:t>- with a prevalent fracture</w:t>
            </w:r>
          </w:p>
          <w:p w14:paraId="5B4DD3B7" w14:textId="77777777" w:rsidR="00A050DB" w:rsidRPr="00774A16" w:rsidRDefault="00A050DB" w:rsidP="004A4DDD">
            <w:pPr>
              <w:pStyle w:val="TableText0"/>
              <w:keepLines/>
              <w:widowControl w:val="0"/>
            </w:pPr>
            <w:r w:rsidRPr="00774A16">
              <w:t>- multiple symptomatic fractures, or</w:t>
            </w:r>
          </w:p>
          <w:p w14:paraId="53C00179" w14:textId="77777777" w:rsidR="00A050DB" w:rsidRPr="00774A16" w:rsidRDefault="00A050DB" w:rsidP="004A4DDD">
            <w:pPr>
              <w:pStyle w:val="TableText0"/>
              <w:keepLines/>
              <w:widowControl w:val="0"/>
            </w:pPr>
            <w:r w:rsidRPr="00774A16">
              <w:t>- single hip or symptomatic vertebral fracture</w:t>
            </w:r>
          </w:p>
        </w:tc>
        <w:tc>
          <w:tcPr>
            <w:tcW w:w="2760" w:type="dxa"/>
            <w:vAlign w:val="center"/>
          </w:tcPr>
          <w:p w14:paraId="080571AD" w14:textId="77777777" w:rsidR="00A050DB" w:rsidRPr="00774A16" w:rsidRDefault="00A050DB" w:rsidP="004A4DDD">
            <w:pPr>
              <w:pStyle w:val="TableText0"/>
              <w:keepLines/>
              <w:widowControl w:val="0"/>
            </w:pPr>
            <w:r w:rsidRPr="00774A16">
              <w:t>- initiating osteoporosis therapy</w:t>
            </w:r>
          </w:p>
          <w:p w14:paraId="53E6B0D8" w14:textId="77777777" w:rsidR="00A050DB" w:rsidRPr="00774A16" w:rsidRDefault="00A050DB" w:rsidP="004A4DDD">
            <w:pPr>
              <w:pStyle w:val="TableText0"/>
              <w:keepLines/>
              <w:widowControl w:val="0"/>
            </w:pPr>
            <w:r w:rsidRPr="00774A16">
              <w:t>- BMD ≤-2.5</w:t>
            </w:r>
          </w:p>
          <w:p w14:paraId="541B34BF" w14:textId="77777777" w:rsidR="00A050DB" w:rsidRPr="00774A16" w:rsidRDefault="00A050DB" w:rsidP="004A4DDD">
            <w:pPr>
              <w:pStyle w:val="TableText0"/>
              <w:keepLines/>
              <w:widowControl w:val="0"/>
            </w:pPr>
            <w:r w:rsidRPr="00774A16">
              <w:t>- with a prevalent fracture</w:t>
            </w:r>
          </w:p>
          <w:p w14:paraId="32C35AE7" w14:textId="77777777" w:rsidR="00A050DB" w:rsidRPr="00774A16" w:rsidRDefault="00A050DB" w:rsidP="004A4DDD">
            <w:pPr>
              <w:pStyle w:val="TableText0"/>
              <w:keepLines/>
              <w:widowControl w:val="0"/>
            </w:pPr>
            <w:r w:rsidRPr="00774A16">
              <w:t>- multiple symptomatic fractures, or</w:t>
            </w:r>
          </w:p>
          <w:p w14:paraId="0B832FC1" w14:textId="77777777" w:rsidR="00A050DB" w:rsidRPr="00774A16" w:rsidRDefault="00A050DB" w:rsidP="004A4DDD">
            <w:pPr>
              <w:pStyle w:val="TableText0"/>
              <w:keepLines/>
              <w:widowControl w:val="0"/>
            </w:pPr>
            <w:r w:rsidRPr="00774A16">
              <w:t>- single hip or symptomatic vertebral fracture</w:t>
            </w:r>
          </w:p>
          <w:p w14:paraId="42CBBECD" w14:textId="77777777" w:rsidR="00A050DB" w:rsidRPr="00774A16" w:rsidRDefault="00A050DB" w:rsidP="004A4DDD">
            <w:pPr>
              <w:pStyle w:val="TableText0"/>
              <w:keepLines/>
              <w:widowControl w:val="0"/>
            </w:pPr>
            <w:r w:rsidRPr="00774A16">
              <w:t>- (fracture assumed to be the reason for initiation of osteoporosis therapy</w:t>
            </w:r>
            <w:r>
              <w:t xml:space="preserve"> and therefore recent</w:t>
            </w:r>
            <w:r w:rsidRPr="00774A16">
              <w:t>)</w:t>
            </w:r>
          </w:p>
        </w:tc>
        <w:tc>
          <w:tcPr>
            <w:tcW w:w="2576" w:type="dxa"/>
            <w:vAlign w:val="center"/>
          </w:tcPr>
          <w:p w14:paraId="1D63A773" w14:textId="77777777" w:rsidR="00A050DB" w:rsidRPr="00774A16" w:rsidRDefault="00A050DB" w:rsidP="004A4DDD">
            <w:pPr>
              <w:pStyle w:val="TableText0"/>
              <w:keepLines/>
              <w:widowControl w:val="0"/>
            </w:pPr>
            <w:r w:rsidRPr="00774A16">
              <w:t>- (no therapy specified)</w:t>
            </w:r>
          </w:p>
          <w:p w14:paraId="131BAC9D" w14:textId="77777777" w:rsidR="00A050DB" w:rsidRPr="00774A16" w:rsidRDefault="00A050DB" w:rsidP="004A4DDD">
            <w:pPr>
              <w:pStyle w:val="TableText0"/>
              <w:keepLines/>
              <w:widowControl w:val="0"/>
            </w:pPr>
            <w:r w:rsidRPr="00774A16">
              <w:t>- BMD ≤-2.5</w:t>
            </w:r>
          </w:p>
          <w:p w14:paraId="27B9C19A" w14:textId="77777777" w:rsidR="00A050DB" w:rsidRPr="00774A16" w:rsidRDefault="00A050DB" w:rsidP="004A4DDD">
            <w:pPr>
              <w:pStyle w:val="TableText0"/>
              <w:keepLines/>
              <w:widowControl w:val="0"/>
            </w:pPr>
            <w:r w:rsidRPr="00774A16">
              <w:t>- fracture due to minimal trauma</w:t>
            </w:r>
          </w:p>
          <w:p w14:paraId="1C44FE20" w14:textId="77777777" w:rsidR="00A050DB" w:rsidRPr="00774A16" w:rsidRDefault="00A050DB" w:rsidP="004A4DDD">
            <w:pPr>
              <w:pStyle w:val="TableText0"/>
              <w:keepLines/>
              <w:widowControl w:val="0"/>
            </w:pPr>
            <w:r w:rsidRPr="00774A16">
              <w:t xml:space="preserve">- </w:t>
            </w:r>
            <w:r>
              <w:t>≥2</w:t>
            </w:r>
            <w:r w:rsidRPr="00774A16">
              <w:t xml:space="preserve"> fractures, including one symptomatic new fracture in prior 24 months, or</w:t>
            </w:r>
          </w:p>
          <w:p w14:paraId="1DD5C88D" w14:textId="77777777" w:rsidR="00A050DB" w:rsidRPr="00774A16" w:rsidRDefault="00A050DB" w:rsidP="004A4DDD">
            <w:pPr>
              <w:pStyle w:val="TableText0"/>
              <w:keepLines/>
              <w:widowControl w:val="0"/>
            </w:pPr>
            <w:r w:rsidRPr="00774A16">
              <w:t xml:space="preserve">- </w:t>
            </w:r>
            <w:r>
              <w:t>≥1</w:t>
            </w:r>
            <w:r w:rsidRPr="00774A16">
              <w:t xml:space="preserve"> hip or symptomatic vertebral fracture in last 24 months</w:t>
            </w:r>
          </w:p>
        </w:tc>
      </w:tr>
      <w:tr w:rsidR="00A050DB" w:rsidRPr="00A1325B" w14:paraId="22198F57" w14:textId="77777777" w:rsidTr="0077002B">
        <w:trPr>
          <w:cantSplit/>
          <w:trHeight w:val="840"/>
        </w:trPr>
        <w:tc>
          <w:tcPr>
            <w:tcW w:w="1296" w:type="dxa"/>
            <w:vAlign w:val="center"/>
          </w:tcPr>
          <w:p w14:paraId="763D8741" w14:textId="77777777" w:rsidR="00A050DB" w:rsidRDefault="00A050DB" w:rsidP="004A4DDD">
            <w:pPr>
              <w:pStyle w:val="TableText0"/>
              <w:keepLines/>
              <w:widowControl w:val="0"/>
            </w:pPr>
            <w:r>
              <w:t>Second-line</w:t>
            </w:r>
            <w:r w:rsidRPr="00FA0D55">
              <w:t xml:space="preserve"> population (expansion of existing PBS population)</w:t>
            </w:r>
          </w:p>
        </w:tc>
        <w:tc>
          <w:tcPr>
            <w:tcW w:w="2390" w:type="dxa"/>
            <w:vAlign w:val="center"/>
          </w:tcPr>
          <w:p w14:paraId="317ACE70" w14:textId="77777777" w:rsidR="00A050DB" w:rsidRPr="00774A16" w:rsidRDefault="00A050DB" w:rsidP="004A4DDD">
            <w:pPr>
              <w:pStyle w:val="TableText0"/>
              <w:keepLines/>
              <w:widowControl w:val="0"/>
            </w:pPr>
            <w:r w:rsidRPr="00774A16">
              <w:t>- on osteoporosis therapy</w:t>
            </w:r>
          </w:p>
          <w:p w14:paraId="4F4E620C" w14:textId="77777777" w:rsidR="00A050DB" w:rsidRPr="00774A16" w:rsidRDefault="00A050DB" w:rsidP="004A4DDD">
            <w:pPr>
              <w:pStyle w:val="TableText0"/>
              <w:keepLines/>
              <w:widowControl w:val="0"/>
            </w:pPr>
            <w:r w:rsidRPr="00774A16">
              <w:t>- BMD ≤-2.5 and &gt;-3.0</w:t>
            </w:r>
          </w:p>
          <w:p w14:paraId="0D144B84" w14:textId="77777777" w:rsidR="00A050DB" w:rsidRPr="00774A16" w:rsidRDefault="00A050DB" w:rsidP="004A4DDD">
            <w:pPr>
              <w:pStyle w:val="TableText0"/>
              <w:keepLines/>
              <w:widowControl w:val="0"/>
            </w:pPr>
            <w:r w:rsidRPr="00774A16">
              <w:t>- multiple fractures, including at least one symptomatic fracture after 12 months anti-resorptive therapy</w:t>
            </w:r>
          </w:p>
        </w:tc>
        <w:tc>
          <w:tcPr>
            <w:tcW w:w="2760" w:type="dxa"/>
            <w:vAlign w:val="center"/>
          </w:tcPr>
          <w:p w14:paraId="5EA1C2AB" w14:textId="77777777" w:rsidR="00A050DB" w:rsidRPr="00774A16" w:rsidRDefault="00A050DB" w:rsidP="004A4DDD">
            <w:pPr>
              <w:pStyle w:val="TableText0"/>
              <w:keepLines/>
              <w:widowControl w:val="0"/>
              <w:rPr>
                <w:iCs/>
              </w:rPr>
            </w:pPr>
            <w:r w:rsidRPr="00774A16">
              <w:rPr>
                <w:iCs/>
              </w:rPr>
              <w:t>- on osteoporosis therapy</w:t>
            </w:r>
          </w:p>
          <w:p w14:paraId="7EB61167" w14:textId="77777777" w:rsidR="00A050DB" w:rsidRPr="00774A16" w:rsidRDefault="00A050DB" w:rsidP="004A4DDD">
            <w:pPr>
              <w:pStyle w:val="TableText0"/>
              <w:keepLines/>
              <w:widowControl w:val="0"/>
              <w:rPr>
                <w:iCs/>
              </w:rPr>
            </w:pPr>
            <w:r w:rsidRPr="00774A16">
              <w:rPr>
                <w:iCs/>
              </w:rPr>
              <w:t xml:space="preserve">- </w:t>
            </w:r>
            <w:r w:rsidRPr="00774A16">
              <w:t>BMD ≤-2.5 and &gt;-3.0</w:t>
            </w:r>
          </w:p>
          <w:p w14:paraId="29C6A337" w14:textId="77777777" w:rsidR="00A050DB" w:rsidRPr="00774A16" w:rsidRDefault="00A050DB" w:rsidP="004A4DDD">
            <w:pPr>
              <w:pStyle w:val="TableText0"/>
              <w:keepLines/>
              <w:widowControl w:val="0"/>
              <w:rPr>
                <w:iCs/>
              </w:rPr>
            </w:pPr>
            <w:r w:rsidRPr="00774A16">
              <w:rPr>
                <w:iCs/>
              </w:rPr>
              <w:t>- multiple fractures, including at least one symptomatic fracture whilst on therapy (in previous 24 months)</w:t>
            </w:r>
          </w:p>
        </w:tc>
        <w:tc>
          <w:tcPr>
            <w:tcW w:w="2576" w:type="dxa"/>
            <w:vAlign w:val="center"/>
          </w:tcPr>
          <w:p w14:paraId="44704621" w14:textId="77777777" w:rsidR="00A050DB" w:rsidRPr="00774A16" w:rsidRDefault="00A050DB" w:rsidP="004A4DDD">
            <w:pPr>
              <w:pStyle w:val="TableText0"/>
              <w:keepLines/>
              <w:widowControl w:val="0"/>
            </w:pPr>
            <w:r w:rsidRPr="00774A16">
              <w:t>- (no therapy specified)</w:t>
            </w:r>
          </w:p>
          <w:p w14:paraId="223F2EF7" w14:textId="77777777" w:rsidR="00A050DB" w:rsidRPr="00774A16" w:rsidRDefault="00A050DB" w:rsidP="004A4DDD">
            <w:pPr>
              <w:pStyle w:val="TableText0"/>
              <w:keepLines/>
              <w:widowControl w:val="0"/>
            </w:pPr>
            <w:r w:rsidRPr="00774A16">
              <w:t>- BMD ≤-2.5 and &gt;-3.0</w:t>
            </w:r>
          </w:p>
          <w:p w14:paraId="6CF97E70" w14:textId="77777777" w:rsidR="00A050DB" w:rsidRPr="00774A16" w:rsidRDefault="00A050DB" w:rsidP="004A4DDD">
            <w:pPr>
              <w:pStyle w:val="TableText0"/>
              <w:keepLines/>
              <w:widowControl w:val="0"/>
            </w:pPr>
            <w:r w:rsidRPr="00774A16">
              <w:t>- fracture due to minimal trauma</w:t>
            </w:r>
          </w:p>
          <w:p w14:paraId="3A747E2E" w14:textId="77777777" w:rsidR="00A050DB" w:rsidRPr="00774A16" w:rsidRDefault="00A050DB" w:rsidP="004A4DDD">
            <w:pPr>
              <w:pStyle w:val="TableText0"/>
              <w:keepLines/>
              <w:widowControl w:val="0"/>
            </w:pPr>
            <w:r w:rsidRPr="00774A16">
              <w:t xml:space="preserve">- </w:t>
            </w:r>
            <w:r>
              <w:t>≥</w:t>
            </w:r>
            <w:r w:rsidRPr="00774A16">
              <w:t>2 fractures, including one symptomatic new fracture in prior 24 months</w:t>
            </w:r>
          </w:p>
        </w:tc>
      </w:tr>
      <w:tr w:rsidR="00A050DB" w:rsidRPr="00A1325B" w14:paraId="7BD3B1A0" w14:textId="77777777" w:rsidTr="0077002B">
        <w:trPr>
          <w:cantSplit/>
        </w:trPr>
        <w:tc>
          <w:tcPr>
            <w:tcW w:w="1296" w:type="dxa"/>
            <w:vAlign w:val="center"/>
          </w:tcPr>
          <w:p w14:paraId="499CD445" w14:textId="77777777" w:rsidR="00A050DB" w:rsidRDefault="00A050DB" w:rsidP="004A4DDD">
            <w:pPr>
              <w:pStyle w:val="TableText0"/>
              <w:keepLines/>
              <w:widowControl w:val="0"/>
            </w:pPr>
            <w:r>
              <w:t>Second-line</w:t>
            </w:r>
            <w:r w:rsidRPr="00A71EA5">
              <w:t xml:space="preserve"> population (single</w:t>
            </w:r>
            <w:r>
              <w:t xml:space="preserve"> symptomatic </w:t>
            </w:r>
            <w:r w:rsidRPr="00A71EA5">
              <w:t>fracture)</w:t>
            </w:r>
          </w:p>
        </w:tc>
        <w:tc>
          <w:tcPr>
            <w:tcW w:w="2390" w:type="dxa"/>
            <w:vAlign w:val="center"/>
          </w:tcPr>
          <w:p w14:paraId="208848D7" w14:textId="77777777" w:rsidR="00A050DB" w:rsidRPr="00774A16" w:rsidRDefault="00A050DB" w:rsidP="004A4DDD">
            <w:pPr>
              <w:pStyle w:val="TableText0"/>
              <w:keepLines/>
              <w:widowControl w:val="0"/>
            </w:pPr>
            <w:r w:rsidRPr="00774A16">
              <w:t>- on osteoporosis therapy</w:t>
            </w:r>
          </w:p>
          <w:p w14:paraId="275F178E" w14:textId="77777777" w:rsidR="00A050DB" w:rsidRPr="00774A16" w:rsidRDefault="00A050DB" w:rsidP="004A4DDD">
            <w:pPr>
              <w:pStyle w:val="TableText0"/>
              <w:keepLines/>
              <w:widowControl w:val="0"/>
            </w:pPr>
            <w:r w:rsidRPr="00774A16">
              <w:t>- BMD ≤-2.5</w:t>
            </w:r>
          </w:p>
          <w:p w14:paraId="061765F3" w14:textId="77777777" w:rsidR="00A050DB" w:rsidRPr="00774A16" w:rsidRDefault="00A050DB" w:rsidP="004A4DDD">
            <w:pPr>
              <w:pStyle w:val="TableText0"/>
              <w:keepLines/>
              <w:widowControl w:val="0"/>
            </w:pPr>
            <w:r w:rsidRPr="00774A16">
              <w:t>- single symptomatic fracture after 12 months anti-resorptive therapy.</w:t>
            </w:r>
          </w:p>
        </w:tc>
        <w:tc>
          <w:tcPr>
            <w:tcW w:w="2760" w:type="dxa"/>
            <w:vAlign w:val="center"/>
          </w:tcPr>
          <w:p w14:paraId="4AAEDA11" w14:textId="77777777" w:rsidR="00A050DB" w:rsidRPr="00774A16" w:rsidRDefault="00A050DB" w:rsidP="004A4DDD">
            <w:pPr>
              <w:pStyle w:val="TableText0"/>
              <w:keepLines/>
              <w:widowControl w:val="0"/>
            </w:pPr>
            <w:r w:rsidRPr="00774A16">
              <w:t>- on osteoporosis therapy</w:t>
            </w:r>
          </w:p>
          <w:p w14:paraId="30F0A042" w14:textId="77777777" w:rsidR="00A050DB" w:rsidRPr="00774A16" w:rsidRDefault="00A050DB" w:rsidP="004A4DDD">
            <w:pPr>
              <w:pStyle w:val="TableText0"/>
              <w:keepLines/>
              <w:widowControl w:val="0"/>
            </w:pPr>
            <w:r w:rsidRPr="00774A16">
              <w:t>- BMD ≤-2.5</w:t>
            </w:r>
          </w:p>
          <w:p w14:paraId="1A40D4E7" w14:textId="77777777" w:rsidR="00A050DB" w:rsidRPr="00774A16" w:rsidRDefault="00A050DB" w:rsidP="004A4DDD">
            <w:pPr>
              <w:pStyle w:val="TableText0"/>
              <w:keepLines/>
              <w:widowControl w:val="0"/>
            </w:pPr>
            <w:r w:rsidRPr="00774A16">
              <w:t>- single hip or symptomatic vertebral fracture whilst on therapy, within prior 24 months.</w:t>
            </w:r>
          </w:p>
        </w:tc>
        <w:tc>
          <w:tcPr>
            <w:tcW w:w="2576" w:type="dxa"/>
          </w:tcPr>
          <w:p w14:paraId="44345BFD" w14:textId="77777777" w:rsidR="00A050DB" w:rsidRPr="00774A16" w:rsidRDefault="00A050DB" w:rsidP="004A4DDD">
            <w:pPr>
              <w:pStyle w:val="TableText0"/>
              <w:keepLines/>
              <w:widowControl w:val="0"/>
            </w:pPr>
            <w:r w:rsidRPr="00774A16">
              <w:t>- (no therapy specified)</w:t>
            </w:r>
          </w:p>
          <w:p w14:paraId="27B9C9FC" w14:textId="77777777" w:rsidR="00A050DB" w:rsidRPr="00774A16" w:rsidRDefault="00A050DB" w:rsidP="004A4DDD">
            <w:pPr>
              <w:pStyle w:val="TableText0"/>
              <w:keepLines/>
              <w:widowControl w:val="0"/>
            </w:pPr>
            <w:r w:rsidRPr="00774A16">
              <w:t>- BMD ≤-2.5</w:t>
            </w:r>
          </w:p>
          <w:p w14:paraId="1D86908E" w14:textId="77777777" w:rsidR="00A050DB" w:rsidRPr="00774A16" w:rsidRDefault="00A050DB" w:rsidP="004A4DDD">
            <w:pPr>
              <w:pStyle w:val="TableText0"/>
              <w:keepLines/>
              <w:widowControl w:val="0"/>
            </w:pPr>
            <w:r w:rsidRPr="00774A16">
              <w:t>- fracture due to minimal trauma</w:t>
            </w:r>
          </w:p>
          <w:p w14:paraId="4E64606A" w14:textId="77777777" w:rsidR="00A050DB" w:rsidRPr="00774A16" w:rsidRDefault="00A050DB" w:rsidP="004A4DDD">
            <w:pPr>
              <w:pStyle w:val="TableText0"/>
              <w:keepLines/>
              <w:widowControl w:val="0"/>
            </w:pPr>
            <w:r w:rsidRPr="00774A16">
              <w:t xml:space="preserve">- </w:t>
            </w:r>
            <w:r>
              <w:t xml:space="preserve">≥1 </w:t>
            </w:r>
            <w:r w:rsidRPr="00774A16">
              <w:t>hip or symptomatic vertebral fracture in last 24 months</w:t>
            </w:r>
          </w:p>
        </w:tc>
      </w:tr>
      <w:tr w:rsidR="00A050DB" w:rsidRPr="00A1325B" w14:paraId="5FAD64B5" w14:textId="77777777" w:rsidTr="0077002B">
        <w:trPr>
          <w:cantSplit/>
        </w:trPr>
        <w:tc>
          <w:tcPr>
            <w:tcW w:w="1296" w:type="dxa"/>
            <w:vAlign w:val="center"/>
          </w:tcPr>
          <w:p w14:paraId="03522F48" w14:textId="77777777" w:rsidR="00A050DB" w:rsidRDefault="00A050DB" w:rsidP="004A4DDD">
            <w:pPr>
              <w:pStyle w:val="TableText0"/>
              <w:keepLines/>
              <w:widowControl w:val="0"/>
            </w:pPr>
            <w:r>
              <w:t>Grandfathered patients</w:t>
            </w:r>
          </w:p>
        </w:tc>
        <w:tc>
          <w:tcPr>
            <w:tcW w:w="2390" w:type="dxa"/>
            <w:vAlign w:val="center"/>
          </w:tcPr>
          <w:p w14:paraId="02EC7CDB" w14:textId="77777777" w:rsidR="00A050DB" w:rsidRDefault="00A050DB" w:rsidP="004A4DDD">
            <w:pPr>
              <w:pStyle w:val="TableText0"/>
              <w:keepLines/>
              <w:widowControl w:val="0"/>
            </w:pPr>
            <w:r>
              <w:t>Not estimated</w:t>
            </w:r>
          </w:p>
        </w:tc>
        <w:tc>
          <w:tcPr>
            <w:tcW w:w="2760" w:type="dxa"/>
            <w:vAlign w:val="center"/>
          </w:tcPr>
          <w:p w14:paraId="457E8AAB" w14:textId="77777777" w:rsidR="00A050DB" w:rsidRDefault="00A050DB" w:rsidP="004A4DDD">
            <w:pPr>
              <w:pStyle w:val="TableText0"/>
              <w:keepLines/>
              <w:widowControl w:val="0"/>
            </w:pPr>
            <w:r>
              <w:t>Patients who are receiving privately-funded romosozumab in the year prior to listing</w:t>
            </w:r>
          </w:p>
        </w:tc>
        <w:tc>
          <w:tcPr>
            <w:tcW w:w="2576" w:type="dxa"/>
          </w:tcPr>
          <w:p w14:paraId="229A99EF" w14:textId="77777777" w:rsidR="00A050DB" w:rsidRDefault="00A050DB" w:rsidP="004A4DDD">
            <w:pPr>
              <w:pStyle w:val="TableText0"/>
              <w:keepLines/>
              <w:widowControl w:val="0"/>
            </w:pPr>
            <w:r>
              <w:t>Prior to starting non-PBS-subsidised treatment:</w:t>
            </w:r>
          </w:p>
          <w:p w14:paraId="20103387" w14:textId="77777777" w:rsidR="00A050DB" w:rsidRDefault="00A050DB" w:rsidP="004A4DDD">
            <w:pPr>
              <w:pStyle w:val="TableText0"/>
              <w:keepLines/>
              <w:widowControl w:val="0"/>
            </w:pPr>
            <w:r>
              <w:t xml:space="preserve">- BMD </w:t>
            </w:r>
            <w:r w:rsidRPr="00492F4B">
              <w:t>≤-2.5</w:t>
            </w:r>
          </w:p>
          <w:p w14:paraId="28958362" w14:textId="77777777" w:rsidR="00A050DB" w:rsidRDefault="00A050DB" w:rsidP="004A4DDD">
            <w:pPr>
              <w:pStyle w:val="TableText0"/>
              <w:keepLines/>
              <w:widowControl w:val="0"/>
            </w:pPr>
            <w:r>
              <w:t>- fracture due to minimal trauma</w:t>
            </w:r>
          </w:p>
          <w:p w14:paraId="0ADE0911" w14:textId="77777777" w:rsidR="00A050DB" w:rsidRDefault="00A050DB" w:rsidP="004A4DDD">
            <w:pPr>
              <w:pStyle w:val="TableText0"/>
              <w:keepLines/>
              <w:widowControl w:val="0"/>
            </w:pPr>
            <w:r>
              <w:t>- ≥1 hip or symptomatic vertebral fracture in prior 24 months, or</w:t>
            </w:r>
          </w:p>
          <w:p w14:paraId="030E8914" w14:textId="77777777" w:rsidR="00A050DB" w:rsidRDefault="00A050DB" w:rsidP="004A4DDD">
            <w:pPr>
              <w:pStyle w:val="TableText0"/>
              <w:keepLines/>
              <w:widowControl w:val="0"/>
            </w:pPr>
            <w:r>
              <w:t>- ≥2 fractures including one symptomatic new fracture in prior 24 months.</w:t>
            </w:r>
          </w:p>
        </w:tc>
      </w:tr>
    </w:tbl>
    <w:p w14:paraId="19FD668D" w14:textId="77777777" w:rsidR="00A050DB" w:rsidRDefault="00A050DB" w:rsidP="004A4DDD">
      <w:pPr>
        <w:pStyle w:val="COMTablefooter"/>
        <w:keepNext/>
        <w:keepLines/>
      </w:pPr>
      <w:r>
        <w:t xml:space="preserve">Source: Section 4, pp106-114 of the resubmission; Evenity Financial analysis_Mar23 Excel workbook of the </w:t>
      </w:r>
      <w:r w:rsidRPr="00FE0AA0">
        <w:t>resubmission; Section 4, July 2022 romosozumab submission</w:t>
      </w:r>
    </w:p>
    <w:p w14:paraId="2C265B63" w14:textId="2953DDD4" w:rsidR="00A050DB" w:rsidRDefault="00A050DB" w:rsidP="004A4DDD">
      <w:pPr>
        <w:pStyle w:val="COMTablefooter"/>
        <w:keepNext/>
        <w:keepLines/>
        <w:rPr>
          <w:color w:val="0066FF"/>
        </w:rPr>
      </w:pPr>
      <w:r>
        <w:t>Abbreviations: BMD, bone mineral density</w:t>
      </w:r>
    </w:p>
    <w:p w14:paraId="35B94B33" w14:textId="61949EB3" w:rsidR="0030259B" w:rsidRPr="0030259B" w:rsidRDefault="002520F9" w:rsidP="00A050DB">
      <w:pPr>
        <w:pStyle w:val="COMexecsumnumberedpara"/>
      </w:pPr>
      <w:r w:rsidRPr="00934487">
        <w:t>The resubmission used a 10% PBS sample analysis to estimate the number of patients receiving osteoporosis treatments in 2021, extrapolated to 202</w:t>
      </w:r>
      <w:r w:rsidR="003165B8">
        <w:t>3</w:t>
      </w:r>
      <w:r w:rsidRPr="00934487">
        <w:t>-202</w:t>
      </w:r>
      <w:r w:rsidR="003165B8">
        <w:t>8</w:t>
      </w:r>
      <w:r w:rsidRPr="00934487">
        <w:t xml:space="preserve"> assuming </w:t>
      </w:r>
      <w:r w:rsidR="003165B8" w:rsidRPr="003165B8">
        <w:t>6.9% annual growth (based on growth rate of prevalent population between 2019-2021 from the 10% PBS sample)</w:t>
      </w:r>
      <w:r w:rsidRPr="00934487">
        <w:t>.</w:t>
      </w:r>
      <w:r w:rsidRPr="00934487">
        <w:rPr>
          <w:i/>
          <w:iCs/>
        </w:rPr>
        <w:t xml:space="preserve"> </w:t>
      </w:r>
      <w:r w:rsidRPr="003074AF">
        <w:t>The treated population estimates could not be validated due to poor documentation in the resubmission.</w:t>
      </w:r>
      <w:r w:rsidR="00E26168" w:rsidRPr="003074AF">
        <w:t xml:space="preserve"> Eligible first-line patient numbers were based on </w:t>
      </w:r>
      <w:r w:rsidR="008743F7" w:rsidRPr="003074AF">
        <w:t>the proportion of patients estimated to initiate treatment</w:t>
      </w:r>
      <w:r w:rsidR="0030259B" w:rsidRPr="003074AF">
        <w:t xml:space="preserve"> (or re-initiate treatment after a break of 2 or more years)</w:t>
      </w:r>
      <w:r w:rsidR="008743F7" w:rsidRPr="003074AF">
        <w:t xml:space="preserve"> in each year of listing</w:t>
      </w:r>
      <w:r w:rsidR="007E50B0" w:rsidRPr="003074AF">
        <w:t>.</w:t>
      </w:r>
    </w:p>
    <w:p w14:paraId="539A0DA0" w14:textId="19884CC1" w:rsidR="00B728A3" w:rsidRPr="003074AF" w:rsidRDefault="007E50B0" w:rsidP="00A050DB">
      <w:pPr>
        <w:pStyle w:val="COMexecsumnumberedpara"/>
        <w:rPr>
          <w:iCs/>
        </w:rPr>
      </w:pPr>
      <w:r>
        <w:lastRenderedPageBreak/>
        <w:t xml:space="preserve">Second-line patients </w:t>
      </w:r>
      <w:r w:rsidR="00542F87">
        <w:t xml:space="preserve">were based on the total treated osteoporosis population, excluding patients </w:t>
      </w:r>
      <w:r w:rsidR="00461555">
        <w:t xml:space="preserve">utilising romosozumab in first-line treatment. </w:t>
      </w:r>
      <w:r w:rsidRPr="003074AF">
        <w:rPr>
          <w:iCs/>
        </w:rPr>
        <w:t xml:space="preserve">Basing eligible second-line patient estimates on treated osteoporosis patients who are persistent </w:t>
      </w:r>
      <w:r w:rsidR="00677D79" w:rsidRPr="003074AF">
        <w:rPr>
          <w:iCs/>
        </w:rPr>
        <w:t>with</w:t>
      </w:r>
      <w:r w:rsidRPr="003074AF">
        <w:rPr>
          <w:iCs/>
        </w:rPr>
        <w:t xml:space="preserve"> therapy will exclude the larger pool of ever-treated osteoporosis patients.</w:t>
      </w:r>
    </w:p>
    <w:p w14:paraId="330A1DBF" w14:textId="6433F194" w:rsidR="000A00A4" w:rsidRPr="003074AF" w:rsidRDefault="005B35FE" w:rsidP="000B55C9">
      <w:pPr>
        <w:pStyle w:val="COMexecsumnumberedpara"/>
      </w:pPr>
      <w:r>
        <w:t xml:space="preserve">The </w:t>
      </w:r>
      <w:r w:rsidR="003B427E">
        <w:t xml:space="preserve">methods used to determine the proportion of patients with BMD </w:t>
      </w:r>
      <w:r w:rsidR="003B427E" w:rsidRPr="009D09D5">
        <w:rPr>
          <w:rFonts w:cstheme="minorHAnsi"/>
        </w:rPr>
        <w:t>≤</w:t>
      </w:r>
      <w:r w:rsidR="003B427E">
        <w:t>-2.5 (and &lt;-3.0 for the expanded multiple fractures second-line population) w</w:t>
      </w:r>
      <w:r w:rsidR="00E876BD">
        <w:t>ere</w:t>
      </w:r>
      <w:r w:rsidR="003B427E">
        <w:t xml:space="preserve"> based on</w:t>
      </w:r>
      <w:r w:rsidR="0069542A">
        <w:t xml:space="preserve"> a subgroup analysis of patients with fracture</w:t>
      </w:r>
      <w:r w:rsidR="00397C29">
        <w:t xml:space="preserve"> from the Geelong Osteoporosis Study </w:t>
      </w:r>
      <w:r w:rsidR="00397C29" w:rsidRPr="003074AF">
        <w:t>(</w:t>
      </w:r>
      <w:r w:rsidR="00E053C6" w:rsidRPr="003074AF">
        <w:t>unchanged from the July 2022 resubmission).</w:t>
      </w:r>
      <w:r w:rsidR="009D09D5" w:rsidRPr="003074AF">
        <w:t xml:space="preserve"> </w:t>
      </w:r>
      <w:r w:rsidR="000A00A4" w:rsidRPr="003074AF">
        <w:t>Patient characteristics (eg BMD T-scores) and fracture histories were derived from estimates that are nearly 30 years old and may not be representative of current clinical practice (with wider use of newer osteoporosis treatments)</w:t>
      </w:r>
      <w:r w:rsidR="009810B6" w:rsidRPr="003074AF">
        <w:t xml:space="preserve">, </w:t>
      </w:r>
      <w:r w:rsidR="000A00A4" w:rsidRPr="003074AF">
        <w:t>based on a sample of the general population that may not be representative of patients seeking care for osteoporosis</w:t>
      </w:r>
      <w:r w:rsidR="009810B6" w:rsidRPr="003074AF">
        <w:t>,</w:t>
      </w:r>
      <w:r w:rsidR="000A00A4" w:rsidRPr="003074AF">
        <w:t xml:space="preserve"> and </w:t>
      </w:r>
      <w:r w:rsidR="009810B6" w:rsidRPr="003074AF">
        <w:t xml:space="preserve">of uncertain </w:t>
      </w:r>
      <w:r w:rsidR="000A00A4" w:rsidRPr="003074AF">
        <w:t>representative</w:t>
      </w:r>
      <w:r w:rsidR="009810B6" w:rsidRPr="003074AF">
        <w:t>ness</w:t>
      </w:r>
      <w:r w:rsidR="000A00A4" w:rsidRPr="003074AF">
        <w:t xml:space="preserve"> of males with osteoporosis.</w:t>
      </w:r>
    </w:p>
    <w:p w14:paraId="299CA341" w14:textId="22E47FDE" w:rsidR="005B35FE" w:rsidRPr="003074AF" w:rsidRDefault="009D09D5" w:rsidP="000B55C9">
      <w:pPr>
        <w:pStyle w:val="COMexecsumnumberedpara"/>
        <w:rPr>
          <w:iCs/>
        </w:rPr>
      </w:pPr>
      <w:r>
        <w:t>I</w:t>
      </w:r>
      <w:r w:rsidR="00E27F56">
        <w:t>n second-line patients, the resubmission</w:t>
      </w:r>
      <w:r>
        <w:t xml:space="preserve"> then</w:t>
      </w:r>
      <w:r w:rsidR="00E27F56">
        <w:t xml:space="preserve"> attempted to quantify the</w:t>
      </w:r>
      <w:r w:rsidR="00130446">
        <w:t xml:space="preserve"> effects of anti-resorptive treatment on BMD, estimating the</w:t>
      </w:r>
      <w:r w:rsidR="00E27F56">
        <w:t xml:space="preserve"> proportion of patients who would</w:t>
      </w:r>
      <w:r w:rsidR="00682356">
        <w:t xml:space="preserve"> continue to meet the BMD criteri</w:t>
      </w:r>
      <w:r w:rsidR="00280B3E">
        <w:t xml:space="preserve">a </w:t>
      </w:r>
      <w:r w:rsidR="00185E9E">
        <w:t>while on treatment</w:t>
      </w:r>
      <w:r w:rsidR="00682356">
        <w:t>.</w:t>
      </w:r>
      <w:r w:rsidR="00185E9E">
        <w:t xml:space="preserve"> </w:t>
      </w:r>
      <w:r w:rsidR="00586AAD" w:rsidRPr="003074AF">
        <w:rPr>
          <w:iCs/>
        </w:rPr>
        <w:t>The resubmission acknowledged that these estimates may be conservative as patients who continue to fracture on treatment may have lower BMD than those who do not.</w:t>
      </w:r>
      <w:r w:rsidR="003B427E" w:rsidRPr="003074AF">
        <w:rPr>
          <w:iCs/>
        </w:rPr>
        <w:t xml:space="preserve"> </w:t>
      </w:r>
    </w:p>
    <w:p w14:paraId="04B31D2D" w14:textId="26F3D71A" w:rsidR="0072416F" w:rsidRPr="002B05A1" w:rsidRDefault="00B728A3" w:rsidP="00A050DB">
      <w:pPr>
        <w:pStyle w:val="COMexecsumnumberedpara"/>
      </w:pPr>
      <w:r w:rsidRPr="00705A3B">
        <w:t>The derivation of the proportion of patients meeting the fracture criteria in each subpopulation was</w:t>
      </w:r>
      <w:r>
        <w:t xml:space="preserve"> slightly simplified from the July 2022 resubmission, but continued to be </w:t>
      </w:r>
      <w:r w:rsidRPr="00705A3B">
        <w:t xml:space="preserve">based on multiple sources and assumptions </w:t>
      </w:r>
      <w:r>
        <w:t>(</w:t>
      </w:r>
      <w:r w:rsidR="00A050DB">
        <w:t xml:space="preserve">summarised in </w:t>
      </w:r>
      <w:r w:rsidR="00E16AD8">
        <w:fldChar w:fldCharType="begin" w:fldLock="1"/>
      </w:r>
      <w:r w:rsidR="00E16AD8">
        <w:instrText xml:space="preserve"> REF _Ref104805262 \h  \* MERGEFORMAT </w:instrText>
      </w:r>
      <w:r w:rsidR="00E16AD8">
        <w:fldChar w:fldCharType="separate"/>
      </w:r>
      <w:r w:rsidR="00605CB9">
        <w:t>Table 14</w:t>
      </w:r>
      <w:r w:rsidR="00E16AD8">
        <w:fldChar w:fldCharType="end"/>
      </w:r>
      <w:r>
        <w:t>)</w:t>
      </w:r>
      <w:r w:rsidR="00A050DB">
        <w:t>.</w:t>
      </w:r>
    </w:p>
    <w:p w14:paraId="3393BCE7" w14:textId="1840419F" w:rsidR="00E42F73" w:rsidRPr="00FD4ED6" w:rsidRDefault="00E16AD8" w:rsidP="004A4DDD">
      <w:pPr>
        <w:pStyle w:val="COMtablefigcaption"/>
        <w:keepLines/>
      </w:pPr>
      <w:bookmarkStart w:id="58" w:name="_Ref104805262"/>
      <w:r>
        <w:lastRenderedPageBreak/>
        <w:t xml:space="preserve">Table </w:t>
      </w:r>
      <w:fldSimple w:instr=" SEQ Table \* ARABIC " w:fldLock="1">
        <w:r w:rsidR="00B20BD0">
          <w:rPr>
            <w:noProof/>
          </w:rPr>
          <w:t>14</w:t>
        </w:r>
      </w:fldSimple>
      <w:bookmarkEnd w:id="58"/>
      <w:r>
        <w:t>:</w:t>
      </w:r>
      <w:r w:rsidR="00E42F73" w:rsidRPr="00FD4ED6">
        <w:t xml:space="preserve"> </w:t>
      </w:r>
      <w:r w:rsidR="00B728A3">
        <w:t>Inputs used to estimate fracture criteria in each subpopulation</w:t>
      </w:r>
    </w:p>
    <w:tbl>
      <w:tblPr>
        <w:tblW w:w="90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8"/>
        <w:gridCol w:w="3827"/>
        <w:gridCol w:w="3784"/>
      </w:tblGrid>
      <w:tr w:rsidR="00764A44" w:rsidRPr="00EF27E3" w14:paraId="4ACF83A2" w14:textId="77777777" w:rsidTr="002A1F14">
        <w:trPr>
          <w:cantSplit/>
          <w:tblHeader/>
        </w:trPr>
        <w:tc>
          <w:tcPr>
            <w:tcW w:w="1418" w:type="dxa"/>
            <w:vAlign w:val="center"/>
          </w:tcPr>
          <w:p w14:paraId="49A4490A" w14:textId="77777777" w:rsidR="00764A44" w:rsidRPr="00EF27E3" w:rsidRDefault="00764A44" w:rsidP="004A4DDD">
            <w:pPr>
              <w:pStyle w:val="TableHeading"/>
              <w:keepLines/>
              <w:widowControl w:val="0"/>
            </w:pPr>
            <w:r w:rsidRPr="00EF27E3">
              <w:t>Data</w:t>
            </w:r>
          </w:p>
        </w:tc>
        <w:tc>
          <w:tcPr>
            <w:tcW w:w="3827" w:type="dxa"/>
            <w:vAlign w:val="center"/>
          </w:tcPr>
          <w:p w14:paraId="2214A926" w14:textId="533F12F5" w:rsidR="00764A44" w:rsidRPr="00EF27E3" w:rsidRDefault="00764A44" w:rsidP="004A4DDD">
            <w:pPr>
              <w:pStyle w:val="TableHeading"/>
              <w:keepLines/>
              <w:widowControl w:val="0"/>
              <w:jc w:val="center"/>
            </w:pPr>
            <w:r>
              <w:t>Value and s</w:t>
            </w:r>
            <w:r w:rsidRPr="00EF27E3">
              <w:t>ource</w:t>
            </w:r>
          </w:p>
        </w:tc>
        <w:tc>
          <w:tcPr>
            <w:tcW w:w="3784" w:type="dxa"/>
            <w:vAlign w:val="center"/>
          </w:tcPr>
          <w:p w14:paraId="0DA9EC00" w14:textId="77777777" w:rsidR="00764A44" w:rsidRPr="00EF27E3" w:rsidRDefault="00764A44" w:rsidP="004A4DDD">
            <w:pPr>
              <w:pStyle w:val="TableHeading"/>
              <w:keepLines/>
              <w:widowControl w:val="0"/>
              <w:jc w:val="center"/>
            </w:pPr>
            <w:r w:rsidRPr="00EF27E3">
              <w:t>Comment</w:t>
            </w:r>
          </w:p>
        </w:tc>
      </w:tr>
      <w:tr w:rsidR="00A050DB" w:rsidRPr="00A1325B" w14:paraId="13A21D59" w14:textId="77777777" w:rsidTr="0077002B">
        <w:trPr>
          <w:cantSplit/>
        </w:trPr>
        <w:tc>
          <w:tcPr>
            <w:tcW w:w="9029" w:type="dxa"/>
            <w:gridSpan w:val="3"/>
            <w:vAlign w:val="center"/>
          </w:tcPr>
          <w:p w14:paraId="74B66087" w14:textId="77777777" w:rsidR="00A050DB" w:rsidRPr="00FD7A62" w:rsidRDefault="00A050DB" w:rsidP="004A4DDD">
            <w:pPr>
              <w:pStyle w:val="TableText0"/>
              <w:keepLines/>
              <w:widowControl w:val="0"/>
              <w:rPr>
                <w:i/>
              </w:rPr>
            </w:pPr>
            <w:r>
              <w:rPr>
                <w:b/>
                <w:bCs w:val="0"/>
              </w:rPr>
              <w:t>First-line</w:t>
            </w:r>
            <w:r w:rsidRPr="00FD7A62">
              <w:rPr>
                <w:b/>
                <w:bCs w:val="0"/>
              </w:rPr>
              <w:t xml:space="preserve"> population</w:t>
            </w:r>
          </w:p>
        </w:tc>
      </w:tr>
      <w:tr w:rsidR="00764A44" w:rsidRPr="00A1325B" w14:paraId="36386D2A" w14:textId="77777777" w:rsidTr="002A1F14">
        <w:trPr>
          <w:cantSplit/>
          <w:trHeight w:val="847"/>
        </w:trPr>
        <w:tc>
          <w:tcPr>
            <w:tcW w:w="1418" w:type="dxa"/>
            <w:vAlign w:val="center"/>
          </w:tcPr>
          <w:p w14:paraId="1D1ADE4F" w14:textId="0CD7D617" w:rsidR="00764A44" w:rsidRPr="008A3743" w:rsidRDefault="00764A44" w:rsidP="004A4DDD">
            <w:pPr>
              <w:pStyle w:val="TableText0"/>
              <w:keepLines/>
              <w:widowControl w:val="0"/>
            </w:pPr>
            <w:r w:rsidRPr="008A3743">
              <w:t>Patients with prior fracture</w:t>
            </w:r>
          </w:p>
        </w:tc>
        <w:tc>
          <w:tcPr>
            <w:tcW w:w="3827" w:type="dxa"/>
            <w:vAlign w:val="center"/>
          </w:tcPr>
          <w:p w14:paraId="6DDECD52" w14:textId="55D59373" w:rsidR="00764A44" w:rsidRPr="008A3743" w:rsidRDefault="00764A44" w:rsidP="004A4DDD">
            <w:pPr>
              <w:pStyle w:val="TableText0"/>
              <w:keepLines/>
              <w:widowControl w:val="0"/>
            </w:pPr>
            <w:r>
              <w:t xml:space="preserve">75%. </w:t>
            </w:r>
            <w:r w:rsidRPr="008A3743">
              <w:t xml:space="preserve">Analysis of a sample from the Geelong Osteoporosis Study. It was estimated that 66% of treated patients aged ≥70 years had a fracture. The resubmission assumed 100% of treated patients under 70 years had a prior fracture based on PBS eligibility criteria. </w:t>
            </w:r>
            <w:r>
              <w:t>Weighted based on age of 10% PBS sample.</w:t>
            </w:r>
          </w:p>
        </w:tc>
        <w:tc>
          <w:tcPr>
            <w:tcW w:w="3784" w:type="dxa"/>
            <w:vAlign w:val="center"/>
          </w:tcPr>
          <w:p w14:paraId="74492C61" w14:textId="72EBCE35" w:rsidR="00764A44" w:rsidRPr="003074AF" w:rsidRDefault="00764A44" w:rsidP="004A4DDD">
            <w:pPr>
              <w:pStyle w:val="TableText0"/>
              <w:keepLines/>
              <w:widowControl w:val="0"/>
              <w:rPr>
                <w:iCs/>
              </w:rPr>
            </w:pPr>
            <w:r w:rsidRPr="003074AF">
              <w:rPr>
                <w:iCs/>
              </w:rPr>
              <w:t>Estimates from the Geelong Osteoporosis Study (GOS) are nearly 30 years old and may not be applicable to current practice.</w:t>
            </w:r>
          </w:p>
        </w:tc>
      </w:tr>
      <w:tr w:rsidR="00764A44" w:rsidRPr="00A1325B" w14:paraId="0A907120" w14:textId="77777777" w:rsidTr="002A1F14">
        <w:trPr>
          <w:cantSplit/>
        </w:trPr>
        <w:tc>
          <w:tcPr>
            <w:tcW w:w="1418" w:type="dxa"/>
            <w:vAlign w:val="center"/>
          </w:tcPr>
          <w:p w14:paraId="459BF125" w14:textId="77777777" w:rsidR="00764A44" w:rsidRPr="00A1325B" w:rsidRDefault="00764A44" w:rsidP="004A4DDD">
            <w:pPr>
              <w:pStyle w:val="TableText0"/>
              <w:keepLines/>
              <w:widowControl w:val="0"/>
              <w:rPr>
                <w:highlight w:val="yellow"/>
              </w:rPr>
            </w:pPr>
            <w:r w:rsidRPr="00645235">
              <w:t>Patients with multiple clinical fractures or a single hip/clinical vertebral fracture</w:t>
            </w:r>
          </w:p>
        </w:tc>
        <w:tc>
          <w:tcPr>
            <w:tcW w:w="3827" w:type="dxa"/>
            <w:vAlign w:val="center"/>
          </w:tcPr>
          <w:p w14:paraId="66406DCF" w14:textId="24BB52A0" w:rsidR="00764A44" w:rsidRPr="003278DD" w:rsidRDefault="00764A44" w:rsidP="004A4DDD">
            <w:pPr>
              <w:pStyle w:val="TableText0"/>
              <w:keepLines/>
              <w:widowControl w:val="0"/>
              <w:rPr>
                <w:i/>
                <w:highlight w:val="yellow"/>
              </w:rPr>
            </w:pPr>
            <w:r>
              <w:t xml:space="preserve">57%. </w:t>
            </w:r>
            <w:r w:rsidRPr="00207D01">
              <w:t>Midpoint based on estimates from the ARCH trial (58%) and analysis using data from the Geelong Osteoporosis Study and AusICUROS study (56%).</w:t>
            </w:r>
            <w:r w:rsidRPr="00A11078">
              <w:rPr>
                <w:i/>
                <w:iCs/>
              </w:rPr>
              <w:t xml:space="preserve"> </w:t>
            </w:r>
            <w:r w:rsidRPr="003278DD">
              <w:t>The resubmission assumed that fracture is the precipitating event for initiation of osteoporosis treatment and hence will have occurred very recently (ie within the prior 24 months), as required by the proposed listing.</w:t>
            </w:r>
          </w:p>
        </w:tc>
        <w:tc>
          <w:tcPr>
            <w:tcW w:w="3784" w:type="dxa"/>
            <w:vAlign w:val="center"/>
          </w:tcPr>
          <w:p w14:paraId="0723FC3D" w14:textId="2F7581EE" w:rsidR="00764A44" w:rsidRPr="003074AF" w:rsidRDefault="00764A44" w:rsidP="004A4DDD">
            <w:pPr>
              <w:pStyle w:val="TableText0"/>
              <w:keepLines/>
              <w:widowControl w:val="0"/>
              <w:rPr>
                <w:iCs/>
              </w:rPr>
            </w:pPr>
            <w:r w:rsidRPr="003074AF">
              <w:rPr>
                <w:iCs/>
              </w:rPr>
              <w:t>Estimates of multiple fractures in first</w:t>
            </w:r>
            <w:r w:rsidR="00FE4D70">
              <w:rPr>
                <w:iCs/>
              </w:rPr>
              <w:t>-</w:t>
            </w:r>
            <w:r w:rsidRPr="003074AF">
              <w:rPr>
                <w:iCs/>
              </w:rPr>
              <w:t>line patients were based on reports of multiple symptomatic (clinical) fractures (with one assumed to be recent), while the requested restriction specifies multiple fractures, with one recent symptomatic fracture.</w:t>
            </w:r>
          </w:p>
        </w:tc>
      </w:tr>
      <w:tr w:rsidR="00A050DB" w:rsidRPr="00A1325B" w14:paraId="49E1932C" w14:textId="77777777" w:rsidTr="0077002B">
        <w:trPr>
          <w:cantSplit/>
        </w:trPr>
        <w:tc>
          <w:tcPr>
            <w:tcW w:w="9029" w:type="dxa"/>
            <w:gridSpan w:val="3"/>
            <w:vAlign w:val="center"/>
          </w:tcPr>
          <w:p w14:paraId="62509E9B" w14:textId="48663EBA" w:rsidR="00A050DB" w:rsidRPr="003074AF" w:rsidRDefault="00A050DB" w:rsidP="004A4DDD">
            <w:pPr>
              <w:pStyle w:val="TableText0"/>
              <w:keepLines/>
              <w:widowControl w:val="0"/>
              <w:rPr>
                <w:b/>
                <w:bCs w:val="0"/>
                <w:iCs/>
                <w:highlight w:val="yellow"/>
              </w:rPr>
            </w:pPr>
            <w:r w:rsidRPr="003074AF">
              <w:rPr>
                <w:b/>
                <w:bCs w:val="0"/>
                <w:iCs/>
              </w:rPr>
              <w:t xml:space="preserve">Second-line population </w:t>
            </w:r>
            <w:r w:rsidR="0081073D" w:rsidRPr="003074AF">
              <w:rPr>
                <w:b/>
                <w:bCs w:val="0"/>
                <w:iCs/>
              </w:rPr>
              <w:t>(</w:t>
            </w:r>
            <w:r w:rsidRPr="003074AF">
              <w:rPr>
                <w:b/>
                <w:bCs w:val="0"/>
                <w:iCs/>
              </w:rPr>
              <w:t>multiple fractures</w:t>
            </w:r>
            <w:r w:rsidR="0081073D" w:rsidRPr="003074AF">
              <w:rPr>
                <w:b/>
                <w:bCs w:val="0"/>
                <w:iCs/>
              </w:rPr>
              <w:t>)</w:t>
            </w:r>
          </w:p>
        </w:tc>
      </w:tr>
      <w:tr w:rsidR="00764A44" w:rsidRPr="00A1325B" w14:paraId="6C13899D" w14:textId="77777777" w:rsidTr="002A1F14">
        <w:trPr>
          <w:cantSplit/>
        </w:trPr>
        <w:tc>
          <w:tcPr>
            <w:tcW w:w="1418" w:type="dxa"/>
            <w:vAlign w:val="center"/>
          </w:tcPr>
          <w:p w14:paraId="6C33D9BF" w14:textId="77777777" w:rsidR="00764A44" w:rsidRPr="00E62D8E" w:rsidRDefault="00764A44" w:rsidP="004A4DDD">
            <w:pPr>
              <w:pStyle w:val="TableText0"/>
              <w:keepLines/>
              <w:widowControl w:val="0"/>
            </w:pPr>
            <w:r w:rsidRPr="00E62D8E">
              <w:t>Patients with prior fracture</w:t>
            </w:r>
          </w:p>
        </w:tc>
        <w:tc>
          <w:tcPr>
            <w:tcW w:w="3827" w:type="dxa"/>
            <w:vAlign w:val="center"/>
          </w:tcPr>
          <w:p w14:paraId="46B8B9C7" w14:textId="127F29E8" w:rsidR="00764A44" w:rsidRPr="00E62D8E" w:rsidRDefault="00764A44" w:rsidP="004A4DDD">
            <w:pPr>
              <w:pStyle w:val="TableText0"/>
              <w:keepLines/>
              <w:widowControl w:val="0"/>
            </w:pPr>
            <w:r>
              <w:t xml:space="preserve">75%. </w:t>
            </w:r>
            <w:r w:rsidRPr="00E62D8E">
              <w:t xml:space="preserve">Analysis of a sample from the Geelong Osteoporosis Study (same estimate used to estimate size of the </w:t>
            </w:r>
            <w:r>
              <w:t>first-line</w:t>
            </w:r>
            <w:r w:rsidRPr="00E62D8E">
              <w:t xml:space="preserve"> population, see above). </w:t>
            </w:r>
          </w:p>
        </w:tc>
        <w:tc>
          <w:tcPr>
            <w:tcW w:w="3784" w:type="dxa"/>
            <w:vAlign w:val="center"/>
          </w:tcPr>
          <w:p w14:paraId="28A8BAD0" w14:textId="3028D31B" w:rsidR="00764A44" w:rsidRPr="003074AF" w:rsidRDefault="00764A44" w:rsidP="004A4DDD">
            <w:pPr>
              <w:pStyle w:val="TableText0"/>
              <w:keepLines/>
              <w:widowControl w:val="0"/>
              <w:rPr>
                <w:iCs/>
              </w:rPr>
            </w:pPr>
            <w:r w:rsidRPr="003074AF">
              <w:rPr>
                <w:iCs/>
              </w:rPr>
              <w:t>The magnitude of this proportion remains unclear as the data were based on a general population study (includes undiagnosed patients).</w:t>
            </w:r>
          </w:p>
        </w:tc>
      </w:tr>
      <w:tr w:rsidR="00764A44" w:rsidRPr="00A1325B" w14:paraId="019307B6" w14:textId="77777777" w:rsidTr="002A1F14">
        <w:trPr>
          <w:cantSplit/>
        </w:trPr>
        <w:tc>
          <w:tcPr>
            <w:tcW w:w="1418" w:type="dxa"/>
            <w:vAlign w:val="center"/>
          </w:tcPr>
          <w:p w14:paraId="449333E3" w14:textId="77777777" w:rsidR="00764A44" w:rsidRPr="00D97D6C" w:rsidRDefault="00764A44" w:rsidP="004A4DDD">
            <w:pPr>
              <w:pStyle w:val="TableText0"/>
              <w:keepLines/>
              <w:widowControl w:val="0"/>
            </w:pPr>
            <w:r w:rsidRPr="00D97D6C">
              <w:t>Patients with an on-treatment fracture</w:t>
            </w:r>
          </w:p>
        </w:tc>
        <w:tc>
          <w:tcPr>
            <w:tcW w:w="3827" w:type="dxa"/>
            <w:vAlign w:val="center"/>
          </w:tcPr>
          <w:p w14:paraId="7FE8C30A" w14:textId="39DF2955" w:rsidR="00764A44" w:rsidRPr="00CE7871" w:rsidRDefault="00764A44" w:rsidP="004A4DDD">
            <w:pPr>
              <w:pStyle w:val="TableText0"/>
              <w:keepLines/>
              <w:widowControl w:val="0"/>
            </w:pPr>
            <w:r>
              <w:t xml:space="preserve">10.04%. </w:t>
            </w:r>
            <w:r w:rsidRPr="0018234C">
              <w:t>Annual clinical</w:t>
            </w:r>
            <w:r>
              <w:t xml:space="preserve"> (symptomatic)</w:t>
            </w:r>
            <w:r w:rsidRPr="0018234C">
              <w:t xml:space="preserve"> fracture rate from the alendronate arm in ARCH (5.02%) multiplied by 2 (5.02 x 2 =10.04%)</w:t>
            </w:r>
            <w:r>
              <w:t>.</w:t>
            </w:r>
            <w:r w:rsidRPr="003278DD">
              <w:rPr>
                <w:iCs/>
              </w:rPr>
              <w:t xml:space="preserve"> The resubmission assumed that the annual fracture rate, multiplied by 2, represented the proportion of patients with a recent fracture (in prior 24 months).  </w:t>
            </w:r>
          </w:p>
        </w:tc>
        <w:tc>
          <w:tcPr>
            <w:tcW w:w="3784" w:type="dxa"/>
            <w:vAlign w:val="center"/>
          </w:tcPr>
          <w:p w14:paraId="779DF37D" w14:textId="120CBA51" w:rsidR="00764A44" w:rsidRPr="003074AF" w:rsidRDefault="00764A44" w:rsidP="004A4DDD">
            <w:pPr>
              <w:pStyle w:val="TableText0"/>
              <w:keepLines/>
              <w:widowControl w:val="0"/>
              <w:rPr>
                <w:iCs/>
              </w:rPr>
            </w:pPr>
            <w:r w:rsidRPr="003074AF">
              <w:rPr>
                <w:iCs/>
              </w:rPr>
              <w:t>The use of a flat annual fracture rate assumes no changing risk of fractures over time (i.e. static population) and does not account for frequency and number of fractures in any given year.</w:t>
            </w:r>
          </w:p>
        </w:tc>
      </w:tr>
      <w:tr w:rsidR="00A050DB" w:rsidRPr="00A1325B" w14:paraId="1C30227F" w14:textId="77777777" w:rsidTr="0077002B">
        <w:trPr>
          <w:cantSplit/>
        </w:trPr>
        <w:tc>
          <w:tcPr>
            <w:tcW w:w="9029" w:type="dxa"/>
            <w:gridSpan w:val="3"/>
            <w:vAlign w:val="center"/>
          </w:tcPr>
          <w:p w14:paraId="5C2BED01" w14:textId="352309B5" w:rsidR="00A050DB" w:rsidRPr="003074AF" w:rsidRDefault="00A050DB" w:rsidP="004A4DDD">
            <w:pPr>
              <w:pStyle w:val="TableText0"/>
              <w:keepLines/>
              <w:widowControl w:val="0"/>
              <w:rPr>
                <w:b/>
                <w:bCs w:val="0"/>
                <w:iCs/>
              </w:rPr>
            </w:pPr>
            <w:r w:rsidRPr="003074AF">
              <w:rPr>
                <w:b/>
                <w:bCs w:val="0"/>
                <w:iCs/>
              </w:rPr>
              <w:t xml:space="preserve">Second-line population </w:t>
            </w:r>
            <w:r w:rsidR="0081073D" w:rsidRPr="003074AF">
              <w:rPr>
                <w:b/>
                <w:bCs w:val="0"/>
                <w:iCs/>
              </w:rPr>
              <w:t>(</w:t>
            </w:r>
            <w:r w:rsidRPr="003074AF">
              <w:rPr>
                <w:b/>
                <w:bCs w:val="0"/>
                <w:iCs/>
              </w:rPr>
              <w:t>single hip or vertebral fracture</w:t>
            </w:r>
            <w:r w:rsidR="0081073D" w:rsidRPr="003074AF">
              <w:rPr>
                <w:b/>
                <w:bCs w:val="0"/>
                <w:iCs/>
              </w:rPr>
              <w:t>)</w:t>
            </w:r>
          </w:p>
        </w:tc>
      </w:tr>
      <w:tr w:rsidR="00764A44" w:rsidRPr="00A1325B" w14:paraId="19D1C809" w14:textId="77777777" w:rsidTr="002A1F14">
        <w:trPr>
          <w:cantSplit/>
        </w:trPr>
        <w:tc>
          <w:tcPr>
            <w:tcW w:w="1418" w:type="dxa"/>
            <w:vAlign w:val="center"/>
          </w:tcPr>
          <w:p w14:paraId="2A5D21AE" w14:textId="77777777" w:rsidR="00764A44" w:rsidRPr="00920F40" w:rsidRDefault="00764A44" w:rsidP="004A4DDD">
            <w:pPr>
              <w:pStyle w:val="TableText0"/>
              <w:keepLines/>
              <w:widowControl w:val="0"/>
            </w:pPr>
            <w:r w:rsidRPr="00920F40">
              <w:t>Patients without a prior fracture</w:t>
            </w:r>
          </w:p>
        </w:tc>
        <w:tc>
          <w:tcPr>
            <w:tcW w:w="3827" w:type="dxa"/>
            <w:vAlign w:val="center"/>
          </w:tcPr>
          <w:p w14:paraId="62080FF6" w14:textId="56C70BE3" w:rsidR="00764A44" w:rsidRPr="00920F40" w:rsidRDefault="00764A44" w:rsidP="004A4DDD">
            <w:pPr>
              <w:pStyle w:val="TableText0"/>
              <w:keepLines/>
              <w:widowControl w:val="0"/>
            </w:pPr>
            <w:r w:rsidRPr="00920F40">
              <w:t>25%</w:t>
            </w:r>
            <w:r>
              <w:t xml:space="preserve">. </w:t>
            </w:r>
            <w:r w:rsidRPr="00920F40">
              <w:t>Complement of estimated proportion of patients with a prior fracture (75%) based on</w:t>
            </w:r>
            <w:r>
              <w:t xml:space="preserve"> the Geelong Osteoporosis Study and weighted by age from</w:t>
            </w:r>
            <w:r w:rsidRPr="00920F40">
              <w:t xml:space="preserve"> the 10% PBS sample analysis (see </w:t>
            </w:r>
            <w:r>
              <w:t xml:space="preserve">first-line listing </w:t>
            </w:r>
            <w:r w:rsidRPr="00920F40">
              <w:t xml:space="preserve">above). </w:t>
            </w:r>
          </w:p>
        </w:tc>
        <w:tc>
          <w:tcPr>
            <w:tcW w:w="3784" w:type="dxa"/>
            <w:vAlign w:val="center"/>
          </w:tcPr>
          <w:p w14:paraId="07A9D80B" w14:textId="5D1F7998" w:rsidR="00764A44" w:rsidRPr="003074AF" w:rsidRDefault="00764A44" w:rsidP="004A4DDD">
            <w:pPr>
              <w:pStyle w:val="TableText0"/>
              <w:keepLines/>
              <w:widowControl w:val="0"/>
              <w:rPr>
                <w:iCs/>
              </w:rPr>
            </w:pPr>
            <w:r w:rsidRPr="003074AF">
              <w:rPr>
                <w:iCs/>
              </w:rPr>
              <w:t>Using the complement of this weighted proportion was inappropriate as this second-line subpopulation were assumed to be all over 70 years of age (in order to qualify for PBS-subsidised osteoporosis treatment without a prevalent fracture). The complement of the proportion of patients aged ≥70 years with a prior fracture based on the GOS (100% - 66% = 34%) may have been more appropriate.</w:t>
            </w:r>
          </w:p>
        </w:tc>
      </w:tr>
      <w:tr w:rsidR="00764A44" w:rsidRPr="00A1325B" w14:paraId="51DA00E9" w14:textId="77777777" w:rsidTr="002A1F14">
        <w:trPr>
          <w:cantSplit/>
        </w:trPr>
        <w:tc>
          <w:tcPr>
            <w:tcW w:w="1418" w:type="dxa"/>
            <w:vAlign w:val="center"/>
          </w:tcPr>
          <w:p w14:paraId="1FF3B0ED" w14:textId="77777777" w:rsidR="00764A44" w:rsidRPr="00D97D6C" w:rsidRDefault="00764A44" w:rsidP="004A4DDD">
            <w:pPr>
              <w:pStyle w:val="TableText0"/>
              <w:keepLines/>
              <w:widowControl w:val="0"/>
            </w:pPr>
            <w:r w:rsidRPr="00D97D6C">
              <w:t xml:space="preserve">Patients with an on-treatment </w:t>
            </w:r>
            <w:r>
              <w:t xml:space="preserve">clinical vertebral or hip </w:t>
            </w:r>
            <w:r w:rsidRPr="00D97D6C">
              <w:t>fracture</w:t>
            </w:r>
          </w:p>
        </w:tc>
        <w:tc>
          <w:tcPr>
            <w:tcW w:w="3827" w:type="dxa"/>
            <w:vAlign w:val="center"/>
          </w:tcPr>
          <w:p w14:paraId="76186169" w14:textId="487E6C49" w:rsidR="00764A44" w:rsidRPr="0018234C" w:rsidRDefault="00764A44" w:rsidP="004A4DDD">
            <w:pPr>
              <w:pStyle w:val="TableText0"/>
              <w:keepLines/>
              <w:widowControl w:val="0"/>
            </w:pPr>
            <w:r>
              <w:t xml:space="preserve">2.29%. </w:t>
            </w:r>
            <w:r w:rsidRPr="0018234C">
              <w:t>Annual clinical vertebral or hip fracture rate from the alendronate arm in ARCH (2.29%), first halved to reflect lower risk in population without a prior fracture, then multiplied by 2 to reflect the requirement for a fracture to be recent, ie within last 24 months.</w:t>
            </w:r>
          </w:p>
        </w:tc>
        <w:tc>
          <w:tcPr>
            <w:tcW w:w="3784" w:type="dxa"/>
            <w:vAlign w:val="center"/>
          </w:tcPr>
          <w:p w14:paraId="2E204C01" w14:textId="40FB4E36" w:rsidR="00764A44" w:rsidRPr="003074AF" w:rsidRDefault="00764A44" w:rsidP="004A4DDD">
            <w:pPr>
              <w:pStyle w:val="TableText0"/>
              <w:keepLines/>
              <w:widowControl w:val="0"/>
              <w:rPr>
                <w:iCs/>
              </w:rPr>
            </w:pPr>
            <w:r w:rsidRPr="003074AF">
              <w:rPr>
                <w:iCs/>
              </w:rPr>
              <w:t>While it was reasonable to assume that the population without a prevalent fracture would have a lower subsequent fracture risk than those in the ARCH trial (with prevalent fracture), there was no justification provided for the 50% reduction in the rate applied in the resubmission’s estimates.</w:t>
            </w:r>
            <w:r w:rsidR="009E0870" w:rsidRPr="009E0870">
              <w:rPr>
                <w:iCs/>
                <w:color w:val="000000"/>
                <w:spacing w:val="29"/>
                <w:shd w:val="solid" w:color="000000" w:fill="000000"/>
                <w:fitText w:val="547" w:id="-1232957424"/>
                <w14:textFill>
                  <w14:solidFill>
                    <w14:srgbClr w14:val="000000">
                      <w14:alpha w14:val="100000"/>
                    </w14:srgbClr>
                  </w14:solidFill>
                </w14:textFill>
              </w:rPr>
              <w:t>|||||||</w:t>
            </w:r>
            <w:r w:rsidR="009E0870" w:rsidRPr="009E0870">
              <w:rPr>
                <w:iCs/>
                <w:color w:val="000000"/>
                <w:spacing w:val="4"/>
                <w:shd w:val="solid" w:color="000000" w:fill="000000"/>
                <w:fitText w:val="547" w:id="-1232957424"/>
                <w14:textFill>
                  <w14:solidFill>
                    <w14:srgbClr w14:val="000000">
                      <w14:alpha w14:val="100000"/>
                    </w14:srgbClr>
                  </w14:solidFill>
                </w14:textFill>
              </w:rPr>
              <w:t>|</w:t>
            </w:r>
          </w:p>
          <w:p w14:paraId="572C1978" w14:textId="34B049CB" w:rsidR="00764A44" w:rsidRPr="003074AF" w:rsidRDefault="00764A44" w:rsidP="004A4DDD">
            <w:pPr>
              <w:pStyle w:val="TableText0"/>
              <w:keepLines/>
              <w:widowControl w:val="0"/>
              <w:rPr>
                <w:iCs/>
              </w:rPr>
            </w:pPr>
            <w:r w:rsidRPr="003074AF">
              <w:rPr>
                <w:iCs/>
              </w:rPr>
              <w:t>The use of a flat annual fracture rate assumes no changing risk of fractures over time (i.e. static population) and does not account for frequency and number of fractures in any given year.</w:t>
            </w:r>
          </w:p>
        </w:tc>
      </w:tr>
    </w:tbl>
    <w:p w14:paraId="51F9BBFF" w14:textId="77777777" w:rsidR="00A050DB" w:rsidRDefault="00A050DB" w:rsidP="004A4DDD">
      <w:pPr>
        <w:pStyle w:val="COMTablefooter"/>
        <w:keepNext/>
        <w:keepLines/>
      </w:pPr>
      <w:r>
        <w:t>Source: Section 4, pp106-114 of the resubmission; Evenity Financial analysis_Mar23 Excel workbook of the resubmission</w:t>
      </w:r>
    </w:p>
    <w:p w14:paraId="18D32C76" w14:textId="74AE04A5" w:rsidR="00E42F73" w:rsidRPr="007925DF" w:rsidRDefault="00A050DB" w:rsidP="004A4DDD">
      <w:pPr>
        <w:pStyle w:val="COMTablefooter"/>
        <w:keepNext/>
        <w:keepLines/>
      </w:pPr>
      <w:r>
        <w:t>Abbreviation: ECG, electrocardiography; DPMQ, dispensed price for maximum quantity.</w:t>
      </w:r>
    </w:p>
    <w:p w14:paraId="3AB4625C" w14:textId="367813BA" w:rsidR="00C64062" w:rsidRPr="008F36E6" w:rsidRDefault="00C64062" w:rsidP="00C64062">
      <w:pPr>
        <w:pStyle w:val="ExecSumBodyText"/>
        <w:numPr>
          <w:ilvl w:val="1"/>
          <w:numId w:val="4"/>
        </w:numPr>
      </w:pPr>
      <w:r w:rsidRPr="00C64062">
        <w:fldChar w:fldCharType="begin" w:fldLock="1"/>
      </w:r>
      <w:r w:rsidRPr="00C64062">
        <w:instrText xml:space="preserve"> REF _Ref104805295 \h  \* MERGEFORMAT </w:instrText>
      </w:r>
      <w:r w:rsidRPr="00C64062">
        <w:fldChar w:fldCharType="separate"/>
      </w:r>
      <w:r w:rsidR="00605CB9">
        <w:t>Table 15</w:t>
      </w:r>
      <w:r w:rsidRPr="00C64062">
        <w:fldChar w:fldCharType="end"/>
      </w:r>
      <w:r w:rsidRPr="00C64062">
        <w:t xml:space="preserve"> presents th</w:t>
      </w:r>
      <w:r w:rsidRPr="008F36E6">
        <w:t>e estimated use and financial impact of romosozumab to the PBS/RPBS.</w:t>
      </w:r>
    </w:p>
    <w:p w14:paraId="38EC053C" w14:textId="56916606" w:rsidR="00C25D9C" w:rsidRPr="00606FBA" w:rsidRDefault="00E16AD8" w:rsidP="002A1F14">
      <w:pPr>
        <w:pStyle w:val="COMtablefigcaption"/>
        <w:keepNext w:val="0"/>
      </w:pPr>
      <w:bookmarkStart w:id="59" w:name="_Ref104805295"/>
      <w:r>
        <w:lastRenderedPageBreak/>
        <w:t xml:space="preserve">Table </w:t>
      </w:r>
      <w:fldSimple w:instr=" SEQ Table \* ARABIC " w:fldLock="1">
        <w:r w:rsidR="00B20BD0">
          <w:rPr>
            <w:noProof/>
          </w:rPr>
          <w:t>15</w:t>
        </w:r>
      </w:fldSimple>
      <w:bookmarkEnd w:id="59"/>
      <w:r>
        <w:t>:</w:t>
      </w:r>
      <w:r w:rsidR="002A2F50" w:rsidRPr="00FD4ED6">
        <w:t xml:space="preserve"> Estimated use and financial implications</w:t>
      </w:r>
    </w:p>
    <w:tbl>
      <w:tblPr>
        <w:tblW w:w="51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48"/>
        <w:gridCol w:w="1135"/>
        <w:gridCol w:w="1133"/>
        <w:gridCol w:w="1096"/>
        <w:gridCol w:w="1169"/>
        <w:gridCol w:w="1135"/>
        <w:gridCol w:w="1135"/>
      </w:tblGrid>
      <w:tr w:rsidR="009E0870" w:rsidRPr="009E0870" w14:paraId="627E1E33" w14:textId="77777777" w:rsidTr="002E1153">
        <w:trPr>
          <w:tblHeader/>
        </w:trPr>
        <w:tc>
          <w:tcPr>
            <w:tcW w:w="1362" w:type="pct"/>
            <w:shd w:val="clear" w:color="auto" w:fill="auto"/>
            <w:vAlign w:val="center"/>
          </w:tcPr>
          <w:p w14:paraId="6B08896E" w14:textId="77777777" w:rsidR="00056A6A" w:rsidRPr="009E0870" w:rsidRDefault="00056A6A" w:rsidP="002A1F14">
            <w:pPr>
              <w:pStyle w:val="Tableheadingrow"/>
              <w:keepNext w:val="0"/>
              <w:rPr>
                <w:highlight w:val="yellow"/>
              </w:rPr>
            </w:pPr>
          </w:p>
        </w:tc>
        <w:tc>
          <w:tcPr>
            <w:tcW w:w="607" w:type="pct"/>
            <w:shd w:val="clear" w:color="auto" w:fill="auto"/>
            <w:vAlign w:val="center"/>
          </w:tcPr>
          <w:p w14:paraId="418D4330" w14:textId="77777777" w:rsidR="00056A6A" w:rsidRPr="009E0870" w:rsidRDefault="00056A6A" w:rsidP="002A1F14">
            <w:pPr>
              <w:pStyle w:val="Tableheadingrow"/>
              <w:keepNext w:val="0"/>
              <w:jc w:val="center"/>
            </w:pPr>
            <w:r w:rsidRPr="009E0870">
              <w:t>Year 1</w:t>
            </w:r>
          </w:p>
          <w:p w14:paraId="63575696" w14:textId="77777777" w:rsidR="00056A6A" w:rsidRPr="009E0870" w:rsidRDefault="00056A6A" w:rsidP="002A1F14">
            <w:pPr>
              <w:pStyle w:val="Tableheadingrow"/>
              <w:keepNext w:val="0"/>
              <w:jc w:val="center"/>
            </w:pPr>
            <w:r w:rsidRPr="009E0870">
              <w:t>(2023)</w:t>
            </w:r>
          </w:p>
        </w:tc>
        <w:tc>
          <w:tcPr>
            <w:tcW w:w="606" w:type="pct"/>
            <w:shd w:val="clear" w:color="auto" w:fill="auto"/>
            <w:vAlign w:val="center"/>
          </w:tcPr>
          <w:p w14:paraId="28A1A3A4" w14:textId="77777777" w:rsidR="00056A6A" w:rsidRPr="009E0870" w:rsidRDefault="00056A6A" w:rsidP="002A1F14">
            <w:pPr>
              <w:pStyle w:val="Tableheadingrow"/>
              <w:keepNext w:val="0"/>
              <w:jc w:val="center"/>
            </w:pPr>
            <w:r w:rsidRPr="009E0870">
              <w:t>Year 2</w:t>
            </w:r>
          </w:p>
          <w:p w14:paraId="5C0F9AAD" w14:textId="77777777" w:rsidR="00056A6A" w:rsidRPr="009E0870" w:rsidRDefault="00056A6A" w:rsidP="002A1F14">
            <w:pPr>
              <w:pStyle w:val="Tableheadingrow"/>
              <w:keepNext w:val="0"/>
              <w:jc w:val="center"/>
            </w:pPr>
            <w:r w:rsidRPr="009E0870">
              <w:t>(2024)</w:t>
            </w:r>
          </w:p>
        </w:tc>
        <w:tc>
          <w:tcPr>
            <w:tcW w:w="586" w:type="pct"/>
            <w:shd w:val="clear" w:color="auto" w:fill="auto"/>
            <w:vAlign w:val="center"/>
          </w:tcPr>
          <w:p w14:paraId="5DADBF5B" w14:textId="77777777" w:rsidR="00056A6A" w:rsidRPr="009E0870" w:rsidRDefault="00056A6A" w:rsidP="002A1F14">
            <w:pPr>
              <w:pStyle w:val="Tableheadingrow"/>
              <w:keepNext w:val="0"/>
              <w:jc w:val="center"/>
            </w:pPr>
            <w:r w:rsidRPr="009E0870">
              <w:t>Year 3</w:t>
            </w:r>
          </w:p>
          <w:p w14:paraId="6D92DE19" w14:textId="77777777" w:rsidR="00056A6A" w:rsidRPr="009E0870" w:rsidRDefault="00056A6A" w:rsidP="002A1F14">
            <w:pPr>
              <w:pStyle w:val="Tableheadingrow"/>
              <w:keepNext w:val="0"/>
              <w:jc w:val="center"/>
            </w:pPr>
            <w:r w:rsidRPr="009E0870">
              <w:t>(2025)</w:t>
            </w:r>
          </w:p>
        </w:tc>
        <w:tc>
          <w:tcPr>
            <w:tcW w:w="625" w:type="pct"/>
            <w:shd w:val="clear" w:color="auto" w:fill="auto"/>
            <w:vAlign w:val="center"/>
          </w:tcPr>
          <w:p w14:paraId="365F4F55" w14:textId="77777777" w:rsidR="00056A6A" w:rsidRPr="009E0870" w:rsidRDefault="00056A6A" w:rsidP="002A1F14">
            <w:pPr>
              <w:pStyle w:val="Tableheadingrow"/>
              <w:keepNext w:val="0"/>
              <w:jc w:val="center"/>
            </w:pPr>
            <w:r w:rsidRPr="009E0870">
              <w:t>Year 4</w:t>
            </w:r>
          </w:p>
          <w:p w14:paraId="0173393D" w14:textId="77777777" w:rsidR="00056A6A" w:rsidRPr="009E0870" w:rsidRDefault="00056A6A" w:rsidP="002A1F14">
            <w:pPr>
              <w:pStyle w:val="Tableheadingrow"/>
              <w:keepNext w:val="0"/>
              <w:jc w:val="center"/>
            </w:pPr>
            <w:r w:rsidRPr="009E0870">
              <w:t>(2026)</w:t>
            </w:r>
          </w:p>
        </w:tc>
        <w:tc>
          <w:tcPr>
            <w:tcW w:w="607" w:type="pct"/>
            <w:shd w:val="clear" w:color="auto" w:fill="auto"/>
            <w:vAlign w:val="center"/>
          </w:tcPr>
          <w:p w14:paraId="3C6785F8" w14:textId="77777777" w:rsidR="00056A6A" w:rsidRPr="009E0870" w:rsidRDefault="00056A6A" w:rsidP="002A1F14">
            <w:pPr>
              <w:pStyle w:val="Tableheadingrow"/>
              <w:keepNext w:val="0"/>
              <w:jc w:val="center"/>
            </w:pPr>
            <w:r w:rsidRPr="009E0870">
              <w:t>Year 5</w:t>
            </w:r>
          </w:p>
          <w:p w14:paraId="6A8B4665" w14:textId="77777777" w:rsidR="00056A6A" w:rsidRPr="009E0870" w:rsidRDefault="00056A6A" w:rsidP="002A1F14">
            <w:pPr>
              <w:pStyle w:val="Tableheadingrow"/>
              <w:keepNext w:val="0"/>
              <w:jc w:val="center"/>
            </w:pPr>
            <w:r w:rsidRPr="009E0870">
              <w:t>(2027)</w:t>
            </w:r>
          </w:p>
        </w:tc>
        <w:tc>
          <w:tcPr>
            <w:tcW w:w="606" w:type="pct"/>
            <w:shd w:val="clear" w:color="auto" w:fill="auto"/>
            <w:vAlign w:val="center"/>
          </w:tcPr>
          <w:p w14:paraId="7C188B0C" w14:textId="77777777" w:rsidR="00056A6A" w:rsidRPr="009E0870" w:rsidRDefault="00056A6A" w:rsidP="002A1F14">
            <w:pPr>
              <w:pStyle w:val="Tableheadingrow"/>
              <w:keepNext w:val="0"/>
              <w:jc w:val="center"/>
            </w:pPr>
            <w:r w:rsidRPr="009E0870">
              <w:t>Year 6</w:t>
            </w:r>
          </w:p>
          <w:p w14:paraId="549B3CF3" w14:textId="77777777" w:rsidR="00056A6A" w:rsidRPr="009E0870" w:rsidRDefault="00056A6A" w:rsidP="002A1F14">
            <w:pPr>
              <w:pStyle w:val="Tableheadingrow"/>
              <w:keepNext w:val="0"/>
              <w:jc w:val="center"/>
            </w:pPr>
            <w:r w:rsidRPr="009E0870">
              <w:t>(2028)</w:t>
            </w:r>
          </w:p>
        </w:tc>
      </w:tr>
      <w:tr w:rsidR="009E0870" w:rsidRPr="009E0870" w14:paraId="61057194" w14:textId="77777777" w:rsidTr="002E1153">
        <w:tc>
          <w:tcPr>
            <w:tcW w:w="1362" w:type="pct"/>
            <w:shd w:val="clear" w:color="auto" w:fill="auto"/>
            <w:vAlign w:val="center"/>
          </w:tcPr>
          <w:p w14:paraId="1B598842" w14:textId="77777777" w:rsidR="00056A6A" w:rsidRPr="009E0870" w:rsidRDefault="00056A6A" w:rsidP="002A1F14">
            <w:pPr>
              <w:pStyle w:val="TableText0"/>
              <w:keepNext w:val="0"/>
              <w:rPr>
                <w:highlight w:val="yellow"/>
              </w:rPr>
            </w:pPr>
            <w:r w:rsidRPr="009E0870">
              <w:t>Treated osteoporosis patients</w:t>
            </w:r>
          </w:p>
        </w:tc>
        <w:tc>
          <w:tcPr>
            <w:tcW w:w="607" w:type="pct"/>
            <w:shd w:val="clear" w:color="auto" w:fill="auto"/>
          </w:tcPr>
          <w:p w14:paraId="54CD1DDF" w14:textId="67A40064"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4" w:id="-1232957440"/>
                <w14:textFill>
                  <w14:solidFill>
                    <w14:srgbClr w14:val="000000">
                      <w14:alpha w14:val="100000"/>
                    </w14:srgbClr>
                  </w14:solidFill>
                </w14:textFill>
              </w:rPr>
              <w:t>|||</w:t>
            </w:r>
            <w:r w:rsidRPr="009E0870">
              <w:rPr>
                <w:color w:val="000000"/>
                <w:spacing w:val="2"/>
                <w:shd w:val="solid" w:color="000000" w:fill="000000"/>
                <w:fitText w:val="364" w:id="-1232957440"/>
                <w14:textFill>
                  <w14:solidFill>
                    <w14:srgbClr w14:val="000000">
                      <w14:alpha w14:val="100000"/>
                    </w14:srgbClr>
                  </w14:solidFill>
                </w14:textFill>
              </w:rPr>
              <w:t>|</w:t>
            </w:r>
            <w:r w:rsidR="006042B8" w:rsidRPr="009E0870">
              <w:rPr>
                <w:iCs/>
                <w:szCs w:val="18"/>
                <w:vertAlign w:val="superscript"/>
              </w:rPr>
              <w:t>1</w:t>
            </w:r>
          </w:p>
        </w:tc>
        <w:tc>
          <w:tcPr>
            <w:tcW w:w="606" w:type="pct"/>
            <w:shd w:val="clear" w:color="auto" w:fill="auto"/>
          </w:tcPr>
          <w:p w14:paraId="5BFFE24E" w14:textId="1A7D36C0" w:rsidR="00056A6A" w:rsidRPr="009E0870" w:rsidRDefault="009E0870" w:rsidP="002A1F14">
            <w:pPr>
              <w:pStyle w:val="TableText0"/>
              <w:keepNext w:val="0"/>
              <w:jc w:val="center"/>
              <w:rPr>
                <w:highlight w:val="darkGray"/>
              </w:rPr>
            </w:pPr>
            <w:r w:rsidRPr="009E0870">
              <w:rPr>
                <w:color w:val="000000"/>
                <w:spacing w:val="73"/>
                <w:shd w:val="solid" w:color="000000" w:fill="000000"/>
                <w:fitText w:val="392" w:id="-1232957439"/>
                <w14:textFill>
                  <w14:solidFill>
                    <w14:srgbClr w14:val="000000">
                      <w14:alpha w14:val="100000"/>
                    </w14:srgbClr>
                  </w14:solidFill>
                </w14:textFill>
              </w:rPr>
              <w:t>|||</w:t>
            </w:r>
            <w:r w:rsidRPr="009E0870">
              <w:rPr>
                <w:color w:val="000000"/>
                <w:spacing w:val="3"/>
                <w:shd w:val="solid" w:color="000000" w:fill="000000"/>
                <w:fitText w:val="392" w:id="-1232957439"/>
                <w14:textFill>
                  <w14:solidFill>
                    <w14:srgbClr w14:val="000000">
                      <w14:alpha w14:val="100000"/>
                    </w14:srgbClr>
                  </w14:solidFill>
                </w14:textFill>
              </w:rPr>
              <w:t>|</w:t>
            </w:r>
            <w:r w:rsidR="00710E82" w:rsidRPr="009E0870">
              <w:rPr>
                <w:iCs/>
                <w:szCs w:val="18"/>
                <w:vertAlign w:val="superscript"/>
              </w:rPr>
              <w:t>13</w:t>
            </w:r>
          </w:p>
        </w:tc>
        <w:tc>
          <w:tcPr>
            <w:tcW w:w="586" w:type="pct"/>
            <w:shd w:val="clear" w:color="auto" w:fill="auto"/>
          </w:tcPr>
          <w:p w14:paraId="0299B291" w14:textId="35C0198F" w:rsidR="00056A6A" w:rsidRPr="009E0870" w:rsidRDefault="009E0870" w:rsidP="002A1F14">
            <w:pPr>
              <w:pStyle w:val="TableText0"/>
              <w:keepNext w:val="0"/>
              <w:jc w:val="center"/>
              <w:rPr>
                <w:highlight w:val="darkGray"/>
              </w:rPr>
            </w:pPr>
            <w:r w:rsidRPr="009E0870">
              <w:rPr>
                <w:color w:val="000000"/>
                <w:spacing w:val="79"/>
                <w:shd w:val="solid" w:color="000000" w:fill="000000"/>
                <w:fitText w:val="410" w:id="-1232957438"/>
                <w14:textFill>
                  <w14:solidFill>
                    <w14:srgbClr w14:val="000000">
                      <w14:alpha w14:val="100000"/>
                    </w14:srgbClr>
                  </w14:solidFill>
                </w14:textFill>
              </w:rPr>
              <w:t>|||</w:t>
            </w:r>
            <w:r w:rsidRPr="009E0870">
              <w:rPr>
                <w:color w:val="000000"/>
                <w:spacing w:val="3"/>
                <w:shd w:val="solid" w:color="000000" w:fill="000000"/>
                <w:fitText w:val="410" w:id="-1232957438"/>
                <w14:textFill>
                  <w14:solidFill>
                    <w14:srgbClr w14:val="000000">
                      <w14:alpha w14:val="100000"/>
                    </w14:srgbClr>
                  </w14:solidFill>
                </w14:textFill>
              </w:rPr>
              <w:t>|</w:t>
            </w:r>
            <w:r w:rsidR="00DA650E" w:rsidRPr="009E0870">
              <w:rPr>
                <w:iCs/>
                <w:szCs w:val="18"/>
                <w:vertAlign w:val="superscript"/>
              </w:rPr>
              <w:t>13</w:t>
            </w:r>
          </w:p>
        </w:tc>
        <w:tc>
          <w:tcPr>
            <w:tcW w:w="625" w:type="pct"/>
            <w:shd w:val="clear" w:color="auto" w:fill="auto"/>
          </w:tcPr>
          <w:p w14:paraId="5D640B30" w14:textId="6FF62E15" w:rsidR="00056A6A" w:rsidRPr="009E0870" w:rsidRDefault="009E0870" w:rsidP="002A1F14">
            <w:pPr>
              <w:pStyle w:val="TableText0"/>
              <w:keepNext w:val="0"/>
              <w:jc w:val="center"/>
              <w:rPr>
                <w:highlight w:val="darkGray"/>
              </w:rPr>
            </w:pPr>
            <w:r w:rsidRPr="009E0870">
              <w:rPr>
                <w:color w:val="000000"/>
                <w:spacing w:val="67"/>
                <w:shd w:val="solid" w:color="000000" w:fill="000000"/>
                <w:fitText w:val="373" w:id="-1232957437"/>
                <w14:textFill>
                  <w14:solidFill>
                    <w14:srgbClr w14:val="000000">
                      <w14:alpha w14:val="100000"/>
                    </w14:srgbClr>
                  </w14:solidFill>
                </w14:textFill>
              </w:rPr>
              <w:t>|||</w:t>
            </w:r>
            <w:r w:rsidRPr="009E0870">
              <w:rPr>
                <w:color w:val="000000"/>
                <w:spacing w:val="2"/>
                <w:shd w:val="solid" w:color="000000" w:fill="000000"/>
                <w:fitText w:val="373" w:id="-1232957437"/>
                <w14:textFill>
                  <w14:solidFill>
                    <w14:srgbClr w14:val="000000">
                      <w14:alpha w14:val="100000"/>
                    </w14:srgbClr>
                  </w14:solidFill>
                </w14:textFill>
              </w:rPr>
              <w:t>|</w:t>
            </w:r>
            <w:r w:rsidR="003813A1" w:rsidRPr="009E0870">
              <w:rPr>
                <w:iCs/>
                <w:szCs w:val="18"/>
                <w:vertAlign w:val="superscript"/>
              </w:rPr>
              <w:t>22</w:t>
            </w:r>
          </w:p>
        </w:tc>
        <w:tc>
          <w:tcPr>
            <w:tcW w:w="607" w:type="pct"/>
            <w:shd w:val="clear" w:color="auto" w:fill="auto"/>
          </w:tcPr>
          <w:p w14:paraId="620E1837" w14:textId="1755291D" w:rsidR="00056A6A" w:rsidRPr="009E0870" w:rsidRDefault="009E0870" w:rsidP="002A1F14">
            <w:pPr>
              <w:pStyle w:val="TableText0"/>
              <w:keepNext w:val="0"/>
              <w:jc w:val="center"/>
              <w:rPr>
                <w:highlight w:val="darkGray"/>
              </w:rPr>
            </w:pPr>
            <w:r w:rsidRPr="009E0870">
              <w:rPr>
                <w:color w:val="000000"/>
                <w:spacing w:val="73"/>
                <w:shd w:val="solid" w:color="000000" w:fill="000000"/>
                <w:fitText w:val="392" w:id="-1232957436"/>
                <w14:textFill>
                  <w14:solidFill>
                    <w14:srgbClr w14:val="000000">
                      <w14:alpha w14:val="100000"/>
                    </w14:srgbClr>
                  </w14:solidFill>
                </w14:textFill>
              </w:rPr>
              <w:t>|||</w:t>
            </w:r>
            <w:r w:rsidRPr="009E0870">
              <w:rPr>
                <w:color w:val="000000"/>
                <w:spacing w:val="3"/>
                <w:shd w:val="solid" w:color="000000" w:fill="000000"/>
                <w:fitText w:val="392" w:id="-1232957436"/>
                <w14:textFill>
                  <w14:solidFill>
                    <w14:srgbClr w14:val="000000">
                      <w14:alpha w14:val="100000"/>
                    </w14:srgbClr>
                  </w14:solidFill>
                </w14:textFill>
              </w:rPr>
              <w:t>|</w:t>
            </w:r>
            <w:r w:rsidR="003813A1" w:rsidRPr="009E0870">
              <w:rPr>
                <w:iCs/>
                <w:szCs w:val="18"/>
                <w:vertAlign w:val="superscript"/>
              </w:rPr>
              <w:t>25</w:t>
            </w:r>
          </w:p>
        </w:tc>
        <w:tc>
          <w:tcPr>
            <w:tcW w:w="606" w:type="pct"/>
            <w:shd w:val="clear" w:color="auto" w:fill="auto"/>
          </w:tcPr>
          <w:p w14:paraId="51C3D66A" w14:textId="551E99B2" w:rsidR="00056A6A" w:rsidRPr="009E0870" w:rsidRDefault="009E0870" w:rsidP="002A1F14">
            <w:pPr>
              <w:pStyle w:val="TableText0"/>
              <w:keepNext w:val="0"/>
              <w:jc w:val="center"/>
              <w:rPr>
                <w:highlight w:val="darkGray"/>
              </w:rPr>
            </w:pPr>
            <w:r w:rsidRPr="009E0870">
              <w:rPr>
                <w:color w:val="000000"/>
                <w:spacing w:val="73"/>
                <w:shd w:val="solid" w:color="000000" w:fill="000000"/>
                <w:fitText w:val="392" w:id="-1232957435"/>
                <w14:textFill>
                  <w14:solidFill>
                    <w14:srgbClr w14:val="000000">
                      <w14:alpha w14:val="100000"/>
                    </w14:srgbClr>
                  </w14:solidFill>
                </w14:textFill>
              </w:rPr>
              <w:t>|||</w:t>
            </w:r>
            <w:r w:rsidRPr="009E0870">
              <w:rPr>
                <w:color w:val="000000"/>
                <w:spacing w:val="3"/>
                <w:shd w:val="solid" w:color="000000" w:fill="000000"/>
                <w:fitText w:val="392" w:id="-1232957435"/>
                <w14:textFill>
                  <w14:solidFill>
                    <w14:srgbClr w14:val="000000">
                      <w14:alpha w14:val="100000"/>
                    </w14:srgbClr>
                  </w14:solidFill>
                </w14:textFill>
              </w:rPr>
              <w:t>|</w:t>
            </w:r>
            <w:r w:rsidR="003813A1" w:rsidRPr="009E0870">
              <w:rPr>
                <w:iCs/>
                <w:szCs w:val="18"/>
                <w:vertAlign w:val="superscript"/>
              </w:rPr>
              <w:t>25</w:t>
            </w:r>
          </w:p>
        </w:tc>
      </w:tr>
      <w:tr w:rsidR="009E0870" w:rsidRPr="009E0870" w14:paraId="2DADEC8C" w14:textId="77777777" w:rsidTr="002E1153">
        <w:tc>
          <w:tcPr>
            <w:tcW w:w="5000" w:type="pct"/>
            <w:gridSpan w:val="7"/>
            <w:shd w:val="clear" w:color="auto" w:fill="auto"/>
            <w:vAlign w:val="center"/>
          </w:tcPr>
          <w:p w14:paraId="28E32923" w14:textId="27CA80F8" w:rsidR="00056A6A" w:rsidRPr="009E0870" w:rsidRDefault="00056A6A" w:rsidP="002A1F14">
            <w:pPr>
              <w:pStyle w:val="TableText0"/>
              <w:keepNext w:val="0"/>
              <w:rPr>
                <w:b/>
                <w:bCs w:val="0"/>
                <w:highlight w:val="yellow"/>
              </w:rPr>
            </w:pPr>
            <w:r w:rsidRPr="009E0870">
              <w:rPr>
                <w:b/>
                <w:bCs w:val="0"/>
              </w:rPr>
              <w:t>First-line populatio</w:t>
            </w:r>
            <w:r w:rsidR="008B0637" w:rsidRPr="009E0870">
              <w:rPr>
                <w:b/>
                <w:bCs w:val="0"/>
              </w:rPr>
              <w:t>n</w:t>
            </w:r>
          </w:p>
        </w:tc>
      </w:tr>
      <w:tr w:rsidR="009E0870" w:rsidRPr="009E0870" w14:paraId="3465469F" w14:textId="77777777" w:rsidTr="002E1153">
        <w:tc>
          <w:tcPr>
            <w:tcW w:w="1362" w:type="pct"/>
            <w:shd w:val="clear" w:color="auto" w:fill="auto"/>
            <w:vAlign w:val="center"/>
          </w:tcPr>
          <w:p w14:paraId="04587F9E" w14:textId="77777777" w:rsidR="00056A6A" w:rsidRPr="009E0870" w:rsidRDefault="00056A6A" w:rsidP="002A1F14">
            <w:pPr>
              <w:pStyle w:val="TableText0"/>
              <w:keepNext w:val="0"/>
            </w:pPr>
            <w:r w:rsidRPr="009E0870">
              <w:t>Initiate osteoporosis therapy (19.8%)</w:t>
            </w:r>
          </w:p>
        </w:tc>
        <w:tc>
          <w:tcPr>
            <w:tcW w:w="607" w:type="pct"/>
            <w:shd w:val="clear" w:color="auto" w:fill="auto"/>
            <w:vAlign w:val="center"/>
          </w:tcPr>
          <w:p w14:paraId="5224922F" w14:textId="4B447E82"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4" w:id="-1232957434"/>
                <w14:textFill>
                  <w14:solidFill>
                    <w14:srgbClr w14:val="000000">
                      <w14:alpha w14:val="100000"/>
                    </w14:srgbClr>
                  </w14:solidFill>
                </w14:textFill>
              </w:rPr>
              <w:t>|||</w:t>
            </w:r>
            <w:r w:rsidRPr="009E0870">
              <w:rPr>
                <w:color w:val="000000"/>
                <w:spacing w:val="2"/>
                <w:shd w:val="solid" w:color="000000" w:fill="000000"/>
                <w:fitText w:val="364" w:id="-1232957434"/>
                <w14:textFill>
                  <w14:solidFill>
                    <w14:srgbClr w14:val="000000">
                      <w14:alpha w14:val="100000"/>
                    </w14:srgbClr>
                  </w14:solidFill>
                </w14:textFill>
              </w:rPr>
              <w:t>|</w:t>
            </w:r>
            <w:r w:rsidR="00193CE6" w:rsidRPr="009E0870">
              <w:rPr>
                <w:iCs/>
                <w:szCs w:val="18"/>
                <w:vertAlign w:val="superscript"/>
              </w:rPr>
              <w:t>2</w:t>
            </w:r>
          </w:p>
        </w:tc>
        <w:tc>
          <w:tcPr>
            <w:tcW w:w="606" w:type="pct"/>
            <w:shd w:val="clear" w:color="auto" w:fill="auto"/>
            <w:vAlign w:val="center"/>
          </w:tcPr>
          <w:p w14:paraId="60090158" w14:textId="561CBB5D"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5" w:id="-1232957433"/>
                <w14:textFill>
                  <w14:solidFill>
                    <w14:srgbClr w14:val="000000">
                      <w14:alpha w14:val="100000"/>
                    </w14:srgbClr>
                  </w14:solidFill>
                </w14:textFill>
              </w:rPr>
              <w:t>|||</w:t>
            </w:r>
            <w:r w:rsidRPr="009E0870">
              <w:rPr>
                <w:color w:val="000000"/>
                <w:spacing w:val="3"/>
                <w:shd w:val="solid" w:color="000000" w:fill="000000"/>
                <w:fitText w:val="365" w:id="-1232957433"/>
                <w14:textFill>
                  <w14:solidFill>
                    <w14:srgbClr w14:val="000000">
                      <w14:alpha w14:val="100000"/>
                    </w14:srgbClr>
                  </w14:solidFill>
                </w14:textFill>
              </w:rPr>
              <w:t>|</w:t>
            </w:r>
            <w:r w:rsidR="00981B2A" w:rsidRPr="009E0870">
              <w:rPr>
                <w:iCs/>
                <w:szCs w:val="18"/>
                <w:vertAlign w:val="superscript"/>
              </w:rPr>
              <w:t>2</w:t>
            </w:r>
          </w:p>
        </w:tc>
        <w:tc>
          <w:tcPr>
            <w:tcW w:w="586" w:type="pct"/>
            <w:shd w:val="clear" w:color="auto" w:fill="auto"/>
            <w:vAlign w:val="center"/>
          </w:tcPr>
          <w:p w14:paraId="548578DD" w14:textId="2BB00F98" w:rsidR="00056A6A" w:rsidRPr="009E0870" w:rsidRDefault="009E0870" w:rsidP="002A1F14">
            <w:pPr>
              <w:pStyle w:val="TableText0"/>
              <w:keepNext w:val="0"/>
              <w:jc w:val="center"/>
              <w:rPr>
                <w:highlight w:val="darkGray"/>
              </w:rPr>
            </w:pPr>
            <w:r w:rsidRPr="009E0870">
              <w:rPr>
                <w:color w:val="000000"/>
                <w:spacing w:val="70"/>
                <w:shd w:val="solid" w:color="000000" w:fill="000000"/>
                <w:fitText w:val="383" w:id="-1232957432"/>
                <w14:textFill>
                  <w14:solidFill>
                    <w14:srgbClr w14:val="000000">
                      <w14:alpha w14:val="100000"/>
                    </w14:srgbClr>
                  </w14:solidFill>
                </w14:textFill>
              </w:rPr>
              <w:t>|||</w:t>
            </w:r>
            <w:r w:rsidRPr="009E0870">
              <w:rPr>
                <w:color w:val="000000"/>
                <w:spacing w:val="3"/>
                <w:shd w:val="solid" w:color="000000" w:fill="000000"/>
                <w:fitText w:val="383" w:id="-1232957432"/>
                <w14:textFill>
                  <w14:solidFill>
                    <w14:srgbClr w14:val="000000">
                      <w14:alpha w14:val="100000"/>
                    </w14:srgbClr>
                  </w14:solidFill>
                </w14:textFill>
              </w:rPr>
              <w:t>|</w:t>
            </w:r>
            <w:r w:rsidR="00981B2A" w:rsidRPr="009E0870">
              <w:rPr>
                <w:iCs/>
                <w:szCs w:val="18"/>
                <w:vertAlign w:val="superscript"/>
              </w:rPr>
              <w:t>2</w:t>
            </w:r>
          </w:p>
        </w:tc>
        <w:tc>
          <w:tcPr>
            <w:tcW w:w="625" w:type="pct"/>
            <w:shd w:val="clear" w:color="auto" w:fill="auto"/>
            <w:vAlign w:val="center"/>
          </w:tcPr>
          <w:p w14:paraId="1F7AA5B5" w14:textId="71FE31AA" w:rsidR="00056A6A" w:rsidRPr="009E0870" w:rsidRDefault="009E0870" w:rsidP="002A1F14">
            <w:pPr>
              <w:pStyle w:val="TableText0"/>
              <w:keepNext w:val="0"/>
              <w:jc w:val="center"/>
              <w:rPr>
                <w:highlight w:val="darkGray"/>
              </w:rPr>
            </w:pPr>
            <w:r w:rsidRPr="009E0870">
              <w:rPr>
                <w:color w:val="000000"/>
                <w:spacing w:val="58"/>
                <w:shd w:val="solid" w:color="000000" w:fill="000000"/>
                <w:fitText w:val="346" w:id="-1232957431"/>
                <w14:textFill>
                  <w14:solidFill>
                    <w14:srgbClr w14:val="000000">
                      <w14:alpha w14:val="100000"/>
                    </w14:srgbClr>
                  </w14:solidFill>
                </w14:textFill>
              </w:rPr>
              <w:t>|||</w:t>
            </w:r>
            <w:r w:rsidRPr="009E0870">
              <w:rPr>
                <w:color w:val="000000"/>
                <w:spacing w:val="2"/>
                <w:shd w:val="solid" w:color="000000" w:fill="000000"/>
                <w:fitText w:val="346" w:id="-1232957431"/>
                <w14:textFill>
                  <w14:solidFill>
                    <w14:srgbClr w14:val="000000">
                      <w14:alpha w14:val="100000"/>
                    </w14:srgbClr>
                  </w14:solidFill>
                </w14:textFill>
              </w:rPr>
              <w:t>|</w:t>
            </w:r>
            <w:r w:rsidR="00981B2A" w:rsidRPr="009E0870">
              <w:rPr>
                <w:iCs/>
                <w:szCs w:val="18"/>
                <w:vertAlign w:val="superscript"/>
              </w:rPr>
              <w:t>2</w:t>
            </w:r>
          </w:p>
        </w:tc>
        <w:tc>
          <w:tcPr>
            <w:tcW w:w="607" w:type="pct"/>
            <w:shd w:val="clear" w:color="auto" w:fill="auto"/>
            <w:vAlign w:val="center"/>
          </w:tcPr>
          <w:p w14:paraId="3F33C80D" w14:textId="08B4FAFD" w:rsidR="00056A6A" w:rsidRPr="009E0870" w:rsidRDefault="009E0870" w:rsidP="002A1F14">
            <w:pPr>
              <w:pStyle w:val="TableText0"/>
              <w:keepNext w:val="0"/>
              <w:jc w:val="center"/>
              <w:rPr>
                <w:highlight w:val="darkGray"/>
              </w:rPr>
            </w:pPr>
            <w:r w:rsidRPr="009E0870">
              <w:rPr>
                <w:color w:val="000000"/>
                <w:spacing w:val="73"/>
                <w:shd w:val="solid" w:color="000000" w:fill="000000"/>
                <w:fitText w:val="392" w:id="-1232957430"/>
                <w14:textFill>
                  <w14:solidFill>
                    <w14:srgbClr w14:val="000000">
                      <w14:alpha w14:val="100000"/>
                    </w14:srgbClr>
                  </w14:solidFill>
                </w14:textFill>
              </w:rPr>
              <w:t>|||</w:t>
            </w:r>
            <w:r w:rsidRPr="009E0870">
              <w:rPr>
                <w:color w:val="000000"/>
                <w:spacing w:val="3"/>
                <w:shd w:val="solid" w:color="000000" w:fill="000000"/>
                <w:fitText w:val="392" w:id="-1232957430"/>
                <w14:textFill>
                  <w14:solidFill>
                    <w14:srgbClr w14:val="000000">
                      <w14:alpha w14:val="100000"/>
                    </w14:srgbClr>
                  </w14:solidFill>
                </w14:textFill>
              </w:rPr>
              <w:t>|</w:t>
            </w:r>
            <w:r w:rsidR="003813A1" w:rsidRPr="009E0870">
              <w:rPr>
                <w:iCs/>
                <w:szCs w:val="18"/>
                <w:vertAlign w:val="superscript"/>
              </w:rPr>
              <w:t>17</w:t>
            </w:r>
          </w:p>
        </w:tc>
        <w:tc>
          <w:tcPr>
            <w:tcW w:w="606" w:type="pct"/>
            <w:shd w:val="clear" w:color="auto" w:fill="auto"/>
            <w:vAlign w:val="center"/>
          </w:tcPr>
          <w:p w14:paraId="408E7683" w14:textId="0644FBC3" w:rsidR="00056A6A" w:rsidRPr="009E0870" w:rsidRDefault="009E0870" w:rsidP="002A1F14">
            <w:pPr>
              <w:pStyle w:val="TableText0"/>
              <w:keepNext w:val="0"/>
              <w:jc w:val="center"/>
              <w:rPr>
                <w:highlight w:val="darkGray"/>
              </w:rPr>
            </w:pPr>
            <w:r w:rsidRPr="009E0870">
              <w:rPr>
                <w:color w:val="000000"/>
                <w:spacing w:val="73"/>
                <w:shd w:val="solid" w:color="000000" w:fill="000000"/>
                <w:fitText w:val="392" w:id="-1232957429"/>
                <w14:textFill>
                  <w14:solidFill>
                    <w14:srgbClr w14:val="000000">
                      <w14:alpha w14:val="100000"/>
                    </w14:srgbClr>
                  </w14:solidFill>
                </w14:textFill>
              </w:rPr>
              <w:t>|||</w:t>
            </w:r>
            <w:r w:rsidRPr="009E0870">
              <w:rPr>
                <w:color w:val="000000"/>
                <w:spacing w:val="3"/>
                <w:shd w:val="solid" w:color="000000" w:fill="000000"/>
                <w:fitText w:val="392" w:id="-1232957429"/>
                <w14:textFill>
                  <w14:solidFill>
                    <w14:srgbClr w14:val="000000">
                      <w14:alpha w14:val="100000"/>
                    </w14:srgbClr>
                  </w14:solidFill>
                </w14:textFill>
              </w:rPr>
              <w:t>|</w:t>
            </w:r>
            <w:r w:rsidR="003813A1" w:rsidRPr="009E0870">
              <w:rPr>
                <w:iCs/>
                <w:szCs w:val="18"/>
                <w:vertAlign w:val="superscript"/>
              </w:rPr>
              <w:t>17</w:t>
            </w:r>
          </w:p>
        </w:tc>
      </w:tr>
      <w:tr w:rsidR="009E0870" w:rsidRPr="009E0870" w14:paraId="6B658359" w14:textId="77777777" w:rsidTr="009E0870">
        <w:tc>
          <w:tcPr>
            <w:tcW w:w="1362" w:type="pct"/>
            <w:shd w:val="clear" w:color="auto" w:fill="auto"/>
            <w:vAlign w:val="center"/>
          </w:tcPr>
          <w:p w14:paraId="2C532318" w14:textId="77777777" w:rsidR="00056A6A" w:rsidRPr="009E0870" w:rsidRDefault="00056A6A" w:rsidP="002A1F14">
            <w:pPr>
              <w:pStyle w:val="TableText0"/>
              <w:keepNext w:val="0"/>
              <w:rPr>
                <w:highlight w:val="yellow"/>
              </w:rPr>
            </w:pPr>
            <w:r w:rsidRPr="009E0870">
              <w:t>Patients with prior fracture (75%)</w:t>
            </w:r>
          </w:p>
        </w:tc>
        <w:tc>
          <w:tcPr>
            <w:tcW w:w="607" w:type="pct"/>
            <w:shd w:val="clear" w:color="auto" w:fill="auto"/>
            <w:vAlign w:val="center"/>
          </w:tcPr>
          <w:p w14:paraId="0C7627B0" w14:textId="43C3B5C3"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4" w:id="-1232957428"/>
                <w14:textFill>
                  <w14:solidFill>
                    <w14:srgbClr w14:val="000000">
                      <w14:alpha w14:val="100000"/>
                    </w14:srgbClr>
                  </w14:solidFill>
                </w14:textFill>
              </w:rPr>
              <w:t>|||</w:t>
            </w:r>
            <w:r w:rsidRPr="009E0870">
              <w:rPr>
                <w:color w:val="000000"/>
                <w:spacing w:val="2"/>
                <w:shd w:val="solid" w:color="000000" w:fill="000000"/>
                <w:fitText w:val="364" w:id="-1232957428"/>
                <w14:textFill>
                  <w14:solidFill>
                    <w14:srgbClr w14:val="000000">
                      <w14:alpha w14:val="100000"/>
                    </w14:srgbClr>
                  </w14:solidFill>
                </w14:textFill>
              </w:rPr>
              <w:t>|</w:t>
            </w:r>
            <w:r w:rsidR="00981B2A" w:rsidRPr="009E0870">
              <w:rPr>
                <w:iCs/>
                <w:szCs w:val="18"/>
                <w:vertAlign w:val="superscript"/>
              </w:rPr>
              <w:t>2</w:t>
            </w:r>
          </w:p>
        </w:tc>
        <w:tc>
          <w:tcPr>
            <w:tcW w:w="606" w:type="pct"/>
            <w:shd w:val="clear" w:color="auto" w:fill="auto"/>
            <w:vAlign w:val="center"/>
          </w:tcPr>
          <w:p w14:paraId="2BDD47DB" w14:textId="280C1E84"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5" w:id="-1232957427"/>
                <w14:textFill>
                  <w14:solidFill>
                    <w14:srgbClr w14:val="000000">
                      <w14:alpha w14:val="100000"/>
                    </w14:srgbClr>
                  </w14:solidFill>
                </w14:textFill>
              </w:rPr>
              <w:t>|||</w:t>
            </w:r>
            <w:r w:rsidRPr="009E0870">
              <w:rPr>
                <w:color w:val="000000"/>
                <w:spacing w:val="3"/>
                <w:shd w:val="solid" w:color="000000" w:fill="000000"/>
                <w:fitText w:val="365" w:id="-1232957427"/>
                <w14:textFill>
                  <w14:solidFill>
                    <w14:srgbClr w14:val="000000">
                      <w14:alpha w14:val="100000"/>
                    </w14:srgbClr>
                  </w14:solidFill>
                </w14:textFill>
              </w:rPr>
              <w:t>|</w:t>
            </w:r>
            <w:r w:rsidR="00981B2A" w:rsidRPr="009E0870">
              <w:rPr>
                <w:iCs/>
                <w:szCs w:val="18"/>
                <w:vertAlign w:val="superscript"/>
              </w:rPr>
              <w:t>2</w:t>
            </w:r>
          </w:p>
        </w:tc>
        <w:tc>
          <w:tcPr>
            <w:tcW w:w="586" w:type="pct"/>
            <w:shd w:val="clear" w:color="auto" w:fill="auto"/>
            <w:vAlign w:val="center"/>
          </w:tcPr>
          <w:p w14:paraId="631A69E2" w14:textId="7BAD9356" w:rsidR="00056A6A" w:rsidRPr="009E0870" w:rsidRDefault="009E0870" w:rsidP="002A1F14">
            <w:pPr>
              <w:pStyle w:val="TableText0"/>
              <w:keepNext w:val="0"/>
              <w:jc w:val="center"/>
              <w:rPr>
                <w:highlight w:val="darkGray"/>
              </w:rPr>
            </w:pPr>
            <w:r w:rsidRPr="009E0870">
              <w:rPr>
                <w:color w:val="000000"/>
                <w:spacing w:val="70"/>
                <w:shd w:val="solid" w:color="000000" w:fill="000000"/>
                <w:fitText w:val="383" w:id="-1232957426"/>
                <w14:textFill>
                  <w14:solidFill>
                    <w14:srgbClr w14:val="000000">
                      <w14:alpha w14:val="100000"/>
                    </w14:srgbClr>
                  </w14:solidFill>
                </w14:textFill>
              </w:rPr>
              <w:t>|||</w:t>
            </w:r>
            <w:r w:rsidRPr="009E0870">
              <w:rPr>
                <w:color w:val="000000"/>
                <w:spacing w:val="3"/>
                <w:shd w:val="solid" w:color="000000" w:fill="000000"/>
                <w:fitText w:val="383" w:id="-1232957426"/>
                <w14:textFill>
                  <w14:solidFill>
                    <w14:srgbClr w14:val="000000">
                      <w14:alpha w14:val="100000"/>
                    </w14:srgbClr>
                  </w14:solidFill>
                </w14:textFill>
              </w:rPr>
              <w:t>|</w:t>
            </w:r>
            <w:r w:rsidR="00981B2A" w:rsidRPr="009E0870">
              <w:rPr>
                <w:iCs/>
                <w:szCs w:val="18"/>
                <w:vertAlign w:val="superscript"/>
              </w:rPr>
              <w:t>2</w:t>
            </w:r>
          </w:p>
        </w:tc>
        <w:tc>
          <w:tcPr>
            <w:tcW w:w="625" w:type="pct"/>
            <w:shd w:val="clear" w:color="auto" w:fill="auto"/>
            <w:vAlign w:val="center"/>
          </w:tcPr>
          <w:p w14:paraId="075CEE54" w14:textId="22BB78E7" w:rsidR="00056A6A" w:rsidRPr="009E0870" w:rsidRDefault="009E0870" w:rsidP="002A1F14">
            <w:pPr>
              <w:pStyle w:val="TableText0"/>
              <w:keepNext w:val="0"/>
              <w:jc w:val="center"/>
              <w:rPr>
                <w:highlight w:val="darkGray"/>
              </w:rPr>
            </w:pPr>
            <w:r w:rsidRPr="009E0870">
              <w:rPr>
                <w:color w:val="000000"/>
                <w:spacing w:val="58"/>
                <w:shd w:val="solid" w:color="000000" w:fill="000000"/>
                <w:fitText w:val="346" w:id="-1232957425"/>
                <w14:textFill>
                  <w14:solidFill>
                    <w14:srgbClr w14:val="000000">
                      <w14:alpha w14:val="100000"/>
                    </w14:srgbClr>
                  </w14:solidFill>
                </w14:textFill>
              </w:rPr>
              <w:t>|||</w:t>
            </w:r>
            <w:r w:rsidRPr="009E0870">
              <w:rPr>
                <w:color w:val="000000"/>
                <w:spacing w:val="2"/>
                <w:shd w:val="solid" w:color="000000" w:fill="000000"/>
                <w:fitText w:val="346" w:id="-1232957425"/>
                <w14:textFill>
                  <w14:solidFill>
                    <w14:srgbClr w14:val="000000">
                      <w14:alpha w14:val="100000"/>
                    </w14:srgbClr>
                  </w14:solidFill>
                </w14:textFill>
              </w:rPr>
              <w:t>|</w:t>
            </w:r>
            <w:r w:rsidR="00981B2A" w:rsidRPr="009E0870">
              <w:rPr>
                <w:iCs/>
                <w:szCs w:val="18"/>
                <w:vertAlign w:val="superscript"/>
              </w:rPr>
              <w:t>2</w:t>
            </w:r>
          </w:p>
        </w:tc>
        <w:tc>
          <w:tcPr>
            <w:tcW w:w="607" w:type="pct"/>
            <w:shd w:val="clear" w:color="auto" w:fill="auto"/>
            <w:vAlign w:val="center"/>
          </w:tcPr>
          <w:p w14:paraId="132FBD39" w14:textId="5D01B679"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4" w:id="-1232957424"/>
                <w14:textFill>
                  <w14:solidFill>
                    <w14:srgbClr w14:val="000000">
                      <w14:alpha w14:val="100000"/>
                    </w14:srgbClr>
                  </w14:solidFill>
                </w14:textFill>
              </w:rPr>
              <w:t>|||</w:t>
            </w:r>
            <w:r w:rsidRPr="009E0870">
              <w:rPr>
                <w:color w:val="000000"/>
                <w:spacing w:val="2"/>
                <w:shd w:val="solid" w:color="000000" w:fill="000000"/>
                <w:fitText w:val="364" w:id="-1232957424"/>
                <w14:textFill>
                  <w14:solidFill>
                    <w14:srgbClr w14:val="000000">
                      <w14:alpha w14:val="100000"/>
                    </w14:srgbClr>
                  </w14:solidFill>
                </w14:textFill>
              </w:rPr>
              <w:t>|</w:t>
            </w:r>
            <w:r w:rsidR="00981B2A" w:rsidRPr="009E0870">
              <w:rPr>
                <w:iCs/>
                <w:szCs w:val="18"/>
                <w:vertAlign w:val="superscript"/>
              </w:rPr>
              <w:t>2</w:t>
            </w:r>
          </w:p>
        </w:tc>
        <w:tc>
          <w:tcPr>
            <w:tcW w:w="606" w:type="pct"/>
            <w:tcBorders>
              <w:bottom w:val="single" w:sz="4" w:space="0" w:color="auto"/>
            </w:tcBorders>
            <w:shd w:val="clear" w:color="auto" w:fill="auto"/>
            <w:vAlign w:val="center"/>
          </w:tcPr>
          <w:p w14:paraId="297AE9BB" w14:textId="1A02D24A"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4" w:id="-1232957440"/>
                <w14:textFill>
                  <w14:solidFill>
                    <w14:srgbClr w14:val="000000">
                      <w14:alpha w14:val="100000"/>
                    </w14:srgbClr>
                  </w14:solidFill>
                </w14:textFill>
              </w:rPr>
              <w:t>|||</w:t>
            </w:r>
            <w:r w:rsidRPr="009E0870">
              <w:rPr>
                <w:color w:val="000000"/>
                <w:spacing w:val="2"/>
                <w:shd w:val="solid" w:color="000000" w:fill="000000"/>
                <w:fitText w:val="364" w:id="-1232957440"/>
                <w14:textFill>
                  <w14:solidFill>
                    <w14:srgbClr w14:val="000000">
                      <w14:alpha w14:val="100000"/>
                    </w14:srgbClr>
                  </w14:solidFill>
                </w14:textFill>
              </w:rPr>
              <w:t>|</w:t>
            </w:r>
            <w:r w:rsidR="00981B2A" w:rsidRPr="009E0870">
              <w:rPr>
                <w:iCs/>
                <w:szCs w:val="18"/>
                <w:vertAlign w:val="superscript"/>
              </w:rPr>
              <w:t>2</w:t>
            </w:r>
          </w:p>
        </w:tc>
      </w:tr>
      <w:tr w:rsidR="009E0870" w:rsidRPr="009E0870" w14:paraId="6FF01554" w14:textId="77777777" w:rsidTr="009E0870">
        <w:tc>
          <w:tcPr>
            <w:tcW w:w="1362" w:type="pct"/>
            <w:shd w:val="clear" w:color="auto" w:fill="auto"/>
            <w:vAlign w:val="center"/>
          </w:tcPr>
          <w:p w14:paraId="306CD40F" w14:textId="77777777" w:rsidR="00056A6A" w:rsidRPr="009E0870" w:rsidRDefault="00056A6A" w:rsidP="002A1F14">
            <w:pPr>
              <w:pStyle w:val="TableText0"/>
              <w:keepNext w:val="0"/>
              <w:rPr>
                <w:highlight w:val="yellow"/>
              </w:rPr>
            </w:pPr>
            <w:r w:rsidRPr="009E0870">
              <w:t>BMD ≤-2.5 (32.5%)</w:t>
            </w:r>
          </w:p>
        </w:tc>
        <w:tc>
          <w:tcPr>
            <w:tcW w:w="607" w:type="pct"/>
            <w:shd w:val="clear" w:color="auto" w:fill="auto"/>
            <w:vAlign w:val="center"/>
          </w:tcPr>
          <w:p w14:paraId="5A101E7C" w14:textId="58153CBC"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4" w:id="-1232957439"/>
                <w14:textFill>
                  <w14:solidFill>
                    <w14:srgbClr w14:val="000000">
                      <w14:alpha w14:val="100000"/>
                    </w14:srgbClr>
                  </w14:solidFill>
                </w14:textFill>
              </w:rPr>
              <w:t>|||</w:t>
            </w:r>
            <w:r w:rsidRPr="009E0870">
              <w:rPr>
                <w:color w:val="000000"/>
                <w:spacing w:val="2"/>
                <w:shd w:val="solid" w:color="000000" w:fill="000000"/>
                <w:fitText w:val="364" w:id="-1232957439"/>
                <w14:textFill>
                  <w14:solidFill>
                    <w14:srgbClr w14:val="000000">
                      <w14:alpha w14:val="100000"/>
                    </w14:srgbClr>
                  </w14:solidFill>
                </w14:textFill>
              </w:rPr>
              <w:t>|</w:t>
            </w:r>
            <w:r w:rsidR="00676BCD" w:rsidRPr="009E0870">
              <w:rPr>
                <w:iCs/>
                <w:szCs w:val="18"/>
                <w:vertAlign w:val="superscript"/>
              </w:rPr>
              <w:t>3</w:t>
            </w:r>
          </w:p>
        </w:tc>
        <w:tc>
          <w:tcPr>
            <w:tcW w:w="606" w:type="pct"/>
            <w:shd w:val="clear" w:color="auto" w:fill="auto"/>
            <w:vAlign w:val="center"/>
          </w:tcPr>
          <w:p w14:paraId="376E6F7C" w14:textId="1AB3F2A7" w:rsidR="00056A6A" w:rsidRPr="009E0870" w:rsidRDefault="009E0870" w:rsidP="002A1F14">
            <w:pPr>
              <w:pStyle w:val="TableText0"/>
              <w:keepNext w:val="0"/>
              <w:jc w:val="center"/>
              <w:rPr>
                <w:highlight w:val="darkGray"/>
              </w:rPr>
            </w:pPr>
            <w:r w:rsidRPr="009E0870">
              <w:rPr>
                <w:color w:val="000000"/>
                <w:spacing w:val="73"/>
                <w:shd w:val="solid" w:color="000000" w:fill="000000"/>
                <w:fitText w:val="392" w:id="-1232957438"/>
                <w14:textFill>
                  <w14:solidFill>
                    <w14:srgbClr w14:val="000000">
                      <w14:alpha w14:val="100000"/>
                    </w14:srgbClr>
                  </w14:solidFill>
                </w14:textFill>
              </w:rPr>
              <w:t>|||</w:t>
            </w:r>
            <w:r w:rsidRPr="009E0870">
              <w:rPr>
                <w:color w:val="000000"/>
                <w:spacing w:val="3"/>
                <w:shd w:val="solid" w:color="000000" w:fill="000000"/>
                <w:fitText w:val="392" w:id="-1232957438"/>
                <w14:textFill>
                  <w14:solidFill>
                    <w14:srgbClr w14:val="000000">
                      <w14:alpha w14:val="100000"/>
                    </w14:srgbClr>
                  </w14:solidFill>
                </w14:textFill>
              </w:rPr>
              <w:t>|</w:t>
            </w:r>
            <w:r w:rsidR="00710E82" w:rsidRPr="009E0870">
              <w:rPr>
                <w:iCs/>
                <w:szCs w:val="18"/>
                <w:vertAlign w:val="superscript"/>
              </w:rPr>
              <w:t>14</w:t>
            </w:r>
          </w:p>
        </w:tc>
        <w:tc>
          <w:tcPr>
            <w:tcW w:w="586" w:type="pct"/>
            <w:shd w:val="clear" w:color="auto" w:fill="auto"/>
            <w:vAlign w:val="center"/>
          </w:tcPr>
          <w:p w14:paraId="22B7CC3A" w14:textId="14F75E0B" w:rsidR="00056A6A" w:rsidRPr="009E0870" w:rsidRDefault="009E0870" w:rsidP="002A1F14">
            <w:pPr>
              <w:pStyle w:val="TableText0"/>
              <w:keepNext w:val="0"/>
              <w:jc w:val="center"/>
              <w:rPr>
                <w:highlight w:val="darkGray"/>
              </w:rPr>
            </w:pPr>
            <w:r w:rsidRPr="009E0870">
              <w:rPr>
                <w:color w:val="000000"/>
                <w:spacing w:val="79"/>
                <w:shd w:val="solid" w:color="000000" w:fill="000000"/>
                <w:fitText w:val="410" w:id="-1232957437"/>
                <w14:textFill>
                  <w14:solidFill>
                    <w14:srgbClr w14:val="000000">
                      <w14:alpha w14:val="100000"/>
                    </w14:srgbClr>
                  </w14:solidFill>
                </w14:textFill>
              </w:rPr>
              <w:t>|||</w:t>
            </w:r>
            <w:r w:rsidRPr="009E0870">
              <w:rPr>
                <w:color w:val="000000"/>
                <w:spacing w:val="3"/>
                <w:shd w:val="solid" w:color="000000" w:fill="000000"/>
                <w:fitText w:val="410" w:id="-1232957437"/>
                <w14:textFill>
                  <w14:solidFill>
                    <w14:srgbClr w14:val="000000">
                      <w14:alpha w14:val="100000"/>
                    </w14:srgbClr>
                  </w14:solidFill>
                </w14:textFill>
              </w:rPr>
              <w:t>|</w:t>
            </w:r>
            <w:r w:rsidR="00DA650E" w:rsidRPr="009E0870">
              <w:rPr>
                <w:iCs/>
                <w:szCs w:val="18"/>
                <w:vertAlign w:val="superscript"/>
              </w:rPr>
              <w:t>14</w:t>
            </w:r>
          </w:p>
        </w:tc>
        <w:tc>
          <w:tcPr>
            <w:tcW w:w="625" w:type="pct"/>
            <w:shd w:val="clear" w:color="auto" w:fill="auto"/>
            <w:vAlign w:val="center"/>
          </w:tcPr>
          <w:p w14:paraId="0022A14B" w14:textId="02D955D1" w:rsidR="00056A6A" w:rsidRPr="009E0870" w:rsidRDefault="009E0870" w:rsidP="002A1F14">
            <w:pPr>
              <w:pStyle w:val="TableText0"/>
              <w:keepNext w:val="0"/>
              <w:jc w:val="center"/>
              <w:rPr>
                <w:highlight w:val="darkGray"/>
              </w:rPr>
            </w:pPr>
            <w:r w:rsidRPr="009E0870">
              <w:rPr>
                <w:color w:val="000000"/>
                <w:spacing w:val="67"/>
                <w:shd w:val="solid" w:color="000000" w:fill="000000"/>
                <w:fitText w:val="373" w:id="-1232957436"/>
                <w14:textFill>
                  <w14:solidFill>
                    <w14:srgbClr w14:val="000000">
                      <w14:alpha w14:val="100000"/>
                    </w14:srgbClr>
                  </w14:solidFill>
                </w14:textFill>
              </w:rPr>
              <w:t>|||</w:t>
            </w:r>
            <w:r w:rsidRPr="009E0870">
              <w:rPr>
                <w:color w:val="000000"/>
                <w:spacing w:val="2"/>
                <w:shd w:val="solid" w:color="000000" w:fill="000000"/>
                <w:fitText w:val="373" w:id="-1232957436"/>
                <w14:textFill>
                  <w14:solidFill>
                    <w14:srgbClr w14:val="000000">
                      <w14:alpha w14:val="100000"/>
                    </w14:srgbClr>
                  </w14:solidFill>
                </w14:textFill>
              </w:rPr>
              <w:t>|</w:t>
            </w:r>
            <w:r w:rsidR="00DA650E" w:rsidRPr="009E0870">
              <w:rPr>
                <w:iCs/>
                <w:szCs w:val="18"/>
                <w:vertAlign w:val="superscript"/>
              </w:rPr>
              <w:t>14</w:t>
            </w:r>
          </w:p>
        </w:tc>
        <w:tc>
          <w:tcPr>
            <w:tcW w:w="607" w:type="pct"/>
            <w:shd w:val="clear" w:color="auto" w:fill="auto"/>
            <w:vAlign w:val="center"/>
          </w:tcPr>
          <w:p w14:paraId="4B927404" w14:textId="185FD505" w:rsidR="00056A6A" w:rsidRPr="009E0870" w:rsidRDefault="009E0870" w:rsidP="002A1F14">
            <w:pPr>
              <w:pStyle w:val="TableText0"/>
              <w:keepNext w:val="0"/>
              <w:jc w:val="center"/>
              <w:rPr>
                <w:highlight w:val="darkGray"/>
              </w:rPr>
            </w:pPr>
            <w:r w:rsidRPr="009E0870">
              <w:rPr>
                <w:color w:val="000000"/>
                <w:spacing w:val="73"/>
                <w:shd w:val="solid" w:color="000000" w:fill="000000"/>
                <w:fitText w:val="392" w:id="-1232957435"/>
                <w14:textFill>
                  <w14:solidFill>
                    <w14:srgbClr w14:val="000000">
                      <w14:alpha w14:val="100000"/>
                    </w14:srgbClr>
                  </w14:solidFill>
                </w14:textFill>
              </w:rPr>
              <w:t>|||</w:t>
            </w:r>
            <w:r w:rsidRPr="009E0870">
              <w:rPr>
                <w:color w:val="000000"/>
                <w:spacing w:val="3"/>
                <w:shd w:val="solid" w:color="000000" w:fill="000000"/>
                <w:fitText w:val="392" w:id="-1232957435"/>
                <w14:textFill>
                  <w14:solidFill>
                    <w14:srgbClr w14:val="000000">
                      <w14:alpha w14:val="100000"/>
                    </w14:srgbClr>
                  </w14:solidFill>
                </w14:textFill>
              </w:rPr>
              <w:t>|</w:t>
            </w:r>
            <w:r w:rsidR="00DA650E" w:rsidRPr="009E0870">
              <w:rPr>
                <w:iCs/>
                <w:szCs w:val="18"/>
                <w:vertAlign w:val="superscript"/>
              </w:rPr>
              <w:t>14</w:t>
            </w:r>
          </w:p>
        </w:tc>
        <w:tc>
          <w:tcPr>
            <w:tcW w:w="606" w:type="pct"/>
            <w:shd w:val="solid" w:color="000000" w:fill="000000"/>
            <w:vAlign w:val="center"/>
          </w:tcPr>
          <w:p w14:paraId="4C799904" w14:textId="738B2054" w:rsidR="00056A6A" w:rsidRPr="009E0870" w:rsidRDefault="009E0870" w:rsidP="002A1F14">
            <w:pPr>
              <w:pStyle w:val="TableText0"/>
              <w:keepNext w:val="0"/>
              <w:jc w:val="center"/>
            </w:pPr>
            <w:r w:rsidRPr="009E0870">
              <w:rPr>
                <w:color w:val="000000"/>
                <w:spacing w:val="55"/>
                <w:fitText w:val="337" w:id="-1232957434"/>
                <w14:textFill>
                  <w14:solidFill>
                    <w14:srgbClr w14:val="000000">
                      <w14:alpha w14:val="100000"/>
                    </w14:srgbClr>
                  </w14:solidFill>
                </w14:textFill>
              </w:rPr>
              <w:t>|||</w:t>
            </w:r>
            <w:r w:rsidRPr="009E0870">
              <w:rPr>
                <w:color w:val="000000"/>
                <w:spacing w:val="2"/>
                <w:fitText w:val="337" w:id="-1232957434"/>
                <w14:textFill>
                  <w14:solidFill>
                    <w14:srgbClr w14:val="000000">
                      <w14:alpha w14:val="100000"/>
                    </w14:srgbClr>
                  </w14:solidFill>
                </w14:textFill>
              </w:rPr>
              <w:t>|</w:t>
            </w:r>
          </w:p>
        </w:tc>
      </w:tr>
      <w:tr w:rsidR="009E0870" w:rsidRPr="009E0870" w14:paraId="6136746A" w14:textId="77777777" w:rsidTr="009E0870">
        <w:tc>
          <w:tcPr>
            <w:tcW w:w="1362" w:type="pct"/>
            <w:shd w:val="clear" w:color="auto" w:fill="auto"/>
            <w:vAlign w:val="center"/>
          </w:tcPr>
          <w:p w14:paraId="686F206A" w14:textId="77777777" w:rsidR="00056A6A" w:rsidRPr="009E0870" w:rsidRDefault="00056A6A" w:rsidP="002A1F14">
            <w:pPr>
              <w:pStyle w:val="TableText0"/>
              <w:keepNext w:val="0"/>
              <w:rPr>
                <w:highlight w:val="yellow"/>
              </w:rPr>
            </w:pPr>
            <w:r w:rsidRPr="009E0870">
              <w:t>Multiple clinical fractures or single hip/clinical vertebral fracture (57%)</w:t>
            </w:r>
          </w:p>
        </w:tc>
        <w:tc>
          <w:tcPr>
            <w:tcW w:w="607" w:type="pct"/>
            <w:tcBorders>
              <w:bottom w:val="single" w:sz="4" w:space="0" w:color="auto"/>
            </w:tcBorders>
            <w:shd w:val="clear" w:color="auto" w:fill="auto"/>
            <w:vAlign w:val="center"/>
          </w:tcPr>
          <w:p w14:paraId="0A3B67BD" w14:textId="67CA988E"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4" w:id="-1232957433"/>
                <w14:textFill>
                  <w14:solidFill>
                    <w14:srgbClr w14:val="000000">
                      <w14:alpha w14:val="100000"/>
                    </w14:srgbClr>
                  </w14:solidFill>
                </w14:textFill>
              </w:rPr>
              <w:t>|||</w:t>
            </w:r>
            <w:r w:rsidRPr="009E0870">
              <w:rPr>
                <w:color w:val="000000"/>
                <w:spacing w:val="2"/>
                <w:shd w:val="solid" w:color="000000" w:fill="000000"/>
                <w:fitText w:val="364" w:id="-1232957433"/>
                <w14:textFill>
                  <w14:solidFill>
                    <w14:srgbClr w14:val="000000">
                      <w14:alpha w14:val="100000"/>
                    </w14:srgbClr>
                  </w14:solidFill>
                </w14:textFill>
              </w:rPr>
              <w:t>|</w:t>
            </w:r>
            <w:r w:rsidR="00676BCD" w:rsidRPr="009E0870">
              <w:rPr>
                <w:iCs/>
                <w:szCs w:val="18"/>
                <w:vertAlign w:val="superscript"/>
              </w:rPr>
              <w:t>4</w:t>
            </w:r>
          </w:p>
        </w:tc>
        <w:tc>
          <w:tcPr>
            <w:tcW w:w="606" w:type="pct"/>
            <w:tcBorders>
              <w:bottom w:val="single" w:sz="4" w:space="0" w:color="auto"/>
            </w:tcBorders>
            <w:shd w:val="clear" w:color="auto" w:fill="auto"/>
            <w:vAlign w:val="center"/>
          </w:tcPr>
          <w:p w14:paraId="24078059" w14:textId="3C500260"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5" w:id="-1232957432"/>
                <w14:textFill>
                  <w14:solidFill>
                    <w14:srgbClr w14:val="000000">
                      <w14:alpha w14:val="100000"/>
                    </w14:srgbClr>
                  </w14:solidFill>
                </w14:textFill>
              </w:rPr>
              <w:t>|||</w:t>
            </w:r>
            <w:r w:rsidRPr="009E0870">
              <w:rPr>
                <w:color w:val="000000"/>
                <w:spacing w:val="3"/>
                <w:shd w:val="solid" w:color="000000" w:fill="000000"/>
                <w:fitText w:val="365" w:id="-1232957432"/>
                <w14:textFill>
                  <w14:solidFill>
                    <w14:srgbClr w14:val="000000">
                      <w14:alpha w14:val="100000"/>
                    </w14:srgbClr>
                  </w14:solidFill>
                </w14:textFill>
              </w:rPr>
              <w:t>|</w:t>
            </w:r>
            <w:r w:rsidR="00710E82" w:rsidRPr="009E0870">
              <w:rPr>
                <w:iCs/>
                <w:szCs w:val="18"/>
                <w:vertAlign w:val="superscript"/>
              </w:rPr>
              <w:t>4</w:t>
            </w:r>
          </w:p>
        </w:tc>
        <w:tc>
          <w:tcPr>
            <w:tcW w:w="586" w:type="pct"/>
            <w:tcBorders>
              <w:bottom w:val="single" w:sz="4" w:space="0" w:color="auto"/>
            </w:tcBorders>
            <w:shd w:val="clear" w:color="auto" w:fill="auto"/>
            <w:vAlign w:val="center"/>
          </w:tcPr>
          <w:p w14:paraId="4ED3A322" w14:textId="61CDD20D" w:rsidR="00056A6A" w:rsidRPr="009E0870" w:rsidRDefault="009E0870" w:rsidP="002A1F14">
            <w:pPr>
              <w:pStyle w:val="TableText0"/>
              <w:keepNext w:val="0"/>
              <w:jc w:val="center"/>
              <w:rPr>
                <w:highlight w:val="darkGray"/>
              </w:rPr>
            </w:pPr>
            <w:r w:rsidRPr="009E0870">
              <w:rPr>
                <w:color w:val="000000"/>
                <w:spacing w:val="70"/>
                <w:shd w:val="solid" w:color="000000" w:fill="000000"/>
                <w:fitText w:val="383" w:id="-1232957431"/>
                <w14:textFill>
                  <w14:solidFill>
                    <w14:srgbClr w14:val="000000">
                      <w14:alpha w14:val="100000"/>
                    </w14:srgbClr>
                  </w14:solidFill>
                </w14:textFill>
              </w:rPr>
              <w:t>|||</w:t>
            </w:r>
            <w:r w:rsidRPr="009E0870">
              <w:rPr>
                <w:color w:val="000000"/>
                <w:spacing w:val="3"/>
                <w:shd w:val="solid" w:color="000000" w:fill="000000"/>
                <w:fitText w:val="383" w:id="-1232957431"/>
                <w14:textFill>
                  <w14:solidFill>
                    <w14:srgbClr w14:val="000000">
                      <w14:alpha w14:val="100000"/>
                    </w14:srgbClr>
                  </w14:solidFill>
                </w14:textFill>
              </w:rPr>
              <w:t>|</w:t>
            </w:r>
            <w:r w:rsidR="00710E82" w:rsidRPr="009E0870">
              <w:rPr>
                <w:iCs/>
                <w:szCs w:val="18"/>
                <w:vertAlign w:val="superscript"/>
              </w:rPr>
              <w:t>4</w:t>
            </w:r>
          </w:p>
        </w:tc>
        <w:tc>
          <w:tcPr>
            <w:tcW w:w="625" w:type="pct"/>
            <w:tcBorders>
              <w:bottom w:val="single" w:sz="4" w:space="0" w:color="auto"/>
            </w:tcBorders>
            <w:shd w:val="clear" w:color="auto" w:fill="auto"/>
            <w:vAlign w:val="center"/>
          </w:tcPr>
          <w:p w14:paraId="28263029" w14:textId="1424CEE7" w:rsidR="00056A6A" w:rsidRPr="009E0870" w:rsidRDefault="009E0870" w:rsidP="002A1F14">
            <w:pPr>
              <w:pStyle w:val="TableText0"/>
              <w:keepNext w:val="0"/>
              <w:jc w:val="center"/>
              <w:rPr>
                <w:highlight w:val="darkGray"/>
              </w:rPr>
            </w:pPr>
            <w:r w:rsidRPr="009E0870">
              <w:rPr>
                <w:color w:val="000000"/>
                <w:spacing w:val="58"/>
                <w:shd w:val="solid" w:color="000000" w:fill="000000"/>
                <w:fitText w:val="346" w:id="-1232957430"/>
                <w14:textFill>
                  <w14:solidFill>
                    <w14:srgbClr w14:val="000000">
                      <w14:alpha w14:val="100000"/>
                    </w14:srgbClr>
                  </w14:solidFill>
                </w14:textFill>
              </w:rPr>
              <w:t>|||</w:t>
            </w:r>
            <w:r w:rsidRPr="009E0870">
              <w:rPr>
                <w:color w:val="000000"/>
                <w:spacing w:val="2"/>
                <w:shd w:val="solid" w:color="000000" w:fill="000000"/>
                <w:fitText w:val="346" w:id="-1232957430"/>
                <w14:textFill>
                  <w14:solidFill>
                    <w14:srgbClr w14:val="000000">
                      <w14:alpha w14:val="100000"/>
                    </w14:srgbClr>
                  </w14:solidFill>
                </w14:textFill>
              </w:rPr>
              <w:t>|</w:t>
            </w:r>
            <w:r w:rsidR="00710E82" w:rsidRPr="009E0870">
              <w:rPr>
                <w:iCs/>
                <w:szCs w:val="18"/>
                <w:vertAlign w:val="superscript"/>
              </w:rPr>
              <w:t>4</w:t>
            </w:r>
          </w:p>
        </w:tc>
        <w:tc>
          <w:tcPr>
            <w:tcW w:w="607" w:type="pct"/>
            <w:tcBorders>
              <w:bottom w:val="single" w:sz="4" w:space="0" w:color="auto"/>
            </w:tcBorders>
            <w:shd w:val="clear" w:color="auto" w:fill="auto"/>
            <w:vAlign w:val="center"/>
          </w:tcPr>
          <w:p w14:paraId="5C126272" w14:textId="2DC6EDF9"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4" w:id="-1232957429"/>
                <w14:textFill>
                  <w14:solidFill>
                    <w14:srgbClr w14:val="000000">
                      <w14:alpha w14:val="100000"/>
                    </w14:srgbClr>
                  </w14:solidFill>
                </w14:textFill>
              </w:rPr>
              <w:t>|||</w:t>
            </w:r>
            <w:r w:rsidRPr="009E0870">
              <w:rPr>
                <w:color w:val="000000"/>
                <w:spacing w:val="2"/>
                <w:shd w:val="solid" w:color="000000" w:fill="000000"/>
                <w:fitText w:val="364" w:id="-1232957429"/>
                <w14:textFill>
                  <w14:solidFill>
                    <w14:srgbClr w14:val="000000">
                      <w14:alpha w14:val="100000"/>
                    </w14:srgbClr>
                  </w14:solidFill>
                </w14:textFill>
              </w:rPr>
              <w:t>|</w:t>
            </w:r>
            <w:r w:rsidR="00710E82" w:rsidRPr="009E0870">
              <w:rPr>
                <w:iCs/>
                <w:szCs w:val="18"/>
                <w:vertAlign w:val="superscript"/>
              </w:rPr>
              <w:t>4</w:t>
            </w:r>
          </w:p>
        </w:tc>
        <w:tc>
          <w:tcPr>
            <w:tcW w:w="606" w:type="pct"/>
            <w:tcBorders>
              <w:bottom w:val="single" w:sz="4" w:space="0" w:color="auto"/>
            </w:tcBorders>
            <w:shd w:val="clear" w:color="auto" w:fill="auto"/>
            <w:vAlign w:val="center"/>
          </w:tcPr>
          <w:p w14:paraId="4857892E" w14:textId="3880B5EF"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4" w:id="-1232957428"/>
                <w14:textFill>
                  <w14:solidFill>
                    <w14:srgbClr w14:val="000000">
                      <w14:alpha w14:val="100000"/>
                    </w14:srgbClr>
                  </w14:solidFill>
                </w14:textFill>
              </w:rPr>
              <w:t>|||</w:t>
            </w:r>
            <w:r w:rsidRPr="009E0870">
              <w:rPr>
                <w:color w:val="000000"/>
                <w:spacing w:val="2"/>
                <w:shd w:val="solid" w:color="000000" w:fill="000000"/>
                <w:fitText w:val="364" w:id="-1232957428"/>
                <w14:textFill>
                  <w14:solidFill>
                    <w14:srgbClr w14:val="000000">
                      <w14:alpha w14:val="100000"/>
                    </w14:srgbClr>
                  </w14:solidFill>
                </w14:textFill>
              </w:rPr>
              <w:t>|</w:t>
            </w:r>
            <w:r w:rsidR="00710E82" w:rsidRPr="009E0870">
              <w:rPr>
                <w:iCs/>
                <w:szCs w:val="18"/>
                <w:vertAlign w:val="superscript"/>
              </w:rPr>
              <w:t>4</w:t>
            </w:r>
          </w:p>
        </w:tc>
      </w:tr>
      <w:tr w:rsidR="009E0870" w:rsidRPr="009E0870" w14:paraId="1C2ADC79" w14:textId="77777777" w:rsidTr="009E0870">
        <w:tc>
          <w:tcPr>
            <w:tcW w:w="1362" w:type="pct"/>
            <w:shd w:val="clear" w:color="auto" w:fill="auto"/>
            <w:vAlign w:val="center"/>
          </w:tcPr>
          <w:p w14:paraId="011CE406" w14:textId="1CE0843D" w:rsidR="00056A6A" w:rsidRPr="009E0870" w:rsidRDefault="00056A6A" w:rsidP="002A1F14">
            <w:pPr>
              <w:pStyle w:val="TableText0"/>
              <w:keepNext w:val="0"/>
              <w:rPr>
                <w:highlight w:val="yellow"/>
              </w:rPr>
            </w:pPr>
            <w:r w:rsidRPr="009E0870">
              <w:t>Uptake</w:t>
            </w:r>
            <w:r w:rsidR="0073607B" w:rsidRPr="009E0870">
              <w:t xml:space="preserve"> (%)</w:t>
            </w:r>
          </w:p>
        </w:tc>
        <w:tc>
          <w:tcPr>
            <w:tcW w:w="607" w:type="pct"/>
            <w:shd w:val="solid" w:color="000000" w:fill="000000"/>
          </w:tcPr>
          <w:p w14:paraId="4C6461AB" w14:textId="7BD6E850" w:rsidR="00056A6A" w:rsidRPr="009E0870" w:rsidRDefault="009E0870" w:rsidP="002A1F14">
            <w:pPr>
              <w:pStyle w:val="TableText0"/>
              <w:keepNext w:val="0"/>
              <w:jc w:val="center"/>
            </w:pPr>
            <w:r w:rsidRPr="009E0870">
              <w:rPr>
                <w:color w:val="000000"/>
                <w:spacing w:val="55"/>
                <w:fitText w:val="337" w:id="-1232957427"/>
                <w14:textFill>
                  <w14:solidFill>
                    <w14:srgbClr w14:val="000000">
                      <w14:alpha w14:val="100000"/>
                    </w14:srgbClr>
                  </w14:solidFill>
                </w14:textFill>
              </w:rPr>
              <w:t>|||</w:t>
            </w:r>
            <w:r w:rsidRPr="009E0870">
              <w:rPr>
                <w:color w:val="000000"/>
                <w:spacing w:val="2"/>
                <w:fitText w:val="337" w:id="-1232957427"/>
                <w14:textFill>
                  <w14:solidFill>
                    <w14:srgbClr w14:val="000000">
                      <w14:alpha w14:val="100000"/>
                    </w14:srgbClr>
                  </w14:solidFill>
                </w14:textFill>
              </w:rPr>
              <w:t>|</w:t>
            </w:r>
          </w:p>
        </w:tc>
        <w:tc>
          <w:tcPr>
            <w:tcW w:w="606" w:type="pct"/>
            <w:shd w:val="solid" w:color="000000" w:fill="000000"/>
          </w:tcPr>
          <w:p w14:paraId="4203AC66" w14:textId="2503A72F" w:rsidR="00056A6A" w:rsidRPr="009E0870" w:rsidRDefault="009E0870" w:rsidP="002A1F14">
            <w:pPr>
              <w:pStyle w:val="TableText0"/>
              <w:keepNext w:val="0"/>
              <w:jc w:val="center"/>
            </w:pPr>
            <w:r w:rsidRPr="009E0870">
              <w:rPr>
                <w:color w:val="000000"/>
                <w:spacing w:val="55"/>
                <w:fitText w:val="338" w:id="-1232957426"/>
                <w14:textFill>
                  <w14:solidFill>
                    <w14:srgbClr w14:val="000000">
                      <w14:alpha w14:val="100000"/>
                    </w14:srgbClr>
                  </w14:solidFill>
                </w14:textFill>
              </w:rPr>
              <w:t>|||</w:t>
            </w:r>
            <w:r w:rsidRPr="009E0870">
              <w:rPr>
                <w:color w:val="000000"/>
                <w:spacing w:val="3"/>
                <w:fitText w:val="338" w:id="-1232957426"/>
                <w14:textFill>
                  <w14:solidFill>
                    <w14:srgbClr w14:val="000000">
                      <w14:alpha w14:val="100000"/>
                    </w14:srgbClr>
                  </w14:solidFill>
                </w14:textFill>
              </w:rPr>
              <w:t>|</w:t>
            </w:r>
          </w:p>
        </w:tc>
        <w:tc>
          <w:tcPr>
            <w:tcW w:w="586" w:type="pct"/>
            <w:shd w:val="solid" w:color="000000" w:fill="000000"/>
          </w:tcPr>
          <w:p w14:paraId="21F98ABD" w14:textId="28D04300" w:rsidR="00056A6A" w:rsidRPr="009E0870" w:rsidRDefault="009E0870" w:rsidP="002A1F14">
            <w:pPr>
              <w:pStyle w:val="TableText0"/>
              <w:keepNext w:val="0"/>
              <w:jc w:val="center"/>
            </w:pPr>
            <w:r w:rsidRPr="009E0870">
              <w:rPr>
                <w:color w:val="000000"/>
                <w:spacing w:val="61"/>
                <w:fitText w:val="356" w:id="-1232957425"/>
                <w14:textFill>
                  <w14:solidFill>
                    <w14:srgbClr w14:val="000000">
                      <w14:alpha w14:val="100000"/>
                    </w14:srgbClr>
                  </w14:solidFill>
                </w14:textFill>
              </w:rPr>
              <w:t>|||</w:t>
            </w:r>
            <w:r w:rsidRPr="009E0870">
              <w:rPr>
                <w:color w:val="000000"/>
                <w:spacing w:val="3"/>
                <w:fitText w:val="356" w:id="-1232957425"/>
                <w14:textFill>
                  <w14:solidFill>
                    <w14:srgbClr w14:val="000000">
                      <w14:alpha w14:val="100000"/>
                    </w14:srgbClr>
                  </w14:solidFill>
                </w14:textFill>
              </w:rPr>
              <w:t>|</w:t>
            </w:r>
          </w:p>
        </w:tc>
        <w:tc>
          <w:tcPr>
            <w:tcW w:w="625" w:type="pct"/>
            <w:shd w:val="solid" w:color="000000" w:fill="000000"/>
          </w:tcPr>
          <w:p w14:paraId="7D4C4BA6" w14:textId="45FA4A69" w:rsidR="00056A6A" w:rsidRPr="009E0870" w:rsidRDefault="009E0870" w:rsidP="002A1F14">
            <w:pPr>
              <w:pStyle w:val="TableText0"/>
              <w:keepNext w:val="0"/>
              <w:jc w:val="center"/>
            </w:pPr>
            <w:r w:rsidRPr="009E0870">
              <w:rPr>
                <w:color w:val="000000"/>
                <w:spacing w:val="49"/>
                <w:fitText w:val="319" w:id="-1232957424"/>
                <w14:textFill>
                  <w14:solidFill>
                    <w14:srgbClr w14:val="000000">
                      <w14:alpha w14:val="100000"/>
                    </w14:srgbClr>
                  </w14:solidFill>
                </w14:textFill>
              </w:rPr>
              <w:t>|||</w:t>
            </w:r>
            <w:r w:rsidRPr="009E0870">
              <w:rPr>
                <w:color w:val="000000"/>
                <w:spacing w:val="2"/>
                <w:fitText w:val="319" w:id="-1232957424"/>
                <w14:textFill>
                  <w14:solidFill>
                    <w14:srgbClr w14:val="000000">
                      <w14:alpha w14:val="100000"/>
                    </w14:srgbClr>
                  </w14:solidFill>
                </w14:textFill>
              </w:rPr>
              <w:t>|</w:t>
            </w:r>
          </w:p>
        </w:tc>
        <w:tc>
          <w:tcPr>
            <w:tcW w:w="607" w:type="pct"/>
            <w:shd w:val="solid" w:color="000000" w:fill="000000"/>
          </w:tcPr>
          <w:p w14:paraId="72FF1B15" w14:textId="39DACDDA" w:rsidR="00056A6A" w:rsidRPr="009E0870" w:rsidRDefault="009E0870" w:rsidP="002A1F14">
            <w:pPr>
              <w:pStyle w:val="TableText0"/>
              <w:keepNext w:val="0"/>
              <w:jc w:val="center"/>
            </w:pPr>
            <w:r w:rsidRPr="009E0870">
              <w:rPr>
                <w:color w:val="000000"/>
                <w:spacing w:val="55"/>
                <w:fitText w:val="337" w:id="-1232957440"/>
                <w14:textFill>
                  <w14:solidFill>
                    <w14:srgbClr w14:val="000000">
                      <w14:alpha w14:val="100000"/>
                    </w14:srgbClr>
                  </w14:solidFill>
                </w14:textFill>
              </w:rPr>
              <w:t>|||</w:t>
            </w:r>
            <w:r w:rsidRPr="009E0870">
              <w:rPr>
                <w:color w:val="000000"/>
                <w:spacing w:val="2"/>
                <w:fitText w:val="337" w:id="-1232957440"/>
                <w14:textFill>
                  <w14:solidFill>
                    <w14:srgbClr w14:val="000000">
                      <w14:alpha w14:val="100000"/>
                    </w14:srgbClr>
                  </w14:solidFill>
                </w14:textFill>
              </w:rPr>
              <w:t>|</w:t>
            </w:r>
          </w:p>
        </w:tc>
        <w:tc>
          <w:tcPr>
            <w:tcW w:w="606" w:type="pct"/>
            <w:shd w:val="solid" w:color="000000" w:fill="000000"/>
          </w:tcPr>
          <w:p w14:paraId="3FBEF787" w14:textId="274F6291" w:rsidR="00056A6A" w:rsidRPr="009E0870" w:rsidRDefault="009E0870" w:rsidP="002A1F14">
            <w:pPr>
              <w:pStyle w:val="TableText0"/>
              <w:keepNext w:val="0"/>
              <w:jc w:val="center"/>
            </w:pPr>
            <w:r w:rsidRPr="009E0870">
              <w:rPr>
                <w:color w:val="000000"/>
                <w:spacing w:val="55"/>
                <w:fitText w:val="337" w:id="-1232957439"/>
                <w14:textFill>
                  <w14:solidFill>
                    <w14:srgbClr w14:val="000000">
                      <w14:alpha w14:val="100000"/>
                    </w14:srgbClr>
                  </w14:solidFill>
                </w14:textFill>
              </w:rPr>
              <w:t>|||</w:t>
            </w:r>
            <w:r w:rsidRPr="009E0870">
              <w:rPr>
                <w:color w:val="000000"/>
                <w:spacing w:val="2"/>
                <w:fitText w:val="337" w:id="-1232957439"/>
                <w14:textFill>
                  <w14:solidFill>
                    <w14:srgbClr w14:val="000000">
                      <w14:alpha w14:val="100000"/>
                    </w14:srgbClr>
                  </w14:solidFill>
                </w14:textFill>
              </w:rPr>
              <w:t>|</w:t>
            </w:r>
          </w:p>
        </w:tc>
      </w:tr>
      <w:tr w:rsidR="009E0870" w:rsidRPr="009E0870" w14:paraId="68334FCB" w14:textId="77777777" w:rsidTr="002E1153">
        <w:tc>
          <w:tcPr>
            <w:tcW w:w="1362" w:type="pct"/>
            <w:shd w:val="clear" w:color="auto" w:fill="auto"/>
            <w:vAlign w:val="center"/>
          </w:tcPr>
          <w:p w14:paraId="3358CD0C" w14:textId="77777777" w:rsidR="00056A6A" w:rsidRPr="009E0870" w:rsidRDefault="00056A6A" w:rsidP="002A1F14">
            <w:pPr>
              <w:pStyle w:val="TableText0"/>
              <w:keepNext w:val="0"/>
              <w:rPr>
                <w:highlight w:val="yellow"/>
              </w:rPr>
            </w:pPr>
            <w:r w:rsidRPr="009E0870">
              <w:t>Patients initiating romosozumab</w:t>
            </w:r>
          </w:p>
        </w:tc>
        <w:tc>
          <w:tcPr>
            <w:tcW w:w="607" w:type="pct"/>
            <w:shd w:val="clear" w:color="auto" w:fill="auto"/>
          </w:tcPr>
          <w:p w14:paraId="70BF1CF3" w14:textId="3D528794" w:rsidR="00056A6A" w:rsidRPr="009E0870" w:rsidRDefault="009E0870" w:rsidP="002A1F14">
            <w:pPr>
              <w:pStyle w:val="TableText0"/>
              <w:keepNext w:val="0"/>
              <w:jc w:val="center"/>
              <w:rPr>
                <w:b/>
                <w:bCs w:val="0"/>
                <w:highlight w:val="darkGray"/>
              </w:rPr>
            </w:pPr>
            <w:r w:rsidRPr="009E0870">
              <w:rPr>
                <w:b/>
                <w:bCs w:val="0"/>
                <w:color w:val="000000"/>
                <w:spacing w:val="32"/>
                <w:shd w:val="solid" w:color="000000" w:fill="000000"/>
                <w:fitText w:val="437" w:id="-1232957438"/>
                <w14:textFill>
                  <w14:solidFill>
                    <w14:srgbClr w14:val="000000">
                      <w14:alpha w14:val="100000"/>
                    </w14:srgbClr>
                  </w14:solidFill>
                </w14:textFill>
              </w:rPr>
              <w:t>|||||</w:t>
            </w:r>
            <w:r w:rsidRPr="009E0870">
              <w:rPr>
                <w:b/>
                <w:bCs w:val="0"/>
                <w:color w:val="000000"/>
                <w:spacing w:val="2"/>
                <w:shd w:val="solid" w:color="000000" w:fill="000000"/>
                <w:fitText w:val="437" w:id="-1232957438"/>
                <w14:textFill>
                  <w14:solidFill>
                    <w14:srgbClr w14:val="000000">
                      <w14:alpha w14:val="100000"/>
                    </w14:srgbClr>
                  </w14:solidFill>
                </w14:textFill>
              </w:rPr>
              <w:t>|</w:t>
            </w:r>
            <w:r w:rsidR="00676BCD" w:rsidRPr="009E0870">
              <w:rPr>
                <w:iCs/>
                <w:szCs w:val="18"/>
                <w:vertAlign w:val="superscript"/>
              </w:rPr>
              <w:t>5</w:t>
            </w:r>
          </w:p>
        </w:tc>
        <w:tc>
          <w:tcPr>
            <w:tcW w:w="606" w:type="pct"/>
            <w:shd w:val="clear" w:color="auto" w:fill="auto"/>
          </w:tcPr>
          <w:p w14:paraId="6EC67D14" w14:textId="33DE1A8C" w:rsidR="00056A6A" w:rsidRPr="009E0870" w:rsidRDefault="009E0870" w:rsidP="002A1F14">
            <w:pPr>
              <w:pStyle w:val="TableText0"/>
              <w:keepNext w:val="0"/>
              <w:jc w:val="center"/>
              <w:rPr>
                <w:b/>
                <w:bCs w:val="0"/>
                <w:highlight w:val="darkGray"/>
              </w:rPr>
            </w:pPr>
            <w:r w:rsidRPr="009E0870">
              <w:rPr>
                <w:b/>
                <w:bCs w:val="0"/>
                <w:color w:val="000000"/>
                <w:spacing w:val="32"/>
                <w:shd w:val="solid" w:color="000000" w:fill="000000"/>
                <w:fitText w:val="437" w:id="-1232957437"/>
                <w14:textFill>
                  <w14:solidFill>
                    <w14:srgbClr w14:val="000000">
                      <w14:alpha w14:val="100000"/>
                    </w14:srgbClr>
                  </w14:solidFill>
                </w14:textFill>
              </w:rPr>
              <w:t>|||||</w:t>
            </w:r>
            <w:r w:rsidRPr="009E0870">
              <w:rPr>
                <w:b/>
                <w:bCs w:val="0"/>
                <w:color w:val="000000"/>
                <w:spacing w:val="2"/>
                <w:shd w:val="solid" w:color="000000" w:fill="000000"/>
                <w:fitText w:val="437" w:id="-1232957437"/>
                <w14:textFill>
                  <w14:solidFill>
                    <w14:srgbClr w14:val="000000">
                      <w14:alpha w14:val="100000"/>
                    </w14:srgbClr>
                  </w14:solidFill>
                </w14:textFill>
              </w:rPr>
              <w:t>|</w:t>
            </w:r>
            <w:r w:rsidR="00710E82" w:rsidRPr="009E0870">
              <w:rPr>
                <w:iCs/>
                <w:szCs w:val="18"/>
                <w:vertAlign w:val="superscript"/>
              </w:rPr>
              <w:t>6</w:t>
            </w:r>
          </w:p>
        </w:tc>
        <w:tc>
          <w:tcPr>
            <w:tcW w:w="586" w:type="pct"/>
            <w:shd w:val="clear" w:color="auto" w:fill="auto"/>
          </w:tcPr>
          <w:p w14:paraId="4FB94A32" w14:textId="61B83D81" w:rsidR="00056A6A" w:rsidRPr="009E0870" w:rsidRDefault="009E0870" w:rsidP="002A1F14">
            <w:pPr>
              <w:pStyle w:val="TableText0"/>
              <w:keepNext w:val="0"/>
              <w:jc w:val="center"/>
              <w:rPr>
                <w:b/>
                <w:bCs w:val="0"/>
                <w:highlight w:val="darkGray"/>
              </w:rPr>
            </w:pPr>
            <w:r w:rsidRPr="009E0870">
              <w:rPr>
                <w:b/>
                <w:bCs w:val="0"/>
                <w:color w:val="000000"/>
                <w:spacing w:val="35"/>
                <w:shd w:val="solid" w:color="000000" w:fill="000000"/>
                <w:fitText w:val="455" w:id="-1232957436"/>
                <w14:textFill>
                  <w14:solidFill>
                    <w14:srgbClr w14:val="000000">
                      <w14:alpha w14:val="100000"/>
                    </w14:srgbClr>
                  </w14:solidFill>
                </w14:textFill>
              </w:rPr>
              <w:t>|||||</w:t>
            </w:r>
            <w:r w:rsidRPr="009E0870">
              <w:rPr>
                <w:b/>
                <w:bCs w:val="0"/>
                <w:color w:val="000000"/>
                <w:spacing w:val="5"/>
                <w:shd w:val="solid" w:color="000000" w:fill="000000"/>
                <w:fitText w:val="455" w:id="-1232957436"/>
                <w14:textFill>
                  <w14:solidFill>
                    <w14:srgbClr w14:val="000000">
                      <w14:alpha w14:val="100000"/>
                    </w14:srgbClr>
                  </w14:solidFill>
                </w14:textFill>
              </w:rPr>
              <w:t>|</w:t>
            </w:r>
            <w:r w:rsidR="00710E82" w:rsidRPr="009E0870">
              <w:rPr>
                <w:iCs/>
                <w:szCs w:val="18"/>
                <w:vertAlign w:val="superscript"/>
              </w:rPr>
              <w:t>6</w:t>
            </w:r>
          </w:p>
        </w:tc>
        <w:tc>
          <w:tcPr>
            <w:tcW w:w="625" w:type="pct"/>
            <w:shd w:val="clear" w:color="auto" w:fill="auto"/>
          </w:tcPr>
          <w:p w14:paraId="12604997" w14:textId="3681557E" w:rsidR="00056A6A" w:rsidRPr="009E0870" w:rsidRDefault="009E0870" w:rsidP="002A1F14">
            <w:pPr>
              <w:pStyle w:val="TableText0"/>
              <w:keepNext w:val="0"/>
              <w:jc w:val="center"/>
              <w:rPr>
                <w:b/>
                <w:bCs w:val="0"/>
                <w:highlight w:val="darkGray"/>
              </w:rPr>
            </w:pPr>
            <w:r w:rsidRPr="009E0870">
              <w:rPr>
                <w:b/>
                <w:bCs w:val="0"/>
                <w:color w:val="000000"/>
                <w:spacing w:val="34"/>
                <w:shd w:val="solid" w:color="000000" w:fill="000000"/>
                <w:fitText w:val="446" w:id="-1232957435"/>
                <w14:textFill>
                  <w14:solidFill>
                    <w14:srgbClr w14:val="000000">
                      <w14:alpha w14:val="100000"/>
                    </w14:srgbClr>
                  </w14:solidFill>
                </w14:textFill>
              </w:rPr>
              <w:t>|||||</w:t>
            </w:r>
            <w:r w:rsidRPr="009E0870">
              <w:rPr>
                <w:b/>
                <w:bCs w:val="0"/>
                <w:color w:val="000000"/>
                <w:spacing w:val="1"/>
                <w:shd w:val="solid" w:color="000000" w:fill="000000"/>
                <w:fitText w:val="446" w:id="-1232957435"/>
                <w14:textFill>
                  <w14:solidFill>
                    <w14:srgbClr w14:val="000000">
                      <w14:alpha w14:val="100000"/>
                    </w14:srgbClr>
                  </w14:solidFill>
                </w14:textFill>
              </w:rPr>
              <w:t>|</w:t>
            </w:r>
            <w:r w:rsidR="001E6174" w:rsidRPr="009E0870">
              <w:rPr>
                <w:i/>
                <w:sz w:val="18"/>
                <w:szCs w:val="18"/>
                <w:vertAlign w:val="superscript"/>
              </w:rPr>
              <w:t>20</w:t>
            </w:r>
          </w:p>
        </w:tc>
        <w:tc>
          <w:tcPr>
            <w:tcW w:w="607" w:type="pct"/>
            <w:shd w:val="clear" w:color="auto" w:fill="auto"/>
          </w:tcPr>
          <w:p w14:paraId="12F3EF23" w14:textId="59E026DE" w:rsidR="00056A6A" w:rsidRPr="009E0870" w:rsidRDefault="009E0870" w:rsidP="002A1F14">
            <w:pPr>
              <w:pStyle w:val="TableText0"/>
              <w:keepNext w:val="0"/>
              <w:jc w:val="center"/>
              <w:rPr>
                <w:b/>
                <w:bCs w:val="0"/>
                <w:highlight w:val="darkGray"/>
              </w:rPr>
            </w:pPr>
            <w:r w:rsidRPr="009E0870">
              <w:rPr>
                <w:b/>
                <w:bCs w:val="0"/>
                <w:color w:val="000000"/>
                <w:spacing w:val="37"/>
                <w:shd w:val="solid" w:color="000000" w:fill="000000"/>
                <w:fitText w:val="465" w:id="-1232957434"/>
                <w14:textFill>
                  <w14:solidFill>
                    <w14:srgbClr w14:val="000000">
                      <w14:alpha w14:val="100000"/>
                    </w14:srgbClr>
                  </w14:solidFill>
                </w14:textFill>
              </w:rPr>
              <w:t>|||||</w:t>
            </w:r>
            <w:r w:rsidRPr="009E0870">
              <w:rPr>
                <w:b/>
                <w:bCs w:val="0"/>
                <w:color w:val="000000"/>
                <w:spacing w:val="5"/>
                <w:shd w:val="solid" w:color="000000" w:fill="000000"/>
                <w:fitText w:val="465" w:id="-1232957434"/>
                <w14:textFill>
                  <w14:solidFill>
                    <w14:srgbClr w14:val="000000">
                      <w14:alpha w14:val="100000"/>
                    </w14:srgbClr>
                  </w14:solidFill>
                </w14:textFill>
              </w:rPr>
              <w:t>|</w:t>
            </w:r>
            <w:r w:rsidR="001E6174" w:rsidRPr="009E0870">
              <w:rPr>
                <w:i/>
                <w:sz w:val="18"/>
                <w:szCs w:val="18"/>
                <w:vertAlign w:val="superscript"/>
              </w:rPr>
              <w:t>20</w:t>
            </w:r>
          </w:p>
        </w:tc>
        <w:tc>
          <w:tcPr>
            <w:tcW w:w="606" w:type="pct"/>
            <w:shd w:val="clear" w:color="auto" w:fill="auto"/>
          </w:tcPr>
          <w:p w14:paraId="3329DDEB" w14:textId="0191762B" w:rsidR="00056A6A" w:rsidRPr="009E0870" w:rsidRDefault="009E0870" w:rsidP="002A1F14">
            <w:pPr>
              <w:pStyle w:val="TableText0"/>
              <w:keepNext w:val="0"/>
              <w:jc w:val="center"/>
              <w:rPr>
                <w:b/>
                <w:bCs w:val="0"/>
                <w:highlight w:val="darkGray"/>
              </w:rPr>
            </w:pPr>
            <w:r w:rsidRPr="009E0870">
              <w:rPr>
                <w:b/>
                <w:bCs w:val="0"/>
                <w:color w:val="000000"/>
                <w:spacing w:val="37"/>
                <w:shd w:val="solid" w:color="000000" w:fill="000000"/>
                <w:fitText w:val="465" w:id="-1232957433"/>
                <w14:textFill>
                  <w14:solidFill>
                    <w14:srgbClr w14:val="000000">
                      <w14:alpha w14:val="100000"/>
                    </w14:srgbClr>
                  </w14:solidFill>
                </w14:textFill>
              </w:rPr>
              <w:t>|||||</w:t>
            </w:r>
            <w:r w:rsidRPr="009E0870">
              <w:rPr>
                <w:b/>
                <w:bCs w:val="0"/>
                <w:color w:val="000000"/>
                <w:spacing w:val="5"/>
                <w:shd w:val="solid" w:color="000000" w:fill="000000"/>
                <w:fitText w:val="465" w:id="-1232957433"/>
                <w14:textFill>
                  <w14:solidFill>
                    <w14:srgbClr w14:val="000000">
                      <w14:alpha w14:val="100000"/>
                    </w14:srgbClr>
                  </w14:solidFill>
                </w14:textFill>
              </w:rPr>
              <w:t>|</w:t>
            </w:r>
            <w:r w:rsidR="001E6174" w:rsidRPr="009E0870">
              <w:rPr>
                <w:i/>
                <w:sz w:val="18"/>
                <w:szCs w:val="18"/>
                <w:vertAlign w:val="superscript"/>
              </w:rPr>
              <w:t>20</w:t>
            </w:r>
          </w:p>
        </w:tc>
      </w:tr>
      <w:tr w:rsidR="009E0870" w:rsidRPr="009E0870" w14:paraId="0BCEC079" w14:textId="77777777" w:rsidTr="002E1153">
        <w:tc>
          <w:tcPr>
            <w:tcW w:w="5000" w:type="pct"/>
            <w:gridSpan w:val="7"/>
            <w:shd w:val="clear" w:color="auto" w:fill="B8CCE4" w:themeFill="accent1" w:themeFillTint="66"/>
            <w:vAlign w:val="center"/>
          </w:tcPr>
          <w:p w14:paraId="13890D45" w14:textId="77777777" w:rsidR="00056A6A" w:rsidRPr="009E0870" w:rsidRDefault="00056A6A" w:rsidP="002A1F14">
            <w:pPr>
              <w:pStyle w:val="COMTableheadingrow"/>
              <w:keepNext w:val="0"/>
            </w:pPr>
            <w:r w:rsidRPr="009E0870">
              <w:t>Previous submission July 2022</w:t>
            </w:r>
          </w:p>
        </w:tc>
      </w:tr>
      <w:tr w:rsidR="009E0870" w:rsidRPr="009E0870" w14:paraId="39833935" w14:textId="77777777" w:rsidTr="002E1153">
        <w:tc>
          <w:tcPr>
            <w:tcW w:w="1362" w:type="pct"/>
            <w:shd w:val="clear" w:color="auto" w:fill="B8CCE4" w:themeFill="accent1" w:themeFillTint="66"/>
            <w:vAlign w:val="center"/>
          </w:tcPr>
          <w:p w14:paraId="15BAA279" w14:textId="77777777" w:rsidR="00056A6A" w:rsidRPr="009E0870" w:rsidRDefault="00056A6A" w:rsidP="002A1F14">
            <w:pPr>
              <w:pStyle w:val="TableText0"/>
              <w:keepNext w:val="0"/>
            </w:pPr>
            <w:r w:rsidRPr="009E0870">
              <w:rPr>
                <w:b/>
                <w:bCs w:val="0"/>
              </w:rPr>
              <w:t>Total first-line patients</w:t>
            </w:r>
          </w:p>
        </w:tc>
        <w:tc>
          <w:tcPr>
            <w:tcW w:w="607" w:type="pct"/>
            <w:shd w:val="clear" w:color="auto" w:fill="B8CCE4" w:themeFill="accent1" w:themeFillTint="66"/>
          </w:tcPr>
          <w:p w14:paraId="33F7BE7F" w14:textId="344C377A"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4" w:id="-1232957432"/>
                <w14:textFill>
                  <w14:solidFill>
                    <w14:srgbClr w14:val="000000">
                      <w14:alpha w14:val="100000"/>
                    </w14:srgbClr>
                  </w14:solidFill>
                </w14:textFill>
              </w:rPr>
              <w:t>|||</w:t>
            </w:r>
            <w:r w:rsidRPr="009E0870">
              <w:rPr>
                <w:color w:val="000000"/>
                <w:spacing w:val="2"/>
                <w:shd w:val="solid" w:color="000000" w:fill="000000"/>
                <w:fitText w:val="364" w:id="-1232957432"/>
                <w14:textFill>
                  <w14:solidFill>
                    <w14:srgbClr w14:val="000000">
                      <w14:alpha w14:val="100000"/>
                    </w14:srgbClr>
                  </w14:solidFill>
                </w14:textFill>
              </w:rPr>
              <w:t>|</w:t>
            </w:r>
            <w:r w:rsidR="00676BCD" w:rsidRPr="009E0870">
              <w:rPr>
                <w:iCs/>
                <w:szCs w:val="18"/>
                <w:vertAlign w:val="superscript"/>
              </w:rPr>
              <w:t>6</w:t>
            </w:r>
          </w:p>
        </w:tc>
        <w:tc>
          <w:tcPr>
            <w:tcW w:w="606" w:type="pct"/>
            <w:shd w:val="clear" w:color="auto" w:fill="B8CCE4" w:themeFill="accent1" w:themeFillTint="66"/>
          </w:tcPr>
          <w:p w14:paraId="4253CD00" w14:textId="7F8ADEEC"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5" w:id="-1232957431"/>
                <w14:textFill>
                  <w14:solidFill>
                    <w14:srgbClr w14:val="000000">
                      <w14:alpha w14:val="100000"/>
                    </w14:srgbClr>
                  </w14:solidFill>
                </w14:textFill>
              </w:rPr>
              <w:t>|||</w:t>
            </w:r>
            <w:r w:rsidRPr="009E0870">
              <w:rPr>
                <w:color w:val="000000"/>
                <w:spacing w:val="3"/>
                <w:shd w:val="solid" w:color="000000" w:fill="000000"/>
                <w:fitText w:val="365" w:id="-1232957431"/>
                <w14:textFill>
                  <w14:solidFill>
                    <w14:srgbClr w14:val="000000">
                      <w14:alpha w14:val="100000"/>
                    </w14:srgbClr>
                  </w14:solidFill>
                </w14:textFill>
              </w:rPr>
              <w:t>|</w:t>
            </w:r>
            <w:r w:rsidR="00710E82" w:rsidRPr="009E0870">
              <w:rPr>
                <w:iCs/>
                <w:szCs w:val="18"/>
                <w:vertAlign w:val="superscript"/>
              </w:rPr>
              <w:t>6</w:t>
            </w:r>
          </w:p>
        </w:tc>
        <w:tc>
          <w:tcPr>
            <w:tcW w:w="586" w:type="pct"/>
            <w:shd w:val="clear" w:color="auto" w:fill="B8CCE4" w:themeFill="accent1" w:themeFillTint="66"/>
          </w:tcPr>
          <w:p w14:paraId="23EC620D" w14:textId="4CCB9FBB" w:rsidR="00056A6A" w:rsidRPr="009E0870" w:rsidRDefault="009E0870" w:rsidP="002A1F14">
            <w:pPr>
              <w:pStyle w:val="TableText0"/>
              <w:keepNext w:val="0"/>
              <w:jc w:val="center"/>
              <w:rPr>
                <w:highlight w:val="darkGray"/>
              </w:rPr>
            </w:pPr>
            <w:r w:rsidRPr="009E0870">
              <w:rPr>
                <w:color w:val="000000"/>
                <w:spacing w:val="79"/>
                <w:shd w:val="solid" w:color="000000" w:fill="000000"/>
                <w:fitText w:val="410" w:id="-1232957430"/>
                <w14:textFill>
                  <w14:solidFill>
                    <w14:srgbClr w14:val="000000">
                      <w14:alpha w14:val="100000"/>
                    </w14:srgbClr>
                  </w14:solidFill>
                </w14:textFill>
              </w:rPr>
              <w:t>|||</w:t>
            </w:r>
            <w:r w:rsidRPr="009E0870">
              <w:rPr>
                <w:color w:val="000000"/>
                <w:spacing w:val="3"/>
                <w:shd w:val="solid" w:color="000000" w:fill="000000"/>
                <w:fitText w:val="410" w:id="-1232957430"/>
                <w14:textFill>
                  <w14:solidFill>
                    <w14:srgbClr w14:val="000000">
                      <w14:alpha w14:val="100000"/>
                    </w14:srgbClr>
                  </w14:solidFill>
                </w14:textFill>
              </w:rPr>
              <w:t>|</w:t>
            </w:r>
            <w:r w:rsidR="001E6174" w:rsidRPr="009E0870">
              <w:rPr>
                <w:i/>
                <w:sz w:val="18"/>
                <w:szCs w:val="18"/>
                <w:vertAlign w:val="superscript"/>
              </w:rPr>
              <w:t>20</w:t>
            </w:r>
          </w:p>
        </w:tc>
        <w:tc>
          <w:tcPr>
            <w:tcW w:w="625" w:type="pct"/>
            <w:shd w:val="clear" w:color="auto" w:fill="B8CCE4" w:themeFill="accent1" w:themeFillTint="66"/>
          </w:tcPr>
          <w:p w14:paraId="3E7A5986" w14:textId="59D1FC0E" w:rsidR="00056A6A" w:rsidRPr="009E0870" w:rsidRDefault="009E0870" w:rsidP="002A1F14">
            <w:pPr>
              <w:pStyle w:val="TableText0"/>
              <w:keepNext w:val="0"/>
              <w:jc w:val="center"/>
              <w:rPr>
                <w:highlight w:val="darkGray"/>
              </w:rPr>
            </w:pPr>
            <w:r w:rsidRPr="009E0870">
              <w:rPr>
                <w:color w:val="000000"/>
                <w:spacing w:val="67"/>
                <w:shd w:val="solid" w:color="000000" w:fill="000000"/>
                <w:fitText w:val="373" w:id="-1232957429"/>
                <w14:textFill>
                  <w14:solidFill>
                    <w14:srgbClr w14:val="000000">
                      <w14:alpha w14:val="100000"/>
                    </w14:srgbClr>
                  </w14:solidFill>
                </w14:textFill>
              </w:rPr>
              <w:t>|||</w:t>
            </w:r>
            <w:r w:rsidRPr="009E0870">
              <w:rPr>
                <w:color w:val="000000"/>
                <w:spacing w:val="2"/>
                <w:shd w:val="solid" w:color="000000" w:fill="000000"/>
                <w:fitText w:val="373" w:id="-1232957429"/>
                <w14:textFill>
                  <w14:solidFill>
                    <w14:srgbClr w14:val="000000">
                      <w14:alpha w14:val="100000"/>
                    </w14:srgbClr>
                  </w14:solidFill>
                </w14:textFill>
              </w:rPr>
              <w:t>|</w:t>
            </w:r>
            <w:r w:rsidR="001E6174" w:rsidRPr="009E0870">
              <w:rPr>
                <w:i/>
                <w:sz w:val="18"/>
                <w:szCs w:val="18"/>
                <w:vertAlign w:val="superscript"/>
              </w:rPr>
              <w:t>20</w:t>
            </w:r>
          </w:p>
        </w:tc>
        <w:tc>
          <w:tcPr>
            <w:tcW w:w="607" w:type="pct"/>
            <w:shd w:val="clear" w:color="auto" w:fill="B8CCE4" w:themeFill="accent1" w:themeFillTint="66"/>
          </w:tcPr>
          <w:p w14:paraId="76C94A7C" w14:textId="4E8F19C8" w:rsidR="00056A6A" w:rsidRPr="009E0870" w:rsidRDefault="009E0870" w:rsidP="002A1F14">
            <w:pPr>
              <w:pStyle w:val="TableText0"/>
              <w:keepNext w:val="0"/>
              <w:jc w:val="center"/>
              <w:rPr>
                <w:highlight w:val="darkGray"/>
              </w:rPr>
            </w:pPr>
            <w:r w:rsidRPr="009E0870">
              <w:rPr>
                <w:color w:val="000000"/>
                <w:spacing w:val="73"/>
                <w:shd w:val="solid" w:color="000000" w:fill="000000"/>
                <w:fitText w:val="392" w:id="-1232957428"/>
                <w14:textFill>
                  <w14:solidFill>
                    <w14:srgbClr w14:val="000000">
                      <w14:alpha w14:val="100000"/>
                    </w14:srgbClr>
                  </w14:solidFill>
                </w14:textFill>
              </w:rPr>
              <w:t>|||</w:t>
            </w:r>
            <w:r w:rsidRPr="009E0870">
              <w:rPr>
                <w:color w:val="000000"/>
                <w:spacing w:val="3"/>
                <w:shd w:val="solid" w:color="000000" w:fill="000000"/>
                <w:fitText w:val="392" w:id="-1232957428"/>
                <w14:textFill>
                  <w14:solidFill>
                    <w14:srgbClr w14:val="000000">
                      <w14:alpha w14:val="100000"/>
                    </w14:srgbClr>
                  </w14:solidFill>
                </w14:textFill>
              </w:rPr>
              <w:t>|</w:t>
            </w:r>
            <w:r w:rsidR="001E6174" w:rsidRPr="009E0870">
              <w:rPr>
                <w:i/>
                <w:sz w:val="18"/>
                <w:szCs w:val="18"/>
                <w:vertAlign w:val="superscript"/>
              </w:rPr>
              <w:t>20</w:t>
            </w:r>
          </w:p>
        </w:tc>
        <w:tc>
          <w:tcPr>
            <w:tcW w:w="606" w:type="pct"/>
            <w:shd w:val="clear" w:color="auto" w:fill="B8CCE4" w:themeFill="accent1" w:themeFillTint="66"/>
          </w:tcPr>
          <w:p w14:paraId="233B6AF7" w14:textId="6D130911" w:rsidR="00056A6A" w:rsidRPr="009E0870" w:rsidRDefault="009E0870" w:rsidP="002A1F14">
            <w:pPr>
              <w:pStyle w:val="TableText0"/>
              <w:keepNext w:val="0"/>
              <w:jc w:val="center"/>
              <w:rPr>
                <w:highlight w:val="darkGray"/>
              </w:rPr>
            </w:pPr>
            <w:r w:rsidRPr="009E0870">
              <w:rPr>
                <w:color w:val="000000"/>
                <w:spacing w:val="73"/>
                <w:shd w:val="solid" w:color="000000" w:fill="000000"/>
                <w:fitText w:val="392" w:id="-1232957427"/>
                <w14:textFill>
                  <w14:solidFill>
                    <w14:srgbClr w14:val="000000">
                      <w14:alpha w14:val="100000"/>
                    </w14:srgbClr>
                  </w14:solidFill>
                </w14:textFill>
              </w:rPr>
              <w:t>|||</w:t>
            </w:r>
            <w:r w:rsidRPr="009E0870">
              <w:rPr>
                <w:color w:val="000000"/>
                <w:spacing w:val="3"/>
                <w:shd w:val="solid" w:color="000000" w:fill="000000"/>
                <w:fitText w:val="392" w:id="-1232957427"/>
                <w14:textFill>
                  <w14:solidFill>
                    <w14:srgbClr w14:val="000000">
                      <w14:alpha w14:val="100000"/>
                    </w14:srgbClr>
                  </w14:solidFill>
                </w14:textFill>
              </w:rPr>
              <w:t>|</w:t>
            </w:r>
            <w:r w:rsidR="001E6174" w:rsidRPr="009E0870">
              <w:rPr>
                <w:i/>
                <w:sz w:val="18"/>
                <w:szCs w:val="18"/>
                <w:vertAlign w:val="superscript"/>
              </w:rPr>
              <w:t>20</w:t>
            </w:r>
          </w:p>
        </w:tc>
      </w:tr>
      <w:tr w:rsidR="009E0870" w:rsidRPr="009E0870" w14:paraId="16A3987D" w14:textId="77777777" w:rsidTr="002E1153">
        <w:tc>
          <w:tcPr>
            <w:tcW w:w="5000" w:type="pct"/>
            <w:gridSpan w:val="7"/>
            <w:shd w:val="clear" w:color="auto" w:fill="auto"/>
            <w:vAlign w:val="center"/>
          </w:tcPr>
          <w:p w14:paraId="7A3677EC" w14:textId="1343D828" w:rsidR="00056A6A" w:rsidRPr="009E0870" w:rsidRDefault="00056A6A" w:rsidP="002A1F14">
            <w:pPr>
              <w:pStyle w:val="TableText0"/>
              <w:keepNext w:val="0"/>
              <w:rPr>
                <w:b/>
                <w:bCs w:val="0"/>
                <w:highlight w:val="yellow"/>
              </w:rPr>
            </w:pPr>
            <w:r w:rsidRPr="009E0870">
              <w:rPr>
                <w:b/>
                <w:bCs w:val="0"/>
              </w:rPr>
              <w:t xml:space="preserve">Second-line population </w:t>
            </w:r>
            <w:r w:rsidR="008B0637" w:rsidRPr="009E0870">
              <w:rPr>
                <w:b/>
                <w:bCs w:val="0"/>
              </w:rPr>
              <w:t>(multiple fractures)</w:t>
            </w:r>
          </w:p>
        </w:tc>
      </w:tr>
      <w:tr w:rsidR="009E0870" w:rsidRPr="009E0870" w14:paraId="284ABD80" w14:textId="77777777" w:rsidTr="002E1153">
        <w:tc>
          <w:tcPr>
            <w:tcW w:w="1362" w:type="pct"/>
            <w:shd w:val="clear" w:color="auto" w:fill="auto"/>
            <w:vAlign w:val="center"/>
          </w:tcPr>
          <w:p w14:paraId="1D1DC1B6" w14:textId="12FDA827" w:rsidR="00F0679B" w:rsidRPr="009E0870" w:rsidRDefault="00F0679B" w:rsidP="002A1F14">
            <w:pPr>
              <w:pStyle w:val="TableText0"/>
              <w:keepNext w:val="0"/>
            </w:pPr>
            <w:r w:rsidRPr="009E0870">
              <w:t>On treatment, excluding 1L romosozumab uptake (n)</w:t>
            </w:r>
          </w:p>
        </w:tc>
        <w:tc>
          <w:tcPr>
            <w:tcW w:w="607" w:type="pct"/>
            <w:shd w:val="clear" w:color="auto" w:fill="auto"/>
            <w:vAlign w:val="center"/>
          </w:tcPr>
          <w:p w14:paraId="199D35D7" w14:textId="36ABF67C" w:rsidR="00F0679B" w:rsidRPr="009E0870" w:rsidRDefault="009E0870" w:rsidP="002A1F14">
            <w:pPr>
              <w:pStyle w:val="TableText0"/>
              <w:keepNext w:val="0"/>
              <w:jc w:val="center"/>
              <w:rPr>
                <w:highlight w:val="darkGray"/>
              </w:rPr>
            </w:pPr>
            <w:r w:rsidRPr="009E0870">
              <w:rPr>
                <w:color w:val="000000"/>
                <w:spacing w:val="64"/>
                <w:shd w:val="solid" w:color="000000" w:fill="000000"/>
                <w:fitText w:val="364" w:id="-1232957426"/>
                <w14:textFill>
                  <w14:solidFill>
                    <w14:srgbClr w14:val="000000">
                      <w14:alpha w14:val="100000"/>
                    </w14:srgbClr>
                  </w14:solidFill>
                </w14:textFill>
              </w:rPr>
              <w:t>|||</w:t>
            </w:r>
            <w:r w:rsidRPr="009E0870">
              <w:rPr>
                <w:color w:val="000000"/>
                <w:spacing w:val="2"/>
                <w:shd w:val="solid" w:color="000000" w:fill="000000"/>
                <w:fitText w:val="364" w:id="-1232957426"/>
                <w14:textFill>
                  <w14:solidFill>
                    <w14:srgbClr w14:val="000000">
                      <w14:alpha w14:val="100000"/>
                    </w14:srgbClr>
                  </w14:solidFill>
                </w14:textFill>
              </w:rPr>
              <w:t>|</w:t>
            </w:r>
            <w:r w:rsidR="004B15F1" w:rsidRPr="009E0870">
              <w:rPr>
                <w:iCs/>
                <w:szCs w:val="18"/>
                <w:vertAlign w:val="superscript"/>
              </w:rPr>
              <w:t>1</w:t>
            </w:r>
          </w:p>
        </w:tc>
        <w:tc>
          <w:tcPr>
            <w:tcW w:w="606" w:type="pct"/>
            <w:shd w:val="clear" w:color="auto" w:fill="auto"/>
            <w:vAlign w:val="center"/>
          </w:tcPr>
          <w:p w14:paraId="3F2740F6" w14:textId="47B44CF8" w:rsidR="00F0679B" w:rsidRPr="009E0870" w:rsidRDefault="009E0870" w:rsidP="002A1F14">
            <w:pPr>
              <w:pStyle w:val="TableText0"/>
              <w:keepNext w:val="0"/>
              <w:jc w:val="center"/>
              <w:rPr>
                <w:highlight w:val="darkGray"/>
              </w:rPr>
            </w:pPr>
            <w:r w:rsidRPr="009E0870">
              <w:rPr>
                <w:color w:val="000000"/>
                <w:spacing w:val="73"/>
                <w:shd w:val="solid" w:color="000000" w:fill="000000"/>
                <w:fitText w:val="392" w:id="-1232957425"/>
                <w14:textFill>
                  <w14:solidFill>
                    <w14:srgbClr w14:val="000000">
                      <w14:alpha w14:val="100000"/>
                    </w14:srgbClr>
                  </w14:solidFill>
                </w14:textFill>
              </w:rPr>
              <w:t>|||</w:t>
            </w:r>
            <w:r w:rsidRPr="009E0870">
              <w:rPr>
                <w:color w:val="000000"/>
                <w:spacing w:val="3"/>
                <w:shd w:val="solid" w:color="000000" w:fill="000000"/>
                <w:fitText w:val="392" w:id="-1232957425"/>
                <w14:textFill>
                  <w14:solidFill>
                    <w14:srgbClr w14:val="000000">
                      <w14:alpha w14:val="100000"/>
                    </w14:srgbClr>
                  </w14:solidFill>
                </w14:textFill>
              </w:rPr>
              <w:t>|</w:t>
            </w:r>
            <w:r w:rsidR="00710E82" w:rsidRPr="009E0870">
              <w:rPr>
                <w:iCs/>
                <w:szCs w:val="18"/>
                <w:vertAlign w:val="superscript"/>
              </w:rPr>
              <w:t>13</w:t>
            </w:r>
          </w:p>
        </w:tc>
        <w:tc>
          <w:tcPr>
            <w:tcW w:w="586" w:type="pct"/>
            <w:shd w:val="clear" w:color="auto" w:fill="auto"/>
            <w:vAlign w:val="center"/>
          </w:tcPr>
          <w:p w14:paraId="5FF3FE9F" w14:textId="40F7BDB3" w:rsidR="00F0679B" w:rsidRPr="009E0870" w:rsidRDefault="009E0870" w:rsidP="002A1F14">
            <w:pPr>
              <w:pStyle w:val="TableText0"/>
              <w:keepNext w:val="0"/>
              <w:jc w:val="center"/>
              <w:rPr>
                <w:highlight w:val="darkGray"/>
              </w:rPr>
            </w:pPr>
            <w:r w:rsidRPr="009E0870">
              <w:rPr>
                <w:color w:val="000000"/>
                <w:spacing w:val="79"/>
                <w:shd w:val="solid" w:color="000000" w:fill="000000"/>
                <w:fitText w:val="410" w:id="-1232957424"/>
                <w14:textFill>
                  <w14:solidFill>
                    <w14:srgbClr w14:val="000000">
                      <w14:alpha w14:val="100000"/>
                    </w14:srgbClr>
                  </w14:solidFill>
                </w14:textFill>
              </w:rPr>
              <w:t>|||</w:t>
            </w:r>
            <w:r w:rsidRPr="009E0870">
              <w:rPr>
                <w:color w:val="000000"/>
                <w:spacing w:val="3"/>
                <w:shd w:val="solid" w:color="000000" w:fill="000000"/>
                <w:fitText w:val="410" w:id="-1232957424"/>
                <w14:textFill>
                  <w14:solidFill>
                    <w14:srgbClr w14:val="000000">
                      <w14:alpha w14:val="100000"/>
                    </w14:srgbClr>
                  </w14:solidFill>
                </w14:textFill>
              </w:rPr>
              <w:t>|</w:t>
            </w:r>
            <w:r w:rsidR="00DA650E" w:rsidRPr="009E0870">
              <w:rPr>
                <w:iCs/>
                <w:szCs w:val="18"/>
                <w:vertAlign w:val="superscript"/>
              </w:rPr>
              <w:t>13</w:t>
            </w:r>
          </w:p>
        </w:tc>
        <w:tc>
          <w:tcPr>
            <w:tcW w:w="625" w:type="pct"/>
            <w:shd w:val="clear" w:color="auto" w:fill="auto"/>
            <w:vAlign w:val="center"/>
          </w:tcPr>
          <w:p w14:paraId="2E7C1120" w14:textId="68B49C0C" w:rsidR="00F0679B" w:rsidRPr="009E0870" w:rsidRDefault="009E0870" w:rsidP="002A1F14">
            <w:pPr>
              <w:pStyle w:val="TableText0"/>
              <w:keepNext w:val="0"/>
              <w:jc w:val="center"/>
              <w:rPr>
                <w:highlight w:val="darkGray"/>
              </w:rPr>
            </w:pPr>
            <w:r w:rsidRPr="009E0870">
              <w:rPr>
                <w:color w:val="000000"/>
                <w:spacing w:val="67"/>
                <w:shd w:val="solid" w:color="000000" w:fill="000000"/>
                <w:fitText w:val="373" w:id="-1232957440"/>
                <w14:textFill>
                  <w14:solidFill>
                    <w14:srgbClr w14:val="000000">
                      <w14:alpha w14:val="100000"/>
                    </w14:srgbClr>
                  </w14:solidFill>
                </w14:textFill>
              </w:rPr>
              <w:t>|||</w:t>
            </w:r>
            <w:r w:rsidRPr="009E0870">
              <w:rPr>
                <w:color w:val="000000"/>
                <w:spacing w:val="2"/>
                <w:shd w:val="solid" w:color="000000" w:fill="000000"/>
                <w:fitText w:val="373" w:id="-1232957440"/>
                <w14:textFill>
                  <w14:solidFill>
                    <w14:srgbClr w14:val="000000">
                      <w14:alpha w14:val="100000"/>
                    </w14:srgbClr>
                  </w14:solidFill>
                </w14:textFill>
              </w:rPr>
              <w:t>|</w:t>
            </w:r>
            <w:r w:rsidR="003813A1" w:rsidRPr="009E0870">
              <w:rPr>
                <w:iCs/>
                <w:szCs w:val="18"/>
                <w:vertAlign w:val="superscript"/>
              </w:rPr>
              <w:t>22</w:t>
            </w:r>
          </w:p>
        </w:tc>
        <w:tc>
          <w:tcPr>
            <w:tcW w:w="607" w:type="pct"/>
            <w:shd w:val="clear" w:color="auto" w:fill="auto"/>
            <w:vAlign w:val="center"/>
          </w:tcPr>
          <w:p w14:paraId="68A9B9A9" w14:textId="6ECED5A6" w:rsidR="00F0679B" w:rsidRPr="009E0870" w:rsidRDefault="009E0870" w:rsidP="002A1F14">
            <w:pPr>
              <w:pStyle w:val="TableText0"/>
              <w:keepNext w:val="0"/>
              <w:jc w:val="center"/>
              <w:rPr>
                <w:highlight w:val="darkGray"/>
              </w:rPr>
            </w:pPr>
            <w:r w:rsidRPr="009E0870">
              <w:rPr>
                <w:color w:val="000000"/>
                <w:spacing w:val="73"/>
                <w:shd w:val="solid" w:color="000000" w:fill="000000"/>
                <w:fitText w:val="392" w:id="-1232957439"/>
                <w14:textFill>
                  <w14:solidFill>
                    <w14:srgbClr w14:val="000000">
                      <w14:alpha w14:val="100000"/>
                    </w14:srgbClr>
                  </w14:solidFill>
                </w14:textFill>
              </w:rPr>
              <w:t>|||</w:t>
            </w:r>
            <w:r w:rsidRPr="009E0870">
              <w:rPr>
                <w:color w:val="000000"/>
                <w:spacing w:val="3"/>
                <w:shd w:val="solid" w:color="000000" w:fill="000000"/>
                <w:fitText w:val="392" w:id="-1232957439"/>
                <w14:textFill>
                  <w14:solidFill>
                    <w14:srgbClr w14:val="000000">
                      <w14:alpha w14:val="100000"/>
                    </w14:srgbClr>
                  </w14:solidFill>
                </w14:textFill>
              </w:rPr>
              <w:t>|</w:t>
            </w:r>
            <w:r w:rsidR="003813A1" w:rsidRPr="009E0870">
              <w:rPr>
                <w:iCs/>
                <w:szCs w:val="18"/>
                <w:vertAlign w:val="superscript"/>
              </w:rPr>
              <w:t>25</w:t>
            </w:r>
          </w:p>
        </w:tc>
        <w:tc>
          <w:tcPr>
            <w:tcW w:w="606" w:type="pct"/>
            <w:shd w:val="clear" w:color="auto" w:fill="auto"/>
            <w:vAlign w:val="center"/>
          </w:tcPr>
          <w:p w14:paraId="52447BB5" w14:textId="00BE0728" w:rsidR="00F0679B" w:rsidRPr="009E0870" w:rsidRDefault="009E0870" w:rsidP="002A1F14">
            <w:pPr>
              <w:pStyle w:val="TableText0"/>
              <w:keepNext w:val="0"/>
              <w:jc w:val="center"/>
              <w:rPr>
                <w:highlight w:val="darkGray"/>
              </w:rPr>
            </w:pPr>
            <w:r w:rsidRPr="009E0870">
              <w:rPr>
                <w:color w:val="000000"/>
                <w:spacing w:val="49"/>
                <w:shd w:val="solid" w:color="000000" w:fill="000000"/>
                <w:fitText w:val="501" w:id="-1232957438"/>
                <w14:textFill>
                  <w14:solidFill>
                    <w14:srgbClr w14:val="000000">
                      <w14:alpha w14:val="100000"/>
                    </w14:srgbClr>
                  </w14:solidFill>
                </w14:textFill>
              </w:rPr>
              <w:t>|||||</w:t>
            </w:r>
            <w:r w:rsidRPr="009E0870">
              <w:rPr>
                <w:color w:val="000000"/>
                <w:spacing w:val="1"/>
                <w:shd w:val="solid" w:color="000000" w:fill="000000"/>
                <w:fitText w:val="501" w:id="-1232957438"/>
                <w14:textFill>
                  <w14:solidFill>
                    <w14:srgbClr w14:val="000000">
                      <w14:alpha w14:val="100000"/>
                    </w14:srgbClr>
                  </w14:solidFill>
                </w14:textFill>
              </w:rPr>
              <w:t>|</w:t>
            </w:r>
            <w:r w:rsidR="003813A1" w:rsidRPr="009E0870">
              <w:rPr>
                <w:iCs/>
                <w:szCs w:val="18"/>
                <w:vertAlign w:val="superscript"/>
              </w:rPr>
              <w:t>25</w:t>
            </w:r>
            <w:r w:rsidRPr="009E0870">
              <w:rPr>
                <w:color w:val="000000"/>
                <w:spacing w:val="58"/>
                <w:shd w:val="solid" w:color="000000" w:fill="000000"/>
                <w:fitText w:val="346" w:id="-1232957436"/>
                <w14:textFill>
                  <w14:solidFill>
                    <w14:srgbClr w14:val="000000">
                      <w14:alpha w14:val="100000"/>
                    </w14:srgbClr>
                  </w14:solidFill>
                </w14:textFill>
              </w:rPr>
              <w:t>|||</w:t>
            </w:r>
            <w:r w:rsidRPr="009E0870">
              <w:rPr>
                <w:color w:val="000000"/>
                <w:spacing w:val="2"/>
                <w:shd w:val="solid" w:color="000000" w:fill="000000"/>
                <w:fitText w:val="346" w:id="-1232957436"/>
                <w14:textFill>
                  <w14:solidFill>
                    <w14:srgbClr w14:val="000000">
                      <w14:alpha w14:val="100000"/>
                    </w14:srgbClr>
                  </w14:solidFill>
                </w14:textFill>
              </w:rPr>
              <w:t>|</w:t>
            </w:r>
          </w:p>
        </w:tc>
      </w:tr>
      <w:tr w:rsidR="009E0870" w:rsidRPr="009E0870" w14:paraId="6899A564" w14:textId="77777777" w:rsidTr="002E1153">
        <w:tc>
          <w:tcPr>
            <w:tcW w:w="1362" w:type="pct"/>
            <w:shd w:val="clear" w:color="auto" w:fill="auto"/>
            <w:vAlign w:val="center"/>
          </w:tcPr>
          <w:p w14:paraId="4BC0BF89" w14:textId="77777777" w:rsidR="00056A6A" w:rsidRPr="009E0870" w:rsidRDefault="00056A6A" w:rsidP="002A1F14">
            <w:pPr>
              <w:pStyle w:val="TableText0"/>
              <w:keepNext w:val="0"/>
            </w:pPr>
            <w:r w:rsidRPr="009E0870">
              <w:t>Patients with prior fracture (75%)</w:t>
            </w:r>
          </w:p>
        </w:tc>
        <w:tc>
          <w:tcPr>
            <w:tcW w:w="607" w:type="pct"/>
            <w:shd w:val="clear" w:color="auto" w:fill="auto"/>
          </w:tcPr>
          <w:p w14:paraId="3C80B9E5" w14:textId="6750D198"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4" w:id="-1232957435"/>
                <w14:textFill>
                  <w14:solidFill>
                    <w14:srgbClr w14:val="000000">
                      <w14:alpha w14:val="100000"/>
                    </w14:srgbClr>
                  </w14:solidFill>
                </w14:textFill>
              </w:rPr>
              <w:t>|||</w:t>
            </w:r>
            <w:r w:rsidRPr="009E0870">
              <w:rPr>
                <w:color w:val="000000"/>
                <w:spacing w:val="2"/>
                <w:shd w:val="solid" w:color="000000" w:fill="000000"/>
                <w:fitText w:val="364" w:id="-1232957435"/>
                <w14:textFill>
                  <w14:solidFill>
                    <w14:srgbClr w14:val="000000">
                      <w14:alpha w14:val="100000"/>
                    </w14:srgbClr>
                  </w14:solidFill>
                </w14:textFill>
              </w:rPr>
              <w:t>|</w:t>
            </w:r>
            <w:r w:rsidR="00676BCD" w:rsidRPr="009E0870">
              <w:rPr>
                <w:iCs/>
                <w:szCs w:val="18"/>
                <w:vertAlign w:val="superscript"/>
              </w:rPr>
              <w:t>7</w:t>
            </w:r>
          </w:p>
        </w:tc>
        <w:tc>
          <w:tcPr>
            <w:tcW w:w="606" w:type="pct"/>
            <w:shd w:val="clear" w:color="auto" w:fill="auto"/>
          </w:tcPr>
          <w:p w14:paraId="316858D7" w14:textId="56DCC67A" w:rsidR="00056A6A" w:rsidRPr="009E0870" w:rsidRDefault="009E0870" w:rsidP="002A1F14">
            <w:pPr>
              <w:pStyle w:val="TableText0"/>
              <w:keepNext w:val="0"/>
              <w:jc w:val="center"/>
              <w:rPr>
                <w:highlight w:val="darkGray"/>
              </w:rPr>
            </w:pPr>
            <w:r w:rsidRPr="009E0870">
              <w:rPr>
                <w:color w:val="000000"/>
                <w:spacing w:val="73"/>
                <w:shd w:val="solid" w:color="000000" w:fill="000000"/>
                <w:fitText w:val="392" w:id="-1232957434"/>
                <w14:textFill>
                  <w14:solidFill>
                    <w14:srgbClr w14:val="000000">
                      <w14:alpha w14:val="100000"/>
                    </w14:srgbClr>
                  </w14:solidFill>
                </w14:textFill>
              </w:rPr>
              <w:t>|||</w:t>
            </w:r>
            <w:r w:rsidRPr="009E0870">
              <w:rPr>
                <w:color w:val="000000"/>
                <w:spacing w:val="3"/>
                <w:shd w:val="solid" w:color="000000" w:fill="000000"/>
                <w:fitText w:val="392" w:id="-1232957434"/>
                <w14:textFill>
                  <w14:solidFill>
                    <w14:srgbClr w14:val="000000">
                      <w14:alpha w14:val="100000"/>
                    </w14:srgbClr>
                  </w14:solidFill>
                </w14:textFill>
              </w:rPr>
              <w:t>|</w:t>
            </w:r>
            <w:r w:rsidR="00710E82" w:rsidRPr="009E0870">
              <w:rPr>
                <w:iCs/>
                <w:szCs w:val="18"/>
                <w:vertAlign w:val="superscript"/>
              </w:rPr>
              <w:t>15</w:t>
            </w:r>
          </w:p>
        </w:tc>
        <w:tc>
          <w:tcPr>
            <w:tcW w:w="586" w:type="pct"/>
            <w:shd w:val="clear" w:color="auto" w:fill="auto"/>
          </w:tcPr>
          <w:p w14:paraId="0B24F0FF" w14:textId="21DFABBE" w:rsidR="00056A6A" w:rsidRPr="009E0870" w:rsidRDefault="009E0870" w:rsidP="002A1F14">
            <w:pPr>
              <w:pStyle w:val="TableText0"/>
              <w:keepNext w:val="0"/>
              <w:jc w:val="center"/>
              <w:rPr>
                <w:highlight w:val="darkGray"/>
              </w:rPr>
            </w:pPr>
            <w:r w:rsidRPr="009E0870">
              <w:rPr>
                <w:color w:val="000000"/>
                <w:spacing w:val="79"/>
                <w:shd w:val="solid" w:color="000000" w:fill="000000"/>
                <w:fitText w:val="410" w:id="-1232957433"/>
                <w14:textFill>
                  <w14:solidFill>
                    <w14:srgbClr w14:val="000000">
                      <w14:alpha w14:val="100000"/>
                    </w14:srgbClr>
                  </w14:solidFill>
                </w14:textFill>
              </w:rPr>
              <w:t>|||</w:t>
            </w:r>
            <w:r w:rsidRPr="009E0870">
              <w:rPr>
                <w:color w:val="000000"/>
                <w:spacing w:val="3"/>
                <w:shd w:val="solid" w:color="000000" w:fill="000000"/>
                <w:fitText w:val="410" w:id="-1232957433"/>
                <w14:textFill>
                  <w14:solidFill>
                    <w14:srgbClr w14:val="000000">
                      <w14:alpha w14:val="100000"/>
                    </w14:srgbClr>
                  </w14:solidFill>
                </w14:textFill>
              </w:rPr>
              <w:t>|</w:t>
            </w:r>
            <w:r w:rsidR="00DA650E" w:rsidRPr="009E0870">
              <w:rPr>
                <w:iCs/>
                <w:szCs w:val="18"/>
                <w:vertAlign w:val="superscript"/>
              </w:rPr>
              <w:t>15</w:t>
            </w:r>
          </w:p>
        </w:tc>
        <w:tc>
          <w:tcPr>
            <w:tcW w:w="625" w:type="pct"/>
            <w:shd w:val="clear" w:color="auto" w:fill="auto"/>
          </w:tcPr>
          <w:p w14:paraId="233E25A7" w14:textId="6DDBC530" w:rsidR="00056A6A" w:rsidRPr="009E0870" w:rsidRDefault="009E0870" w:rsidP="002A1F14">
            <w:pPr>
              <w:pStyle w:val="TableText0"/>
              <w:keepNext w:val="0"/>
              <w:jc w:val="center"/>
              <w:rPr>
                <w:highlight w:val="darkGray"/>
              </w:rPr>
            </w:pPr>
            <w:r w:rsidRPr="009E0870">
              <w:rPr>
                <w:color w:val="000000"/>
                <w:spacing w:val="58"/>
                <w:shd w:val="solid" w:color="000000" w:fill="000000"/>
                <w:fitText w:val="346" w:id="-1232957432"/>
                <w14:textFill>
                  <w14:solidFill>
                    <w14:srgbClr w14:val="000000">
                      <w14:alpha w14:val="100000"/>
                    </w14:srgbClr>
                  </w14:solidFill>
                </w14:textFill>
              </w:rPr>
              <w:t>|||</w:t>
            </w:r>
            <w:r w:rsidRPr="009E0870">
              <w:rPr>
                <w:color w:val="000000"/>
                <w:spacing w:val="2"/>
                <w:shd w:val="solid" w:color="000000" w:fill="000000"/>
                <w:fitText w:val="346" w:id="-1232957432"/>
                <w14:textFill>
                  <w14:solidFill>
                    <w14:srgbClr w14:val="000000">
                      <w14:alpha w14:val="100000"/>
                    </w14:srgbClr>
                  </w14:solidFill>
                </w14:textFill>
              </w:rPr>
              <w:t>|</w:t>
            </w:r>
            <w:r w:rsidR="00DA650E" w:rsidRPr="009E0870">
              <w:rPr>
                <w:iCs/>
                <w:szCs w:val="18"/>
                <w:vertAlign w:val="superscript"/>
              </w:rPr>
              <w:t>1</w:t>
            </w:r>
          </w:p>
        </w:tc>
        <w:tc>
          <w:tcPr>
            <w:tcW w:w="607" w:type="pct"/>
            <w:shd w:val="clear" w:color="auto" w:fill="auto"/>
          </w:tcPr>
          <w:p w14:paraId="2237484B" w14:textId="133BC622"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4" w:id="-1232957431"/>
                <w14:textFill>
                  <w14:solidFill>
                    <w14:srgbClr w14:val="000000">
                      <w14:alpha w14:val="100000"/>
                    </w14:srgbClr>
                  </w14:solidFill>
                </w14:textFill>
              </w:rPr>
              <w:t>|||</w:t>
            </w:r>
            <w:r w:rsidRPr="009E0870">
              <w:rPr>
                <w:color w:val="000000"/>
                <w:spacing w:val="2"/>
                <w:shd w:val="solid" w:color="000000" w:fill="000000"/>
                <w:fitText w:val="364" w:id="-1232957431"/>
                <w14:textFill>
                  <w14:solidFill>
                    <w14:srgbClr w14:val="000000">
                      <w14:alpha w14:val="100000"/>
                    </w14:srgbClr>
                  </w14:solidFill>
                </w14:textFill>
              </w:rPr>
              <w:t>|</w:t>
            </w:r>
            <w:r w:rsidR="00DA650E" w:rsidRPr="009E0870">
              <w:rPr>
                <w:iCs/>
                <w:szCs w:val="18"/>
                <w:vertAlign w:val="superscript"/>
              </w:rPr>
              <w:t>1</w:t>
            </w:r>
          </w:p>
        </w:tc>
        <w:tc>
          <w:tcPr>
            <w:tcW w:w="606" w:type="pct"/>
            <w:shd w:val="clear" w:color="auto" w:fill="auto"/>
          </w:tcPr>
          <w:p w14:paraId="3DDD29CE" w14:textId="70E6305D" w:rsidR="00056A6A" w:rsidRPr="009E0870" w:rsidRDefault="009E0870" w:rsidP="002A1F14">
            <w:pPr>
              <w:pStyle w:val="TableText0"/>
              <w:keepNext w:val="0"/>
              <w:jc w:val="center"/>
              <w:rPr>
                <w:highlight w:val="darkGray"/>
              </w:rPr>
            </w:pPr>
            <w:r w:rsidRPr="009E0870">
              <w:rPr>
                <w:color w:val="000000"/>
                <w:spacing w:val="73"/>
                <w:shd w:val="solid" w:color="000000" w:fill="000000"/>
                <w:fitText w:val="392" w:id="-1232957430"/>
                <w14:textFill>
                  <w14:solidFill>
                    <w14:srgbClr w14:val="000000">
                      <w14:alpha w14:val="100000"/>
                    </w14:srgbClr>
                  </w14:solidFill>
                </w14:textFill>
              </w:rPr>
              <w:t>|||</w:t>
            </w:r>
            <w:r w:rsidRPr="009E0870">
              <w:rPr>
                <w:color w:val="000000"/>
                <w:spacing w:val="3"/>
                <w:shd w:val="solid" w:color="000000" w:fill="000000"/>
                <w:fitText w:val="392" w:id="-1232957430"/>
                <w14:textFill>
                  <w14:solidFill>
                    <w14:srgbClr w14:val="000000">
                      <w14:alpha w14:val="100000"/>
                    </w14:srgbClr>
                  </w14:solidFill>
                </w14:textFill>
              </w:rPr>
              <w:t>|</w:t>
            </w:r>
            <w:r w:rsidR="00DA650E" w:rsidRPr="009E0870">
              <w:rPr>
                <w:iCs/>
                <w:szCs w:val="18"/>
                <w:vertAlign w:val="superscript"/>
              </w:rPr>
              <w:t>13</w:t>
            </w:r>
          </w:p>
        </w:tc>
      </w:tr>
      <w:tr w:rsidR="009E0870" w:rsidRPr="009E0870" w14:paraId="65365B79" w14:textId="77777777" w:rsidTr="002E1153">
        <w:tc>
          <w:tcPr>
            <w:tcW w:w="1362" w:type="pct"/>
            <w:shd w:val="clear" w:color="auto" w:fill="auto"/>
            <w:vAlign w:val="center"/>
          </w:tcPr>
          <w:p w14:paraId="696ADA32" w14:textId="77777777" w:rsidR="00056A6A" w:rsidRPr="009E0870" w:rsidRDefault="00056A6A" w:rsidP="002A1F14">
            <w:pPr>
              <w:pStyle w:val="TableText0"/>
              <w:keepNext w:val="0"/>
              <w:rPr>
                <w:highlight w:val="yellow"/>
              </w:rPr>
            </w:pPr>
            <w:r w:rsidRPr="009E0870">
              <w:t>On-treatment fracture in past 24 months (10.04%)</w:t>
            </w:r>
          </w:p>
        </w:tc>
        <w:tc>
          <w:tcPr>
            <w:tcW w:w="607" w:type="pct"/>
            <w:shd w:val="clear" w:color="auto" w:fill="auto"/>
          </w:tcPr>
          <w:p w14:paraId="4341AD72" w14:textId="6626A1E4"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4" w:id="-1232957429"/>
                <w14:textFill>
                  <w14:solidFill>
                    <w14:srgbClr w14:val="000000">
                      <w14:alpha w14:val="100000"/>
                    </w14:srgbClr>
                  </w14:solidFill>
                </w14:textFill>
              </w:rPr>
              <w:t>|||</w:t>
            </w:r>
            <w:r w:rsidRPr="009E0870">
              <w:rPr>
                <w:color w:val="000000"/>
                <w:spacing w:val="2"/>
                <w:shd w:val="solid" w:color="000000" w:fill="000000"/>
                <w:fitText w:val="364" w:id="-1232957429"/>
                <w14:textFill>
                  <w14:solidFill>
                    <w14:srgbClr w14:val="000000">
                      <w14:alpha w14:val="100000"/>
                    </w14:srgbClr>
                  </w14:solidFill>
                </w14:textFill>
              </w:rPr>
              <w:t>|</w:t>
            </w:r>
            <w:r w:rsidR="00676BCD" w:rsidRPr="009E0870">
              <w:rPr>
                <w:iCs/>
                <w:szCs w:val="18"/>
                <w:vertAlign w:val="superscript"/>
              </w:rPr>
              <w:t>8</w:t>
            </w:r>
          </w:p>
        </w:tc>
        <w:tc>
          <w:tcPr>
            <w:tcW w:w="606" w:type="pct"/>
            <w:shd w:val="clear" w:color="auto" w:fill="auto"/>
          </w:tcPr>
          <w:p w14:paraId="49A7BCDD" w14:textId="4DE08AF4" w:rsidR="00056A6A" w:rsidRPr="009E0870" w:rsidRDefault="009E0870" w:rsidP="002A1F14">
            <w:pPr>
              <w:pStyle w:val="TableText0"/>
              <w:keepNext w:val="0"/>
              <w:jc w:val="center"/>
              <w:rPr>
                <w:highlight w:val="darkGray"/>
              </w:rPr>
            </w:pPr>
            <w:r w:rsidRPr="009E0870">
              <w:rPr>
                <w:color w:val="000000"/>
                <w:spacing w:val="73"/>
                <w:shd w:val="solid" w:color="000000" w:fill="000000"/>
                <w:fitText w:val="392" w:id="-1232957428"/>
                <w14:textFill>
                  <w14:solidFill>
                    <w14:srgbClr w14:val="000000">
                      <w14:alpha w14:val="100000"/>
                    </w14:srgbClr>
                  </w14:solidFill>
                </w14:textFill>
              </w:rPr>
              <w:t>|||</w:t>
            </w:r>
            <w:r w:rsidRPr="009E0870">
              <w:rPr>
                <w:color w:val="000000"/>
                <w:spacing w:val="3"/>
                <w:shd w:val="solid" w:color="000000" w:fill="000000"/>
                <w:fitText w:val="392" w:id="-1232957428"/>
                <w14:textFill>
                  <w14:solidFill>
                    <w14:srgbClr w14:val="000000">
                      <w14:alpha w14:val="100000"/>
                    </w14:srgbClr>
                  </w14:solidFill>
                </w14:textFill>
              </w:rPr>
              <w:t>|</w:t>
            </w:r>
            <w:r w:rsidR="00710E82" w:rsidRPr="009E0870">
              <w:rPr>
                <w:iCs/>
                <w:szCs w:val="18"/>
                <w:vertAlign w:val="superscript"/>
              </w:rPr>
              <w:t>16</w:t>
            </w:r>
          </w:p>
        </w:tc>
        <w:tc>
          <w:tcPr>
            <w:tcW w:w="586" w:type="pct"/>
            <w:shd w:val="clear" w:color="auto" w:fill="auto"/>
          </w:tcPr>
          <w:p w14:paraId="43054AF1" w14:textId="3FE384B6" w:rsidR="00056A6A" w:rsidRPr="009E0870" w:rsidRDefault="009E0870" w:rsidP="002A1F14">
            <w:pPr>
              <w:pStyle w:val="TableText0"/>
              <w:keepNext w:val="0"/>
              <w:jc w:val="center"/>
              <w:rPr>
                <w:highlight w:val="darkGray"/>
              </w:rPr>
            </w:pPr>
            <w:r w:rsidRPr="009E0870">
              <w:rPr>
                <w:color w:val="000000"/>
                <w:spacing w:val="79"/>
                <w:shd w:val="solid" w:color="000000" w:fill="000000"/>
                <w:fitText w:val="410" w:id="-1232957427"/>
                <w14:textFill>
                  <w14:solidFill>
                    <w14:srgbClr w14:val="000000">
                      <w14:alpha w14:val="100000"/>
                    </w14:srgbClr>
                  </w14:solidFill>
                </w14:textFill>
              </w:rPr>
              <w:t>|||</w:t>
            </w:r>
            <w:r w:rsidRPr="009E0870">
              <w:rPr>
                <w:color w:val="000000"/>
                <w:spacing w:val="3"/>
                <w:shd w:val="solid" w:color="000000" w:fill="000000"/>
                <w:fitText w:val="410" w:id="-1232957427"/>
                <w14:textFill>
                  <w14:solidFill>
                    <w14:srgbClr w14:val="000000">
                      <w14:alpha w14:val="100000"/>
                    </w14:srgbClr>
                  </w14:solidFill>
                </w14:textFill>
              </w:rPr>
              <w:t>|</w:t>
            </w:r>
            <w:r w:rsidR="003813A1" w:rsidRPr="009E0870">
              <w:rPr>
                <w:iCs/>
                <w:szCs w:val="18"/>
                <w:vertAlign w:val="superscript"/>
              </w:rPr>
              <w:t>16</w:t>
            </w:r>
          </w:p>
        </w:tc>
        <w:tc>
          <w:tcPr>
            <w:tcW w:w="625" w:type="pct"/>
            <w:shd w:val="clear" w:color="auto" w:fill="auto"/>
          </w:tcPr>
          <w:p w14:paraId="3D18E587" w14:textId="2AE408B8" w:rsidR="00056A6A" w:rsidRPr="009E0870" w:rsidRDefault="009E0870" w:rsidP="002A1F14">
            <w:pPr>
              <w:pStyle w:val="TableText0"/>
              <w:keepNext w:val="0"/>
              <w:jc w:val="center"/>
              <w:rPr>
                <w:highlight w:val="darkGray"/>
              </w:rPr>
            </w:pPr>
            <w:r w:rsidRPr="009E0870">
              <w:rPr>
                <w:color w:val="000000"/>
                <w:spacing w:val="67"/>
                <w:shd w:val="solid" w:color="000000" w:fill="000000"/>
                <w:fitText w:val="373" w:id="-1232957426"/>
                <w14:textFill>
                  <w14:solidFill>
                    <w14:srgbClr w14:val="000000">
                      <w14:alpha w14:val="100000"/>
                    </w14:srgbClr>
                  </w14:solidFill>
                </w14:textFill>
              </w:rPr>
              <w:t>|||</w:t>
            </w:r>
            <w:r w:rsidRPr="009E0870">
              <w:rPr>
                <w:color w:val="000000"/>
                <w:spacing w:val="2"/>
                <w:shd w:val="solid" w:color="000000" w:fill="000000"/>
                <w:fitText w:val="373" w:id="-1232957426"/>
                <w14:textFill>
                  <w14:solidFill>
                    <w14:srgbClr w14:val="000000">
                      <w14:alpha w14:val="100000"/>
                    </w14:srgbClr>
                  </w14:solidFill>
                </w14:textFill>
              </w:rPr>
              <w:t>|</w:t>
            </w:r>
            <w:r w:rsidR="003813A1" w:rsidRPr="009E0870">
              <w:rPr>
                <w:iCs/>
                <w:szCs w:val="18"/>
                <w:vertAlign w:val="superscript"/>
              </w:rPr>
              <w:t>23</w:t>
            </w:r>
          </w:p>
        </w:tc>
        <w:tc>
          <w:tcPr>
            <w:tcW w:w="607" w:type="pct"/>
            <w:shd w:val="clear" w:color="auto" w:fill="auto"/>
          </w:tcPr>
          <w:p w14:paraId="7F2A4E0C" w14:textId="3F28386F" w:rsidR="00056A6A" w:rsidRPr="009E0870" w:rsidRDefault="009E0870" w:rsidP="002A1F14">
            <w:pPr>
              <w:pStyle w:val="TableText0"/>
              <w:keepNext w:val="0"/>
              <w:jc w:val="center"/>
              <w:rPr>
                <w:highlight w:val="darkGray"/>
              </w:rPr>
            </w:pPr>
            <w:r w:rsidRPr="009E0870">
              <w:rPr>
                <w:color w:val="000000"/>
                <w:spacing w:val="73"/>
                <w:shd w:val="solid" w:color="000000" w:fill="000000"/>
                <w:fitText w:val="392" w:id="-1232957425"/>
                <w14:textFill>
                  <w14:solidFill>
                    <w14:srgbClr w14:val="000000">
                      <w14:alpha w14:val="100000"/>
                    </w14:srgbClr>
                  </w14:solidFill>
                </w14:textFill>
              </w:rPr>
              <w:t>|||</w:t>
            </w:r>
            <w:r w:rsidRPr="009E0870">
              <w:rPr>
                <w:color w:val="000000"/>
                <w:spacing w:val="3"/>
                <w:shd w:val="solid" w:color="000000" w:fill="000000"/>
                <w:fitText w:val="392" w:id="-1232957425"/>
                <w14:textFill>
                  <w14:solidFill>
                    <w14:srgbClr w14:val="000000">
                      <w14:alpha w14:val="100000"/>
                    </w14:srgbClr>
                  </w14:solidFill>
                </w14:textFill>
              </w:rPr>
              <w:t>|</w:t>
            </w:r>
            <w:r w:rsidR="003813A1" w:rsidRPr="009E0870">
              <w:rPr>
                <w:iCs/>
                <w:szCs w:val="18"/>
                <w:vertAlign w:val="superscript"/>
              </w:rPr>
              <w:t>23</w:t>
            </w:r>
          </w:p>
        </w:tc>
        <w:tc>
          <w:tcPr>
            <w:tcW w:w="606" w:type="pct"/>
            <w:shd w:val="clear" w:color="auto" w:fill="auto"/>
          </w:tcPr>
          <w:p w14:paraId="150112AE" w14:textId="23C04648" w:rsidR="00056A6A" w:rsidRPr="009E0870" w:rsidRDefault="009E0870" w:rsidP="002A1F14">
            <w:pPr>
              <w:pStyle w:val="TableText0"/>
              <w:keepNext w:val="0"/>
              <w:jc w:val="center"/>
              <w:rPr>
                <w:highlight w:val="darkGray"/>
              </w:rPr>
            </w:pPr>
            <w:r w:rsidRPr="009E0870">
              <w:rPr>
                <w:color w:val="000000"/>
                <w:spacing w:val="73"/>
                <w:shd w:val="solid" w:color="000000" w:fill="000000"/>
                <w:fitText w:val="392" w:id="-1232957424"/>
                <w14:textFill>
                  <w14:solidFill>
                    <w14:srgbClr w14:val="000000">
                      <w14:alpha w14:val="100000"/>
                    </w14:srgbClr>
                  </w14:solidFill>
                </w14:textFill>
              </w:rPr>
              <w:t>|||</w:t>
            </w:r>
            <w:r w:rsidRPr="009E0870">
              <w:rPr>
                <w:color w:val="000000"/>
                <w:spacing w:val="3"/>
                <w:shd w:val="solid" w:color="000000" w:fill="000000"/>
                <w:fitText w:val="392" w:id="-1232957424"/>
                <w14:textFill>
                  <w14:solidFill>
                    <w14:srgbClr w14:val="000000">
                      <w14:alpha w14:val="100000"/>
                    </w14:srgbClr>
                  </w14:solidFill>
                </w14:textFill>
              </w:rPr>
              <w:t>|</w:t>
            </w:r>
            <w:r w:rsidR="006013F6" w:rsidRPr="009E0870">
              <w:rPr>
                <w:i/>
                <w:sz w:val="18"/>
                <w:szCs w:val="18"/>
                <w:vertAlign w:val="superscript"/>
              </w:rPr>
              <w:t>18</w:t>
            </w:r>
          </w:p>
        </w:tc>
      </w:tr>
      <w:tr w:rsidR="009E0870" w:rsidRPr="009E0870" w14:paraId="431F88E8" w14:textId="77777777" w:rsidTr="009E0870">
        <w:tc>
          <w:tcPr>
            <w:tcW w:w="1362" w:type="pct"/>
            <w:shd w:val="clear" w:color="auto" w:fill="auto"/>
            <w:vAlign w:val="center"/>
          </w:tcPr>
          <w:p w14:paraId="71602EFC" w14:textId="4CB8415A" w:rsidR="00056A6A" w:rsidRPr="009E0870" w:rsidRDefault="00056A6A" w:rsidP="002A1F14">
            <w:pPr>
              <w:pStyle w:val="TableText0"/>
              <w:keepNext w:val="0"/>
            </w:pPr>
            <w:r w:rsidRPr="009E0870">
              <w:t>BMD ≤-2.5 and &gt;-3.0 (7.5%)</w:t>
            </w:r>
            <w:r w:rsidR="004F319F" w:rsidRPr="009E0870">
              <w:t xml:space="preserve"> *</w:t>
            </w:r>
          </w:p>
        </w:tc>
        <w:tc>
          <w:tcPr>
            <w:tcW w:w="607" w:type="pct"/>
            <w:tcBorders>
              <w:bottom w:val="single" w:sz="4" w:space="0" w:color="auto"/>
            </w:tcBorders>
            <w:shd w:val="clear" w:color="auto" w:fill="auto"/>
          </w:tcPr>
          <w:p w14:paraId="11F76752" w14:textId="4648C337"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4" w:id="-1232957440"/>
                <w14:textFill>
                  <w14:solidFill>
                    <w14:srgbClr w14:val="000000">
                      <w14:alpha w14:val="100000"/>
                    </w14:srgbClr>
                  </w14:solidFill>
                </w14:textFill>
              </w:rPr>
              <w:t>|||</w:t>
            </w:r>
            <w:r w:rsidRPr="009E0870">
              <w:rPr>
                <w:color w:val="000000"/>
                <w:spacing w:val="2"/>
                <w:shd w:val="solid" w:color="000000" w:fill="000000"/>
                <w:fitText w:val="364" w:id="-1232957440"/>
                <w14:textFill>
                  <w14:solidFill>
                    <w14:srgbClr w14:val="000000">
                      <w14:alpha w14:val="100000"/>
                    </w14:srgbClr>
                  </w14:solidFill>
                </w14:textFill>
              </w:rPr>
              <w:t>|</w:t>
            </w:r>
            <w:r w:rsidR="00676BCD" w:rsidRPr="009E0870">
              <w:rPr>
                <w:iCs/>
                <w:szCs w:val="18"/>
                <w:vertAlign w:val="superscript"/>
              </w:rPr>
              <w:t>5</w:t>
            </w:r>
          </w:p>
        </w:tc>
        <w:tc>
          <w:tcPr>
            <w:tcW w:w="606" w:type="pct"/>
            <w:tcBorders>
              <w:bottom w:val="single" w:sz="4" w:space="0" w:color="auto"/>
            </w:tcBorders>
            <w:shd w:val="clear" w:color="auto" w:fill="auto"/>
          </w:tcPr>
          <w:p w14:paraId="5B436C4F" w14:textId="29AA920C"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5" w:id="-1232957439"/>
                <w14:textFill>
                  <w14:solidFill>
                    <w14:srgbClr w14:val="000000">
                      <w14:alpha w14:val="100000"/>
                    </w14:srgbClr>
                  </w14:solidFill>
                </w14:textFill>
              </w:rPr>
              <w:t>|||</w:t>
            </w:r>
            <w:r w:rsidRPr="009E0870">
              <w:rPr>
                <w:color w:val="000000"/>
                <w:spacing w:val="3"/>
                <w:shd w:val="solid" w:color="000000" w:fill="000000"/>
                <w:fitText w:val="365" w:id="-1232957439"/>
                <w14:textFill>
                  <w14:solidFill>
                    <w14:srgbClr w14:val="000000">
                      <w14:alpha w14:val="100000"/>
                    </w14:srgbClr>
                  </w14:solidFill>
                </w14:textFill>
              </w:rPr>
              <w:t>|</w:t>
            </w:r>
            <w:r w:rsidR="00710E82" w:rsidRPr="009E0870">
              <w:rPr>
                <w:iCs/>
                <w:szCs w:val="18"/>
                <w:vertAlign w:val="superscript"/>
              </w:rPr>
              <w:t>5</w:t>
            </w:r>
          </w:p>
        </w:tc>
        <w:tc>
          <w:tcPr>
            <w:tcW w:w="586" w:type="pct"/>
            <w:tcBorders>
              <w:bottom w:val="single" w:sz="4" w:space="0" w:color="auto"/>
            </w:tcBorders>
            <w:shd w:val="clear" w:color="auto" w:fill="auto"/>
          </w:tcPr>
          <w:p w14:paraId="449F0364" w14:textId="74DAB76B" w:rsidR="00056A6A" w:rsidRPr="009E0870" w:rsidRDefault="009E0870" w:rsidP="002A1F14">
            <w:pPr>
              <w:pStyle w:val="TableText0"/>
              <w:keepNext w:val="0"/>
              <w:jc w:val="center"/>
              <w:rPr>
                <w:highlight w:val="darkGray"/>
              </w:rPr>
            </w:pPr>
            <w:r w:rsidRPr="009E0870">
              <w:rPr>
                <w:color w:val="000000"/>
                <w:spacing w:val="70"/>
                <w:shd w:val="solid" w:color="000000" w:fill="000000"/>
                <w:fitText w:val="383" w:id="-1232957438"/>
                <w14:textFill>
                  <w14:solidFill>
                    <w14:srgbClr w14:val="000000">
                      <w14:alpha w14:val="100000"/>
                    </w14:srgbClr>
                  </w14:solidFill>
                </w14:textFill>
              </w:rPr>
              <w:t>|||</w:t>
            </w:r>
            <w:r w:rsidRPr="009E0870">
              <w:rPr>
                <w:color w:val="000000"/>
                <w:spacing w:val="3"/>
                <w:shd w:val="solid" w:color="000000" w:fill="000000"/>
                <w:fitText w:val="383" w:id="-1232957438"/>
                <w14:textFill>
                  <w14:solidFill>
                    <w14:srgbClr w14:val="000000">
                      <w14:alpha w14:val="100000"/>
                    </w14:srgbClr>
                  </w14:solidFill>
                </w14:textFill>
              </w:rPr>
              <w:t>|</w:t>
            </w:r>
            <w:r w:rsidR="00710E82" w:rsidRPr="009E0870">
              <w:rPr>
                <w:iCs/>
                <w:szCs w:val="18"/>
                <w:vertAlign w:val="superscript"/>
              </w:rPr>
              <w:t>5</w:t>
            </w:r>
          </w:p>
        </w:tc>
        <w:tc>
          <w:tcPr>
            <w:tcW w:w="625" w:type="pct"/>
            <w:tcBorders>
              <w:bottom w:val="single" w:sz="4" w:space="0" w:color="auto"/>
            </w:tcBorders>
            <w:shd w:val="clear" w:color="auto" w:fill="auto"/>
          </w:tcPr>
          <w:p w14:paraId="2351F45D" w14:textId="3EABF469" w:rsidR="00056A6A" w:rsidRPr="009E0870" w:rsidRDefault="009E0870" w:rsidP="002A1F14">
            <w:pPr>
              <w:pStyle w:val="TableText0"/>
              <w:keepNext w:val="0"/>
              <w:jc w:val="center"/>
              <w:rPr>
                <w:highlight w:val="darkGray"/>
              </w:rPr>
            </w:pPr>
            <w:r w:rsidRPr="009E0870">
              <w:rPr>
                <w:color w:val="000000"/>
                <w:spacing w:val="58"/>
                <w:shd w:val="solid" w:color="000000" w:fill="000000"/>
                <w:fitText w:val="346" w:id="-1232957437"/>
                <w14:textFill>
                  <w14:solidFill>
                    <w14:srgbClr w14:val="000000">
                      <w14:alpha w14:val="100000"/>
                    </w14:srgbClr>
                  </w14:solidFill>
                </w14:textFill>
              </w:rPr>
              <w:t>|||</w:t>
            </w:r>
            <w:r w:rsidRPr="009E0870">
              <w:rPr>
                <w:color w:val="000000"/>
                <w:spacing w:val="2"/>
                <w:shd w:val="solid" w:color="000000" w:fill="000000"/>
                <w:fitText w:val="346" w:id="-1232957437"/>
                <w14:textFill>
                  <w14:solidFill>
                    <w14:srgbClr w14:val="000000">
                      <w14:alpha w14:val="100000"/>
                    </w14:srgbClr>
                  </w14:solidFill>
                </w14:textFill>
              </w:rPr>
              <w:t>|</w:t>
            </w:r>
            <w:r w:rsidR="00710E82" w:rsidRPr="009E0870">
              <w:rPr>
                <w:iCs/>
                <w:szCs w:val="18"/>
                <w:vertAlign w:val="superscript"/>
              </w:rPr>
              <w:t>6</w:t>
            </w:r>
          </w:p>
        </w:tc>
        <w:tc>
          <w:tcPr>
            <w:tcW w:w="607" w:type="pct"/>
            <w:tcBorders>
              <w:bottom w:val="single" w:sz="4" w:space="0" w:color="auto"/>
            </w:tcBorders>
            <w:shd w:val="clear" w:color="auto" w:fill="auto"/>
          </w:tcPr>
          <w:p w14:paraId="1A184FE1" w14:textId="5D6E0E28"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4" w:id="-1232957436"/>
                <w14:textFill>
                  <w14:solidFill>
                    <w14:srgbClr w14:val="000000">
                      <w14:alpha w14:val="100000"/>
                    </w14:srgbClr>
                  </w14:solidFill>
                </w14:textFill>
              </w:rPr>
              <w:t>|||</w:t>
            </w:r>
            <w:r w:rsidRPr="009E0870">
              <w:rPr>
                <w:color w:val="000000"/>
                <w:spacing w:val="2"/>
                <w:shd w:val="solid" w:color="000000" w:fill="000000"/>
                <w:fitText w:val="364" w:id="-1232957436"/>
                <w14:textFill>
                  <w14:solidFill>
                    <w14:srgbClr w14:val="000000">
                      <w14:alpha w14:val="100000"/>
                    </w14:srgbClr>
                  </w14:solidFill>
                </w14:textFill>
              </w:rPr>
              <w:t>|</w:t>
            </w:r>
            <w:r w:rsidR="00710E82" w:rsidRPr="009E0870">
              <w:rPr>
                <w:iCs/>
                <w:szCs w:val="18"/>
                <w:vertAlign w:val="superscript"/>
              </w:rPr>
              <w:t>6</w:t>
            </w:r>
          </w:p>
        </w:tc>
        <w:tc>
          <w:tcPr>
            <w:tcW w:w="606" w:type="pct"/>
            <w:tcBorders>
              <w:bottom w:val="single" w:sz="4" w:space="0" w:color="auto"/>
            </w:tcBorders>
            <w:shd w:val="clear" w:color="auto" w:fill="auto"/>
          </w:tcPr>
          <w:p w14:paraId="31BD3824" w14:textId="533168DE"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4" w:id="-1232957435"/>
                <w14:textFill>
                  <w14:solidFill>
                    <w14:srgbClr w14:val="000000">
                      <w14:alpha w14:val="100000"/>
                    </w14:srgbClr>
                  </w14:solidFill>
                </w14:textFill>
              </w:rPr>
              <w:t>|||</w:t>
            </w:r>
            <w:r w:rsidRPr="009E0870">
              <w:rPr>
                <w:color w:val="000000"/>
                <w:spacing w:val="2"/>
                <w:shd w:val="solid" w:color="000000" w:fill="000000"/>
                <w:fitText w:val="364" w:id="-1232957435"/>
                <w14:textFill>
                  <w14:solidFill>
                    <w14:srgbClr w14:val="000000">
                      <w14:alpha w14:val="100000"/>
                    </w14:srgbClr>
                  </w14:solidFill>
                </w14:textFill>
              </w:rPr>
              <w:t>|</w:t>
            </w:r>
            <w:r w:rsidR="00710E82" w:rsidRPr="009E0870">
              <w:rPr>
                <w:iCs/>
                <w:szCs w:val="18"/>
                <w:vertAlign w:val="superscript"/>
              </w:rPr>
              <w:t>6</w:t>
            </w:r>
          </w:p>
        </w:tc>
      </w:tr>
      <w:tr w:rsidR="009E0870" w:rsidRPr="009E0870" w14:paraId="73B6F164" w14:textId="77777777" w:rsidTr="009E0870">
        <w:tc>
          <w:tcPr>
            <w:tcW w:w="1362" w:type="pct"/>
            <w:shd w:val="clear" w:color="auto" w:fill="auto"/>
            <w:vAlign w:val="center"/>
          </w:tcPr>
          <w:p w14:paraId="2BD3FF3A" w14:textId="38CB4C88" w:rsidR="00056A6A" w:rsidRPr="009E0870" w:rsidRDefault="00056A6A" w:rsidP="002A1F14">
            <w:pPr>
              <w:pStyle w:val="TableText0"/>
              <w:keepNext w:val="0"/>
              <w:rPr>
                <w:highlight w:val="yellow"/>
              </w:rPr>
            </w:pPr>
            <w:r w:rsidRPr="009E0870">
              <w:t>Uptake</w:t>
            </w:r>
            <w:r w:rsidR="0073607B" w:rsidRPr="009E0870">
              <w:t xml:space="preserve"> (%)</w:t>
            </w:r>
          </w:p>
        </w:tc>
        <w:tc>
          <w:tcPr>
            <w:tcW w:w="607" w:type="pct"/>
            <w:shd w:val="solid" w:color="000000" w:fill="000000"/>
          </w:tcPr>
          <w:p w14:paraId="7EF330D4" w14:textId="7D318509" w:rsidR="00056A6A" w:rsidRPr="009E0870" w:rsidRDefault="009E0870" w:rsidP="002A1F14">
            <w:pPr>
              <w:pStyle w:val="TableText0"/>
              <w:keepNext w:val="0"/>
              <w:jc w:val="center"/>
            </w:pPr>
            <w:r w:rsidRPr="009E0870">
              <w:rPr>
                <w:color w:val="000000"/>
                <w:spacing w:val="55"/>
                <w:fitText w:val="337" w:id="-1232957434"/>
                <w14:textFill>
                  <w14:solidFill>
                    <w14:srgbClr w14:val="000000">
                      <w14:alpha w14:val="100000"/>
                    </w14:srgbClr>
                  </w14:solidFill>
                </w14:textFill>
              </w:rPr>
              <w:t>|||</w:t>
            </w:r>
            <w:r w:rsidRPr="009E0870">
              <w:rPr>
                <w:color w:val="000000"/>
                <w:spacing w:val="2"/>
                <w:fitText w:val="337" w:id="-1232957434"/>
                <w14:textFill>
                  <w14:solidFill>
                    <w14:srgbClr w14:val="000000">
                      <w14:alpha w14:val="100000"/>
                    </w14:srgbClr>
                  </w14:solidFill>
                </w14:textFill>
              </w:rPr>
              <w:t>|</w:t>
            </w:r>
          </w:p>
        </w:tc>
        <w:tc>
          <w:tcPr>
            <w:tcW w:w="606" w:type="pct"/>
            <w:shd w:val="solid" w:color="000000" w:fill="000000"/>
          </w:tcPr>
          <w:p w14:paraId="52A53046" w14:textId="6740D95C" w:rsidR="00056A6A" w:rsidRPr="009E0870" w:rsidRDefault="009E0870" w:rsidP="002A1F14">
            <w:pPr>
              <w:pStyle w:val="TableText0"/>
              <w:keepNext w:val="0"/>
              <w:jc w:val="center"/>
            </w:pPr>
            <w:r w:rsidRPr="009E0870">
              <w:rPr>
                <w:color w:val="000000"/>
                <w:spacing w:val="55"/>
                <w:fitText w:val="338" w:id="-1232957184"/>
                <w14:textFill>
                  <w14:solidFill>
                    <w14:srgbClr w14:val="000000">
                      <w14:alpha w14:val="100000"/>
                    </w14:srgbClr>
                  </w14:solidFill>
                </w14:textFill>
              </w:rPr>
              <w:t>|||</w:t>
            </w:r>
            <w:r w:rsidRPr="009E0870">
              <w:rPr>
                <w:color w:val="000000"/>
                <w:spacing w:val="3"/>
                <w:fitText w:val="338" w:id="-1232957184"/>
                <w14:textFill>
                  <w14:solidFill>
                    <w14:srgbClr w14:val="000000">
                      <w14:alpha w14:val="100000"/>
                    </w14:srgbClr>
                  </w14:solidFill>
                </w14:textFill>
              </w:rPr>
              <w:t>|</w:t>
            </w:r>
          </w:p>
        </w:tc>
        <w:tc>
          <w:tcPr>
            <w:tcW w:w="586" w:type="pct"/>
            <w:shd w:val="solid" w:color="000000" w:fill="000000"/>
          </w:tcPr>
          <w:p w14:paraId="2639BFA1" w14:textId="3B9F218F" w:rsidR="00056A6A" w:rsidRPr="009E0870" w:rsidRDefault="009E0870" w:rsidP="002A1F14">
            <w:pPr>
              <w:pStyle w:val="TableText0"/>
              <w:keepNext w:val="0"/>
              <w:jc w:val="center"/>
            </w:pPr>
            <w:r w:rsidRPr="009E0870">
              <w:rPr>
                <w:color w:val="000000"/>
                <w:spacing w:val="61"/>
                <w:fitText w:val="356" w:id="-1232957183"/>
                <w14:textFill>
                  <w14:solidFill>
                    <w14:srgbClr w14:val="000000">
                      <w14:alpha w14:val="100000"/>
                    </w14:srgbClr>
                  </w14:solidFill>
                </w14:textFill>
              </w:rPr>
              <w:t>|||</w:t>
            </w:r>
            <w:r w:rsidRPr="009E0870">
              <w:rPr>
                <w:color w:val="000000"/>
                <w:spacing w:val="3"/>
                <w:fitText w:val="356" w:id="-1232957183"/>
                <w14:textFill>
                  <w14:solidFill>
                    <w14:srgbClr w14:val="000000">
                      <w14:alpha w14:val="100000"/>
                    </w14:srgbClr>
                  </w14:solidFill>
                </w14:textFill>
              </w:rPr>
              <w:t>|</w:t>
            </w:r>
          </w:p>
        </w:tc>
        <w:tc>
          <w:tcPr>
            <w:tcW w:w="625" w:type="pct"/>
            <w:shd w:val="solid" w:color="000000" w:fill="000000"/>
          </w:tcPr>
          <w:p w14:paraId="107940EF" w14:textId="0AAE259D" w:rsidR="00056A6A" w:rsidRPr="009E0870" w:rsidRDefault="009E0870" w:rsidP="002A1F14">
            <w:pPr>
              <w:pStyle w:val="TableText0"/>
              <w:keepNext w:val="0"/>
              <w:jc w:val="center"/>
            </w:pPr>
            <w:r w:rsidRPr="009E0870">
              <w:rPr>
                <w:color w:val="000000"/>
                <w:spacing w:val="49"/>
                <w:fitText w:val="319" w:id="-1232957182"/>
                <w14:textFill>
                  <w14:solidFill>
                    <w14:srgbClr w14:val="000000">
                      <w14:alpha w14:val="100000"/>
                    </w14:srgbClr>
                  </w14:solidFill>
                </w14:textFill>
              </w:rPr>
              <w:t>|||</w:t>
            </w:r>
            <w:r w:rsidRPr="009E0870">
              <w:rPr>
                <w:color w:val="000000"/>
                <w:spacing w:val="2"/>
                <w:fitText w:val="319" w:id="-1232957182"/>
                <w14:textFill>
                  <w14:solidFill>
                    <w14:srgbClr w14:val="000000">
                      <w14:alpha w14:val="100000"/>
                    </w14:srgbClr>
                  </w14:solidFill>
                </w14:textFill>
              </w:rPr>
              <w:t>|</w:t>
            </w:r>
          </w:p>
        </w:tc>
        <w:tc>
          <w:tcPr>
            <w:tcW w:w="607" w:type="pct"/>
            <w:shd w:val="solid" w:color="000000" w:fill="000000"/>
          </w:tcPr>
          <w:p w14:paraId="16BCC234" w14:textId="1E6B793F" w:rsidR="00056A6A" w:rsidRPr="009E0870" w:rsidRDefault="009E0870" w:rsidP="002A1F14">
            <w:pPr>
              <w:pStyle w:val="TableText0"/>
              <w:keepNext w:val="0"/>
              <w:jc w:val="center"/>
            </w:pPr>
            <w:r w:rsidRPr="009E0870">
              <w:rPr>
                <w:color w:val="000000"/>
                <w:spacing w:val="55"/>
                <w:fitText w:val="337" w:id="-1232957181"/>
                <w14:textFill>
                  <w14:solidFill>
                    <w14:srgbClr w14:val="000000">
                      <w14:alpha w14:val="100000"/>
                    </w14:srgbClr>
                  </w14:solidFill>
                </w14:textFill>
              </w:rPr>
              <w:t>|||</w:t>
            </w:r>
            <w:r w:rsidRPr="009E0870">
              <w:rPr>
                <w:color w:val="000000"/>
                <w:spacing w:val="2"/>
                <w:fitText w:val="337" w:id="-1232957181"/>
                <w14:textFill>
                  <w14:solidFill>
                    <w14:srgbClr w14:val="000000">
                      <w14:alpha w14:val="100000"/>
                    </w14:srgbClr>
                  </w14:solidFill>
                </w14:textFill>
              </w:rPr>
              <w:t>|</w:t>
            </w:r>
          </w:p>
        </w:tc>
        <w:tc>
          <w:tcPr>
            <w:tcW w:w="606" w:type="pct"/>
            <w:shd w:val="solid" w:color="000000" w:fill="000000"/>
          </w:tcPr>
          <w:p w14:paraId="62731344" w14:textId="63E632F9" w:rsidR="00056A6A" w:rsidRPr="009E0870" w:rsidRDefault="009E0870" w:rsidP="002A1F14">
            <w:pPr>
              <w:pStyle w:val="TableText0"/>
              <w:keepNext w:val="0"/>
              <w:jc w:val="center"/>
            </w:pPr>
            <w:r w:rsidRPr="009E0870">
              <w:rPr>
                <w:color w:val="000000"/>
                <w:spacing w:val="55"/>
                <w:fitText w:val="337" w:id="-1232957180"/>
                <w14:textFill>
                  <w14:solidFill>
                    <w14:srgbClr w14:val="000000">
                      <w14:alpha w14:val="100000"/>
                    </w14:srgbClr>
                  </w14:solidFill>
                </w14:textFill>
              </w:rPr>
              <w:t>|||</w:t>
            </w:r>
            <w:r w:rsidRPr="009E0870">
              <w:rPr>
                <w:color w:val="000000"/>
                <w:spacing w:val="2"/>
                <w:fitText w:val="337" w:id="-1232957180"/>
                <w14:textFill>
                  <w14:solidFill>
                    <w14:srgbClr w14:val="000000">
                      <w14:alpha w14:val="100000"/>
                    </w14:srgbClr>
                  </w14:solidFill>
                </w14:textFill>
              </w:rPr>
              <w:t>|</w:t>
            </w:r>
          </w:p>
        </w:tc>
      </w:tr>
      <w:tr w:rsidR="009E0870" w:rsidRPr="009E0870" w14:paraId="2D7F2940" w14:textId="77777777" w:rsidTr="002E1153">
        <w:tc>
          <w:tcPr>
            <w:tcW w:w="1362" w:type="pct"/>
            <w:shd w:val="clear" w:color="auto" w:fill="auto"/>
            <w:vAlign w:val="center"/>
          </w:tcPr>
          <w:p w14:paraId="4C57736D" w14:textId="53B00165" w:rsidR="00056A6A" w:rsidRPr="009E0870" w:rsidRDefault="00056A6A" w:rsidP="002A1F14">
            <w:pPr>
              <w:pStyle w:val="TableText0"/>
              <w:keepNext w:val="0"/>
              <w:rPr>
                <w:highlight w:val="yellow"/>
              </w:rPr>
            </w:pPr>
            <w:r w:rsidRPr="009E0870">
              <w:t>Patients initiating romosozumab</w:t>
            </w:r>
            <w:r w:rsidR="004F319F" w:rsidRPr="009E0870">
              <w:t xml:space="preserve"> *</w:t>
            </w:r>
          </w:p>
        </w:tc>
        <w:tc>
          <w:tcPr>
            <w:tcW w:w="607" w:type="pct"/>
            <w:shd w:val="clear" w:color="auto" w:fill="auto"/>
          </w:tcPr>
          <w:p w14:paraId="51F3FE3A" w14:textId="4B784BB3" w:rsidR="00056A6A" w:rsidRPr="009E0870" w:rsidRDefault="009E0870" w:rsidP="002A1F14">
            <w:pPr>
              <w:pStyle w:val="TableText0"/>
              <w:keepNext w:val="0"/>
              <w:jc w:val="center"/>
              <w:rPr>
                <w:b/>
                <w:bCs w:val="0"/>
                <w:highlight w:val="darkGray"/>
              </w:rPr>
            </w:pPr>
            <w:r w:rsidRPr="009E0870">
              <w:rPr>
                <w:b/>
                <w:bCs w:val="0"/>
                <w:color w:val="000000"/>
                <w:spacing w:val="32"/>
                <w:shd w:val="solid" w:color="000000" w:fill="000000"/>
                <w:fitText w:val="437" w:id="-1232957179"/>
                <w14:textFill>
                  <w14:solidFill>
                    <w14:srgbClr w14:val="000000">
                      <w14:alpha w14:val="100000"/>
                    </w14:srgbClr>
                  </w14:solidFill>
                </w14:textFill>
              </w:rPr>
              <w:t>|||||</w:t>
            </w:r>
            <w:r w:rsidRPr="009E0870">
              <w:rPr>
                <w:b/>
                <w:bCs w:val="0"/>
                <w:color w:val="000000"/>
                <w:spacing w:val="2"/>
                <w:shd w:val="solid" w:color="000000" w:fill="000000"/>
                <w:fitText w:val="437" w:id="-1232957179"/>
                <w14:textFill>
                  <w14:solidFill>
                    <w14:srgbClr w14:val="000000">
                      <w14:alpha w14:val="100000"/>
                    </w14:srgbClr>
                  </w14:solidFill>
                </w14:textFill>
              </w:rPr>
              <w:t>|</w:t>
            </w:r>
            <w:r w:rsidR="00676BCD" w:rsidRPr="009E0870">
              <w:rPr>
                <w:iCs/>
                <w:szCs w:val="18"/>
                <w:vertAlign w:val="superscript"/>
              </w:rPr>
              <w:t>5</w:t>
            </w:r>
          </w:p>
        </w:tc>
        <w:tc>
          <w:tcPr>
            <w:tcW w:w="606" w:type="pct"/>
            <w:shd w:val="clear" w:color="auto" w:fill="auto"/>
          </w:tcPr>
          <w:p w14:paraId="186CEAEA" w14:textId="4862F0AA" w:rsidR="00056A6A" w:rsidRPr="009E0870" w:rsidRDefault="009E0870" w:rsidP="002A1F14">
            <w:pPr>
              <w:pStyle w:val="TableText0"/>
              <w:keepNext w:val="0"/>
              <w:jc w:val="center"/>
              <w:rPr>
                <w:b/>
                <w:bCs w:val="0"/>
                <w:highlight w:val="darkGray"/>
              </w:rPr>
            </w:pPr>
            <w:r w:rsidRPr="009E0870">
              <w:rPr>
                <w:b/>
                <w:bCs w:val="0"/>
                <w:color w:val="000000"/>
                <w:spacing w:val="32"/>
                <w:shd w:val="solid" w:color="000000" w:fill="000000"/>
                <w:fitText w:val="437" w:id="-1232957178"/>
                <w14:textFill>
                  <w14:solidFill>
                    <w14:srgbClr w14:val="000000">
                      <w14:alpha w14:val="100000"/>
                    </w14:srgbClr>
                  </w14:solidFill>
                </w14:textFill>
              </w:rPr>
              <w:t>|||||</w:t>
            </w:r>
            <w:r w:rsidRPr="009E0870">
              <w:rPr>
                <w:b/>
                <w:bCs w:val="0"/>
                <w:color w:val="000000"/>
                <w:spacing w:val="2"/>
                <w:shd w:val="solid" w:color="000000" w:fill="000000"/>
                <w:fitText w:val="437" w:id="-1232957178"/>
                <w14:textFill>
                  <w14:solidFill>
                    <w14:srgbClr w14:val="000000">
                      <w14:alpha w14:val="100000"/>
                    </w14:srgbClr>
                  </w14:solidFill>
                </w14:textFill>
              </w:rPr>
              <w:t>|</w:t>
            </w:r>
            <w:r w:rsidR="00710E82" w:rsidRPr="009E0870">
              <w:rPr>
                <w:iCs/>
                <w:szCs w:val="18"/>
                <w:vertAlign w:val="superscript"/>
              </w:rPr>
              <w:t>5</w:t>
            </w:r>
          </w:p>
        </w:tc>
        <w:tc>
          <w:tcPr>
            <w:tcW w:w="586" w:type="pct"/>
            <w:shd w:val="clear" w:color="auto" w:fill="auto"/>
          </w:tcPr>
          <w:p w14:paraId="257CBF71" w14:textId="4C2A0902" w:rsidR="00056A6A" w:rsidRPr="009E0870" w:rsidRDefault="009E0870" w:rsidP="002A1F14">
            <w:pPr>
              <w:pStyle w:val="TableText0"/>
              <w:keepNext w:val="0"/>
              <w:jc w:val="center"/>
              <w:rPr>
                <w:b/>
                <w:bCs w:val="0"/>
                <w:highlight w:val="darkGray"/>
              </w:rPr>
            </w:pPr>
            <w:r w:rsidRPr="009E0870">
              <w:rPr>
                <w:b/>
                <w:bCs w:val="0"/>
                <w:color w:val="000000"/>
                <w:spacing w:val="35"/>
                <w:shd w:val="solid" w:color="000000" w:fill="000000"/>
                <w:fitText w:val="455" w:id="-1232957177"/>
                <w14:textFill>
                  <w14:solidFill>
                    <w14:srgbClr w14:val="000000">
                      <w14:alpha w14:val="100000"/>
                    </w14:srgbClr>
                  </w14:solidFill>
                </w14:textFill>
              </w:rPr>
              <w:t>|||||</w:t>
            </w:r>
            <w:r w:rsidRPr="009E0870">
              <w:rPr>
                <w:b/>
                <w:bCs w:val="0"/>
                <w:color w:val="000000"/>
                <w:spacing w:val="5"/>
                <w:shd w:val="solid" w:color="000000" w:fill="000000"/>
                <w:fitText w:val="455" w:id="-1232957177"/>
                <w14:textFill>
                  <w14:solidFill>
                    <w14:srgbClr w14:val="000000">
                      <w14:alpha w14:val="100000"/>
                    </w14:srgbClr>
                  </w14:solidFill>
                </w14:textFill>
              </w:rPr>
              <w:t>|</w:t>
            </w:r>
            <w:r w:rsidR="00710E82" w:rsidRPr="009E0870">
              <w:rPr>
                <w:iCs/>
                <w:szCs w:val="18"/>
                <w:vertAlign w:val="superscript"/>
              </w:rPr>
              <w:t>5</w:t>
            </w:r>
          </w:p>
        </w:tc>
        <w:tc>
          <w:tcPr>
            <w:tcW w:w="625" w:type="pct"/>
            <w:shd w:val="clear" w:color="auto" w:fill="auto"/>
          </w:tcPr>
          <w:p w14:paraId="3DC920E0" w14:textId="13C8755E" w:rsidR="00056A6A" w:rsidRPr="009E0870" w:rsidRDefault="009E0870" w:rsidP="002A1F14">
            <w:pPr>
              <w:pStyle w:val="TableText0"/>
              <w:keepNext w:val="0"/>
              <w:jc w:val="center"/>
              <w:rPr>
                <w:b/>
                <w:bCs w:val="0"/>
                <w:highlight w:val="darkGray"/>
              </w:rPr>
            </w:pPr>
            <w:r w:rsidRPr="009E0870">
              <w:rPr>
                <w:b/>
                <w:bCs w:val="0"/>
                <w:color w:val="000000"/>
                <w:spacing w:val="78"/>
                <w:shd w:val="solid" w:color="000000" w:fill="000000"/>
                <w:fitText w:val="419" w:id="-1232957176"/>
                <w14:textFill>
                  <w14:solidFill>
                    <w14:srgbClr w14:val="000000">
                      <w14:alpha w14:val="100000"/>
                    </w14:srgbClr>
                  </w14:solidFill>
                </w14:textFill>
              </w:rPr>
              <w:t>|||</w:t>
            </w:r>
            <w:r w:rsidRPr="009E0870">
              <w:rPr>
                <w:b/>
                <w:bCs w:val="0"/>
                <w:color w:val="000000"/>
                <w:spacing w:val="2"/>
                <w:shd w:val="solid" w:color="000000" w:fill="000000"/>
                <w:fitText w:val="419" w:id="-1232957176"/>
                <w14:textFill>
                  <w14:solidFill>
                    <w14:srgbClr w14:val="000000">
                      <w14:alpha w14:val="100000"/>
                    </w14:srgbClr>
                  </w14:solidFill>
                </w14:textFill>
              </w:rPr>
              <w:t>|</w:t>
            </w:r>
            <w:r w:rsidR="00710E82" w:rsidRPr="009E0870">
              <w:rPr>
                <w:iCs/>
                <w:szCs w:val="18"/>
                <w:vertAlign w:val="superscript"/>
              </w:rPr>
              <w:t>5</w:t>
            </w:r>
          </w:p>
        </w:tc>
        <w:tc>
          <w:tcPr>
            <w:tcW w:w="607" w:type="pct"/>
            <w:shd w:val="clear" w:color="auto" w:fill="auto"/>
          </w:tcPr>
          <w:p w14:paraId="67FF0E82" w14:textId="79CE3F71" w:rsidR="00056A6A" w:rsidRPr="009E0870" w:rsidRDefault="009E0870" w:rsidP="002A1F14">
            <w:pPr>
              <w:pStyle w:val="TableText0"/>
              <w:keepNext w:val="0"/>
              <w:jc w:val="center"/>
              <w:rPr>
                <w:b/>
                <w:bCs w:val="0"/>
                <w:highlight w:val="darkGray"/>
              </w:rPr>
            </w:pPr>
            <w:r w:rsidRPr="009E0870">
              <w:rPr>
                <w:b/>
                <w:bCs w:val="0"/>
                <w:color w:val="000000"/>
                <w:spacing w:val="32"/>
                <w:shd w:val="solid" w:color="000000" w:fill="000000"/>
                <w:fitText w:val="438" w:id="-1232957175"/>
                <w14:textFill>
                  <w14:solidFill>
                    <w14:srgbClr w14:val="000000">
                      <w14:alpha w14:val="100000"/>
                    </w14:srgbClr>
                  </w14:solidFill>
                </w14:textFill>
              </w:rPr>
              <w:t>|||||</w:t>
            </w:r>
            <w:r w:rsidRPr="009E0870">
              <w:rPr>
                <w:b/>
                <w:bCs w:val="0"/>
                <w:color w:val="000000"/>
                <w:spacing w:val="3"/>
                <w:shd w:val="solid" w:color="000000" w:fill="000000"/>
                <w:fitText w:val="438" w:id="-1232957175"/>
                <w14:textFill>
                  <w14:solidFill>
                    <w14:srgbClr w14:val="000000">
                      <w14:alpha w14:val="100000"/>
                    </w14:srgbClr>
                  </w14:solidFill>
                </w14:textFill>
              </w:rPr>
              <w:t>|</w:t>
            </w:r>
            <w:r w:rsidR="00710E82" w:rsidRPr="009E0870">
              <w:rPr>
                <w:iCs/>
                <w:szCs w:val="18"/>
                <w:vertAlign w:val="superscript"/>
              </w:rPr>
              <w:t>5</w:t>
            </w:r>
          </w:p>
        </w:tc>
        <w:tc>
          <w:tcPr>
            <w:tcW w:w="606" w:type="pct"/>
            <w:shd w:val="clear" w:color="auto" w:fill="auto"/>
          </w:tcPr>
          <w:p w14:paraId="3EDC88F6" w14:textId="5CFDDBC2" w:rsidR="00056A6A" w:rsidRPr="009E0870" w:rsidRDefault="009E0870" w:rsidP="002A1F14">
            <w:pPr>
              <w:pStyle w:val="TableText0"/>
              <w:keepNext w:val="0"/>
              <w:jc w:val="center"/>
              <w:rPr>
                <w:b/>
                <w:bCs w:val="0"/>
                <w:highlight w:val="darkGray"/>
              </w:rPr>
            </w:pPr>
            <w:r w:rsidRPr="009E0870">
              <w:rPr>
                <w:b/>
                <w:bCs w:val="0"/>
                <w:color w:val="000000"/>
                <w:spacing w:val="32"/>
                <w:shd w:val="solid" w:color="000000" w:fill="000000"/>
                <w:fitText w:val="437" w:id="-1232957174"/>
                <w14:textFill>
                  <w14:solidFill>
                    <w14:srgbClr w14:val="000000">
                      <w14:alpha w14:val="100000"/>
                    </w14:srgbClr>
                  </w14:solidFill>
                </w14:textFill>
              </w:rPr>
              <w:t>|||||</w:t>
            </w:r>
            <w:r w:rsidRPr="009E0870">
              <w:rPr>
                <w:b/>
                <w:bCs w:val="0"/>
                <w:color w:val="000000"/>
                <w:spacing w:val="2"/>
                <w:shd w:val="solid" w:color="000000" w:fill="000000"/>
                <w:fitText w:val="437" w:id="-1232957174"/>
                <w14:textFill>
                  <w14:solidFill>
                    <w14:srgbClr w14:val="000000">
                      <w14:alpha w14:val="100000"/>
                    </w14:srgbClr>
                  </w14:solidFill>
                </w14:textFill>
              </w:rPr>
              <w:t>|</w:t>
            </w:r>
            <w:r w:rsidR="00710E82" w:rsidRPr="009E0870">
              <w:rPr>
                <w:iCs/>
                <w:szCs w:val="18"/>
                <w:vertAlign w:val="superscript"/>
              </w:rPr>
              <w:t>5</w:t>
            </w:r>
          </w:p>
        </w:tc>
      </w:tr>
      <w:tr w:rsidR="009E0870" w:rsidRPr="009E0870" w14:paraId="73149BD5" w14:textId="77777777" w:rsidTr="002E1153">
        <w:tc>
          <w:tcPr>
            <w:tcW w:w="5000" w:type="pct"/>
            <w:gridSpan w:val="7"/>
            <w:shd w:val="clear" w:color="auto" w:fill="auto"/>
            <w:vAlign w:val="center"/>
          </w:tcPr>
          <w:p w14:paraId="025E349A" w14:textId="0539AA89" w:rsidR="00056A6A" w:rsidRPr="009E0870" w:rsidRDefault="00056A6A" w:rsidP="002A1F14">
            <w:pPr>
              <w:pStyle w:val="TableText0"/>
              <w:keepNext w:val="0"/>
              <w:rPr>
                <w:b/>
                <w:bCs w:val="0"/>
              </w:rPr>
            </w:pPr>
            <w:r w:rsidRPr="009E0870">
              <w:rPr>
                <w:b/>
                <w:bCs w:val="0"/>
              </w:rPr>
              <w:t xml:space="preserve">Second-line population </w:t>
            </w:r>
            <w:r w:rsidR="008B0637" w:rsidRPr="009E0870">
              <w:rPr>
                <w:b/>
                <w:bCs w:val="0"/>
              </w:rPr>
              <w:t>(</w:t>
            </w:r>
            <w:r w:rsidRPr="009E0870">
              <w:rPr>
                <w:b/>
                <w:bCs w:val="0"/>
              </w:rPr>
              <w:t>single hip or symptomatic vertebral fracture</w:t>
            </w:r>
            <w:r w:rsidR="008B0637" w:rsidRPr="009E0870">
              <w:rPr>
                <w:b/>
                <w:bCs w:val="0"/>
              </w:rPr>
              <w:t>)</w:t>
            </w:r>
          </w:p>
        </w:tc>
      </w:tr>
      <w:tr w:rsidR="009E0870" w:rsidRPr="009E0870" w14:paraId="6B62D9C4" w14:textId="77777777" w:rsidTr="002E1153">
        <w:tc>
          <w:tcPr>
            <w:tcW w:w="1362" w:type="pct"/>
            <w:shd w:val="clear" w:color="auto" w:fill="auto"/>
            <w:vAlign w:val="center"/>
          </w:tcPr>
          <w:p w14:paraId="78AB3ACE" w14:textId="08BE7B2F" w:rsidR="00056A6A" w:rsidRPr="009E0870" w:rsidRDefault="0036282E" w:rsidP="002A1F14">
            <w:pPr>
              <w:pStyle w:val="TableText0"/>
              <w:keepNext w:val="0"/>
            </w:pPr>
            <w:r w:rsidRPr="009E0870">
              <w:t xml:space="preserve">On treatment </w:t>
            </w:r>
            <w:r w:rsidR="00056A6A" w:rsidRPr="009E0870">
              <w:t>(100%)</w:t>
            </w:r>
          </w:p>
        </w:tc>
        <w:tc>
          <w:tcPr>
            <w:tcW w:w="607" w:type="pct"/>
            <w:shd w:val="clear" w:color="auto" w:fill="auto"/>
          </w:tcPr>
          <w:p w14:paraId="5BFBEE7D" w14:textId="127757C5"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4" w:id="-1232957173"/>
                <w14:textFill>
                  <w14:solidFill>
                    <w14:srgbClr w14:val="000000">
                      <w14:alpha w14:val="100000"/>
                    </w14:srgbClr>
                  </w14:solidFill>
                </w14:textFill>
              </w:rPr>
              <w:t>|||</w:t>
            </w:r>
            <w:r w:rsidRPr="009E0870">
              <w:rPr>
                <w:color w:val="000000"/>
                <w:spacing w:val="2"/>
                <w:shd w:val="solid" w:color="000000" w:fill="000000"/>
                <w:fitText w:val="364" w:id="-1232957173"/>
                <w14:textFill>
                  <w14:solidFill>
                    <w14:srgbClr w14:val="000000">
                      <w14:alpha w14:val="100000"/>
                    </w14:srgbClr>
                  </w14:solidFill>
                </w14:textFill>
              </w:rPr>
              <w:t>|</w:t>
            </w:r>
            <w:r w:rsidR="00676BCD" w:rsidRPr="009E0870">
              <w:rPr>
                <w:iCs/>
                <w:szCs w:val="18"/>
                <w:vertAlign w:val="superscript"/>
              </w:rPr>
              <w:t>1</w:t>
            </w:r>
          </w:p>
        </w:tc>
        <w:tc>
          <w:tcPr>
            <w:tcW w:w="606" w:type="pct"/>
            <w:shd w:val="clear" w:color="auto" w:fill="auto"/>
          </w:tcPr>
          <w:p w14:paraId="6AF922C6" w14:textId="5AC2C5C0" w:rsidR="00056A6A" w:rsidRPr="009E0870" w:rsidRDefault="009E0870" w:rsidP="002A1F14">
            <w:pPr>
              <w:pStyle w:val="TableText0"/>
              <w:keepNext w:val="0"/>
              <w:jc w:val="center"/>
              <w:rPr>
                <w:highlight w:val="darkGray"/>
              </w:rPr>
            </w:pPr>
            <w:r w:rsidRPr="009E0870">
              <w:rPr>
                <w:color w:val="000000"/>
                <w:spacing w:val="73"/>
                <w:shd w:val="solid" w:color="000000" w:fill="000000"/>
                <w:fitText w:val="392" w:id="-1232957172"/>
                <w14:textFill>
                  <w14:solidFill>
                    <w14:srgbClr w14:val="000000">
                      <w14:alpha w14:val="100000"/>
                    </w14:srgbClr>
                  </w14:solidFill>
                </w14:textFill>
              </w:rPr>
              <w:t>|||</w:t>
            </w:r>
            <w:r w:rsidRPr="009E0870">
              <w:rPr>
                <w:color w:val="000000"/>
                <w:spacing w:val="3"/>
                <w:shd w:val="solid" w:color="000000" w:fill="000000"/>
                <w:fitText w:val="392" w:id="-1232957172"/>
                <w14:textFill>
                  <w14:solidFill>
                    <w14:srgbClr w14:val="000000">
                      <w14:alpha w14:val="100000"/>
                    </w14:srgbClr>
                  </w14:solidFill>
                </w14:textFill>
              </w:rPr>
              <w:t>|</w:t>
            </w:r>
            <w:r w:rsidR="00DA650E" w:rsidRPr="009E0870">
              <w:rPr>
                <w:iCs/>
                <w:szCs w:val="18"/>
                <w:vertAlign w:val="superscript"/>
              </w:rPr>
              <w:t>13</w:t>
            </w:r>
          </w:p>
        </w:tc>
        <w:tc>
          <w:tcPr>
            <w:tcW w:w="586" w:type="pct"/>
            <w:shd w:val="clear" w:color="auto" w:fill="auto"/>
          </w:tcPr>
          <w:p w14:paraId="72B7FF50" w14:textId="0A08D272" w:rsidR="00056A6A" w:rsidRPr="009E0870" w:rsidRDefault="009E0870" w:rsidP="002A1F14">
            <w:pPr>
              <w:pStyle w:val="TableText0"/>
              <w:keepNext w:val="0"/>
              <w:jc w:val="center"/>
              <w:rPr>
                <w:highlight w:val="darkGray"/>
              </w:rPr>
            </w:pPr>
            <w:r w:rsidRPr="009E0870">
              <w:rPr>
                <w:color w:val="000000"/>
                <w:spacing w:val="79"/>
                <w:shd w:val="solid" w:color="000000" w:fill="000000"/>
                <w:fitText w:val="410" w:id="-1232957171"/>
                <w14:textFill>
                  <w14:solidFill>
                    <w14:srgbClr w14:val="000000">
                      <w14:alpha w14:val="100000"/>
                    </w14:srgbClr>
                  </w14:solidFill>
                </w14:textFill>
              </w:rPr>
              <w:t>|||</w:t>
            </w:r>
            <w:r w:rsidRPr="009E0870">
              <w:rPr>
                <w:color w:val="000000"/>
                <w:spacing w:val="3"/>
                <w:shd w:val="solid" w:color="000000" w:fill="000000"/>
                <w:fitText w:val="410" w:id="-1232957171"/>
                <w14:textFill>
                  <w14:solidFill>
                    <w14:srgbClr w14:val="000000">
                      <w14:alpha w14:val="100000"/>
                    </w14:srgbClr>
                  </w14:solidFill>
                </w14:textFill>
              </w:rPr>
              <w:t>|</w:t>
            </w:r>
            <w:r w:rsidR="00DA650E" w:rsidRPr="009E0870">
              <w:rPr>
                <w:iCs/>
                <w:szCs w:val="18"/>
                <w:vertAlign w:val="superscript"/>
              </w:rPr>
              <w:t>13</w:t>
            </w:r>
          </w:p>
        </w:tc>
        <w:tc>
          <w:tcPr>
            <w:tcW w:w="625" w:type="pct"/>
            <w:shd w:val="clear" w:color="auto" w:fill="auto"/>
          </w:tcPr>
          <w:p w14:paraId="17CA83CB" w14:textId="6A84D73F" w:rsidR="00056A6A" w:rsidRPr="009E0870" w:rsidRDefault="009E0870" w:rsidP="002A1F14">
            <w:pPr>
              <w:pStyle w:val="TableText0"/>
              <w:keepNext w:val="0"/>
              <w:jc w:val="center"/>
              <w:rPr>
                <w:highlight w:val="darkGray"/>
              </w:rPr>
            </w:pPr>
            <w:r w:rsidRPr="009E0870">
              <w:rPr>
                <w:color w:val="000000"/>
                <w:spacing w:val="67"/>
                <w:shd w:val="solid" w:color="000000" w:fill="000000"/>
                <w:fitText w:val="373" w:id="-1232957170"/>
                <w14:textFill>
                  <w14:solidFill>
                    <w14:srgbClr w14:val="000000">
                      <w14:alpha w14:val="100000"/>
                    </w14:srgbClr>
                  </w14:solidFill>
                </w14:textFill>
              </w:rPr>
              <w:t>|||</w:t>
            </w:r>
            <w:r w:rsidRPr="009E0870">
              <w:rPr>
                <w:color w:val="000000"/>
                <w:spacing w:val="2"/>
                <w:shd w:val="solid" w:color="000000" w:fill="000000"/>
                <w:fitText w:val="373" w:id="-1232957170"/>
                <w14:textFill>
                  <w14:solidFill>
                    <w14:srgbClr w14:val="000000">
                      <w14:alpha w14:val="100000"/>
                    </w14:srgbClr>
                  </w14:solidFill>
                </w14:textFill>
              </w:rPr>
              <w:t>|</w:t>
            </w:r>
            <w:r w:rsidR="003813A1" w:rsidRPr="009E0870">
              <w:rPr>
                <w:iCs/>
                <w:szCs w:val="18"/>
                <w:vertAlign w:val="superscript"/>
              </w:rPr>
              <w:t>22</w:t>
            </w:r>
          </w:p>
        </w:tc>
        <w:tc>
          <w:tcPr>
            <w:tcW w:w="607" w:type="pct"/>
            <w:shd w:val="clear" w:color="auto" w:fill="auto"/>
          </w:tcPr>
          <w:p w14:paraId="4F2ED398" w14:textId="1F893320" w:rsidR="00056A6A" w:rsidRPr="009E0870" w:rsidRDefault="009E0870" w:rsidP="002A1F14">
            <w:pPr>
              <w:pStyle w:val="TableText0"/>
              <w:keepNext w:val="0"/>
              <w:jc w:val="center"/>
              <w:rPr>
                <w:highlight w:val="darkGray"/>
              </w:rPr>
            </w:pPr>
            <w:r w:rsidRPr="009E0870">
              <w:rPr>
                <w:color w:val="000000"/>
                <w:spacing w:val="73"/>
                <w:shd w:val="solid" w:color="000000" w:fill="000000"/>
                <w:fitText w:val="392" w:id="-1232957169"/>
                <w14:textFill>
                  <w14:solidFill>
                    <w14:srgbClr w14:val="000000">
                      <w14:alpha w14:val="100000"/>
                    </w14:srgbClr>
                  </w14:solidFill>
                </w14:textFill>
              </w:rPr>
              <w:t>|||</w:t>
            </w:r>
            <w:r w:rsidRPr="009E0870">
              <w:rPr>
                <w:color w:val="000000"/>
                <w:spacing w:val="3"/>
                <w:shd w:val="solid" w:color="000000" w:fill="000000"/>
                <w:fitText w:val="392" w:id="-1232957169"/>
                <w14:textFill>
                  <w14:solidFill>
                    <w14:srgbClr w14:val="000000">
                      <w14:alpha w14:val="100000"/>
                    </w14:srgbClr>
                  </w14:solidFill>
                </w14:textFill>
              </w:rPr>
              <w:t>|</w:t>
            </w:r>
            <w:r w:rsidR="003813A1" w:rsidRPr="009E0870">
              <w:rPr>
                <w:iCs/>
                <w:szCs w:val="18"/>
                <w:vertAlign w:val="superscript"/>
              </w:rPr>
              <w:t>25</w:t>
            </w:r>
          </w:p>
        </w:tc>
        <w:tc>
          <w:tcPr>
            <w:tcW w:w="606" w:type="pct"/>
            <w:shd w:val="clear" w:color="auto" w:fill="auto"/>
          </w:tcPr>
          <w:p w14:paraId="527847AF" w14:textId="1139C4A2" w:rsidR="00056A6A" w:rsidRPr="009E0870" w:rsidRDefault="009E0870" w:rsidP="002A1F14">
            <w:pPr>
              <w:pStyle w:val="TableText0"/>
              <w:keepNext w:val="0"/>
              <w:jc w:val="center"/>
              <w:rPr>
                <w:highlight w:val="darkGray"/>
              </w:rPr>
            </w:pPr>
            <w:r w:rsidRPr="009E0870">
              <w:rPr>
                <w:color w:val="000000"/>
                <w:spacing w:val="73"/>
                <w:shd w:val="solid" w:color="000000" w:fill="000000"/>
                <w:fitText w:val="392" w:id="-1232957168"/>
                <w14:textFill>
                  <w14:solidFill>
                    <w14:srgbClr w14:val="000000">
                      <w14:alpha w14:val="100000"/>
                    </w14:srgbClr>
                  </w14:solidFill>
                </w14:textFill>
              </w:rPr>
              <w:t>|||</w:t>
            </w:r>
            <w:r w:rsidRPr="009E0870">
              <w:rPr>
                <w:color w:val="000000"/>
                <w:spacing w:val="3"/>
                <w:shd w:val="solid" w:color="000000" w:fill="000000"/>
                <w:fitText w:val="392" w:id="-1232957168"/>
                <w14:textFill>
                  <w14:solidFill>
                    <w14:srgbClr w14:val="000000">
                      <w14:alpha w14:val="100000"/>
                    </w14:srgbClr>
                  </w14:solidFill>
                </w14:textFill>
              </w:rPr>
              <w:t>|</w:t>
            </w:r>
            <w:r w:rsidR="003813A1" w:rsidRPr="009E0870">
              <w:rPr>
                <w:iCs/>
                <w:szCs w:val="18"/>
                <w:vertAlign w:val="superscript"/>
              </w:rPr>
              <w:t>25</w:t>
            </w:r>
          </w:p>
        </w:tc>
      </w:tr>
      <w:tr w:rsidR="009E0870" w:rsidRPr="009E0870" w14:paraId="0F0DD004" w14:textId="77777777" w:rsidTr="002E1153">
        <w:tc>
          <w:tcPr>
            <w:tcW w:w="1362" w:type="pct"/>
            <w:shd w:val="clear" w:color="auto" w:fill="auto"/>
            <w:vAlign w:val="center"/>
          </w:tcPr>
          <w:p w14:paraId="4A492233" w14:textId="77777777" w:rsidR="00056A6A" w:rsidRPr="009E0870" w:rsidRDefault="00056A6A" w:rsidP="002A1F14">
            <w:pPr>
              <w:pStyle w:val="TableText0"/>
              <w:keepNext w:val="0"/>
              <w:rPr>
                <w:highlight w:val="yellow"/>
              </w:rPr>
            </w:pPr>
            <w:r w:rsidRPr="009E0870">
              <w:t>Without prior fracture (25%)</w:t>
            </w:r>
          </w:p>
        </w:tc>
        <w:tc>
          <w:tcPr>
            <w:tcW w:w="607" w:type="pct"/>
            <w:shd w:val="clear" w:color="auto" w:fill="auto"/>
          </w:tcPr>
          <w:p w14:paraId="72B1CAE0" w14:textId="1B1E1189"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4" w:id="-1232957184"/>
                <w14:textFill>
                  <w14:solidFill>
                    <w14:srgbClr w14:val="000000">
                      <w14:alpha w14:val="100000"/>
                    </w14:srgbClr>
                  </w14:solidFill>
                </w14:textFill>
              </w:rPr>
              <w:t>|||</w:t>
            </w:r>
            <w:r w:rsidRPr="009E0870">
              <w:rPr>
                <w:color w:val="000000"/>
                <w:spacing w:val="2"/>
                <w:shd w:val="solid" w:color="000000" w:fill="000000"/>
                <w:fitText w:val="364" w:id="-1232957184"/>
                <w14:textFill>
                  <w14:solidFill>
                    <w14:srgbClr w14:val="000000">
                      <w14:alpha w14:val="100000"/>
                    </w14:srgbClr>
                  </w14:solidFill>
                </w14:textFill>
              </w:rPr>
              <w:t>|</w:t>
            </w:r>
            <w:r w:rsidR="00676BCD" w:rsidRPr="009E0870">
              <w:rPr>
                <w:iCs/>
                <w:szCs w:val="18"/>
                <w:vertAlign w:val="superscript"/>
              </w:rPr>
              <w:t>2</w:t>
            </w:r>
          </w:p>
        </w:tc>
        <w:tc>
          <w:tcPr>
            <w:tcW w:w="606" w:type="pct"/>
            <w:shd w:val="clear" w:color="auto" w:fill="auto"/>
          </w:tcPr>
          <w:p w14:paraId="29C0F71A" w14:textId="493747D8" w:rsidR="00056A6A" w:rsidRPr="009E0870" w:rsidRDefault="009E0870" w:rsidP="002A1F14">
            <w:pPr>
              <w:pStyle w:val="TableText0"/>
              <w:keepNext w:val="0"/>
              <w:jc w:val="center"/>
              <w:rPr>
                <w:highlight w:val="darkGray"/>
              </w:rPr>
            </w:pPr>
            <w:r w:rsidRPr="009E0870">
              <w:rPr>
                <w:color w:val="000000"/>
                <w:spacing w:val="73"/>
                <w:shd w:val="solid" w:color="000000" w:fill="000000"/>
                <w:fitText w:val="392" w:id="-1232957183"/>
                <w14:textFill>
                  <w14:solidFill>
                    <w14:srgbClr w14:val="000000">
                      <w14:alpha w14:val="100000"/>
                    </w14:srgbClr>
                  </w14:solidFill>
                </w14:textFill>
              </w:rPr>
              <w:t>|||</w:t>
            </w:r>
            <w:r w:rsidRPr="009E0870">
              <w:rPr>
                <w:color w:val="000000"/>
                <w:spacing w:val="3"/>
                <w:shd w:val="solid" w:color="000000" w:fill="000000"/>
                <w:fitText w:val="392" w:id="-1232957183"/>
                <w14:textFill>
                  <w14:solidFill>
                    <w14:srgbClr w14:val="000000">
                      <w14:alpha w14:val="100000"/>
                    </w14:srgbClr>
                  </w14:solidFill>
                </w14:textFill>
              </w:rPr>
              <w:t>|</w:t>
            </w:r>
            <w:r w:rsidR="00DA650E" w:rsidRPr="009E0870">
              <w:rPr>
                <w:iCs/>
                <w:szCs w:val="18"/>
                <w:vertAlign w:val="superscript"/>
              </w:rPr>
              <w:t>17</w:t>
            </w:r>
          </w:p>
        </w:tc>
        <w:tc>
          <w:tcPr>
            <w:tcW w:w="586" w:type="pct"/>
            <w:shd w:val="clear" w:color="auto" w:fill="auto"/>
          </w:tcPr>
          <w:p w14:paraId="6AD46082" w14:textId="3B7AAB57" w:rsidR="00056A6A" w:rsidRPr="009E0870" w:rsidRDefault="009E0870" w:rsidP="002A1F14">
            <w:pPr>
              <w:pStyle w:val="TableText0"/>
              <w:keepNext w:val="0"/>
              <w:jc w:val="center"/>
              <w:rPr>
                <w:highlight w:val="darkGray"/>
              </w:rPr>
            </w:pPr>
            <w:r w:rsidRPr="009E0870">
              <w:rPr>
                <w:color w:val="000000"/>
                <w:spacing w:val="79"/>
                <w:shd w:val="solid" w:color="000000" w:fill="000000"/>
                <w:fitText w:val="410" w:id="-1232957182"/>
                <w14:textFill>
                  <w14:solidFill>
                    <w14:srgbClr w14:val="000000">
                      <w14:alpha w14:val="100000"/>
                    </w14:srgbClr>
                  </w14:solidFill>
                </w14:textFill>
              </w:rPr>
              <w:t>|||</w:t>
            </w:r>
            <w:r w:rsidRPr="009E0870">
              <w:rPr>
                <w:color w:val="000000"/>
                <w:spacing w:val="3"/>
                <w:shd w:val="solid" w:color="000000" w:fill="000000"/>
                <w:fitText w:val="410" w:id="-1232957182"/>
                <w14:textFill>
                  <w14:solidFill>
                    <w14:srgbClr w14:val="000000">
                      <w14:alpha w14:val="100000"/>
                    </w14:srgbClr>
                  </w14:solidFill>
                </w14:textFill>
              </w:rPr>
              <w:t>|</w:t>
            </w:r>
            <w:r w:rsidR="001E6174" w:rsidRPr="009E0870">
              <w:rPr>
                <w:iCs/>
                <w:szCs w:val="18"/>
                <w:vertAlign w:val="superscript"/>
              </w:rPr>
              <w:t>17</w:t>
            </w:r>
          </w:p>
        </w:tc>
        <w:tc>
          <w:tcPr>
            <w:tcW w:w="625" w:type="pct"/>
            <w:shd w:val="clear" w:color="auto" w:fill="auto"/>
          </w:tcPr>
          <w:p w14:paraId="708740AD" w14:textId="40927D57" w:rsidR="00056A6A" w:rsidRPr="009E0870" w:rsidRDefault="009E0870" w:rsidP="002A1F14">
            <w:pPr>
              <w:pStyle w:val="TableText0"/>
              <w:keepNext w:val="0"/>
              <w:jc w:val="center"/>
              <w:rPr>
                <w:highlight w:val="darkGray"/>
              </w:rPr>
            </w:pPr>
            <w:r w:rsidRPr="009E0870">
              <w:rPr>
                <w:color w:val="000000"/>
                <w:spacing w:val="67"/>
                <w:shd w:val="solid" w:color="000000" w:fill="000000"/>
                <w:fitText w:val="373" w:id="-1232957181"/>
                <w14:textFill>
                  <w14:solidFill>
                    <w14:srgbClr w14:val="000000">
                      <w14:alpha w14:val="100000"/>
                    </w14:srgbClr>
                  </w14:solidFill>
                </w14:textFill>
              </w:rPr>
              <w:t>|||</w:t>
            </w:r>
            <w:r w:rsidRPr="009E0870">
              <w:rPr>
                <w:color w:val="000000"/>
                <w:spacing w:val="2"/>
                <w:shd w:val="solid" w:color="000000" w:fill="000000"/>
                <w:fitText w:val="373" w:id="-1232957181"/>
                <w14:textFill>
                  <w14:solidFill>
                    <w14:srgbClr w14:val="000000">
                      <w14:alpha w14:val="100000"/>
                    </w14:srgbClr>
                  </w14:solidFill>
                </w14:textFill>
              </w:rPr>
              <w:t>|</w:t>
            </w:r>
            <w:r w:rsidR="001E6174" w:rsidRPr="009E0870">
              <w:rPr>
                <w:iCs/>
                <w:szCs w:val="18"/>
                <w:vertAlign w:val="superscript"/>
              </w:rPr>
              <w:t>17</w:t>
            </w:r>
          </w:p>
        </w:tc>
        <w:tc>
          <w:tcPr>
            <w:tcW w:w="607" w:type="pct"/>
            <w:shd w:val="clear" w:color="auto" w:fill="auto"/>
          </w:tcPr>
          <w:p w14:paraId="0FC92AF5" w14:textId="29CA7294" w:rsidR="00056A6A" w:rsidRPr="009E0870" w:rsidRDefault="009E0870" w:rsidP="002A1F14">
            <w:pPr>
              <w:pStyle w:val="TableText0"/>
              <w:keepNext w:val="0"/>
              <w:jc w:val="center"/>
              <w:rPr>
                <w:highlight w:val="darkGray"/>
              </w:rPr>
            </w:pPr>
            <w:r w:rsidRPr="009E0870">
              <w:rPr>
                <w:color w:val="000000"/>
                <w:spacing w:val="73"/>
                <w:shd w:val="solid" w:color="000000" w:fill="000000"/>
                <w:fitText w:val="392" w:id="-1232957180"/>
                <w14:textFill>
                  <w14:solidFill>
                    <w14:srgbClr w14:val="000000">
                      <w14:alpha w14:val="100000"/>
                    </w14:srgbClr>
                  </w14:solidFill>
                </w14:textFill>
              </w:rPr>
              <w:t>|||</w:t>
            </w:r>
            <w:r w:rsidRPr="009E0870">
              <w:rPr>
                <w:color w:val="000000"/>
                <w:spacing w:val="3"/>
                <w:shd w:val="solid" w:color="000000" w:fill="000000"/>
                <w:fitText w:val="392" w:id="-1232957180"/>
                <w14:textFill>
                  <w14:solidFill>
                    <w14:srgbClr w14:val="000000">
                      <w14:alpha w14:val="100000"/>
                    </w14:srgbClr>
                  </w14:solidFill>
                </w14:textFill>
              </w:rPr>
              <w:t>|</w:t>
            </w:r>
            <w:r w:rsidR="001E6174" w:rsidRPr="009E0870">
              <w:rPr>
                <w:iCs/>
                <w:szCs w:val="18"/>
                <w:vertAlign w:val="superscript"/>
              </w:rPr>
              <w:t>17</w:t>
            </w:r>
          </w:p>
        </w:tc>
        <w:tc>
          <w:tcPr>
            <w:tcW w:w="606" w:type="pct"/>
            <w:shd w:val="clear" w:color="auto" w:fill="auto"/>
          </w:tcPr>
          <w:p w14:paraId="3381A117" w14:textId="44E80E7A"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4" w:id="-1232957179"/>
                <w14:textFill>
                  <w14:solidFill>
                    <w14:srgbClr w14:val="000000">
                      <w14:alpha w14:val="100000"/>
                    </w14:srgbClr>
                  </w14:solidFill>
                </w14:textFill>
              </w:rPr>
              <w:t>|||</w:t>
            </w:r>
            <w:r w:rsidRPr="009E0870">
              <w:rPr>
                <w:color w:val="000000"/>
                <w:spacing w:val="2"/>
                <w:shd w:val="solid" w:color="000000" w:fill="000000"/>
                <w:fitText w:val="364" w:id="-1232957179"/>
                <w14:textFill>
                  <w14:solidFill>
                    <w14:srgbClr w14:val="000000">
                      <w14:alpha w14:val="100000"/>
                    </w14:srgbClr>
                  </w14:solidFill>
                </w14:textFill>
              </w:rPr>
              <w:t>|</w:t>
            </w:r>
            <w:r w:rsidR="001E6174" w:rsidRPr="009E0870">
              <w:rPr>
                <w:iCs/>
                <w:szCs w:val="18"/>
                <w:vertAlign w:val="superscript"/>
              </w:rPr>
              <w:t>1</w:t>
            </w:r>
          </w:p>
        </w:tc>
      </w:tr>
      <w:tr w:rsidR="009E0870" w:rsidRPr="009E0870" w14:paraId="30E02C8C" w14:textId="77777777" w:rsidTr="002E1153">
        <w:tc>
          <w:tcPr>
            <w:tcW w:w="1362" w:type="pct"/>
            <w:shd w:val="clear" w:color="auto" w:fill="auto"/>
            <w:vAlign w:val="center"/>
          </w:tcPr>
          <w:p w14:paraId="1FF1E912" w14:textId="77777777" w:rsidR="00056A6A" w:rsidRPr="009E0870" w:rsidRDefault="00056A6A" w:rsidP="002A1F14">
            <w:pPr>
              <w:pStyle w:val="TableText0"/>
              <w:keepNext w:val="0"/>
              <w:rPr>
                <w:highlight w:val="yellow"/>
              </w:rPr>
            </w:pPr>
            <w:r w:rsidRPr="009E0870">
              <w:t>On-treatment hip/clinical vertebral fracture in past 24 mths (2.29%)</w:t>
            </w:r>
          </w:p>
        </w:tc>
        <w:tc>
          <w:tcPr>
            <w:tcW w:w="607" w:type="pct"/>
            <w:shd w:val="clear" w:color="auto" w:fill="auto"/>
          </w:tcPr>
          <w:p w14:paraId="1E87132F" w14:textId="2AB528D4"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4" w:id="-1232957178"/>
                <w14:textFill>
                  <w14:solidFill>
                    <w14:srgbClr w14:val="000000">
                      <w14:alpha w14:val="100000"/>
                    </w14:srgbClr>
                  </w14:solidFill>
                </w14:textFill>
              </w:rPr>
              <w:t>|||</w:t>
            </w:r>
            <w:r w:rsidRPr="009E0870">
              <w:rPr>
                <w:color w:val="000000"/>
                <w:spacing w:val="2"/>
                <w:shd w:val="solid" w:color="000000" w:fill="000000"/>
                <w:fitText w:val="364" w:id="-1232957178"/>
                <w14:textFill>
                  <w14:solidFill>
                    <w14:srgbClr w14:val="000000">
                      <w14:alpha w14:val="100000"/>
                    </w14:srgbClr>
                  </w14:solidFill>
                </w14:textFill>
              </w:rPr>
              <w:t>|</w:t>
            </w:r>
            <w:r w:rsidR="00676BCD" w:rsidRPr="009E0870">
              <w:rPr>
                <w:iCs/>
                <w:szCs w:val="18"/>
                <w:vertAlign w:val="superscript"/>
              </w:rPr>
              <w:t>5</w:t>
            </w:r>
          </w:p>
        </w:tc>
        <w:tc>
          <w:tcPr>
            <w:tcW w:w="606" w:type="pct"/>
            <w:shd w:val="clear" w:color="auto" w:fill="auto"/>
          </w:tcPr>
          <w:p w14:paraId="3EF7BC07" w14:textId="679CF577"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5" w:id="-1232957177"/>
                <w14:textFill>
                  <w14:solidFill>
                    <w14:srgbClr w14:val="000000">
                      <w14:alpha w14:val="100000"/>
                    </w14:srgbClr>
                  </w14:solidFill>
                </w14:textFill>
              </w:rPr>
              <w:t>|||</w:t>
            </w:r>
            <w:r w:rsidRPr="009E0870">
              <w:rPr>
                <w:color w:val="000000"/>
                <w:spacing w:val="3"/>
                <w:shd w:val="solid" w:color="000000" w:fill="000000"/>
                <w:fitText w:val="365" w:id="-1232957177"/>
                <w14:textFill>
                  <w14:solidFill>
                    <w14:srgbClr w14:val="000000">
                      <w14:alpha w14:val="100000"/>
                    </w14:srgbClr>
                  </w14:solidFill>
                </w14:textFill>
              </w:rPr>
              <w:t>|</w:t>
            </w:r>
            <w:r w:rsidR="00710E82" w:rsidRPr="009E0870">
              <w:rPr>
                <w:iCs/>
                <w:szCs w:val="18"/>
                <w:vertAlign w:val="superscript"/>
              </w:rPr>
              <w:t>5</w:t>
            </w:r>
          </w:p>
        </w:tc>
        <w:tc>
          <w:tcPr>
            <w:tcW w:w="586" w:type="pct"/>
            <w:shd w:val="clear" w:color="auto" w:fill="auto"/>
          </w:tcPr>
          <w:p w14:paraId="40F53D19" w14:textId="1725E1FD" w:rsidR="00056A6A" w:rsidRPr="009E0870" w:rsidRDefault="009E0870" w:rsidP="002A1F14">
            <w:pPr>
              <w:pStyle w:val="TableText0"/>
              <w:keepNext w:val="0"/>
              <w:jc w:val="center"/>
              <w:rPr>
                <w:highlight w:val="darkGray"/>
              </w:rPr>
            </w:pPr>
            <w:r w:rsidRPr="009E0870">
              <w:rPr>
                <w:color w:val="000000"/>
                <w:spacing w:val="70"/>
                <w:shd w:val="solid" w:color="000000" w:fill="000000"/>
                <w:fitText w:val="383" w:id="-1232957176"/>
                <w14:textFill>
                  <w14:solidFill>
                    <w14:srgbClr w14:val="000000">
                      <w14:alpha w14:val="100000"/>
                    </w14:srgbClr>
                  </w14:solidFill>
                </w14:textFill>
              </w:rPr>
              <w:t>|||</w:t>
            </w:r>
            <w:r w:rsidRPr="009E0870">
              <w:rPr>
                <w:color w:val="000000"/>
                <w:spacing w:val="3"/>
                <w:shd w:val="solid" w:color="000000" w:fill="000000"/>
                <w:fitText w:val="383" w:id="-1232957176"/>
                <w14:textFill>
                  <w14:solidFill>
                    <w14:srgbClr w14:val="000000">
                      <w14:alpha w14:val="100000"/>
                    </w14:srgbClr>
                  </w14:solidFill>
                </w14:textFill>
              </w:rPr>
              <w:t>|</w:t>
            </w:r>
            <w:r w:rsidR="00710E82" w:rsidRPr="009E0870">
              <w:rPr>
                <w:iCs/>
                <w:szCs w:val="18"/>
                <w:vertAlign w:val="superscript"/>
              </w:rPr>
              <w:t>6</w:t>
            </w:r>
          </w:p>
        </w:tc>
        <w:tc>
          <w:tcPr>
            <w:tcW w:w="625" w:type="pct"/>
            <w:shd w:val="clear" w:color="auto" w:fill="auto"/>
          </w:tcPr>
          <w:p w14:paraId="1B35B8C8" w14:textId="51D42C1C" w:rsidR="00056A6A" w:rsidRPr="009E0870" w:rsidRDefault="009E0870" w:rsidP="002A1F14">
            <w:pPr>
              <w:pStyle w:val="TableText0"/>
              <w:keepNext w:val="0"/>
              <w:jc w:val="center"/>
              <w:rPr>
                <w:highlight w:val="darkGray"/>
              </w:rPr>
            </w:pPr>
            <w:r w:rsidRPr="009E0870">
              <w:rPr>
                <w:color w:val="000000"/>
                <w:spacing w:val="58"/>
                <w:shd w:val="solid" w:color="000000" w:fill="000000"/>
                <w:fitText w:val="346" w:id="-1232957175"/>
                <w14:textFill>
                  <w14:solidFill>
                    <w14:srgbClr w14:val="000000">
                      <w14:alpha w14:val="100000"/>
                    </w14:srgbClr>
                  </w14:solidFill>
                </w14:textFill>
              </w:rPr>
              <w:t>|||</w:t>
            </w:r>
            <w:r w:rsidRPr="009E0870">
              <w:rPr>
                <w:color w:val="000000"/>
                <w:spacing w:val="2"/>
                <w:shd w:val="solid" w:color="000000" w:fill="000000"/>
                <w:fitText w:val="346" w:id="-1232957175"/>
                <w14:textFill>
                  <w14:solidFill>
                    <w14:srgbClr w14:val="000000">
                      <w14:alpha w14:val="100000"/>
                    </w14:srgbClr>
                  </w14:solidFill>
                </w14:textFill>
              </w:rPr>
              <w:t>|</w:t>
            </w:r>
            <w:r w:rsidR="00710E82" w:rsidRPr="009E0870">
              <w:rPr>
                <w:iCs/>
                <w:szCs w:val="18"/>
                <w:vertAlign w:val="superscript"/>
              </w:rPr>
              <w:t>6</w:t>
            </w:r>
          </w:p>
        </w:tc>
        <w:tc>
          <w:tcPr>
            <w:tcW w:w="607" w:type="pct"/>
            <w:shd w:val="clear" w:color="auto" w:fill="auto"/>
          </w:tcPr>
          <w:p w14:paraId="76FE9C2E" w14:textId="0E3C1684"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4" w:id="-1232957174"/>
                <w14:textFill>
                  <w14:solidFill>
                    <w14:srgbClr w14:val="000000">
                      <w14:alpha w14:val="100000"/>
                    </w14:srgbClr>
                  </w14:solidFill>
                </w14:textFill>
              </w:rPr>
              <w:t>|||</w:t>
            </w:r>
            <w:r w:rsidRPr="009E0870">
              <w:rPr>
                <w:color w:val="000000"/>
                <w:spacing w:val="2"/>
                <w:shd w:val="solid" w:color="000000" w:fill="000000"/>
                <w:fitText w:val="364" w:id="-1232957174"/>
                <w14:textFill>
                  <w14:solidFill>
                    <w14:srgbClr w14:val="000000">
                      <w14:alpha w14:val="100000"/>
                    </w14:srgbClr>
                  </w14:solidFill>
                </w14:textFill>
              </w:rPr>
              <w:t>|</w:t>
            </w:r>
            <w:r w:rsidR="00710E82" w:rsidRPr="009E0870">
              <w:rPr>
                <w:iCs/>
                <w:szCs w:val="18"/>
                <w:vertAlign w:val="superscript"/>
              </w:rPr>
              <w:t>6</w:t>
            </w:r>
          </w:p>
        </w:tc>
        <w:tc>
          <w:tcPr>
            <w:tcW w:w="606" w:type="pct"/>
            <w:shd w:val="clear" w:color="auto" w:fill="auto"/>
          </w:tcPr>
          <w:p w14:paraId="20BA9483" w14:textId="30A80D0B"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4" w:id="-1232957173"/>
                <w14:textFill>
                  <w14:solidFill>
                    <w14:srgbClr w14:val="000000">
                      <w14:alpha w14:val="100000"/>
                    </w14:srgbClr>
                  </w14:solidFill>
                </w14:textFill>
              </w:rPr>
              <w:t>|||</w:t>
            </w:r>
            <w:r w:rsidRPr="009E0870">
              <w:rPr>
                <w:color w:val="000000"/>
                <w:spacing w:val="2"/>
                <w:shd w:val="solid" w:color="000000" w:fill="000000"/>
                <w:fitText w:val="364" w:id="-1232957173"/>
                <w14:textFill>
                  <w14:solidFill>
                    <w14:srgbClr w14:val="000000">
                      <w14:alpha w14:val="100000"/>
                    </w14:srgbClr>
                  </w14:solidFill>
                </w14:textFill>
              </w:rPr>
              <w:t>|</w:t>
            </w:r>
            <w:r w:rsidR="00710E82" w:rsidRPr="009E0870">
              <w:rPr>
                <w:iCs/>
                <w:szCs w:val="18"/>
                <w:vertAlign w:val="superscript"/>
              </w:rPr>
              <w:t>6</w:t>
            </w:r>
          </w:p>
        </w:tc>
      </w:tr>
      <w:tr w:rsidR="009E0870" w:rsidRPr="009E0870" w14:paraId="4463438D" w14:textId="77777777" w:rsidTr="009E0870">
        <w:tc>
          <w:tcPr>
            <w:tcW w:w="1362" w:type="pct"/>
            <w:shd w:val="clear" w:color="auto" w:fill="auto"/>
            <w:vAlign w:val="center"/>
          </w:tcPr>
          <w:p w14:paraId="2319D13A" w14:textId="77777777" w:rsidR="00056A6A" w:rsidRPr="009E0870" w:rsidRDefault="00056A6A" w:rsidP="002A1F14">
            <w:pPr>
              <w:pStyle w:val="TableText0"/>
              <w:keepNext w:val="0"/>
              <w:rPr>
                <w:highlight w:val="yellow"/>
              </w:rPr>
            </w:pPr>
            <w:r w:rsidRPr="009E0870">
              <w:t>BMD ≤-2.5 (49.0%)</w:t>
            </w:r>
          </w:p>
        </w:tc>
        <w:tc>
          <w:tcPr>
            <w:tcW w:w="607" w:type="pct"/>
            <w:tcBorders>
              <w:bottom w:val="single" w:sz="4" w:space="0" w:color="auto"/>
            </w:tcBorders>
            <w:shd w:val="clear" w:color="auto" w:fill="auto"/>
          </w:tcPr>
          <w:p w14:paraId="307C53CC" w14:textId="3335ED2C"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4" w:id="-1232957172"/>
                <w14:textFill>
                  <w14:solidFill>
                    <w14:srgbClr w14:val="000000">
                      <w14:alpha w14:val="100000"/>
                    </w14:srgbClr>
                  </w14:solidFill>
                </w14:textFill>
              </w:rPr>
              <w:t>|||</w:t>
            </w:r>
            <w:r w:rsidRPr="009E0870">
              <w:rPr>
                <w:color w:val="000000"/>
                <w:spacing w:val="2"/>
                <w:shd w:val="solid" w:color="000000" w:fill="000000"/>
                <w:fitText w:val="364" w:id="-1232957172"/>
                <w14:textFill>
                  <w14:solidFill>
                    <w14:srgbClr w14:val="000000">
                      <w14:alpha w14:val="100000"/>
                    </w14:srgbClr>
                  </w14:solidFill>
                </w14:textFill>
              </w:rPr>
              <w:t>|</w:t>
            </w:r>
            <w:r w:rsidR="00676BCD" w:rsidRPr="009E0870">
              <w:rPr>
                <w:iCs/>
                <w:szCs w:val="18"/>
                <w:vertAlign w:val="superscript"/>
              </w:rPr>
              <w:t>5</w:t>
            </w:r>
          </w:p>
        </w:tc>
        <w:tc>
          <w:tcPr>
            <w:tcW w:w="606" w:type="pct"/>
            <w:tcBorders>
              <w:bottom w:val="single" w:sz="4" w:space="0" w:color="auto"/>
            </w:tcBorders>
            <w:shd w:val="clear" w:color="auto" w:fill="auto"/>
          </w:tcPr>
          <w:p w14:paraId="2CA775A7" w14:textId="70F016CC"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5" w:id="-1232957171"/>
                <w14:textFill>
                  <w14:solidFill>
                    <w14:srgbClr w14:val="000000">
                      <w14:alpha w14:val="100000"/>
                    </w14:srgbClr>
                  </w14:solidFill>
                </w14:textFill>
              </w:rPr>
              <w:t>|||</w:t>
            </w:r>
            <w:r w:rsidRPr="009E0870">
              <w:rPr>
                <w:color w:val="000000"/>
                <w:spacing w:val="3"/>
                <w:shd w:val="solid" w:color="000000" w:fill="000000"/>
                <w:fitText w:val="365" w:id="-1232957171"/>
                <w14:textFill>
                  <w14:solidFill>
                    <w14:srgbClr w14:val="000000">
                      <w14:alpha w14:val="100000"/>
                    </w14:srgbClr>
                  </w14:solidFill>
                </w14:textFill>
              </w:rPr>
              <w:t>|</w:t>
            </w:r>
            <w:r w:rsidR="00710E82" w:rsidRPr="009E0870">
              <w:rPr>
                <w:iCs/>
                <w:szCs w:val="18"/>
                <w:vertAlign w:val="superscript"/>
              </w:rPr>
              <w:t>5</w:t>
            </w:r>
          </w:p>
        </w:tc>
        <w:tc>
          <w:tcPr>
            <w:tcW w:w="586" w:type="pct"/>
            <w:tcBorders>
              <w:bottom w:val="single" w:sz="4" w:space="0" w:color="auto"/>
            </w:tcBorders>
            <w:shd w:val="clear" w:color="auto" w:fill="auto"/>
          </w:tcPr>
          <w:p w14:paraId="2F595884" w14:textId="16061A94" w:rsidR="00056A6A" w:rsidRPr="009E0870" w:rsidRDefault="009E0870" w:rsidP="002A1F14">
            <w:pPr>
              <w:pStyle w:val="TableText0"/>
              <w:keepNext w:val="0"/>
              <w:jc w:val="center"/>
              <w:rPr>
                <w:highlight w:val="darkGray"/>
              </w:rPr>
            </w:pPr>
            <w:r w:rsidRPr="009E0870">
              <w:rPr>
                <w:color w:val="000000"/>
                <w:spacing w:val="70"/>
                <w:shd w:val="solid" w:color="000000" w:fill="000000"/>
                <w:fitText w:val="383" w:id="-1232957170"/>
                <w14:textFill>
                  <w14:solidFill>
                    <w14:srgbClr w14:val="000000">
                      <w14:alpha w14:val="100000"/>
                    </w14:srgbClr>
                  </w14:solidFill>
                </w14:textFill>
              </w:rPr>
              <w:t>|||</w:t>
            </w:r>
            <w:r w:rsidRPr="009E0870">
              <w:rPr>
                <w:color w:val="000000"/>
                <w:spacing w:val="3"/>
                <w:shd w:val="solid" w:color="000000" w:fill="000000"/>
                <w:fitText w:val="383" w:id="-1232957170"/>
                <w14:textFill>
                  <w14:solidFill>
                    <w14:srgbClr w14:val="000000">
                      <w14:alpha w14:val="100000"/>
                    </w14:srgbClr>
                  </w14:solidFill>
                </w14:textFill>
              </w:rPr>
              <w:t>|</w:t>
            </w:r>
            <w:r w:rsidR="00710E82" w:rsidRPr="009E0870">
              <w:rPr>
                <w:iCs/>
                <w:szCs w:val="18"/>
                <w:vertAlign w:val="superscript"/>
              </w:rPr>
              <w:t>5</w:t>
            </w:r>
          </w:p>
        </w:tc>
        <w:tc>
          <w:tcPr>
            <w:tcW w:w="625" w:type="pct"/>
            <w:tcBorders>
              <w:bottom w:val="single" w:sz="4" w:space="0" w:color="auto"/>
            </w:tcBorders>
            <w:shd w:val="clear" w:color="auto" w:fill="auto"/>
          </w:tcPr>
          <w:p w14:paraId="11A5996C" w14:textId="1D5BA302" w:rsidR="00056A6A" w:rsidRPr="009E0870" w:rsidRDefault="009E0870" w:rsidP="002A1F14">
            <w:pPr>
              <w:pStyle w:val="TableText0"/>
              <w:keepNext w:val="0"/>
              <w:jc w:val="center"/>
              <w:rPr>
                <w:highlight w:val="darkGray"/>
              </w:rPr>
            </w:pPr>
            <w:r w:rsidRPr="009E0870">
              <w:rPr>
                <w:color w:val="000000"/>
                <w:spacing w:val="58"/>
                <w:shd w:val="solid" w:color="000000" w:fill="000000"/>
                <w:fitText w:val="346" w:id="-1232957169"/>
                <w14:textFill>
                  <w14:solidFill>
                    <w14:srgbClr w14:val="000000">
                      <w14:alpha w14:val="100000"/>
                    </w14:srgbClr>
                  </w14:solidFill>
                </w14:textFill>
              </w:rPr>
              <w:t>|||</w:t>
            </w:r>
            <w:r w:rsidRPr="009E0870">
              <w:rPr>
                <w:color w:val="000000"/>
                <w:spacing w:val="2"/>
                <w:shd w:val="solid" w:color="000000" w:fill="000000"/>
                <w:fitText w:val="346" w:id="-1232957169"/>
                <w14:textFill>
                  <w14:solidFill>
                    <w14:srgbClr w14:val="000000">
                      <w14:alpha w14:val="100000"/>
                    </w14:srgbClr>
                  </w14:solidFill>
                </w14:textFill>
              </w:rPr>
              <w:t>|</w:t>
            </w:r>
            <w:r w:rsidR="00710E82" w:rsidRPr="009E0870">
              <w:rPr>
                <w:iCs/>
                <w:szCs w:val="18"/>
                <w:vertAlign w:val="superscript"/>
              </w:rPr>
              <w:t>5</w:t>
            </w:r>
          </w:p>
        </w:tc>
        <w:tc>
          <w:tcPr>
            <w:tcW w:w="607" w:type="pct"/>
            <w:tcBorders>
              <w:bottom w:val="single" w:sz="4" w:space="0" w:color="auto"/>
            </w:tcBorders>
            <w:shd w:val="clear" w:color="auto" w:fill="auto"/>
          </w:tcPr>
          <w:p w14:paraId="18FB7311" w14:textId="554E9D42"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4" w:id="-1232957168"/>
                <w14:textFill>
                  <w14:solidFill>
                    <w14:srgbClr w14:val="000000">
                      <w14:alpha w14:val="100000"/>
                    </w14:srgbClr>
                  </w14:solidFill>
                </w14:textFill>
              </w:rPr>
              <w:t>|||</w:t>
            </w:r>
            <w:r w:rsidRPr="009E0870">
              <w:rPr>
                <w:color w:val="000000"/>
                <w:spacing w:val="2"/>
                <w:shd w:val="solid" w:color="000000" w:fill="000000"/>
                <w:fitText w:val="364" w:id="-1232957168"/>
                <w14:textFill>
                  <w14:solidFill>
                    <w14:srgbClr w14:val="000000">
                      <w14:alpha w14:val="100000"/>
                    </w14:srgbClr>
                  </w14:solidFill>
                </w14:textFill>
              </w:rPr>
              <w:t>|</w:t>
            </w:r>
            <w:r w:rsidR="00710E82" w:rsidRPr="009E0870">
              <w:rPr>
                <w:iCs/>
                <w:szCs w:val="18"/>
                <w:vertAlign w:val="superscript"/>
              </w:rPr>
              <w:t>5</w:t>
            </w:r>
          </w:p>
        </w:tc>
        <w:tc>
          <w:tcPr>
            <w:tcW w:w="606" w:type="pct"/>
            <w:tcBorders>
              <w:bottom w:val="single" w:sz="4" w:space="0" w:color="auto"/>
            </w:tcBorders>
            <w:shd w:val="clear" w:color="auto" w:fill="auto"/>
          </w:tcPr>
          <w:p w14:paraId="017A1AD0" w14:textId="7EB7681C"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4" w:id="-1232957184"/>
                <w14:textFill>
                  <w14:solidFill>
                    <w14:srgbClr w14:val="000000">
                      <w14:alpha w14:val="100000"/>
                    </w14:srgbClr>
                  </w14:solidFill>
                </w14:textFill>
              </w:rPr>
              <w:t>|||</w:t>
            </w:r>
            <w:r w:rsidRPr="009E0870">
              <w:rPr>
                <w:color w:val="000000"/>
                <w:spacing w:val="2"/>
                <w:shd w:val="solid" w:color="000000" w:fill="000000"/>
                <w:fitText w:val="364" w:id="-1232957184"/>
                <w14:textFill>
                  <w14:solidFill>
                    <w14:srgbClr w14:val="000000">
                      <w14:alpha w14:val="100000"/>
                    </w14:srgbClr>
                  </w14:solidFill>
                </w14:textFill>
              </w:rPr>
              <w:t>|</w:t>
            </w:r>
            <w:r w:rsidR="00710E82" w:rsidRPr="009E0870">
              <w:rPr>
                <w:iCs/>
                <w:szCs w:val="18"/>
                <w:vertAlign w:val="superscript"/>
              </w:rPr>
              <w:t>5</w:t>
            </w:r>
          </w:p>
        </w:tc>
      </w:tr>
      <w:tr w:rsidR="009E0870" w:rsidRPr="009E0870" w14:paraId="14114742" w14:textId="77777777" w:rsidTr="009E0870">
        <w:tc>
          <w:tcPr>
            <w:tcW w:w="1362" w:type="pct"/>
            <w:shd w:val="clear" w:color="auto" w:fill="auto"/>
            <w:vAlign w:val="center"/>
          </w:tcPr>
          <w:p w14:paraId="2F235596" w14:textId="109134C6" w:rsidR="00056A6A" w:rsidRPr="009E0870" w:rsidRDefault="00056A6A" w:rsidP="002A1F14">
            <w:pPr>
              <w:pStyle w:val="TableText0"/>
              <w:keepNext w:val="0"/>
            </w:pPr>
            <w:r w:rsidRPr="009E0870">
              <w:t>Uptake</w:t>
            </w:r>
            <w:r w:rsidR="0073607B" w:rsidRPr="009E0870">
              <w:t xml:space="preserve"> (%)</w:t>
            </w:r>
          </w:p>
        </w:tc>
        <w:tc>
          <w:tcPr>
            <w:tcW w:w="607" w:type="pct"/>
            <w:shd w:val="solid" w:color="000000" w:fill="000000"/>
          </w:tcPr>
          <w:p w14:paraId="799726DE" w14:textId="19DD3C06" w:rsidR="00056A6A" w:rsidRPr="009E0870" w:rsidRDefault="009E0870" w:rsidP="002A1F14">
            <w:pPr>
              <w:pStyle w:val="TableText0"/>
              <w:keepNext w:val="0"/>
              <w:jc w:val="center"/>
            </w:pPr>
            <w:r w:rsidRPr="009E0870">
              <w:rPr>
                <w:color w:val="000000"/>
                <w:spacing w:val="55"/>
                <w:fitText w:val="337" w:id="-1232957183"/>
                <w14:textFill>
                  <w14:solidFill>
                    <w14:srgbClr w14:val="000000">
                      <w14:alpha w14:val="100000"/>
                    </w14:srgbClr>
                  </w14:solidFill>
                </w14:textFill>
              </w:rPr>
              <w:t>|||</w:t>
            </w:r>
            <w:r w:rsidRPr="009E0870">
              <w:rPr>
                <w:color w:val="000000"/>
                <w:spacing w:val="2"/>
                <w:fitText w:val="337" w:id="-1232957183"/>
                <w14:textFill>
                  <w14:solidFill>
                    <w14:srgbClr w14:val="000000">
                      <w14:alpha w14:val="100000"/>
                    </w14:srgbClr>
                  </w14:solidFill>
                </w14:textFill>
              </w:rPr>
              <w:t>|</w:t>
            </w:r>
          </w:p>
        </w:tc>
        <w:tc>
          <w:tcPr>
            <w:tcW w:w="606" w:type="pct"/>
            <w:shd w:val="solid" w:color="000000" w:fill="000000"/>
          </w:tcPr>
          <w:p w14:paraId="36BB0883" w14:textId="1D56D47A" w:rsidR="00056A6A" w:rsidRPr="009E0870" w:rsidRDefault="009E0870" w:rsidP="002A1F14">
            <w:pPr>
              <w:pStyle w:val="TableText0"/>
              <w:keepNext w:val="0"/>
              <w:jc w:val="center"/>
            </w:pPr>
            <w:r w:rsidRPr="009E0870">
              <w:rPr>
                <w:color w:val="000000"/>
                <w:spacing w:val="55"/>
                <w:fitText w:val="338" w:id="-1232957182"/>
                <w14:textFill>
                  <w14:solidFill>
                    <w14:srgbClr w14:val="000000">
                      <w14:alpha w14:val="100000"/>
                    </w14:srgbClr>
                  </w14:solidFill>
                </w14:textFill>
              </w:rPr>
              <w:t>|||</w:t>
            </w:r>
            <w:r w:rsidRPr="009E0870">
              <w:rPr>
                <w:color w:val="000000"/>
                <w:spacing w:val="3"/>
                <w:fitText w:val="338" w:id="-1232957182"/>
                <w14:textFill>
                  <w14:solidFill>
                    <w14:srgbClr w14:val="000000">
                      <w14:alpha w14:val="100000"/>
                    </w14:srgbClr>
                  </w14:solidFill>
                </w14:textFill>
              </w:rPr>
              <w:t>|</w:t>
            </w:r>
          </w:p>
        </w:tc>
        <w:tc>
          <w:tcPr>
            <w:tcW w:w="586" w:type="pct"/>
            <w:shd w:val="solid" w:color="000000" w:fill="000000"/>
          </w:tcPr>
          <w:p w14:paraId="404258CA" w14:textId="6CA90BBC" w:rsidR="00056A6A" w:rsidRPr="009E0870" w:rsidRDefault="009E0870" w:rsidP="002A1F14">
            <w:pPr>
              <w:pStyle w:val="TableText0"/>
              <w:keepNext w:val="0"/>
              <w:jc w:val="center"/>
            </w:pPr>
            <w:r w:rsidRPr="009E0870">
              <w:rPr>
                <w:color w:val="000000"/>
                <w:spacing w:val="61"/>
                <w:fitText w:val="356" w:id="-1232957181"/>
                <w14:textFill>
                  <w14:solidFill>
                    <w14:srgbClr w14:val="000000">
                      <w14:alpha w14:val="100000"/>
                    </w14:srgbClr>
                  </w14:solidFill>
                </w14:textFill>
              </w:rPr>
              <w:t>|||</w:t>
            </w:r>
            <w:r w:rsidRPr="009E0870">
              <w:rPr>
                <w:color w:val="000000"/>
                <w:spacing w:val="3"/>
                <w:fitText w:val="356" w:id="-1232957181"/>
                <w14:textFill>
                  <w14:solidFill>
                    <w14:srgbClr w14:val="000000">
                      <w14:alpha w14:val="100000"/>
                    </w14:srgbClr>
                  </w14:solidFill>
                </w14:textFill>
              </w:rPr>
              <w:t>|</w:t>
            </w:r>
          </w:p>
        </w:tc>
        <w:tc>
          <w:tcPr>
            <w:tcW w:w="625" w:type="pct"/>
            <w:shd w:val="solid" w:color="000000" w:fill="000000"/>
          </w:tcPr>
          <w:p w14:paraId="4C5516FF" w14:textId="648E7090" w:rsidR="00056A6A" w:rsidRPr="009E0870" w:rsidRDefault="009E0870" w:rsidP="002A1F14">
            <w:pPr>
              <w:pStyle w:val="TableText0"/>
              <w:keepNext w:val="0"/>
              <w:jc w:val="center"/>
            </w:pPr>
            <w:r w:rsidRPr="009E0870">
              <w:rPr>
                <w:color w:val="000000"/>
                <w:spacing w:val="49"/>
                <w:fitText w:val="319" w:id="-1232957180"/>
                <w14:textFill>
                  <w14:solidFill>
                    <w14:srgbClr w14:val="000000">
                      <w14:alpha w14:val="100000"/>
                    </w14:srgbClr>
                  </w14:solidFill>
                </w14:textFill>
              </w:rPr>
              <w:t>|||</w:t>
            </w:r>
            <w:r w:rsidRPr="009E0870">
              <w:rPr>
                <w:color w:val="000000"/>
                <w:spacing w:val="2"/>
                <w:fitText w:val="319" w:id="-1232957180"/>
                <w14:textFill>
                  <w14:solidFill>
                    <w14:srgbClr w14:val="000000">
                      <w14:alpha w14:val="100000"/>
                    </w14:srgbClr>
                  </w14:solidFill>
                </w14:textFill>
              </w:rPr>
              <w:t>|</w:t>
            </w:r>
          </w:p>
        </w:tc>
        <w:tc>
          <w:tcPr>
            <w:tcW w:w="607" w:type="pct"/>
            <w:shd w:val="solid" w:color="000000" w:fill="000000"/>
          </w:tcPr>
          <w:p w14:paraId="776017C4" w14:textId="68841088" w:rsidR="00056A6A" w:rsidRPr="009E0870" w:rsidRDefault="009E0870" w:rsidP="002A1F14">
            <w:pPr>
              <w:pStyle w:val="TableText0"/>
              <w:keepNext w:val="0"/>
              <w:jc w:val="center"/>
            </w:pPr>
            <w:r w:rsidRPr="009E0870">
              <w:rPr>
                <w:color w:val="000000"/>
                <w:spacing w:val="55"/>
                <w:fitText w:val="337" w:id="-1232957179"/>
                <w14:textFill>
                  <w14:solidFill>
                    <w14:srgbClr w14:val="000000">
                      <w14:alpha w14:val="100000"/>
                    </w14:srgbClr>
                  </w14:solidFill>
                </w14:textFill>
              </w:rPr>
              <w:t>|||</w:t>
            </w:r>
            <w:r w:rsidRPr="009E0870">
              <w:rPr>
                <w:color w:val="000000"/>
                <w:spacing w:val="2"/>
                <w:fitText w:val="337" w:id="-1232957179"/>
                <w14:textFill>
                  <w14:solidFill>
                    <w14:srgbClr w14:val="000000">
                      <w14:alpha w14:val="100000"/>
                    </w14:srgbClr>
                  </w14:solidFill>
                </w14:textFill>
              </w:rPr>
              <w:t>|</w:t>
            </w:r>
          </w:p>
        </w:tc>
        <w:tc>
          <w:tcPr>
            <w:tcW w:w="606" w:type="pct"/>
            <w:shd w:val="solid" w:color="000000" w:fill="000000"/>
          </w:tcPr>
          <w:p w14:paraId="3C7C9FF5" w14:textId="4BB7C131" w:rsidR="00056A6A" w:rsidRPr="009E0870" w:rsidRDefault="009E0870" w:rsidP="002A1F14">
            <w:pPr>
              <w:pStyle w:val="TableText0"/>
              <w:keepNext w:val="0"/>
              <w:jc w:val="center"/>
            </w:pPr>
            <w:r w:rsidRPr="009E0870">
              <w:rPr>
                <w:color w:val="000000"/>
                <w:spacing w:val="55"/>
                <w:fitText w:val="337" w:id="-1232957178"/>
                <w14:textFill>
                  <w14:solidFill>
                    <w14:srgbClr w14:val="000000">
                      <w14:alpha w14:val="100000"/>
                    </w14:srgbClr>
                  </w14:solidFill>
                </w14:textFill>
              </w:rPr>
              <w:t>|||</w:t>
            </w:r>
            <w:r w:rsidRPr="009E0870">
              <w:rPr>
                <w:color w:val="000000"/>
                <w:spacing w:val="2"/>
                <w:fitText w:val="337" w:id="-1232957178"/>
                <w14:textFill>
                  <w14:solidFill>
                    <w14:srgbClr w14:val="000000">
                      <w14:alpha w14:val="100000"/>
                    </w14:srgbClr>
                  </w14:solidFill>
                </w14:textFill>
              </w:rPr>
              <w:t>|</w:t>
            </w:r>
          </w:p>
        </w:tc>
      </w:tr>
      <w:tr w:rsidR="009E0870" w:rsidRPr="009E0870" w14:paraId="453BF3E1" w14:textId="77777777" w:rsidTr="002E1153">
        <w:tc>
          <w:tcPr>
            <w:tcW w:w="1362" w:type="pct"/>
            <w:shd w:val="clear" w:color="auto" w:fill="auto"/>
            <w:vAlign w:val="center"/>
          </w:tcPr>
          <w:p w14:paraId="75E76CDD" w14:textId="77777777" w:rsidR="00056A6A" w:rsidRPr="009E0870" w:rsidRDefault="00056A6A" w:rsidP="002A1F14">
            <w:pPr>
              <w:pStyle w:val="TableText0"/>
              <w:keepNext w:val="0"/>
            </w:pPr>
            <w:r w:rsidRPr="009E0870">
              <w:t>Patients initiating romosozumab</w:t>
            </w:r>
          </w:p>
        </w:tc>
        <w:tc>
          <w:tcPr>
            <w:tcW w:w="607" w:type="pct"/>
            <w:shd w:val="clear" w:color="auto" w:fill="auto"/>
          </w:tcPr>
          <w:p w14:paraId="4A485BD6" w14:textId="0E7FB5B8" w:rsidR="00056A6A" w:rsidRPr="009E0870" w:rsidRDefault="009E0870" w:rsidP="002A1F14">
            <w:pPr>
              <w:pStyle w:val="TableText0"/>
              <w:keepNext w:val="0"/>
              <w:jc w:val="center"/>
              <w:rPr>
                <w:b/>
                <w:bCs w:val="0"/>
                <w:highlight w:val="darkGray"/>
              </w:rPr>
            </w:pPr>
            <w:r w:rsidRPr="009E0870">
              <w:rPr>
                <w:b/>
                <w:bCs w:val="0"/>
                <w:color w:val="000000"/>
                <w:spacing w:val="32"/>
                <w:shd w:val="solid" w:color="000000" w:fill="000000"/>
                <w:fitText w:val="437" w:id="-1232957177"/>
                <w14:textFill>
                  <w14:solidFill>
                    <w14:srgbClr w14:val="000000">
                      <w14:alpha w14:val="100000"/>
                    </w14:srgbClr>
                  </w14:solidFill>
                </w14:textFill>
              </w:rPr>
              <w:t>|||||</w:t>
            </w:r>
            <w:r w:rsidRPr="009E0870">
              <w:rPr>
                <w:b/>
                <w:bCs w:val="0"/>
                <w:color w:val="000000"/>
                <w:spacing w:val="2"/>
                <w:shd w:val="solid" w:color="000000" w:fill="000000"/>
                <w:fitText w:val="437" w:id="-1232957177"/>
                <w14:textFill>
                  <w14:solidFill>
                    <w14:srgbClr w14:val="000000">
                      <w14:alpha w14:val="100000"/>
                    </w14:srgbClr>
                  </w14:solidFill>
                </w14:textFill>
              </w:rPr>
              <w:t>|</w:t>
            </w:r>
            <w:r w:rsidR="00C6397E" w:rsidRPr="009E0870">
              <w:rPr>
                <w:iCs/>
                <w:szCs w:val="18"/>
                <w:vertAlign w:val="superscript"/>
              </w:rPr>
              <w:t>9</w:t>
            </w:r>
          </w:p>
        </w:tc>
        <w:tc>
          <w:tcPr>
            <w:tcW w:w="606" w:type="pct"/>
            <w:shd w:val="clear" w:color="auto" w:fill="auto"/>
          </w:tcPr>
          <w:p w14:paraId="54F7FCD4" w14:textId="1C67A59F" w:rsidR="00056A6A" w:rsidRPr="009E0870" w:rsidRDefault="009E0870" w:rsidP="002A1F14">
            <w:pPr>
              <w:pStyle w:val="TableText0"/>
              <w:keepNext w:val="0"/>
              <w:jc w:val="center"/>
              <w:rPr>
                <w:b/>
                <w:bCs w:val="0"/>
                <w:highlight w:val="darkGray"/>
              </w:rPr>
            </w:pPr>
            <w:r w:rsidRPr="009E0870">
              <w:rPr>
                <w:b/>
                <w:bCs w:val="0"/>
                <w:color w:val="000000"/>
                <w:spacing w:val="32"/>
                <w:shd w:val="solid" w:color="000000" w:fill="000000"/>
                <w:fitText w:val="437" w:id="-1232957176"/>
                <w14:textFill>
                  <w14:solidFill>
                    <w14:srgbClr w14:val="000000">
                      <w14:alpha w14:val="100000"/>
                    </w14:srgbClr>
                  </w14:solidFill>
                </w14:textFill>
              </w:rPr>
              <w:t>|||||</w:t>
            </w:r>
            <w:r w:rsidRPr="009E0870">
              <w:rPr>
                <w:b/>
                <w:bCs w:val="0"/>
                <w:color w:val="000000"/>
                <w:spacing w:val="2"/>
                <w:shd w:val="solid" w:color="000000" w:fill="000000"/>
                <w:fitText w:val="437" w:id="-1232957176"/>
                <w14:textFill>
                  <w14:solidFill>
                    <w14:srgbClr w14:val="000000">
                      <w14:alpha w14:val="100000"/>
                    </w14:srgbClr>
                  </w14:solidFill>
                </w14:textFill>
              </w:rPr>
              <w:t>|</w:t>
            </w:r>
            <w:r w:rsidR="00710E82" w:rsidRPr="009E0870">
              <w:rPr>
                <w:iCs/>
                <w:szCs w:val="18"/>
                <w:vertAlign w:val="superscript"/>
              </w:rPr>
              <w:t>5</w:t>
            </w:r>
          </w:p>
        </w:tc>
        <w:tc>
          <w:tcPr>
            <w:tcW w:w="586" w:type="pct"/>
            <w:shd w:val="clear" w:color="auto" w:fill="auto"/>
          </w:tcPr>
          <w:p w14:paraId="48AB33EC" w14:textId="42F550AE" w:rsidR="00056A6A" w:rsidRPr="009E0870" w:rsidRDefault="009E0870" w:rsidP="002A1F14">
            <w:pPr>
              <w:pStyle w:val="TableText0"/>
              <w:keepNext w:val="0"/>
              <w:jc w:val="center"/>
              <w:rPr>
                <w:b/>
                <w:bCs w:val="0"/>
                <w:highlight w:val="darkGray"/>
              </w:rPr>
            </w:pPr>
            <w:r w:rsidRPr="009E0870">
              <w:rPr>
                <w:b/>
                <w:bCs w:val="0"/>
                <w:color w:val="000000"/>
                <w:spacing w:val="35"/>
                <w:shd w:val="solid" w:color="000000" w:fill="000000"/>
                <w:fitText w:val="455" w:id="-1232957175"/>
                <w14:textFill>
                  <w14:solidFill>
                    <w14:srgbClr w14:val="000000">
                      <w14:alpha w14:val="100000"/>
                    </w14:srgbClr>
                  </w14:solidFill>
                </w14:textFill>
              </w:rPr>
              <w:t>|||||</w:t>
            </w:r>
            <w:r w:rsidRPr="009E0870">
              <w:rPr>
                <w:b/>
                <w:bCs w:val="0"/>
                <w:color w:val="000000"/>
                <w:spacing w:val="5"/>
                <w:shd w:val="solid" w:color="000000" w:fill="000000"/>
                <w:fitText w:val="455" w:id="-1232957175"/>
                <w14:textFill>
                  <w14:solidFill>
                    <w14:srgbClr w14:val="000000">
                      <w14:alpha w14:val="100000"/>
                    </w14:srgbClr>
                  </w14:solidFill>
                </w14:textFill>
              </w:rPr>
              <w:t>|</w:t>
            </w:r>
            <w:r w:rsidR="00710E82" w:rsidRPr="009E0870">
              <w:rPr>
                <w:iCs/>
                <w:szCs w:val="18"/>
                <w:vertAlign w:val="superscript"/>
              </w:rPr>
              <w:t>5</w:t>
            </w:r>
          </w:p>
        </w:tc>
        <w:tc>
          <w:tcPr>
            <w:tcW w:w="625" w:type="pct"/>
            <w:shd w:val="clear" w:color="auto" w:fill="auto"/>
          </w:tcPr>
          <w:p w14:paraId="6AF3B594" w14:textId="6A9DFE05" w:rsidR="00056A6A" w:rsidRPr="009E0870" w:rsidRDefault="009E0870" w:rsidP="002A1F14">
            <w:pPr>
              <w:pStyle w:val="TableText0"/>
              <w:keepNext w:val="0"/>
              <w:jc w:val="center"/>
              <w:rPr>
                <w:b/>
                <w:bCs w:val="0"/>
                <w:highlight w:val="darkGray"/>
              </w:rPr>
            </w:pPr>
            <w:r w:rsidRPr="009E0870">
              <w:rPr>
                <w:b/>
                <w:bCs w:val="0"/>
                <w:color w:val="000000"/>
                <w:spacing w:val="78"/>
                <w:shd w:val="solid" w:color="000000" w:fill="000000"/>
                <w:fitText w:val="419" w:id="-1232957174"/>
                <w14:textFill>
                  <w14:solidFill>
                    <w14:srgbClr w14:val="000000">
                      <w14:alpha w14:val="100000"/>
                    </w14:srgbClr>
                  </w14:solidFill>
                </w14:textFill>
              </w:rPr>
              <w:t>|||</w:t>
            </w:r>
            <w:r w:rsidRPr="009E0870">
              <w:rPr>
                <w:b/>
                <w:bCs w:val="0"/>
                <w:color w:val="000000"/>
                <w:spacing w:val="2"/>
                <w:shd w:val="solid" w:color="000000" w:fill="000000"/>
                <w:fitText w:val="419" w:id="-1232957174"/>
                <w14:textFill>
                  <w14:solidFill>
                    <w14:srgbClr w14:val="000000">
                      <w14:alpha w14:val="100000"/>
                    </w14:srgbClr>
                  </w14:solidFill>
                </w14:textFill>
              </w:rPr>
              <w:t>|</w:t>
            </w:r>
            <w:r w:rsidR="00710E82" w:rsidRPr="009E0870">
              <w:rPr>
                <w:iCs/>
                <w:szCs w:val="18"/>
                <w:vertAlign w:val="superscript"/>
              </w:rPr>
              <w:t>5</w:t>
            </w:r>
          </w:p>
        </w:tc>
        <w:tc>
          <w:tcPr>
            <w:tcW w:w="607" w:type="pct"/>
            <w:shd w:val="clear" w:color="auto" w:fill="auto"/>
          </w:tcPr>
          <w:p w14:paraId="2289EE98" w14:textId="3A24406D" w:rsidR="00056A6A" w:rsidRPr="009E0870" w:rsidRDefault="009E0870" w:rsidP="002A1F14">
            <w:pPr>
              <w:pStyle w:val="TableText0"/>
              <w:keepNext w:val="0"/>
              <w:jc w:val="center"/>
              <w:rPr>
                <w:b/>
                <w:bCs w:val="0"/>
                <w:highlight w:val="darkGray"/>
              </w:rPr>
            </w:pPr>
            <w:r w:rsidRPr="009E0870">
              <w:rPr>
                <w:b/>
                <w:bCs w:val="0"/>
                <w:color w:val="000000"/>
                <w:spacing w:val="32"/>
                <w:shd w:val="solid" w:color="000000" w:fill="000000"/>
                <w:fitText w:val="438" w:id="-1232957173"/>
                <w14:textFill>
                  <w14:solidFill>
                    <w14:srgbClr w14:val="000000">
                      <w14:alpha w14:val="100000"/>
                    </w14:srgbClr>
                  </w14:solidFill>
                </w14:textFill>
              </w:rPr>
              <w:t>|||||</w:t>
            </w:r>
            <w:r w:rsidRPr="009E0870">
              <w:rPr>
                <w:b/>
                <w:bCs w:val="0"/>
                <w:color w:val="000000"/>
                <w:spacing w:val="3"/>
                <w:shd w:val="solid" w:color="000000" w:fill="000000"/>
                <w:fitText w:val="438" w:id="-1232957173"/>
                <w14:textFill>
                  <w14:solidFill>
                    <w14:srgbClr w14:val="000000">
                      <w14:alpha w14:val="100000"/>
                    </w14:srgbClr>
                  </w14:solidFill>
                </w14:textFill>
              </w:rPr>
              <w:t>|</w:t>
            </w:r>
            <w:r w:rsidR="00710E82" w:rsidRPr="009E0870">
              <w:rPr>
                <w:iCs/>
                <w:szCs w:val="18"/>
                <w:vertAlign w:val="superscript"/>
              </w:rPr>
              <w:t>5</w:t>
            </w:r>
          </w:p>
        </w:tc>
        <w:tc>
          <w:tcPr>
            <w:tcW w:w="606" w:type="pct"/>
            <w:shd w:val="clear" w:color="auto" w:fill="auto"/>
          </w:tcPr>
          <w:p w14:paraId="20931290" w14:textId="1E95ACA3" w:rsidR="00056A6A" w:rsidRPr="009E0870" w:rsidRDefault="009E0870" w:rsidP="002A1F14">
            <w:pPr>
              <w:pStyle w:val="TableText0"/>
              <w:keepNext w:val="0"/>
              <w:jc w:val="center"/>
              <w:rPr>
                <w:b/>
                <w:bCs w:val="0"/>
                <w:highlight w:val="darkGray"/>
              </w:rPr>
            </w:pPr>
            <w:r w:rsidRPr="009E0870">
              <w:rPr>
                <w:b/>
                <w:bCs w:val="0"/>
                <w:color w:val="000000"/>
                <w:spacing w:val="32"/>
                <w:shd w:val="solid" w:color="000000" w:fill="000000"/>
                <w:fitText w:val="437" w:id="-1232957172"/>
                <w14:textFill>
                  <w14:solidFill>
                    <w14:srgbClr w14:val="000000">
                      <w14:alpha w14:val="100000"/>
                    </w14:srgbClr>
                  </w14:solidFill>
                </w14:textFill>
              </w:rPr>
              <w:t>|||||</w:t>
            </w:r>
            <w:r w:rsidRPr="009E0870">
              <w:rPr>
                <w:b/>
                <w:bCs w:val="0"/>
                <w:color w:val="000000"/>
                <w:spacing w:val="2"/>
                <w:shd w:val="solid" w:color="000000" w:fill="000000"/>
                <w:fitText w:val="437" w:id="-1232957172"/>
                <w14:textFill>
                  <w14:solidFill>
                    <w14:srgbClr w14:val="000000">
                      <w14:alpha w14:val="100000"/>
                    </w14:srgbClr>
                  </w14:solidFill>
                </w14:textFill>
              </w:rPr>
              <w:t>|</w:t>
            </w:r>
            <w:r w:rsidR="00710E82" w:rsidRPr="009E0870">
              <w:rPr>
                <w:iCs/>
                <w:szCs w:val="18"/>
                <w:vertAlign w:val="superscript"/>
              </w:rPr>
              <w:t>5</w:t>
            </w:r>
          </w:p>
        </w:tc>
      </w:tr>
      <w:tr w:rsidR="009E0870" w:rsidRPr="009E0870" w14:paraId="528A9ABA" w14:textId="77777777" w:rsidTr="002E1153">
        <w:tc>
          <w:tcPr>
            <w:tcW w:w="5000" w:type="pct"/>
            <w:gridSpan w:val="7"/>
            <w:shd w:val="clear" w:color="auto" w:fill="B8CCE4" w:themeFill="accent1" w:themeFillTint="66"/>
            <w:vAlign w:val="center"/>
          </w:tcPr>
          <w:p w14:paraId="2807E937" w14:textId="77777777" w:rsidR="00056A6A" w:rsidRPr="009E0870" w:rsidRDefault="00056A6A" w:rsidP="002A1F14">
            <w:pPr>
              <w:pStyle w:val="COMTableheadingrow"/>
              <w:keepNext w:val="0"/>
            </w:pPr>
            <w:r w:rsidRPr="009E0870">
              <w:t>Previous submission July 2022</w:t>
            </w:r>
          </w:p>
        </w:tc>
      </w:tr>
      <w:tr w:rsidR="009E0870" w:rsidRPr="009E0870" w14:paraId="2C82467C" w14:textId="77777777" w:rsidTr="009E0870">
        <w:tc>
          <w:tcPr>
            <w:tcW w:w="1362" w:type="pct"/>
            <w:shd w:val="clear" w:color="auto" w:fill="B8CCE4" w:themeFill="accent1" w:themeFillTint="66"/>
            <w:vAlign w:val="center"/>
          </w:tcPr>
          <w:p w14:paraId="2A5EB0CE" w14:textId="77777777" w:rsidR="00056A6A" w:rsidRPr="009E0870" w:rsidRDefault="00056A6A" w:rsidP="002A1F14">
            <w:pPr>
              <w:pStyle w:val="TableText0"/>
              <w:keepNext w:val="0"/>
            </w:pPr>
            <w:r w:rsidRPr="009E0870">
              <w:t>Total second-line patients</w:t>
            </w:r>
          </w:p>
        </w:tc>
        <w:tc>
          <w:tcPr>
            <w:tcW w:w="607" w:type="pct"/>
            <w:shd w:val="clear" w:color="auto" w:fill="B8CCE4" w:themeFill="accent1" w:themeFillTint="66"/>
          </w:tcPr>
          <w:p w14:paraId="0DB1A382" w14:textId="7D938D38"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4" w:id="-1232957171"/>
                <w14:textFill>
                  <w14:solidFill>
                    <w14:srgbClr w14:val="000000">
                      <w14:alpha w14:val="100000"/>
                    </w14:srgbClr>
                  </w14:solidFill>
                </w14:textFill>
              </w:rPr>
              <w:t>|||</w:t>
            </w:r>
            <w:r w:rsidRPr="009E0870">
              <w:rPr>
                <w:color w:val="000000"/>
                <w:spacing w:val="2"/>
                <w:shd w:val="solid" w:color="000000" w:fill="000000"/>
                <w:fitText w:val="364" w:id="-1232957171"/>
                <w14:textFill>
                  <w14:solidFill>
                    <w14:srgbClr w14:val="000000">
                      <w14:alpha w14:val="100000"/>
                    </w14:srgbClr>
                  </w14:solidFill>
                </w14:textFill>
              </w:rPr>
              <w:t>|</w:t>
            </w:r>
            <w:r w:rsidR="00676BCD" w:rsidRPr="009E0870">
              <w:rPr>
                <w:iCs/>
                <w:szCs w:val="18"/>
                <w:vertAlign w:val="superscript"/>
              </w:rPr>
              <w:t>5</w:t>
            </w:r>
          </w:p>
        </w:tc>
        <w:tc>
          <w:tcPr>
            <w:tcW w:w="606" w:type="pct"/>
            <w:tcBorders>
              <w:bottom w:val="single" w:sz="4" w:space="0" w:color="auto"/>
            </w:tcBorders>
            <w:shd w:val="clear" w:color="auto" w:fill="B8CCE4" w:themeFill="accent1" w:themeFillTint="66"/>
          </w:tcPr>
          <w:p w14:paraId="72DA6F71" w14:textId="5034C870"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5" w:id="-1232957170"/>
                <w14:textFill>
                  <w14:solidFill>
                    <w14:srgbClr w14:val="000000">
                      <w14:alpha w14:val="100000"/>
                    </w14:srgbClr>
                  </w14:solidFill>
                </w14:textFill>
              </w:rPr>
              <w:t>|||</w:t>
            </w:r>
            <w:r w:rsidRPr="009E0870">
              <w:rPr>
                <w:color w:val="000000"/>
                <w:spacing w:val="3"/>
                <w:shd w:val="solid" w:color="000000" w:fill="000000"/>
                <w:fitText w:val="365" w:id="-1232957170"/>
                <w14:textFill>
                  <w14:solidFill>
                    <w14:srgbClr w14:val="000000">
                      <w14:alpha w14:val="100000"/>
                    </w14:srgbClr>
                  </w14:solidFill>
                </w14:textFill>
              </w:rPr>
              <w:t>|</w:t>
            </w:r>
            <w:r w:rsidR="00710E82" w:rsidRPr="009E0870">
              <w:rPr>
                <w:iCs/>
                <w:szCs w:val="18"/>
                <w:vertAlign w:val="superscript"/>
              </w:rPr>
              <w:t>5</w:t>
            </w:r>
          </w:p>
        </w:tc>
        <w:tc>
          <w:tcPr>
            <w:tcW w:w="586" w:type="pct"/>
            <w:tcBorders>
              <w:bottom w:val="single" w:sz="4" w:space="0" w:color="auto"/>
            </w:tcBorders>
            <w:shd w:val="clear" w:color="auto" w:fill="B8CCE4" w:themeFill="accent1" w:themeFillTint="66"/>
          </w:tcPr>
          <w:p w14:paraId="40F22B40" w14:textId="44A93A79" w:rsidR="00056A6A" w:rsidRPr="009E0870" w:rsidRDefault="009E0870" w:rsidP="002A1F14">
            <w:pPr>
              <w:pStyle w:val="TableText0"/>
              <w:keepNext w:val="0"/>
              <w:jc w:val="center"/>
              <w:rPr>
                <w:highlight w:val="darkGray"/>
              </w:rPr>
            </w:pPr>
            <w:r w:rsidRPr="009E0870">
              <w:rPr>
                <w:color w:val="000000"/>
                <w:spacing w:val="70"/>
                <w:shd w:val="solid" w:color="000000" w:fill="000000"/>
                <w:fitText w:val="383" w:id="-1232957169"/>
                <w14:textFill>
                  <w14:solidFill>
                    <w14:srgbClr w14:val="000000">
                      <w14:alpha w14:val="100000"/>
                    </w14:srgbClr>
                  </w14:solidFill>
                </w14:textFill>
              </w:rPr>
              <w:t>|||</w:t>
            </w:r>
            <w:r w:rsidRPr="009E0870">
              <w:rPr>
                <w:color w:val="000000"/>
                <w:spacing w:val="3"/>
                <w:shd w:val="solid" w:color="000000" w:fill="000000"/>
                <w:fitText w:val="383" w:id="-1232957169"/>
                <w14:textFill>
                  <w14:solidFill>
                    <w14:srgbClr w14:val="000000">
                      <w14:alpha w14:val="100000"/>
                    </w14:srgbClr>
                  </w14:solidFill>
                </w14:textFill>
              </w:rPr>
              <w:t>|</w:t>
            </w:r>
            <w:r w:rsidR="00710E82" w:rsidRPr="009E0870">
              <w:rPr>
                <w:iCs/>
                <w:szCs w:val="18"/>
                <w:vertAlign w:val="superscript"/>
              </w:rPr>
              <w:t>5</w:t>
            </w:r>
          </w:p>
        </w:tc>
        <w:tc>
          <w:tcPr>
            <w:tcW w:w="625" w:type="pct"/>
            <w:tcBorders>
              <w:bottom w:val="single" w:sz="4" w:space="0" w:color="auto"/>
            </w:tcBorders>
            <w:shd w:val="clear" w:color="auto" w:fill="B8CCE4" w:themeFill="accent1" w:themeFillTint="66"/>
          </w:tcPr>
          <w:p w14:paraId="257210FD" w14:textId="1B30A5AA" w:rsidR="00056A6A" w:rsidRPr="009E0870" w:rsidRDefault="009E0870" w:rsidP="002A1F14">
            <w:pPr>
              <w:pStyle w:val="TableText0"/>
              <w:keepNext w:val="0"/>
              <w:jc w:val="center"/>
              <w:rPr>
                <w:highlight w:val="darkGray"/>
              </w:rPr>
            </w:pPr>
            <w:r w:rsidRPr="009E0870">
              <w:rPr>
                <w:color w:val="000000"/>
                <w:spacing w:val="58"/>
                <w:shd w:val="solid" w:color="000000" w:fill="000000"/>
                <w:fitText w:val="346" w:id="-1232957168"/>
                <w14:textFill>
                  <w14:solidFill>
                    <w14:srgbClr w14:val="000000">
                      <w14:alpha w14:val="100000"/>
                    </w14:srgbClr>
                  </w14:solidFill>
                </w14:textFill>
              </w:rPr>
              <w:t>|||</w:t>
            </w:r>
            <w:r w:rsidRPr="009E0870">
              <w:rPr>
                <w:color w:val="000000"/>
                <w:spacing w:val="2"/>
                <w:shd w:val="solid" w:color="000000" w:fill="000000"/>
                <w:fitText w:val="346" w:id="-1232957168"/>
                <w14:textFill>
                  <w14:solidFill>
                    <w14:srgbClr w14:val="000000">
                      <w14:alpha w14:val="100000"/>
                    </w14:srgbClr>
                  </w14:solidFill>
                </w14:textFill>
              </w:rPr>
              <w:t>|</w:t>
            </w:r>
            <w:r w:rsidR="00710E82" w:rsidRPr="009E0870">
              <w:rPr>
                <w:iCs/>
                <w:szCs w:val="18"/>
                <w:vertAlign w:val="superscript"/>
              </w:rPr>
              <w:t>6</w:t>
            </w:r>
          </w:p>
        </w:tc>
        <w:tc>
          <w:tcPr>
            <w:tcW w:w="607" w:type="pct"/>
            <w:tcBorders>
              <w:bottom w:val="single" w:sz="4" w:space="0" w:color="auto"/>
            </w:tcBorders>
            <w:shd w:val="clear" w:color="auto" w:fill="B8CCE4" w:themeFill="accent1" w:themeFillTint="66"/>
          </w:tcPr>
          <w:p w14:paraId="2402927A" w14:textId="7FE435D0"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4" w:id="-1232957184"/>
                <w14:textFill>
                  <w14:solidFill>
                    <w14:srgbClr w14:val="000000">
                      <w14:alpha w14:val="100000"/>
                    </w14:srgbClr>
                  </w14:solidFill>
                </w14:textFill>
              </w:rPr>
              <w:t>|||</w:t>
            </w:r>
            <w:r w:rsidRPr="009E0870">
              <w:rPr>
                <w:color w:val="000000"/>
                <w:spacing w:val="2"/>
                <w:shd w:val="solid" w:color="000000" w:fill="000000"/>
                <w:fitText w:val="364" w:id="-1232957184"/>
                <w14:textFill>
                  <w14:solidFill>
                    <w14:srgbClr w14:val="000000">
                      <w14:alpha w14:val="100000"/>
                    </w14:srgbClr>
                  </w14:solidFill>
                </w14:textFill>
              </w:rPr>
              <w:t>|</w:t>
            </w:r>
            <w:r w:rsidR="00710E82" w:rsidRPr="009E0870">
              <w:rPr>
                <w:iCs/>
                <w:szCs w:val="18"/>
                <w:vertAlign w:val="superscript"/>
              </w:rPr>
              <w:t>6</w:t>
            </w:r>
          </w:p>
        </w:tc>
        <w:tc>
          <w:tcPr>
            <w:tcW w:w="606" w:type="pct"/>
            <w:tcBorders>
              <w:bottom w:val="single" w:sz="4" w:space="0" w:color="auto"/>
            </w:tcBorders>
            <w:shd w:val="clear" w:color="auto" w:fill="B8CCE4" w:themeFill="accent1" w:themeFillTint="66"/>
          </w:tcPr>
          <w:p w14:paraId="11BA20A0" w14:textId="13A678D6"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4" w:id="-1232957183"/>
                <w14:textFill>
                  <w14:solidFill>
                    <w14:srgbClr w14:val="000000">
                      <w14:alpha w14:val="100000"/>
                    </w14:srgbClr>
                  </w14:solidFill>
                </w14:textFill>
              </w:rPr>
              <w:t>|||</w:t>
            </w:r>
            <w:r w:rsidRPr="009E0870">
              <w:rPr>
                <w:color w:val="000000"/>
                <w:spacing w:val="2"/>
                <w:shd w:val="solid" w:color="000000" w:fill="000000"/>
                <w:fitText w:val="364" w:id="-1232957183"/>
                <w14:textFill>
                  <w14:solidFill>
                    <w14:srgbClr w14:val="000000">
                      <w14:alpha w14:val="100000"/>
                    </w14:srgbClr>
                  </w14:solidFill>
                </w14:textFill>
              </w:rPr>
              <w:t>|</w:t>
            </w:r>
            <w:r w:rsidR="00710E82" w:rsidRPr="009E0870">
              <w:rPr>
                <w:iCs/>
                <w:szCs w:val="18"/>
                <w:vertAlign w:val="superscript"/>
              </w:rPr>
              <w:t>6</w:t>
            </w:r>
          </w:p>
        </w:tc>
      </w:tr>
      <w:tr w:rsidR="009E0870" w:rsidRPr="009E0870" w14:paraId="7D75630D" w14:textId="77777777" w:rsidTr="009E0870">
        <w:tc>
          <w:tcPr>
            <w:tcW w:w="1362" w:type="pct"/>
            <w:shd w:val="clear" w:color="auto" w:fill="auto"/>
            <w:vAlign w:val="center"/>
          </w:tcPr>
          <w:p w14:paraId="1CD6CAE8" w14:textId="77777777" w:rsidR="00056A6A" w:rsidRPr="009E0870" w:rsidRDefault="00056A6A" w:rsidP="002A1F14">
            <w:pPr>
              <w:pStyle w:val="TableText0"/>
              <w:keepNext w:val="0"/>
            </w:pPr>
            <w:r w:rsidRPr="009E0870">
              <w:t>Grandfathered patients</w:t>
            </w:r>
          </w:p>
        </w:tc>
        <w:tc>
          <w:tcPr>
            <w:tcW w:w="607" w:type="pct"/>
            <w:shd w:val="clear" w:color="auto" w:fill="auto"/>
          </w:tcPr>
          <w:p w14:paraId="7732E12C" w14:textId="347C69C7"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4" w:id="-1232957182"/>
                <w14:textFill>
                  <w14:solidFill>
                    <w14:srgbClr w14:val="000000">
                      <w14:alpha w14:val="100000"/>
                    </w14:srgbClr>
                  </w14:solidFill>
                </w14:textFill>
              </w:rPr>
              <w:t>|||</w:t>
            </w:r>
            <w:r w:rsidRPr="009E0870">
              <w:rPr>
                <w:color w:val="000000"/>
                <w:spacing w:val="2"/>
                <w:shd w:val="solid" w:color="000000" w:fill="000000"/>
                <w:fitText w:val="364" w:id="-1232957182"/>
                <w14:textFill>
                  <w14:solidFill>
                    <w14:srgbClr w14:val="000000">
                      <w14:alpha w14:val="100000"/>
                    </w14:srgbClr>
                  </w14:solidFill>
                </w14:textFill>
              </w:rPr>
              <w:t>|</w:t>
            </w:r>
            <w:r w:rsidR="00676BCD" w:rsidRPr="009E0870">
              <w:rPr>
                <w:iCs/>
                <w:szCs w:val="18"/>
                <w:vertAlign w:val="superscript"/>
              </w:rPr>
              <w:t>5</w:t>
            </w:r>
          </w:p>
        </w:tc>
        <w:tc>
          <w:tcPr>
            <w:tcW w:w="606" w:type="pct"/>
            <w:shd w:val="solid" w:color="000000" w:fill="000000"/>
          </w:tcPr>
          <w:p w14:paraId="75F54C58" w14:textId="7C4A9556" w:rsidR="00056A6A" w:rsidRPr="009E0870" w:rsidRDefault="009E0870" w:rsidP="002A1F14">
            <w:pPr>
              <w:pStyle w:val="TableText0"/>
              <w:keepNext w:val="0"/>
              <w:jc w:val="center"/>
            </w:pPr>
            <w:r w:rsidRPr="009E0870">
              <w:rPr>
                <w:color w:val="000000"/>
                <w:spacing w:val="55"/>
                <w:fitText w:val="338" w:id="-1232957181"/>
                <w14:textFill>
                  <w14:solidFill>
                    <w14:srgbClr w14:val="000000">
                      <w14:alpha w14:val="100000"/>
                    </w14:srgbClr>
                  </w14:solidFill>
                </w14:textFill>
              </w:rPr>
              <w:t>|||</w:t>
            </w:r>
            <w:r w:rsidRPr="009E0870">
              <w:rPr>
                <w:color w:val="000000"/>
                <w:spacing w:val="3"/>
                <w:fitText w:val="338" w:id="-1232957181"/>
                <w14:textFill>
                  <w14:solidFill>
                    <w14:srgbClr w14:val="000000">
                      <w14:alpha w14:val="100000"/>
                    </w14:srgbClr>
                  </w14:solidFill>
                </w14:textFill>
              </w:rPr>
              <w:t>|</w:t>
            </w:r>
          </w:p>
        </w:tc>
        <w:tc>
          <w:tcPr>
            <w:tcW w:w="586" w:type="pct"/>
            <w:shd w:val="solid" w:color="000000" w:fill="000000"/>
          </w:tcPr>
          <w:p w14:paraId="5E7EB371" w14:textId="0D979C23" w:rsidR="00056A6A" w:rsidRPr="009E0870" w:rsidRDefault="009E0870" w:rsidP="002A1F14">
            <w:pPr>
              <w:pStyle w:val="TableText0"/>
              <w:keepNext w:val="0"/>
              <w:jc w:val="center"/>
            </w:pPr>
            <w:r w:rsidRPr="009E0870">
              <w:rPr>
                <w:color w:val="000000"/>
                <w:spacing w:val="61"/>
                <w:fitText w:val="356" w:id="-1232957180"/>
                <w14:textFill>
                  <w14:solidFill>
                    <w14:srgbClr w14:val="000000">
                      <w14:alpha w14:val="100000"/>
                    </w14:srgbClr>
                  </w14:solidFill>
                </w14:textFill>
              </w:rPr>
              <w:t>|||</w:t>
            </w:r>
            <w:r w:rsidRPr="009E0870">
              <w:rPr>
                <w:color w:val="000000"/>
                <w:spacing w:val="3"/>
                <w:fitText w:val="356" w:id="-1232957180"/>
                <w14:textFill>
                  <w14:solidFill>
                    <w14:srgbClr w14:val="000000">
                      <w14:alpha w14:val="100000"/>
                    </w14:srgbClr>
                  </w14:solidFill>
                </w14:textFill>
              </w:rPr>
              <w:t>|</w:t>
            </w:r>
          </w:p>
        </w:tc>
        <w:tc>
          <w:tcPr>
            <w:tcW w:w="625" w:type="pct"/>
            <w:shd w:val="solid" w:color="000000" w:fill="000000"/>
          </w:tcPr>
          <w:p w14:paraId="3DB6F069" w14:textId="7C137E77" w:rsidR="00056A6A" w:rsidRPr="009E0870" w:rsidRDefault="009E0870" w:rsidP="002A1F14">
            <w:pPr>
              <w:pStyle w:val="TableText0"/>
              <w:keepNext w:val="0"/>
              <w:jc w:val="center"/>
            </w:pPr>
            <w:r w:rsidRPr="009E0870">
              <w:rPr>
                <w:color w:val="000000"/>
                <w:spacing w:val="49"/>
                <w:fitText w:val="319" w:id="-1232957179"/>
                <w14:textFill>
                  <w14:solidFill>
                    <w14:srgbClr w14:val="000000">
                      <w14:alpha w14:val="100000"/>
                    </w14:srgbClr>
                  </w14:solidFill>
                </w14:textFill>
              </w:rPr>
              <w:t>|||</w:t>
            </w:r>
            <w:r w:rsidRPr="009E0870">
              <w:rPr>
                <w:color w:val="000000"/>
                <w:spacing w:val="2"/>
                <w:fitText w:val="319" w:id="-1232957179"/>
                <w14:textFill>
                  <w14:solidFill>
                    <w14:srgbClr w14:val="000000">
                      <w14:alpha w14:val="100000"/>
                    </w14:srgbClr>
                  </w14:solidFill>
                </w14:textFill>
              </w:rPr>
              <w:t>|</w:t>
            </w:r>
          </w:p>
        </w:tc>
        <w:tc>
          <w:tcPr>
            <w:tcW w:w="607" w:type="pct"/>
            <w:shd w:val="solid" w:color="000000" w:fill="000000"/>
          </w:tcPr>
          <w:p w14:paraId="2E31B760" w14:textId="7273DC44" w:rsidR="00056A6A" w:rsidRPr="009E0870" w:rsidRDefault="009E0870" w:rsidP="002A1F14">
            <w:pPr>
              <w:pStyle w:val="TableText0"/>
              <w:keepNext w:val="0"/>
              <w:jc w:val="center"/>
            </w:pPr>
            <w:r w:rsidRPr="009E0870">
              <w:rPr>
                <w:color w:val="000000"/>
                <w:spacing w:val="55"/>
                <w:fitText w:val="337" w:id="-1232957178"/>
                <w14:textFill>
                  <w14:solidFill>
                    <w14:srgbClr w14:val="000000">
                      <w14:alpha w14:val="100000"/>
                    </w14:srgbClr>
                  </w14:solidFill>
                </w14:textFill>
              </w:rPr>
              <w:t>|||</w:t>
            </w:r>
            <w:r w:rsidRPr="009E0870">
              <w:rPr>
                <w:color w:val="000000"/>
                <w:spacing w:val="2"/>
                <w:fitText w:val="337" w:id="-1232957178"/>
                <w14:textFill>
                  <w14:solidFill>
                    <w14:srgbClr w14:val="000000">
                      <w14:alpha w14:val="100000"/>
                    </w14:srgbClr>
                  </w14:solidFill>
                </w14:textFill>
              </w:rPr>
              <w:t>|</w:t>
            </w:r>
          </w:p>
        </w:tc>
        <w:tc>
          <w:tcPr>
            <w:tcW w:w="606" w:type="pct"/>
            <w:shd w:val="solid" w:color="000000" w:fill="000000"/>
          </w:tcPr>
          <w:p w14:paraId="44549F70" w14:textId="6E9EFD9B" w:rsidR="00056A6A" w:rsidRPr="009E0870" w:rsidRDefault="009E0870" w:rsidP="002A1F14">
            <w:pPr>
              <w:pStyle w:val="TableText0"/>
              <w:keepNext w:val="0"/>
              <w:jc w:val="center"/>
            </w:pPr>
            <w:r w:rsidRPr="009E0870">
              <w:rPr>
                <w:color w:val="000000"/>
                <w:spacing w:val="55"/>
                <w:fitText w:val="337" w:id="-1232957177"/>
                <w14:textFill>
                  <w14:solidFill>
                    <w14:srgbClr w14:val="000000">
                      <w14:alpha w14:val="100000"/>
                    </w14:srgbClr>
                  </w14:solidFill>
                </w14:textFill>
              </w:rPr>
              <w:t>|||</w:t>
            </w:r>
            <w:r w:rsidRPr="009E0870">
              <w:rPr>
                <w:color w:val="000000"/>
                <w:spacing w:val="2"/>
                <w:fitText w:val="337" w:id="-1232957177"/>
                <w14:textFill>
                  <w14:solidFill>
                    <w14:srgbClr w14:val="000000">
                      <w14:alpha w14:val="100000"/>
                    </w14:srgbClr>
                  </w14:solidFill>
                </w14:textFill>
              </w:rPr>
              <w:t>|</w:t>
            </w:r>
          </w:p>
        </w:tc>
      </w:tr>
      <w:tr w:rsidR="009E0870" w:rsidRPr="009E0870" w14:paraId="3B207AEF" w14:textId="77777777" w:rsidTr="002E1153">
        <w:tc>
          <w:tcPr>
            <w:tcW w:w="1362" w:type="pct"/>
            <w:shd w:val="clear" w:color="auto" w:fill="auto"/>
            <w:vAlign w:val="center"/>
          </w:tcPr>
          <w:p w14:paraId="1B65E1FC" w14:textId="02E06E38" w:rsidR="00056A6A" w:rsidRPr="009E0870" w:rsidRDefault="00056A6A" w:rsidP="002A1F14">
            <w:pPr>
              <w:pStyle w:val="TableText0"/>
              <w:keepNext w:val="0"/>
              <w:rPr>
                <w:b/>
                <w:bCs w:val="0"/>
              </w:rPr>
            </w:pPr>
            <w:r w:rsidRPr="009E0870">
              <w:rPr>
                <w:b/>
                <w:bCs w:val="0"/>
              </w:rPr>
              <w:t>Total romosozumab patients</w:t>
            </w:r>
            <w:r w:rsidR="004F319F" w:rsidRPr="009E0870">
              <w:rPr>
                <w:b/>
                <w:bCs w:val="0"/>
              </w:rPr>
              <w:t xml:space="preserve"> *</w:t>
            </w:r>
          </w:p>
        </w:tc>
        <w:tc>
          <w:tcPr>
            <w:tcW w:w="607" w:type="pct"/>
            <w:shd w:val="clear" w:color="auto" w:fill="auto"/>
          </w:tcPr>
          <w:p w14:paraId="2E9B488E" w14:textId="0963E76F" w:rsidR="00056A6A" w:rsidRPr="009E0870" w:rsidRDefault="009E0870" w:rsidP="002A1F14">
            <w:pPr>
              <w:pStyle w:val="TableText0"/>
              <w:keepNext w:val="0"/>
              <w:jc w:val="center"/>
              <w:rPr>
                <w:b/>
                <w:bCs w:val="0"/>
                <w:highlight w:val="darkGray"/>
              </w:rPr>
            </w:pPr>
            <w:r w:rsidRPr="009E0870">
              <w:rPr>
                <w:b/>
                <w:bCs w:val="0"/>
                <w:color w:val="000000"/>
                <w:spacing w:val="32"/>
                <w:shd w:val="solid" w:color="000000" w:fill="000000"/>
                <w:fitText w:val="437" w:id="-1232957176"/>
                <w14:textFill>
                  <w14:solidFill>
                    <w14:srgbClr w14:val="000000">
                      <w14:alpha w14:val="100000"/>
                    </w14:srgbClr>
                  </w14:solidFill>
                </w14:textFill>
              </w:rPr>
              <w:t>|||||</w:t>
            </w:r>
            <w:r w:rsidRPr="009E0870">
              <w:rPr>
                <w:b/>
                <w:bCs w:val="0"/>
                <w:color w:val="000000"/>
                <w:spacing w:val="2"/>
                <w:shd w:val="solid" w:color="000000" w:fill="000000"/>
                <w:fitText w:val="437" w:id="-1232957176"/>
                <w14:textFill>
                  <w14:solidFill>
                    <w14:srgbClr w14:val="000000">
                      <w14:alpha w14:val="100000"/>
                    </w14:srgbClr>
                  </w14:solidFill>
                </w14:textFill>
              </w:rPr>
              <w:t>|</w:t>
            </w:r>
            <w:r w:rsidR="00676BCD" w:rsidRPr="009E0870">
              <w:rPr>
                <w:iCs/>
                <w:szCs w:val="18"/>
                <w:vertAlign w:val="superscript"/>
              </w:rPr>
              <w:t>5</w:t>
            </w:r>
          </w:p>
        </w:tc>
        <w:tc>
          <w:tcPr>
            <w:tcW w:w="606" w:type="pct"/>
            <w:shd w:val="clear" w:color="auto" w:fill="auto"/>
          </w:tcPr>
          <w:p w14:paraId="163B386B" w14:textId="28AFE76C" w:rsidR="00056A6A" w:rsidRPr="009E0870" w:rsidRDefault="009E0870" w:rsidP="002A1F14">
            <w:pPr>
              <w:pStyle w:val="TableText0"/>
              <w:keepNext w:val="0"/>
              <w:jc w:val="center"/>
              <w:rPr>
                <w:b/>
                <w:bCs w:val="0"/>
                <w:highlight w:val="darkGray"/>
              </w:rPr>
            </w:pPr>
            <w:r w:rsidRPr="009E0870">
              <w:rPr>
                <w:b/>
                <w:bCs w:val="0"/>
                <w:color w:val="000000"/>
                <w:spacing w:val="32"/>
                <w:shd w:val="solid" w:color="000000" w:fill="000000"/>
                <w:fitText w:val="437" w:id="-1232957175"/>
                <w14:textFill>
                  <w14:solidFill>
                    <w14:srgbClr w14:val="000000">
                      <w14:alpha w14:val="100000"/>
                    </w14:srgbClr>
                  </w14:solidFill>
                </w14:textFill>
              </w:rPr>
              <w:t>|||||</w:t>
            </w:r>
            <w:r w:rsidRPr="009E0870">
              <w:rPr>
                <w:b/>
                <w:bCs w:val="0"/>
                <w:color w:val="000000"/>
                <w:spacing w:val="2"/>
                <w:shd w:val="solid" w:color="000000" w:fill="000000"/>
                <w:fitText w:val="437" w:id="-1232957175"/>
                <w14:textFill>
                  <w14:solidFill>
                    <w14:srgbClr w14:val="000000">
                      <w14:alpha w14:val="100000"/>
                    </w14:srgbClr>
                  </w14:solidFill>
                </w14:textFill>
              </w:rPr>
              <w:t>|</w:t>
            </w:r>
            <w:r w:rsidR="00710E82" w:rsidRPr="009E0870">
              <w:rPr>
                <w:iCs/>
                <w:szCs w:val="18"/>
                <w:vertAlign w:val="superscript"/>
              </w:rPr>
              <w:t>6</w:t>
            </w:r>
          </w:p>
        </w:tc>
        <w:tc>
          <w:tcPr>
            <w:tcW w:w="586" w:type="pct"/>
            <w:shd w:val="clear" w:color="auto" w:fill="auto"/>
          </w:tcPr>
          <w:p w14:paraId="78F029A0" w14:textId="21F9714B" w:rsidR="00056A6A" w:rsidRPr="009E0870" w:rsidRDefault="009E0870" w:rsidP="002A1F14">
            <w:pPr>
              <w:pStyle w:val="TableText0"/>
              <w:keepNext w:val="0"/>
              <w:jc w:val="center"/>
              <w:rPr>
                <w:b/>
                <w:bCs w:val="0"/>
                <w:highlight w:val="darkGray"/>
              </w:rPr>
            </w:pPr>
            <w:r w:rsidRPr="009E0870">
              <w:rPr>
                <w:b/>
                <w:bCs w:val="0"/>
                <w:color w:val="000000"/>
                <w:spacing w:val="41"/>
                <w:shd w:val="solid" w:color="000000" w:fill="000000"/>
                <w:fitText w:val="483" w:id="-1232957174"/>
                <w14:textFill>
                  <w14:solidFill>
                    <w14:srgbClr w14:val="000000">
                      <w14:alpha w14:val="100000"/>
                    </w14:srgbClr>
                  </w14:solidFill>
                </w14:textFill>
              </w:rPr>
              <w:t>|||||</w:t>
            </w:r>
            <w:r w:rsidRPr="009E0870">
              <w:rPr>
                <w:b/>
                <w:bCs w:val="0"/>
                <w:color w:val="000000"/>
                <w:spacing w:val="3"/>
                <w:shd w:val="solid" w:color="000000" w:fill="000000"/>
                <w:fitText w:val="483" w:id="-1232957174"/>
                <w14:textFill>
                  <w14:solidFill>
                    <w14:srgbClr w14:val="000000">
                      <w14:alpha w14:val="100000"/>
                    </w14:srgbClr>
                  </w14:solidFill>
                </w14:textFill>
              </w:rPr>
              <w:t>|</w:t>
            </w:r>
            <w:r w:rsidR="001E6174" w:rsidRPr="009E0870">
              <w:rPr>
                <w:i/>
                <w:sz w:val="18"/>
                <w:szCs w:val="18"/>
                <w:vertAlign w:val="superscript"/>
              </w:rPr>
              <w:t>20</w:t>
            </w:r>
          </w:p>
        </w:tc>
        <w:tc>
          <w:tcPr>
            <w:tcW w:w="625" w:type="pct"/>
            <w:shd w:val="clear" w:color="auto" w:fill="auto"/>
          </w:tcPr>
          <w:p w14:paraId="3079C747" w14:textId="159D7449" w:rsidR="00056A6A" w:rsidRPr="009E0870" w:rsidRDefault="009E0870" w:rsidP="002A1F14">
            <w:pPr>
              <w:pStyle w:val="TableText0"/>
              <w:keepNext w:val="0"/>
              <w:jc w:val="center"/>
              <w:rPr>
                <w:b/>
                <w:bCs w:val="0"/>
                <w:highlight w:val="darkGray"/>
              </w:rPr>
            </w:pPr>
            <w:r w:rsidRPr="009E0870">
              <w:rPr>
                <w:b/>
                <w:bCs w:val="0"/>
                <w:color w:val="000000"/>
                <w:spacing w:val="34"/>
                <w:shd w:val="solid" w:color="000000" w:fill="000000"/>
                <w:fitText w:val="446" w:id="-1232957173"/>
                <w14:textFill>
                  <w14:solidFill>
                    <w14:srgbClr w14:val="000000">
                      <w14:alpha w14:val="100000"/>
                    </w14:srgbClr>
                  </w14:solidFill>
                </w14:textFill>
              </w:rPr>
              <w:t>|||||</w:t>
            </w:r>
            <w:r w:rsidRPr="009E0870">
              <w:rPr>
                <w:b/>
                <w:bCs w:val="0"/>
                <w:color w:val="000000"/>
                <w:spacing w:val="1"/>
                <w:shd w:val="solid" w:color="000000" w:fill="000000"/>
                <w:fitText w:val="446" w:id="-1232957173"/>
                <w14:textFill>
                  <w14:solidFill>
                    <w14:srgbClr w14:val="000000">
                      <w14:alpha w14:val="100000"/>
                    </w14:srgbClr>
                  </w14:solidFill>
                </w14:textFill>
              </w:rPr>
              <w:t>|</w:t>
            </w:r>
            <w:r w:rsidR="001E6174" w:rsidRPr="009E0870">
              <w:rPr>
                <w:i/>
                <w:sz w:val="18"/>
                <w:szCs w:val="18"/>
                <w:vertAlign w:val="superscript"/>
              </w:rPr>
              <w:t>20</w:t>
            </w:r>
          </w:p>
        </w:tc>
        <w:tc>
          <w:tcPr>
            <w:tcW w:w="607" w:type="pct"/>
            <w:shd w:val="clear" w:color="auto" w:fill="auto"/>
          </w:tcPr>
          <w:p w14:paraId="4ADEB4DA" w14:textId="4EB3F6BF" w:rsidR="00056A6A" w:rsidRPr="009E0870" w:rsidRDefault="009E0870" w:rsidP="002A1F14">
            <w:pPr>
              <w:pStyle w:val="TableText0"/>
              <w:keepNext w:val="0"/>
              <w:jc w:val="center"/>
              <w:rPr>
                <w:b/>
                <w:bCs w:val="0"/>
                <w:highlight w:val="darkGray"/>
              </w:rPr>
            </w:pPr>
            <w:r w:rsidRPr="009E0870">
              <w:rPr>
                <w:b/>
                <w:bCs w:val="0"/>
                <w:color w:val="000000"/>
                <w:spacing w:val="37"/>
                <w:shd w:val="solid" w:color="000000" w:fill="000000"/>
                <w:fitText w:val="465" w:id="-1232957172"/>
                <w14:textFill>
                  <w14:solidFill>
                    <w14:srgbClr w14:val="000000">
                      <w14:alpha w14:val="100000"/>
                    </w14:srgbClr>
                  </w14:solidFill>
                </w14:textFill>
              </w:rPr>
              <w:t>|||||</w:t>
            </w:r>
            <w:r w:rsidRPr="009E0870">
              <w:rPr>
                <w:b/>
                <w:bCs w:val="0"/>
                <w:color w:val="000000"/>
                <w:spacing w:val="5"/>
                <w:shd w:val="solid" w:color="000000" w:fill="000000"/>
                <w:fitText w:val="465" w:id="-1232957172"/>
                <w14:textFill>
                  <w14:solidFill>
                    <w14:srgbClr w14:val="000000">
                      <w14:alpha w14:val="100000"/>
                    </w14:srgbClr>
                  </w14:solidFill>
                </w14:textFill>
              </w:rPr>
              <w:t>|</w:t>
            </w:r>
            <w:r w:rsidR="001E6174" w:rsidRPr="009E0870">
              <w:rPr>
                <w:i/>
                <w:sz w:val="18"/>
                <w:szCs w:val="18"/>
                <w:vertAlign w:val="superscript"/>
              </w:rPr>
              <w:t>20</w:t>
            </w:r>
          </w:p>
        </w:tc>
        <w:tc>
          <w:tcPr>
            <w:tcW w:w="606" w:type="pct"/>
            <w:shd w:val="clear" w:color="auto" w:fill="auto"/>
          </w:tcPr>
          <w:p w14:paraId="5CCCE2AA" w14:textId="1D5D248C" w:rsidR="00056A6A" w:rsidRPr="009E0870" w:rsidRDefault="009E0870" w:rsidP="002A1F14">
            <w:pPr>
              <w:pStyle w:val="TableText0"/>
              <w:keepNext w:val="0"/>
              <w:jc w:val="center"/>
              <w:rPr>
                <w:b/>
                <w:bCs w:val="0"/>
                <w:highlight w:val="darkGray"/>
              </w:rPr>
            </w:pPr>
            <w:r w:rsidRPr="009E0870">
              <w:rPr>
                <w:b/>
                <w:bCs w:val="0"/>
                <w:color w:val="000000"/>
                <w:spacing w:val="37"/>
                <w:shd w:val="solid" w:color="000000" w:fill="000000"/>
                <w:fitText w:val="465" w:id="-1232957171"/>
                <w14:textFill>
                  <w14:solidFill>
                    <w14:srgbClr w14:val="000000">
                      <w14:alpha w14:val="100000"/>
                    </w14:srgbClr>
                  </w14:solidFill>
                </w14:textFill>
              </w:rPr>
              <w:t>|||||</w:t>
            </w:r>
            <w:r w:rsidRPr="009E0870">
              <w:rPr>
                <w:b/>
                <w:bCs w:val="0"/>
                <w:color w:val="000000"/>
                <w:spacing w:val="5"/>
                <w:shd w:val="solid" w:color="000000" w:fill="000000"/>
                <w:fitText w:val="465" w:id="-1232957171"/>
                <w14:textFill>
                  <w14:solidFill>
                    <w14:srgbClr w14:val="000000">
                      <w14:alpha w14:val="100000"/>
                    </w14:srgbClr>
                  </w14:solidFill>
                </w14:textFill>
              </w:rPr>
              <w:t>|</w:t>
            </w:r>
            <w:r w:rsidR="001E6174" w:rsidRPr="009E0870">
              <w:rPr>
                <w:i/>
                <w:sz w:val="18"/>
                <w:szCs w:val="18"/>
                <w:vertAlign w:val="superscript"/>
              </w:rPr>
              <w:t>20</w:t>
            </w:r>
          </w:p>
        </w:tc>
      </w:tr>
      <w:tr w:rsidR="009E0870" w:rsidRPr="009E0870" w14:paraId="0BB191AA" w14:textId="77777777" w:rsidTr="002E1153">
        <w:tc>
          <w:tcPr>
            <w:tcW w:w="1362" w:type="pct"/>
            <w:shd w:val="clear" w:color="auto" w:fill="auto"/>
            <w:vAlign w:val="center"/>
          </w:tcPr>
          <w:p w14:paraId="6819013B" w14:textId="15D1E3D1" w:rsidR="00056A6A" w:rsidRPr="009E0870" w:rsidRDefault="00056A6A" w:rsidP="002A1F14">
            <w:pPr>
              <w:pStyle w:val="TableText0"/>
              <w:keepNext w:val="0"/>
              <w:rPr>
                <w:vertAlign w:val="superscript"/>
              </w:rPr>
            </w:pPr>
            <w:r w:rsidRPr="009E0870">
              <w:t xml:space="preserve">Total scripts (10.8 scripts/year) </w:t>
            </w:r>
            <w:r w:rsidRPr="009E0870">
              <w:rPr>
                <w:vertAlign w:val="superscript"/>
              </w:rPr>
              <w:t>a</w:t>
            </w:r>
            <w:r w:rsidR="004F319F" w:rsidRPr="009E0870">
              <w:rPr>
                <w:vertAlign w:val="superscript"/>
              </w:rPr>
              <w:t xml:space="preserve"> *</w:t>
            </w:r>
          </w:p>
        </w:tc>
        <w:tc>
          <w:tcPr>
            <w:tcW w:w="607" w:type="pct"/>
            <w:shd w:val="clear" w:color="auto" w:fill="auto"/>
          </w:tcPr>
          <w:p w14:paraId="22512F8B" w14:textId="5E8A9234"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4" w:id="-1232957170"/>
                <w14:textFill>
                  <w14:solidFill>
                    <w14:srgbClr w14:val="000000">
                      <w14:alpha w14:val="100000"/>
                    </w14:srgbClr>
                  </w14:solidFill>
                </w14:textFill>
              </w:rPr>
              <w:t>|||</w:t>
            </w:r>
            <w:r w:rsidRPr="009E0870">
              <w:rPr>
                <w:color w:val="000000"/>
                <w:spacing w:val="2"/>
                <w:shd w:val="solid" w:color="000000" w:fill="000000"/>
                <w:fitText w:val="364" w:id="-1232957170"/>
                <w14:textFill>
                  <w14:solidFill>
                    <w14:srgbClr w14:val="000000">
                      <w14:alpha w14:val="100000"/>
                    </w14:srgbClr>
                  </w14:solidFill>
                </w14:textFill>
              </w:rPr>
              <w:t>|</w:t>
            </w:r>
            <w:r w:rsidR="00C6397E" w:rsidRPr="009E0870">
              <w:rPr>
                <w:iCs/>
                <w:szCs w:val="18"/>
                <w:vertAlign w:val="superscript"/>
              </w:rPr>
              <w:t>8</w:t>
            </w:r>
          </w:p>
        </w:tc>
        <w:tc>
          <w:tcPr>
            <w:tcW w:w="606" w:type="pct"/>
            <w:shd w:val="clear" w:color="auto" w:fill="auto"/>
          </w:tcPr>
          <w:p w14:paraId="1F99ABAF" w14:textId="5FB4EB2A" w:rsidR="00056A6A" w:rsidRPr="009E0870" w:rsidRDefault="009E0870" w:rsidP="002A1F14">
            <w:pPr>
              <w:pStyle w:val="TableText0"/>
              <w:keepNext w:val="0"/>
              <w:jc w:val="center"/>
              <w:rPr>
                <w:highlight w:val="darkGray"/>
              </w:rPr>
            </w:pPr>
            <w:r w:rsidRPr="009E0870">
              <w:rPr>
                <w:color w:val="000000"/>
                <w:spacing w:val="73"/>
                <w:shd w:val="solid" w:color="000000" w:fill="000000"/>
                <w:fitText w:val="392" w:id="-1232957169"/>
                <w14:textFill>
                  <w14:solidFill>
                    <w14:srgbClr w14:val="000000">
                      <w14:alpha w14:val="100000"/>
                    </w14:srgbClr>
                  </w14:solidFill>
                </w14:textFill>
              </w:rPr>
              <w:t>|||</w:t>
            </w:r>
            <w:r w:rsidRPr="009E0870">
              <w:rPr>
                <w:color w:val="000000"/>
                <w:spacing w:val="3"/>
                <w:shd w:val="solid" w:color="000000" w:fill="000000"/>
                <w:fitText w:val="392" w:id="-1232957169"/>
                <w14:textFill>
                  <w14:solidFill>
                    <w14:srgbClr w14:val="000000">
                      <w14:alpha w14:val="100000"/>
                    </w14:srgbClr>
                  </w14:solidFill>
                </w14:textFill>
              </w:rPr>
              <w:t>|</w:t>
            </w:r>
            <w:r w:rsidR="00DA650E" w:rsidRPr="009E0870">
              <w:rPr>
                <w:iCs/>
                <w:szCs w:val="18"/>
                <w:vertAlign w:val="superscript"/>
              </w:rPr>
              <w:t>18</w:t>
            </w:r>
          </w:p>
        </w:tc>
        <w:tc>
          <w:tcPr>
            <w:tcW w:w="586" w:type="pct"/>
            <w:shd w:val="clear" w:color="auto" w:fill="auto"/>
          </w:tcPr>
          <w:p w14:paraId="655C174A" w14:textId="79925631" w:rsidR="00056A6A" w:rsidRPr="009E0870" w:rsidRDefault="009E0870" w:rsidP="002A1F14">
            <w:pPr>
              <w:pStyle w:val="TableText0"/>
              <w:keepNext w:val="0"/>
              <w:jc w:val="center"/>
              <w:rPr>
                <w:highlight w:val="darkGray"/>
              </w:rPr>
            </w:pPr>
            <w:r w:rsidRPr="009E0870">
              <w:rPr>
                <w:color w:val="000000"/>
                <w:spacing w:val="70"/>
                <w:shd w:val="solid" w:color="000000" w:fill="000000"/>
                <w:fitText w:val="383" w:id="-1232957168"/>
                <w14:textFill>
                  <w14:solidFill>
                    <w14:srgbClr w14:val="000000">
                      <w14:alpha w14:val="100000"/>
                    </w14:srgbClr>
                  </w14:solidFill>
                </w14:textFill>
              </w:rPr>
              <w:t>|||</w:t>
            </w:r>
            <w:r w:rsidRPr="009E0870">
              <w:rPr>
                <w:color w:val="000000"/>
                <w:spacing w:val="3"/>
                <w:shd w:val="solid" w:color="000000" w:fill="000000"/>
                <w:fitText w:val="383" w:id="-1232957168"/>
                <w14:textFill>
                  <w14:solidFill>
                    <w14:srgbClr w14:val="000000">
                      <w14:alpha w14:val="100000"/>
                    </w14:srgbClr>
                  </w14:solidFill>
                </w14:textFill>
              </w:rPr>
              <w:t>|</w:t>
            </w:r>
            <w:r w:rsidR="00981B2A" w:rsidRPr="009E0870">
              <w:rPr>
                <w:iCs/>
                <w:szCs w:val="18"/>
                <w:vertAlign w:val="superscript"/>
              </w:rPr>
              <w:t>2</w:t>
            </w:r>
          </w:p>
        </w:tc>
        <w:tc>
          <w:tcPr>
            <w:tcW w:w="625" w:type="pct"/>
            <w:shd w:val="clear" w:color="auto" w:fill="auto"/>
          </w:tcPr>
          <w:p w14:paraId="18F64D00" w14:textId="56AB2099" w:rsidR="00056A6A" w:rsidRPr="009E0870" w:rsidRDefault="009E0870" w:rsidP="002A1F14">
            <w:pPr>
              <w:pStyle w:val="TableText0"/>
              <w:keepNext w:val="0"/>
              <w:jc w:val="center"/>
              <w:rPr>
                <w:highlight w:val="darkGray"/>
              </w:rPr>
            </w:pPr>
            <w:r w:rsidRPr="009E0870">
              <w:rPr>
                <w:color w:val="000000"/>
                <w:spacing w:val="58"/>
                <w:shd w:val="solid" w:color="000000" w:fill="000000"/>
                <w:fitText w:val="346" w:id="-1232957184"/>
                <w14:textFill>
                  <w14:solidFill>
                    <w14:srgbClr w14:val="000000">
                      <w14:alpha w14:val="100000"/>
                    </w14:srgbClr>
                  </w14:solidFill>
                </w14:textFill>
              </w:rPr>
              <w:t>|||</w:t>
            </w:r>
            <w:r w:rsidRPr="009E0870">
              <w:rPr>
                <w:color w:val="000000"/>
                <w:spacing w:val="2"/>
                <w:shd w:val="solid" w:color="000000" w:fill="000000"/>
                <w:fitText w:val="346" w:id="-1232957184"/>
                <w14:textFill>
                  <w14:solidFill>
                    <w14:srgbClr w14:val="000000">
                      <w14:alpha w14:val="100000"/>
                    </w14:srgbClr>
                  </w14:solidFill>
                </w14:textFill>
              </w:rPr>
              <w:t>|</w:t>
            </w:r>
            <w:r w:rsidR="00981B2A" w:rsidRPr="009E0870">
              <w:rPr>
                <w:iCs/>
                <w:szCs w:val="18"/>
                <w:vertAlign w:val="superscript"/>
              </w:rPr>
              <w:t>2</w:t>
            </w:r>
          </w:p>
        </w:tc>
        <w:tc>
          <w:tcPr>
            <w:tcW w:w="607" w:type="pct"/>
            <w:shd w:val="clear" w:color="auto" w:fill="auto"/>
          </w:tcPr>
          <w:p w14:paraId="3BF4A7AE" w14:textId="75A5D1F6"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4" w:id="-1232957183"/>
                <w14:textFill>
                  <w14:solidFill>
                    <w14:srgbClr w14:val="000000">
                      <w14:alpha w14:val="100000"/>
                    </w14:srgbClr>
                  </w14:solidFill>
                </w14:textFill>
              </w:rPr>
              <w:t>|||</w:t>
            </w:r>
            <w:r w:rsidRPr="009E0870">
              <w:rPr>
                <w:color w:val="000000"/>
                <w:spacing w:val="2"/>
                <w:shd w:val="solid" w:color="000000" w:fill="000000"/>
                <w:fitText w:val="364" w:id="-1232957183"/>
                <w14:textFill>
                  <w14:solidFill>
                    <w14:srgbClr w14:val="000000">
                      <w14:alpha w14:val="100000"/>
                    </w14:srgbClr>
                  </w14:solidFill>
                </w14:textFill>
              </w:rPr>
              <w:t>|</w:t>
            </w:r>
            <w:r w:rsidR="00981B2A" w:rsidRPr="009E0870">
              <w:rPr>
                <w:iCs/>
                <w:szCs w:val="18"/>
                <w:vertAlign w:val="superscript"/>
              </w:rPr>
              <w:t>2</w:t>
            </w:r>
          </w:p>
        </w:tc>
        <w:tc>
          <w:tcPr>
            <w:tcW w:w="606" w:type="pct"/>
            <w:shd w:val="clear" w:color="auto" w:fill="auto"/>
          </w:tcPr>
          <w:p w14:paraId="33D19E45" w14:textId="2403AF3D" w:rsidR="00056A6A" w:rsidRPr="009E0870" w:rsidRDefault="009E0870" w:rsidP="002A1F14">
            <w:pPr>
              <w:pStyle w:val="TableText0"/>
              <w:keepNext w:val="0"/>
              <w:jc w:val="center"/>
              <w:rPr>
                <w:highlight w:val="darkGray"/>
              </w:rPr>
            </w:pPr>
            <w:r w:rsidRPr="009E0870">
              <w:rPr>
                <w:color w:val="000000"/>
                <w:spacing w:val="64"/>
                <w:shd w:val="solid" w:color="000000" w:fill="000000"/>
                <w:fitText w:val="364" w:id="-1232957182"/>
                <w14:textFill>
                  <w14:solidFill>
                    <w14:srgbClr w14:val="000000">
                      <w14:alpha w14:val="100000"/>
                    </w14:srgbClr>
                  </w14:solidFill>
                </w14:textFill>
              </w:rPr>
              <w:t>|||</w:t>
            </w:r>
            <w:r w:rsidRPr="009E0870">
              <w:rPr>
                <w:color w:val="000000"/>
                <w:spacing w:val="2"/>
                <w:shd w:val="solid" w:color="000000" w:fill="000000"/>
                <w:fitText w:val="364" w:id="-1232957182"/>
                <w14:textFill>
                  <w14:solidFill>
                    <w14:srgbClr w14:val="000000">
                      <w14:alpha w14:val="100000"/>
                    </w14:srgbClr>
                  </w14:solidFill>
                </w14:textFill>
              </w:rPr>
              <w:t>|</w:t>
            </w:r>
            <w:r w:rsidR="00981B2A" w:rsidRPr="009E0870">
              <w:rPr>
                <w:iCs/>
                <w:szCs w:val="18"/>
                <w:vertAlign w:val="superscript"/>
              </w:rPr>
              <w:t>2</w:t>
            </w:r>
          </w:p>
        </w:tc>
      </w:tr>
      <w:tr w:rsidR="009E0870" w:rsidRPr="009E0870" w14:paraId="4BB4B478" w14:textId="77777777" w:rsidTr="002E1153">
        <w:tc>
          <w:tcPr>
            <w:tcW w:w="5000" w:type="pct"/>
            <w:gridSpan w:val="7"/>
            <w:shd w:val="clear" w:color="auto" w:fill="auto"/>
            <w:vAlign w:val="center"/>
          </w:tcPr>
          <w:p w14:paraId="51127238" w14:textId="3FE598E5" w:rsidR="007D1805" w:rsidRPr="009E0870" w:rsidRDefault="007D1805" w:rsidP="002A1F14">
            <w:pPr>
              <w:pStyle w:val="TableText0"/>
              <w:keepNext w:val="0"/>
              <w:rPr>
                <w:b/>
                <w:bCs w:val="0"/>
              </w:rPr>
            </w:pPr>
            <w:r w:rsidRPr="009E0870">
              <w:rPr>
                <w:b/>
                <w:bCs w:val="0"/>
              </w:rPr>
              <w:t>Estimated financial implications of romosozumab</w:t>
            </w:r>
          </w:p>
        </w:tc>
      </w:tr>
      <w:tr w:rsidR="009E0870" w:rsidRPr="009E0870" w14:paraId="6EF3F078" w14:textId="77777777" w:rsidTr="002E1153">
        <w:tc>
          <w:tcPr>
            <w:tcW w:w="1362" w:type="pct"/>
            <w:shd w:val="clear" w:color="auto" w:fill="auto"/>
            <w:vAlign w:val="center"/>
          </w:tcPr>
          <w:p w14:paraId="521DDF09" w14:textId="7582555D" w:rsidR="00056A6A" w:rsidRPr="009E0870" w:rsidRDefault="00056A6A" w:rsidP="002A1F14">
            <w:pPr>
              <w:pStyle w:val="TableText0"/>
              <w:keepNext w:val="0"/>
            </w:pPr>
            <w:r w:rsidRPr="009E0870">
              <w:rPr>
                <w:b/>
                <w:bCs w:val="0"/>
              </w:rPr>
              <w:t>PBS/RPBS</w:t>
            </w:r>
            <w:r w:rsidR="008D2CEB" w:rsidRPr="009E0870">
              <w:rPr>
                <w:b/>
                <w:bCs w:val="0"/>
              </w:rPr>
              <w:t xml:space="preserve"> cost of romosozumab less copay</w:t>
            </w:r>
            <w:r w:rsidR="004F319F" w:rsidRPr="009E0870">
              <w:rPr>
                <w:b/>
                <w:bCs w:val="0"/>
              </w:rPr>
              <w:t xml:space="preserve"> *</w:t>
            </w:r>
          </w:p>
        </w:tc>
        <w:tc>
          <w:tcPr>
            <w:tcW w:w="607" w:type="pct"/>
            <w:shd w:val="clear" w:color="auto" w:fill="auto"/>
            <w:vAlign w:val="center"/>
          </w:tcPr>
          <w:p w14:paraId="5F02501B" w14:textId="5A75E0DB" w:rsidR="00056A6A" w:rsidRPr="009E0870" w:rsidRDefault="00056A6A" w:rsidP="002A1F14">
            <w:pPr>
              <w:pStyle w:val="TableText0"/>
              <w:keepNext w:val="0"/>
              <w:jc w:val="center"/>
              <w:rPr>
                <w:b/>
                <w:bCs w:val="0"/>
              </w:rPr>
            </w:pPr>
            <w:r w:rsidRPr="009E0870">
              <w:rPr>
                <w:b/>
                <w:bCs w:val="0"/>
              </w:rPr>
              <w:t>$</w:t>
            </w:r>
            <w:r w:rsidR="009E0870" w:rsidRPr="009E0870">
              <w:rPr>
                <w:b/>
                <w:bCs w:val="0"/>
                <w:color w:val="000000"/>
                <w:spacing w:val="46"/>
                <w:shd w:val="solid" w:color="000000" w:fill="000000"/>
                <w:fitText w:val="510" w:id="-1232957181"/>
                <w14:textFill>
                  <w14:solidFill>
                    <w14:srgbClr w14:val="000000">
                      <w14:alpha w14:val="100000"/>
                    </w14:srgbClr>
                  </w14:solidFill>
                </w14:textFill>
              </w:rPr>
              <w:t>|||||</w:t>
            </w:r>
            <w:r w:rsidR="009E0870" w:rsidRPr="009E0870">
              <w:rPr>
                <w:b/>
                <w:bCs w:val="0"/>
                <w:color w:val="000000"/>
                <w:spacing w:val="5"/>
                <w:shd w:val="solid" w:color="000000" w:fill="000000"/>
                <w:fitText w:val="510" w:id="-1232957181"/>
                <w14:textFill>
                  <w14:solidFill>
                    <w14:srgbClr w14:val="000000">
                      <w14:alpha w14:val="100000"/>
                    </w14:srgbClr>
                  </w14:solidFill>
                </w14:textFill>
              </w:rPr>
              <w:t>|</w:t>
            </w:r>
            <w:r w:rsidR="00676BCD" w:rsidRPr="009E0870">
              <w:rPr>
                <w:iCs/>
                <w:szCs w:val="18"/>
                <w:vertAlign w:val="superscript"/>
              </w:rPr>
              <w:t>1</w:t>
            </w:r>
            <w:r w:rsidR="00C6397E" w:rsidRPr="009E0870">
              <w:rPr>
                <w:iCs/>
                <w:szCs w:val="18"/>
                <w:vertAlign w:val="superscript"/>
              </w:rPr>
              <w:t>0</w:t>
            </w:r>
          </w:p>
        </w:tc>
        <w:tc>
          <w:tcPr>
            <w:tcW w:w="606" w:type="pct"/>
            <w:shd w:val="clear" w:color="auto" w:fill="auto"/>
            <w:vAlign w:val="center"/>
          </w:tcPr>
          <w:p w14:paraId="76C814F7" w14:textId="19E15971" w:rsidR="00056A6A" w:rsidRPr="009E0870" w:rsidRDefault="00056A6A" w:rsidP="002A1F14">
            <w:pPr>
              <w:pStyle w:val="TableText0"/>
              <w:keepNext w:val="0"/>
              <w:jc w:val="center"/>
              <w:rPr>
                <w:b/>
                <w:bCs w:val="0"/>
              </w:rPr>
            </w:pPr>
            <w:r w:rsidRPr="009E0870">
              <w:rPr>
                <w:b/>
                <w:bCs w:val="0"/>
              </w:rPr>
              <w:t>$</w:t>
            </w:r>
            <w:r w:rsidR="009E0870" w:rsidRPr="009E0870">
              <w:rPr>
                <w:b/>
                <w:bCs w:val="0"/>
                <w:color w:val="000000"/>
                <w:spacing w:val="47"/>
                <w:shd w:val="solid" w:color="000000" w:fill="000000"/>
                <w:fitText w:val="511" w:id="-1232957180"/>
                <w14:textFill>
                  <w14:solidFill>
                    <w14:srgbClr w14:val="000000">
                      <w14:alpha w14:val="100000"/>
                    </w14:srgbClr>
                  </w14:solidFill>
                </w14:textFill>
              </w:rPr>
              <w:t>|||||</w:t>
            </w:r>
            <w:r w:rsidR="009E0870" w:rsidRPr="009E0870">
              <w:rPr>
                <w:b/>
                <w:bCs w:val="0"/>
                <w:color w:val="000000"/>
                <w:spacing w:val="1"/>
                <w:shd w:val="solid" w:color="000000" w:fill="000000"/>
                <w:fitText w:val="511" w:id="-1232957180"/>
                <w14:textFill>
                  <w14:solidFill>
                    <w14:srgbClr w14:val="000000">
                      <w14:alpha w14:val="100000"/>
                    </w14:srgbClr>
                  </w14:solidFill>
                </w14:textFill>
              </w:rPr>
              <w:t>|</w:t>
            </w:r>
            <w:r w:rsidR="008F3D2A" w:rsidRPr="009E0870">
              <w:rPr>
                <w:iCs/>
                <w:szCs w:val="18"/>
                <w:vertAlign w:val="superscript"/>
              </w:rPr>
              <w:t>11</w:t>
            </w:r>
          </w:p>
        </w:tc>
        <w:tc>
          <w:tcPr>
            <w:tcW w:w="586" w:type="pct"/>
            <w:shd w:val="clear" w:color="auto" w:fill="auto"/>
            <w:vAlign w:val="center"/>
          </w:tcPr>
          <w:p w14:paraId="74D93CEA" w14:textId="14F34988" w:rsidR="00056A6A" w:rsidRPr="009E0870" w:rsidRDefault="00056A6A" w:rsidP="002A1F14">
            <w:pPr>
              <w:pStyle w:val="TableText0"/>
              <w:keepNext w:val="0"/>
              <w:jc w:val="center"/>
              <w:rPr>
                <w:b/>
                <w:bCs w:val="0"/>
              </w:rPr>
            </w:pPr>
            <w:r w:rsidRPr="009E0870">
              <w:rPr>
                <w:b/>
                <w:bCs w:val="0"/>
              </w:rPr>
              <w:t>$</w:t>
            </w:r>
            <w:r w:rsidR="009E0870" w:rsidRPr="009E0870">
              <w:rPr>
                <w:b/>
                <w:bCs w:val="0"/>
                <w:color w:val="000000"/>
                <w:spacing w:val="50"/>
                <w:shd w:val="solid" w:color="000000" w:fill="000000"/>
                <w:fitText w:val="529" w:id="-1232957179"/>
                <w14:textFill>
                  <w14:solidFill>
                    <w14:srgbClr w14:val="000000">
                      <w14:alpha w14:val="100000"/>
                    </w14:srgbClr>
                  </w14:solidFill>
                </w14:textFill>
              </w:rPr>
              <w:t>|||||</w:t>
            </w:r>
            <w:r w:rsidR="009E0870" w:rsidRPr="009E0870">
              <w:rPr>
                <w:b/>
                <w:bCs w:val="0"/>
                <w:color w:val="000000"/>
                <w:spacing w:val="4"/>
                <w:shd w:val="solid" w:color="000000" w:fill="000000"/>
                <w:fitText w:val="529" w:id="-1232957179"/>
                <w14:textFill>
                  <w14:solidFill>
                    <w14:srgbClr w14:val="000000">
                      <w14:alpha w14:val="100000"/>
                    </w14:srgbClr>
                  </w14:solidFill>
                </w14:textFill>
              </w:rPr>
              <w:t>|</w:t>
            </w:r>
            <w:r w:rsidR="00DA650E" w:rsidRPr="009E0870">
              <w:rPr>
                <w:iCs/>
                <w:szCs w:val="18"/>
                <w:vertAlign w:val="superscript"/>
              </w:rPr>
              <w:t>19</w:t>
            </w:r>
          </w:p>
        </w:tc>
        <w:tc>
          <w:tcPr>
            <w:tcW w:w="625" w:type="pct"/>
            <w:shd w:val="clear" w:color="auto" w:fill="auto"/>
            <w:vAlign w:val="center"/>
          </w:tcPr>
          <w:p w14:paraId="4D02E082" w14:textId="57360BD2" w:rsidR="00056A6A" w:rsidRPr="009E0870" w:rsidRDefault="00056A6A" w:rsidP="002A1F14">
            <w:pPr>
              <w:pStyle w:val="TableText0"/>
              <w:keepNext w:val="0"/>
              <w:jc w:val="center"/>
              <w:rPr>
                <w:b/>
                <w:bCs w:val="0"/>
              </w:rPr>
            </w:pPr>
            <w:r w:rsidRPr="009E0870">
              <w:rPr>
                <w:b/>
                <w:bCs w:val="0"/>
              </w:rPr>
              <w:t>$</w:t>
            </w:r>
            <w:r w:rsidR="009E0870" w:rsidRPr="009E0870">
              <w:rPr>
                <w:b/>
                <w:bCs w:val="0"/>
                <w:color w:val="000000"/>
                <w:spacing w:val="43"/>
                <w:shd w:val="solid" w:color="000000" w:fill="000000"/>
                <w:fitText w:val="492" w:id="-1232957178"/>
                <w14:textFill>
                  <w14:solidFill>
                    <w14:srgbClr w14:val="000000">
                      <w14:alpha w14:val="100000"/>
                    </w14:srgbClr>
                  </w14:solidFill>
                </w14:textFill>
              </w:rPr>
              <w:t>|||||</w:t>
            </w:r>
            <w:r w:rsidR="009E0870" w:rsidRPr="009E0870">
              <w:rPr>
                <w:b/>
                <w:bCs w:val="0"/>
                <w:color w:val="000000"/>
                <w:spacing w:val="2"/>
                <w:shd w:val="solid" w:color="000000" w:fill="000000"/>
                <w:fitText w:val="492" w:id="-1232957178"/>
                <w14:textFill>
                  <w14:solidFill>
                    <w14:srgbClr w14:val="000000">
                      <w14:alpha w14:val="100000"/>
                    </w14:srgbClr>
                  </w14:solidFill>
                </w14:textFill>
              </w:rPr>
              <w:t>|</w:t>
            </w:r>
            <w:r w:rsidR="00DA650E" w:rsidRPr="009E0870">
              <w:rPr>
                <w:iCs/>
                <w:szCs w:val="18"/>
                <w:vertAlign w:val="superscript"/>
              </w:rPr>
              <w:t>19</w:t>
            </w:r>
          </w:p>
        </w:tc>
        <w:tc>
          <w:tcPr>
            <w:tcW w:w="607" w:type="pct"/>
            <w:shd w:val="clear" w:color="auto" w:fill="auto"/>
            <w:vAlign w:val="center"/>
          </w:tcPr>
          <w:p w14:paraId="026BACAD" w14:textId="26E317E4" w:rsidR="00056A6A" w:rsidRPr="009E0870" w:rsidRDefault="00056A6A" w:rsidP="002A1F14">
            <w:pPr>
              <w:pStyle w:val="TableText0"/>
              <w:keepNext w:val="0"/>
              <w:jc w:val="center"/>
              <w:rPr>
                <w:b/>
                <w:bCs w:val="0"/>
              </w:rPr>
            </w:pPr>
            <w:r w:rsidRPr="009E0870">
              <w:rPr>
                <w:b/>
                <w:bCs w:val="0"/>
              </w:rPr>
              <w:t>$</w:t>
            </w:r>
            <w:r w:rsidR="009E0870" w:rsidRPr="009E0870">
              <w:rPr>
                <w:b/>
                <w:bCs w:val="0"/>
                <w:color w:val="000000"/>
                <w:spacing w:val="46"/>
                <w:shd w:val="solid" w:color="000000" w:fill="000000"/>
                <w:fitText w:val="510" w:id="-1232957177"/>
                <w14:textFill>
                  <w14:solidFill>
                    <w14:srgbClr w14:val="000000">
                      <w14:alpha w14:val="100000"/>
                    </w14:srgbClr>
                  </w14:solidFill>
                </w14:textFill>
              </w:rPr>
              <w:t>|||||</w:t>
            </w:r>
            <w:r w:rsidR="009E0870" w:rsidRPr="009E0870">
              <w:rPr>
                <w:b/>
                <w:bCs w:val="0"/>
                <w:color w:val="000000"/>
                <w:spacing w:val="5"/>
                <w:shd w:val="solid" w:color="000000" w:fill="000000"/>
                <w:fitText w:val="510" w:id="-1232957177"/>
                <w14:textFill>
                  <w14:solidFill>
                    <w14:srgbClr w14:val="000000">
                      <w14:alpha w14:val="100000"/>
                    </w14:srgbClr>
                  </w14:solidFill>
                </w14:textFill>
              </w:rPr>
              <w:t>|</w:t>
            </w:r>
            <w:r w:rsidR="00DA650E" w:rsidRPr="009E0870">
              <w:rPr>
                <w:iCs/>
                <w:szCs w:val="18"/>
                <w:vertAlign w:val="superscript"/>
              </w:rPr>
              <w:t>19</w:t>
            </w:r>
          </w:p>
        </w:tc>
        <w:tc>
          <w:tcPr>
            <w:tcW w:w="606" w:type="pct"/>
            <w:shd w:val="clear" w:color="auto" w:fill="auto"/>
            <w:vAlign w:val="center"/>
          </w:tcPr>
          <w:p w14:paraId="77CC2D54" w14:textId="3BDF46B2" w:rsidR="00056A6A" w:rsidRPr="009E0870" w:rsidRDefault="00056A6A" w:rsidP="002A1F14">
            <w:pPr>
              <w:pStyle w:val="TableText0"/>
              <w:keepNext w:val="0"/>
              <w:jc w:val="center"/>
              <w:rPr>
                <w:b/>
                <w:bCs w:val="0"/>
              </w:rPr>
            </w:pPr>
            <w:r w:rsidRPr="009E0870">
              <w:rPr>
                <w:b/>
                <w:bCs w:val="0"/>
              </w:rPr>
              <w:t>$</w:t>
            </w:r>
            <w:r w:rsidR="009E0870" w:rsidRPr="009E0870">
              <w:rPr>
                <w:b/>
                <w:bCs w:val="0"/>
                <w:color w:val="000000"/>
                <w:spacing w:val="46"/>
                <w:shd w:val="solid" w:color="000000" w:fill="000000"/>
                <w:fitText w:val="510" w:id="-1232957176"/>
                <w14:textFill>
                  <w14:solidFill>
                    <w14:srgbClr w14:val="000000">
                      <w14:alpha w14:val="100000"/>
                    </w14:srgbClr>
                  </w14:solidFill>
                </w14:textFill>
              </w:rPr>
              <w:t>|||||</w:t>
            </w:r>
            <w:r w:rsidR="009E0870" w:rsidRPr="009E0870">
              <w:rPr>
                <w:b/>
                <w:bCs w:val="0"/>
                <w:color w:val="000000"/>
                <w:spacing w:val="5"/>
                <w:shd w:val="solid" w:color="000000" w:fill="000000"/>
                <w:fitText w:val="510" w:id="-1232957176"/>
                <w14:textFill>
                  <w14:solidFill>
                    <w14:srgbClr w14:val="000000">
                      <w14:alpha w14:val="100000"/>
                    </w14:srgbClr>
                  </w14:solidFill>
                </w14:textFill>
              </w:rPr>
              <w:t>|</w:t>
            </w:r>
            <w:r w:rsidR="003813A1" w:rsidRPr="009E0870">
              <w:rPr>
                <w:iCs/>
                <w:szCs w:val="18"/>
                <w:vertAlign w:val="superscript"/>
              </w:rPr>
              <w:t>21</w:t>
            </w:r>
          </w:p>
        </w:tc>
      </w:tr>
      <w:tr w:rsidR="009E0870" w:rsidRPr="009E0870" w14:paraId="4FD1379F" w14:textId="77777777" w:rsidTr="002E1153">
        <w:tc>
          <w:tcPr>
            <w:tcW w:w="5000" w:type="pct"/>
            <w:gridSpan w:val="7"/>
            <w:shd w:val="clear" w:color="auto" w:fill="B8CCE4" w:themeFill="accent1" w:themeFillTint="66"/>
            <w:vAlign w:val="center"/>
          </w:tcPr>
          <w:p w14:paraId="1F5D0D3A" w14:textId="77777777" w:rsidR="00056A6A" w:rsidRPr="009E0870" w:rsidRDefault="00056A6A" w:rsidP="002A1F14">
            <w:pPr>
              <w:pStyle w:val="COMTableheadingrow"/>
              <w:keepNext w:val="0"/>
            </w:pPr>
            <w:r w:rsidRPr="009E0870">
              <w:t>Previous submission July 2022</w:t>
            </w:r>
          </w:p>
        </w:tc>
      </w:tr>
      <w:tr w:rsidR="009E0870" w:rsidRPr="009E0870" w14:paraId="6970DB1D" w14:textId="77777777" w:rsidTr="002E1153">
        <w:tc>
          <w:tcPr>
            <w:tcW w:w="1362" w:type="pct"/>
            <w:shd w:val="clear" w:color="auto" w:fill="B8CCE4" w:themeFill="accent1" w:themeFillTint="66"/>
            <w:vAlign w:val="center"/>
          </w:tcPr>
          <w:p w14:paraId="284FA887" w14:textId="70495593" w:rsidR="00056A6A" w:rsidRPr="009E0870" w:rsidRDefault="00806E58" w:rsidP="002A1F14">
            <w:pPr>
              <w:pStyle w:val="TableText0"/>
              <w:keepNext w:val="0"/>
            </w:pPr>
            <w:r w:rsidRPr="009E0870">
              <w:t>PBS/RPBS cost of romosozumab less copay</w:t>
            </w:r>
          </w:p>
        </w:tc>
        <w:tc>
          <w:tcPr>
            <w:tcW w:w="607" w:type="pct"/>
            <w:shd w:val="clear" w:color="auto" w:fill="B8CCE4" w:themeFill="accent1" w:themeFillTint="66"/>
            <w:vAlign w:val="center"/>
          </w:tcPr>
          <w:p w14:paraId="13010DC0" w14:textId="278D38E3" w:rsidR="00056A6A" w:rsidRPr="009E0870" w:rsidRDefault="00056A6A" w:rsidP="002A1F14">
            <w:pPr>
              <w:pStyle w:val="TableText0"/>
              <w:keepNext w:val="0"/>
              <w:jc w:val="center"/>
            </w:pPr>
            <w:r w:rsidRPr="009E0870">
              <w:t>$</w:t>
            </w:r>
            <w:r w:rsidR="009E0870" w:rsidRPr="009E0870">
              <w:rPr>
                <w:color w:val="000000"/>
                <w:spacing w:val="36"/>
                <w:shd w:val="solid" w:color="000000" w:fill="000000"/>
                <w:fitText w:val="438" w:id="-1232957175"/>
                <w14:textFill>
                  <w14:solidFill>
                    <w14:srgbClr w14:val="000000">
                      <w14:alpha w14:val="100000"/>
                    </w14:srgbClr>
                  </w14:solidFill>
                </w14:textFill>
              </w:rPr>
              <w:t>|||||</w:t>
            </w:r>
            <w:r w:rsidR="009E0870" w:rsidRPr="009E0870">
              <w:rPr>
                <w:color w:val="000000"/>
                <w:spacing w:val="3"/>
                <w:shd w:val="solid" w:color="000000" w:fill="000000"/>
                <w:fitText w:val="438" w:id="-1232957175"/>
                <w14:textFill>
                  <w14:solidFill>
                    <w14:srgbClr w14:val="000000">
                      <w14:alpha w14:val="100000"/>
                    </w14:srgbClr>
                  </w14:solidFill>
                </w14:textFill>
              </w:rPr>
              <w:t>|</w:t>
            </w:r>
            <w:r w:rsidR="00676BCD" w:rsidRPr="009E0870">
              <w:rPr>
                <w:iCs/>
                <w:szCs w:val="18"/>
                <w:vertAlign w:val="superscript"/>
              </w:rPr>
              <w:t>1</w:t>
            </w:r>
            <w:r w:rsidR="00C6397E" w:rsidRPr="009E0870">
              <w:rPr>
                <w:iCs/>
                <w:szCs w:val="18"/>
                <w:vertAlign w:val="superscript"/>
              </w:rPr>
              <w:t>1</w:t>
            </w:r>
          </w:p>
        </w:tc>
        <w:tc>
          <w:tcPr>
            <w:tcW w:w="606" w:type="pct"/>
            <w:shd w:val="clear" w:color="auto" w:fill="B8CCE4" w:themeFill="accent1" w:themeFillTint="66"/>
            <w:vAlign w:val="center"/>
          </w:tcPr>
          <w:p w14:paraId="2A7935E6" w14:textId="29A0ADB2" w:rsidR="00056A6A" w:rsidRPr="009E0870" w:rsidRDefault="00056A6A" w:rsidP="002A1F14">
            <w:pPr>
              <w:pStyle w:val="TableText0"/>
              <w:keepNext w:val="0"/>
              <w:jc w:val="center"/>
            </w:pPr>
            <w:r w:rsidRPr="009E0870">
              <w:t>$</w:t>
            </w:r>
            <w:r w:rsidR="009E0870" w:rsidRPr="009E0870">
              <w:rPr>
                <w:color w:val="000000"/>
                <w:spacing w:val="36"/>
                <w:shd w:val="solid" w:color="000000" w:fill="000000"/>
                <w:fitText w:val="438" w:id="-1232957174"/>
                <w14:textFill>
                  <w14:solidFill>
                    <w14:srgbClr w14:val="000000">
                      <w14:alpha w14:val="100000"/>
                    </w14:srgbClr>
                  </w14:solidFill>
                </w14:textFill>
              </w:rPr>
              <w:t>|||||</w:t>
            </w:r>
            <w:r w:rsidR="009E0870" w:rsidRPr="009E0870">
              <w:rPr>
                <w:color w:val="000000"/>
                <w:spacing w:val="3"/>
                <w:shd w:val="solid" w:color="000000" w:fill="000000"/>
                <w:fitText w:val="438" w:id="-1232957174"/>
                <w14:textFill>
                  <w14:solidFill>
                    <w14:srgbClr w14:val="000000">
                      <w14:alpha w14:val="100000"/>
                    </w14:srgbClr>
                  </w14:solidFill>
                </w14:textFill>
              </w:rPr>
              <w:t>|</w:t>
            </w:r>
            <w:r w:rsidR="00DA650E" w:rsidRPr="009E0870">
              <w:rPr>
                <w:iCs/>
                <w:szCs w:val="18"/>
                <w:vertAlign w:val="superscript"/>
              </w:rPr>
              <w:t>19</w:t>
            </w:r>
          </w:p>
        </w:tc>
        <w:tc>
          <w:tcPr>
            <w:tcW w:w="586" w:type="pct"/>
            <w:shd w:val="clear" w:color="auto" w:fill="B8CCE4" w:themeFill="accent1" w:themeFillTint="66"/>
            <w:vAlign w:val="center"/>
          </w:tcPr>
          <w:p w14:paraId="07158669" w14:textId="546E84FF" w:rsidR="00056A6A" w:rsidRPr="009E0870" w:rsidRDefault="00056A6A" w:rsidP="002A1F14">
            <w:pPr>
              <w:pStyle w:val="TableText0"/>
              <w:keepNext w:val="0"/>
              <w:jc w:val="center"/>
            </w:pPr>
            <w:r w:rsidRPr="009E0870">
              <w:t>$</w:t>
            </w:r>
            <w:r w:rsidR="009E0870" w:rsidRPr="009E0870">
              <w:rPr>
                <w:color w:val="000000"/>
                <w:spacing w:val="40"/>
                <w:shd w:val="solid" w:color="000000" w:fill="000000"/>
                <w:fitText w:val="456" w:id="-1232957173"/>
                <w14:textFill>
                  <w14:solidFill>
                    <w14:srgbClr w14:val="000000">
                      <w14:alpha w14:val="100000"/>
                    </w14:srgbClr>
                  </w14:solidFill>
                </w14:textFill>
              </w:rPr>
              <w:t>|||||</w:t>
            </w:r>
            <w:r w:rsidR="009E0870" w:rsidRPr="009E0870">
              <w:rPr>
                <w:color w:val="000000"/>
                <w:spacing w:val="1"/>
                <w:shd w:val="solid" w:color="000000" w:fill="000000"/>
                <w:fitText w:val="456" w:id="-1232957173"/>
                <w14:textFill>
                  <w14:solidFill>
                    <w14:srgbClr w14:val="000000">
                      <w14:alpha w14:val="100000"/>
                    </w14:srgbClr>
                  </w14:solidFill>
                </w14:textFill>
              </w:rPr>
              <w:t>|</w:t>
            </w:r>
            <w:r w:rsidR="003813A1" w:rsidRPr="009E0870">
              <w:rPr>
                <w:iCs/>
                <w:szCs w:val="18"/>
                <w:vertAlign w:val="superscript"/>
              </w:rPr>
              <w:t>21</w:t>
            </w:r>
          </w:p>
        </w:tc>
        <w:tc>
          <w:tcPr>
            <w:tcW w:w="625" w:type="pct"/>
            <w:shd w:val="clear" w:color="auto" w:fill="B8CCE4" w:themeFill="accent1" w:themeFillTint="66"/>
            <w:vAlign w:val="center"/>
          </w:tcPr>
          <w:p w14:paraId="5FD2130E" w14:textId="22A42DA2" w:rsidR="00056A6A" w:rsidRPr="009E0870" w:rsidRDefault="00056A6A" w:rsidP="002A1F14">
            <w:pPr>
              <w:pStyle w:val="TableText0"/>
              <w:keepNext w:val="0"/>
              <w:jc w:val="center"/>
            </w:pPr>
            <w:r w:rsidRPr="009E0870">
              <w:t>$</w:t>
            </w:r>
            <w:r w:rsidR="009E0870" w:rsidRPr="009E0870">
              <w:rPr>
                <w:color w:val="000000"/>
                <w:spacing w:val="32"/>
                <w:shd w:val="solid" w:color="000000" w:fill="000000"/>
                <w:fitText w:val="420" w:id="-1232957172"/>
                <w14:textFill>
                  <w14:solidFill>
                    <w14:srgbClr w14:val="000000">
                      <w14:alpha w14:val="100000"/>
                    </w14:srgbClr>
                  </w14:solidFill>
                </w14:textFill>
              </w:rPr>
              <w:t>|||||</w:t>
            </w:r>
            <w:r w:rsidR="009E0870" w:rsidRPr="009E0870">
              <w:rPr>
                <w:color w:val="000000"/>
                <w:spacing w:val="5"/>
                <w:shd w:val="solid" w:color="000000" w:fill="000000"/>
                <w:fitText w:val="420" w:id="-1232957172"/>
                <w14:textFill>
                  <w14:solidFill>
                    <w14:srgbClr w14:val="000000">
                      <w14:alpha w14:val="100000"/>
                    </w14:srgbClr>
                  </w14:solidFill>
                </w14:textFill>
              </w:rPr>
              <w:t>|</w:t>
            </w:r>
            <w:r w:rsidR="003813A1" w:rsidRPr="009E0870">
              <w:rPr>
                <w:iCs/>
                <w:szCs w:val="18"/>
                <w:vertAlign w:val="superscript"/>
              </w:rPr>
              <w:t>24</w:t>
            </w:r>
          </w:p>
        </w:tc>
        <w:tc>
          <w:tcPr>
            <w:tcW w:w="607" w:type="pct"/>
            <w:shd w:val="clear" w:color="auto" w:fill="B8CCE4" w:themeFill="accent1" w:themeFillTint="66"/>
            <w:vAlign w:val="center"/>
          </w:tcPr>
          <w:p w14:paraId="1931E0AC" w14:textId="1410FA76" w:rsidR="00056A6A" w:rsidRPr="009E0870" w:rsidRDefault="00056A6A" w:rsidP="002A1F14">
            <w:pPr>
              <w:pStyle w:val="TableText0"/>
              <w:keepNext w:val="0"/>
              <w:jc w:val="center"/>
            </w:pPr>
            <w:r w:rsidRPr="009E0870">
              <w:t>$</w:t>
            </w:r>
            <w:r w:rsidR="009E0870" w:rsidRPr="009E0870">
              <w:rPr>
                <w:color w:val="000000"/>
                <w:spacing w:val="36"/>
                <w:shd w:val="solid" w:color="000000" w:fill="000000"/>
                <w:fitText w:val="437" w:id="-1232957171"/>
                <w14:textFill>
                  <w14:solidFill>
                    <w14:srgbClr w14:val="000000">
                      <w14:alpha w14:val="100000"/>
                    </w14:srgbClr>
                  </w14:solidFill>
                </w14:textFill>
              </w:rPr>
              <w:t>|||||</w:t>
            </w:r>
            <w:r w:rsidR="009E0870" w:rsidRPr="009E0870">
              <w:rPr>
                <w:color w:val="000000"/>
                <w:spacing w:val="2"/>
                <w:shd w:val="solid" w:color="000000" w:fill="000000"/>
                <w:fitText w:val="437" w:id="-1232957171"/>
                <w14:textFill>
                  <w14:solidFill>
                    <w14:srgbClr w14:val="000000">
                      <w14:alpha w14:val="100000"/>
                    </w14:srgbClr>
                  </w14:solidFill>
                </w14:textFill>
              </w:rPr>
              <w:t>|</w:t>
            </w:r>
            <w:r w:rsidR="003813A1" w:rsidRPr="009E0870">
              <w:rPr>
                <w:iCs/>
                <w:szCs w:val="18"/>
                <w:vertAlign w:val="superscript"/>
              </w:rPr>
              <w:t>24</w:t>
            </w:r>
          </w:p>
        </w:tc>
        <w:tc>
          <w:tcPr>
            <w:tcW w:w="606" w:type="pct"/>
            <w:shd w:val="clear" w:color="auto" w:fill="B8CCE4" w:themeFill="accent1" w:themeFillTint="66"/>
            <w:vAlign w:val="center"/>
          </w:tcPr>
          <w:p w14:paraId="2984DF22" w14:textId="24123EAD" w:rsidR="00056A6A" w:rsidRPr="009E0870" w:rsidRDefault="00056A6A" w:rsidP="002A1F14">
            <w:pPr>
              <w:pStyle w:val="TableText0"/>
              <w:keepNext w:val="0"/>
              <w:jc w:val="center"/>
            </w:pPr>
            <w:r w:rsidRPr="009E0870">
              <w:t>$</w:t>
            </w:r>
            <w:r w:rsidR="009E0870" w:rsidRPr="009E0870">
              <w:rPr>
                <w:color w:val="000000"/>
                <w:spacing w:val="36"/>
                <w:shd w:val="solid" w:color="000000" w:fill="000000"/>
                <w:fitText w:val="437" w:id="-1232957170"/>
                <w14:textFill>
                  <w14:solidFill>
                    <w14:srgbClr w14:val="000000">
                      <w14:alpha w14:val="100000"/>
                    </w14:srgbClr>
                  </w14:solidFill>
                </w14:textFill>
              </w:rPr>
              <w:t>|||||</w:t>
            </w:r>
            <w:r w:rsidR="009E0870" w:rsidRPr="009E0870">
              <w:rPr>
                <w:color w:val="000000"/>
                <w:spacing w:val="2"/>
                <w:shd w:val="solid" w:color="000000" w:fill="000000"/>
                <w:fitText w:val="437" w:id="-1232957170"/>
                <w14:textFill>
                  <w14:solidFill>
                    <w14:srgbClr w14:val="000000">
                      <w14:alpha w14:val="100000"/>
                    </w14:srgbClr>
                  </w14:solidFill>
                </w14:textFill>
              </w:rPr>
              <w:t>|</w:t>
            </w:r>
            <w:r w:rsidR="003813A1" w:rsidRPr="009E0870">
              <w:rPr>
                <w:iCs/>
                <w:szCs w:val="18"/>
                <w:vertAlign w:val="superscript"/>
              </w:rPr>
              <w:t>24</w:t>
            </w:r>
          </w:p>
        </w:tc>
      </w:tr>
      <w:tr w:rsidR="009E0870" w:rsidRPr="009E0870" w14:paraId="4BC4273B" w14:textId="77777777" w:rsidTr="002E1153">
        <w:tc>
          <w:tcPr>
            <w:tcW w:w="1362" w:type="pct"/>
            <w:shd w:val="clear" w:color="auto" w:fill="auto"/>
            <w:vAlign w:val="center"/>
          </w:tcPr>
          <w:p w14:paraId="17370F7D" w14:textId="6F1B30E7" w:rsidR="00B13F70" w:rsidRPr="009E0870" w:rsidRDefault="00B13F70" w:rsidP="002A1F14">
            <w:pPr>
              <w:pStyle w:val="TableText0"/>
              <w:keepNext w:val="0"/>
            </w:pPr>
            <w:r w:rsidRPr="009E0870">
              <w:t xml:space="preserve">PBS/RPBS cost offsets from displaced </w:t>
            </w:r>
            <w:r w:rsidR="009C376F" w:rsidRPr="009E0870">
              <w:t>anti-resorptives</w:t>
            </w:r>
          </w:p>
        </w:tc>
        <w:tc>
          <w:tcPr>
            <w:tcW w:w="607" w:type="pct"/>
            <w:shd w:val="clear" w:color="auto" w:fill="auto"/>
            <w:vAlign w:val="center"/>
          </w:tcPr>
          <w:p w14:paraId="3659F152" w14:textId="092FFDE4" w:rsidR="00B13F70" w:rsidRPr="009E0870" w:rsidRDefault="009E0870" w:rsidP="002A1F14">
            <w:pPr>
              <w:pStyle w:val="TableText0"/>
              <w:keepNext w:val="0"/>
              <w:jc w:val="center"/>
            </w:pPr>
            <w:r w:rsidRPr="009E0870">
              <w:rPr>
                <w:color w:val="000000"/>
                <w:spacing w:val="73"/>
                <w:shd w:val="solid" w:color="000000" w:fill="000000"/>
                <w:fitText w:val="391" w:id="-1232957169"/>
                <w14:textFill>
                  <w14:solidFill>
                    <w14:srgbClr w14:val="000000">
                      <w14:alpha w14:val="100000"/>
                    </w14:srgbClr>
                  </w14:solidFill>
                </w14:textFill>
              </w:rPr>
              <w:t>|||</w:t>
            </w:r>
            <w:r w:rsidRPr="009E0870">
              <w:rPr>
                <w:color w:val="000000"/>
                <w:spacing w:val="2"/>
                <w:shd w:val="solid" w:color="000000" w:fill="000000"/>
                <w:fitText w:val="391" w:id="-1232957169"/>
                <w14:textFill>
                  <w14:solidFill>
                    <w14:srgbClr w14:val="000000">
                      <w14:alpha w14:val="100000"/>
                    </w14:srgbClr>
                  </w14:solidFill>
                </w14:textFill>
              </w:rPr>
              <w:t>|</w:t>
            </w:r>
            <w:r w:rsidR="00676BCD" w:rsidRPr="009E0870">
              <w:rPr>
                <w:iCs/>
                <w:szCs w:val="18"/>
                <w:vertAlign w:val="superscript"/>
              </w:rPr>
              <w:t>1</w:t>
            </w:r>
            <w:r w:rsidR="00C6397E" w:rsidRPr="009E0870">
              <w:rPr>
                <w:iCs/>
                <w:szCs w:val="18"/>
                <w:vertAlign w:val="superscript"/>
              </w:rPr>
              <w:t>2</w:t>
            </w:r>
          </w:p>
        </w:tc>
        <w:tc>
          <w:tcPr>
            <w:tcW w:w="606" w:type="pct"/>
            <w:shd w:val="clear" w:color="auto" w:fill="auto"/>
            <w:vAlign w:val="center"/>
          </w:tcPr>
          <w:p w14:paraId="338BB87F" w14:textId="6F5E9417" w:rsidR="00B13F70" w:rsidRPr="009E0870" w:rsidRDefault="009E0870" w:rsidP="002A1F14">
            <w:pPr>
              <w:pStyle w:val="TableText0"/>
              <w:keepNext w:val="0"/>
              <w:jc w:val="center"/>
            </w:pPr>
            <w:r w:rsidRPr="009E0870">
              <w:rPr>
                <w:color w:val="000000"/>
                <w:spacing w:val="73"/>
                <w:shd w:val="solid" w:color="000000" w:fill="000000"/>
                <w:fitText w:val="392" w:id="-1232957168"/>
                <w14:textFill>
                  <w14:solidFill>
                    <w14:srgbClr w14:val="000000">
                      <w14:alpha w14:val="100000"/>
                    </w14:srgbClr>
                  </w14:solidFill>
                </w14:textFill>
              </w:rPr>
              <w:t>|||</w:t>
            </w:r>
            <w:r w:rsidRPr="009E0870">
              <w:rPr>
                <w:color w:val="000000"/>
                <w:spacing w:val="3"/>
                <w:shd w:val="solid" w:color="000000" w:fill="000000"/>
                <w:fitText w:val="392" w:id="-1232957168"/>
                <w14:textFill>
                  <w14:solidFill>
                    <w14:srgbClr w14:val="000000">
                      <w14:alpha w14:val="100000"/>
                    </w14:srgbClr>
                  </w14:solidFill>
                </w14:textFill>
              </w:rPr>
              <w:t>|</w:t>
            </w:r>
            <w:r w:rsidR="008F3D2A" w:rsidRPr="009E0870">
              <w:rPr>
                <w:iCs/>
                <w:szCs w:val="18"/>
                <w:vertAlign w:val="superscript"/>
              </w:rPr>
              <w:t>12</w:t>
            </w:r>
          </w:p>
        </w:tc>
        <w:tc>
          <w:tcPr>
            <w:tcW w:w="586" w:type="pct"/>
            <w:shd w:val="clear" w:color="auto" w:fill="auto"/>
            <w:vAlign w:val="center"/>
          </w:tcPr>
          <w:p w14:paraId="1231B496" w14:textId="08C36CB0" w:rsidR="00B13F70" w:rsidRPr="009E0870" w:rsidRDefault="009E0870" w:rsidP="002A1F14">
            <w:pPr>
              <w:pStyle w:val="TableText0"/>
              <w:keepNext w:val="0"/>
              <w:jc w:val="center"/>
            </w:pPr>
            <w:r w:rsidRPr="009E0870">
              <w:rPr>
                <w:color w:val="000000"/>
                <w:spacing w:val="79"/>
                <w:shd w:val="solid" w:color="000000" w:fill="000000"/>
                <w:fitText w:val="410" w:id="-1232957184"/>
                <w14:textFill>
                  <w14:solidFill>
                    <w14:srgbClr w14:val="000000">
                      <w14:alpha w14:val="100000"/>
                    </w14:srgbClr>
                  </w14:solidFill>
                </w14:textFill>
              </w:rPr>
              <w:t>|||</w:t>
            </w:r>
            <w:r w:rsidRPr="009E0870">
              <w:rPr>
                <w:color w:val="000000"/>
                <w:spacing w:val="3"/>
                <w:shd w:val="solid" w:color="000000" w:fill="000000"/>
                <w:fitText w:val="410" w:id="-1232957184"/>
                <w14:textFill>
                  <w14:solidFill>
                    <w14:srgbClr w14:val="000000">
                      <w14:alpha w14:val="100000"/>
                    </w14:srgbClr>
                  </w14:solidFill>
                </w14:textFill>
              </w:rPr>
              <w:t>|</w:t>
            </w:r>
            <w:r w:rsidR="008F3D2A" w:rsidRPr="009E0870">
              <w:rPr>
                <w:iCs/>
                <w:szCs w:val="18"/>
                <w:vertAlign w:val="superscript"/>
              </w:rPr>
              <w:t>12</w:t>
            </w:r>
          </w:p>
        </w:tc>
        <w:tc>
          <w:tcPr>
            <w:tcW w:w="625" w:type="pct"/>
            <w:shd w:val="clear" w:color="auto" w:fill="auto"/>
            <w:vAlign w:val="center"/>
          </w:tcPr>
          <w:p w14:paraId="17E986CE" w14:textId="0A467BAC" w:rsidR="00B13F70" w:rsidRPr="009E0870" w:rsidRDefault="009E0870" w:rsidP="002A1F14">
            <w:pPr>
              <w:pStyle w:val="TableText0"/>
              <w:keepNext w:val="0"/>
              <w:jc w:val="center"/>
            </w:pPr>
            <w:r w:rsidRPr="009E0870">
              <w:rPr>
                <w:color w:val="000000"/>
                <w:spacing w:val="67"/>
                <w:shd w:val="solid" w:color="000000" w:fill="000000"/>
                <w:fitText w:val="373" w:id="-1232957183"/>
                <w14:textFill>
                  <w14:solidFill>
                    <w14:srgbClr w14:val="000000">
                      <w14:alpha w14:val="100000"/>
                    </w14:srgbClr>
                  </w14:solidFill>
                </w14:textFill>
              </w:rPr>
              <w:t>|||</w:t>
            </w:r>
            <w:r w:rsidRPr="009E0870">
              <w:rPr>
                <w:color w:val="000000"/>
                <w:spacing w:val="2"/>
                <w:shd w:val="solid" w:color="000000" w:fill="000000"/>
                <w:fitText w:val="373" w:id="-1232957183"/>
                <w14:textFill>
                  <w14:solidFill>
                    <w14:srgbClr w14:val="000000">
                      <w14:alpha w14:val="100000"/>
                    </w14:srgbClr>
                  </w14:solidFill>
                </w14:textFill>
              </w:rPr>
              <w:t>|</w:t>
            </w:r>
            <w:r w:rsidR="008F3D2A" w:rsidRPr="009E0870">
              <w:rPr>
                <w:iCs/>
                <w:szCs w:val="18"/>
                <w:vertAlign w:val="superscript"/>
              </w:rPr>
              <w:t>12</w:t>
            </w:r>
          </w:p>
        </w:tc>
        <w:tc>
          <w:tcPr>
            <w:tcW w:w="607" w:type="pct"/>
            <w:shd w:val="clear" w:color="auto" w:fill="auto"/>
            <w:vAlign w:val="center"/>
          </w:tcPr>
          <w:p w14:paraId="74E55C08" w14:textId="1D4C0866" w:rsidR="00B13F70" w:rsidRPr="009E0870" w:rsidRDefault="009E0870" w:rsidP="002A1F14">
            <w:pPr>
              <w:pStyle w:val="TableText0"/>
              <w:keepNext w:val="0"/>
              <w:jc w:val="center"/>
            </w:pPr>
            <w:r w:rsidRPr="009E0870">
              <w:rPr>
                <w:color w:val="000000"/>
                <w:spacing w:val="73"/>
                <w:shd w:val="solid" w:color="000000" w:fill="000000"/>
                <w:fitText w:val="392" w:id="-1232957182"/>
                <w14:textFill>
                  <w14:solidFill>
                    <w14:srgbClr w14:val="000000">
                      <w14:alpha w14:val="100000"/>
                    </w14:srgbClr>
                  </w14:solidFill>
                </w14:textFill>
              </w:rPr>
              <w:t>|||</w:t>
            </w:r>
            <w:r w:rsidRPr="009E0870">
              <w:rPr>
                <w:color w:val="000000"/>
                <w:spacing w:val="3"/>
                <w:shd w:val="solid" w:color="000000" w:fill="000000"/>
                <w:fitText w:val="392" w:id="-1232957182"/>
                <w14:textFill>
                  <w14:solidFill>
                    <w14:srgbClr w14:val="000000">
                      <w14:alpha w14:val="100000"/>
                    </w14:srgbClr>
                  </w14:solidFill>
                </w14:textFill>
              </w:rPr>
              <w:t>|</w:t>
            </w:r>
            <w:r w:rsidR="008F3D2A" w:rsidRPr="009E0870">
              <w:rPr>
                <w:iCs/>
                <w:szCs w:val="18"/>
                <w:vertAlign w:val="superscript"/>
              </w:rPr>
              <w:t>12</w:t>
            </w:r>
          </w:p>
        </w:tc>
        <w:tc>
          <w:tcPr>
            <w:tcW w:w="606" w:type="pct"/>
            <w:shd w:val="clear" w:color="auto" w:fill="auto"/>
            <w:vAlign w:val="center"/>
          </w:tcPr>
          <w:p w14:paraId="1E089EE3" w14:textId="0BB58ECA" w:rsidR="00B13F70" w:rsidRPr="009E0870" w:rsidRDefault="009E0870" w:rsidP="002A1F14">
            <w:pPr>
              <w:pStyle w:val="TableText0"/>
              <w:keepNext w:val="0"/>
              <w:jc w:val="center"/>
            </w:pPr>
            <w:r w:rsidRPr="009E0870">
              <w:rPr>
                <w:color w:val="000000"/>
                <w:spacing w:val="73"/>
                <w:shd w:val="solid" w:color="000000" w:fill="000000"/>
                <w:fitText w:val="392" w:id="-1232957181"/>
                <w14:textFill>
                  <w14:solidFill>
                    <w14:srgbClr w14:val="000000">
                      <w14:alpha w14:val="100000"/>
                    </w14:srgbClr>
                  </w14:solidFill>
                </w14:textFill>
              </w:rPr>
              <w:t>|||</w:t>
            </w:r>
            <w:r w:rsidRPr="009E0870">
              <w:rPr>
                <w:color w:val="000000"/>
                <w:spacing w:val="3"/>
                <w:shd w:val="solid" w:color="000000" w:fill="000000"/>
                <w:fitText w:val="392" w:id="-1232957181"/>
                <w14:textFill>
                  <w14:solidFill>
                    <w14:srgbClr w14:val="000000">
                      <w14:alpha w14:val="100000"/>
                    </w14:srgbClr>
                  </w14:solidFill>
                </w14:textFill>
              </w:rPr>
              <w:t>|</w:t>
            </w:r>
            <w:r w:rsidR="008F3D2A" w:rsidRPr="009E0870">
              <w:rPr>
                <w:iCs/>
                <w:szCs w:val="18"/>
                <w:vertAlign w:val="superscript"/>
              </w:rPr>
              <w:t>12</w:t>
            </w:r>
          </w:p>
        </w:tc>
      </w:tr>
      <w:tr w:rsidR="009E0870" w:rsidRPr="009E0870" w14:paraId="76770485" w14:textId="77777777" w:rsidTr="002E1153">
        <w:tc>
          <w:tcPr>
            <w:tcW w:w="5000" w:type="pct"/>
            <w:gridSpan w:val="7"/>
            <w:shd w:val="clear" w:color="auto" w:fill="auto"/>
            <w:vAlign w:val="center"/>
          </w:tcPr>
          <w:p w14:paraId="671046BF" w14:textId="026A507E" w:rsidR="0050518B" w:rsidRPr="009E0870" w:rsidRDefault="0050518B" w:rsidP="002A1F14">
            <w:pPr>
              <w:pStyle w:val="TableText0"/>
              <w:keepNext w:val="0"/>
              <w:rPr>
                <w:b/>
                <w:bCs w:val="0"/>
              </w:rPr>
            </w:pPr>
            <w:r w:rsidRPr="009E0870">
              <w:rPr>
                <w:b/>
                <w:bCs w:val="0"/>
              </w:rPr>
              <w:t>Net financial implications</w:t>
            </w:r>
          </w:p>
        </w:tc>
      </w:tr>
      <w:tr w:rsidR="009E0870" w:rsidRPr="009E0870" w14:paraId="726D3FEB" w14:textId="77777777" w:rsidTr="002E1153">
        <w:tc>
          <w:tcPr>
            <w:tcW w:w="1362" w:type="pct"/>
            <w:shd w:val="clear" w:color="auto" w:fill="auto"/>
            <w:vAlign w:val="center"/>
          </w:tcPr>
          <w:p w14:paraId="3F21E830" w14:textId="77777777" w:rsidR="00B13F70" w:rsidRPr="009E0870" w:rsidRDefault="00B13F70" w:rsidP="002A1F14">
            <w:pPr>
              <w:pStyle w:val="TableText0"/>
              <w:keepNext w:val="0"/>
              <w:rPr>
                <w:b/>
                <w:bCs w:val="0"/>
              </w:rPr>
            </w:pPr>
            <w:r w:rsidRPr="009E0870">
              <w:rPr>
                <w:b/>
                <w:bCs w:val="0"/>
              </w:rPr>
              <w:t>Net PBS/RPBS cost</w:t>
            </w:r>
          </w:p>
        </w:tc>
        <w:tc>
          <w:tcPr>
            <w:tcW w:w="607" w:type="pct"/>
            <w:shd w:val="clear" w:color="auto" w:fill="auto"/>
          </w:tcPr>
          <w:p w14:paraId="12D5468B" w14:textId="6F5C3B2A" w:rsidR="00B13F70" w:rsidRPr="009E0870" w:rsidRDefault="00B13F70" w:rsidP="002A1F14">
            <w:pPr>
              <w:pStyle w:val="TableText0"/>
              <w:keepNext w:val="0"/>
              <w:jc w:val="center"/>
              <w:rPr>
                <w:b/>
                <w:bCs w:val="0"/>
              </w:rPr>
            </w:pPr>
            <w:r w:rsidRPr="009E0870">
              <w:rPr>
                <w:b/>
                <w:bCs w:val="0"/>
              </w:rPr>
              <w:t>$</w:t>
            </w:r>
            <w:r w:rsidR="009E0870" w:rsidRPr="009E0870">
              <w:rPr>
                <w:b/>
                <w:bCs w:val="0"/>
                <w:color w:val="000000"/>
                <w:spacing w:val="46"/>
                <w:shd w:val="solid" w:color="000000" w:fill="000000"/>
                <w:fitText w:val="510" w:id="-1232957180"/>
                <w14:textFill>
                  <w14:solidFill>
                    <w14:srgbClr w14:val="000000">
                      <w14:alpha w14:val="100000"/>
                    </w14:srgbClr>
                  </w14:solidFill>
                </w14:textFill>
              </w:rPr>
              <w:t>|||||</w:t>
            </w:r>
            <w:r w:rsidR="009E0870" w:rsidRPr="009E0870">
              <w:rPr>
                <w:b/>
                <w:bCs w:val="0"/>
                <w:color w:val="000000"/>
                <w:spacing w:val="5"/>
                <w:shd w:val="solid" w:color="000000" w:fill="000000"/>
                <w:fitText w:val="510" w:id="-1232957180"/>
                <w14:textFill>
                  <w14:solidFill>
                    <w14:srgbClr w14:val="000000">
                      <w14:alpha w14:val="100000"/>
                    </w14:srgbClr>
                  </w14:solidFill>
                </w14:textFill>
              </w:rPr>
              <w:t>|</w:t>
            </w:r>
            <w:r w:rsidR="00676BCD" w:rsidRPr="009E0870">
              <w:rPr>
                <w:iCs/>
                <w:szCs w:val="18"/>
                <w:vertAlign w:val="superscript"/>
              </w:rPr>
              <w:t>1</w:t>
            </w:r>
            <w:r w:rsidR="008F3D2A" w:rsidRPr="009E0870">
              <w:rPr>
                <w:iCs/>
                <w:szCs w:val="18"/>
                <w:vertAlign w:val="superscript"/>
              </w:rPr>
              <w:t>0</w:t>
            </w:r>
          </w:p>
        </w:tc>
        <w:tc>
          <w:tcPr>
            <w:tcW w:w="606" w:type="pct"/>
            <w:shd w:val="clear" w:color="auto" w:fill="auto"/>
          </w:tcPr>
          <w:p w14:paraId="1AFFF274" w14:textId="26AB853C" w:rsidR="00B13F70" w:rsidRPr="009E0870" w:rsidRDefault="00B13F70" w:rsidP="002A1F14">
            <w:pPr>
              <w:pStyle w:val="TableText0"/>
              <w:keepNext w:val="0"/>
              <w:jc w:val="center"/>
              <w:rPr>
                <w:b/>
                <w:bCs w:val="0"/>
              </w:rPr>
            </w:pPr>
            <w:r w:rsidRPr="009E0870">
              <w:rPr>
                <w:b/>
                <w:bCs w:val="0"/>
              </w:rPr>
              <w:t>$</w:t>
            </w:r>
            <w:r w:rsidR="009E0870" w:rsidRPr="009E0870">
              <w:rPr>
                <w:b/>
                <w:bCs w:val="0"/>
                <w:color w:val="000000"/>
                <w:spacing w:val="47"/>
                <w:shd w:val="solid" w:color="000000" w:fill="000000"/>
                <w:fitText w:val="511" w:id="-1232957179"/>
                <w14:textFill>
                  <w14:solidFill>
                    <w14:srgbClr w14:val="000000">
                      <w14:alpha w14:val="100000"/>
                    </w14:srgbClr>
                  </w14:solidFill>
                </w14:textFill>
              </w:rPr>
              <w:t>|||||</w:t>
            </w:r>
            <w:r w:rsidR="009E0870" w:rsidRPr="009E0870">
              <w:rPr>
                <w:b/>
                <w:bCs w:val="0"/>
                <w:color w:val="000000"/>
                <w:spacing w:val="1"/>
                <w:shd w:val="solid" w:color="000000" w:fill="000000"/>
                <w:fitText w:val="511" w:id="-1232957179"/>
                <w14:textFill>
                  <w14:solidFill>
                    <w14:srgbClr w14:val="000000">
                      <w14:alpha w14:val="100000"/>
                    </w14:srgbClr>
                  </w14:solidFill>
                </w14:textFill>
              </w:rPr>
              <w:t>|</w:t>
            </w:r>
            <w:r w:rsidR="008F3D2A" w:rsidRPr="009E0870">
              <w:rPr>
                <w:iCs/>
                <w:szCs w:val="18"/>
                <w:vertAlign w:val="superscript"/>
              </w:rPr>
              <w:t>11</w:t>
            </w:r>
          </w:p>
        </w:tc>
        <w:tc>
          <w:tcPr>
            <w:tcW w:w="586" w:type="pct"/>
            <w:shd w:val="clear" w:color="auto" w:fill="auto"/>
          </w:tcPr>
          <w:p w14:paraId="68050934" w14:textId="289E627A" w:rsidR="00B13F70" w:rsidRPr="009E0870" w:rsidRDefault="00B13F70" w:rsidP="002A1F14">
            <w:pPr>
              <w:pStyle w:val="TableText0"/>
              <w:keepNext w:val="0"/>
              <w:jc w:val="center"/>
              <w:rPr>
                <w:b/>
                <w:bCs w:val="0"/>
              </w:rPr>
            </w:pPr>
            <w:r w:rsidRPr="009E0870">
              <w:rPr>
                <w:b/>
                <w:bCs w:val="0"/>
              </w:rPr>
              <w:t>$</w:t>
            </w:r>
            <w:r w:rsidR="009E0870" w:rsidRPr="009E0870">
              <w:rPr>
                <w:b/>
                <w:bCs w:val="0"/>
                <w:color w:val="000000"/>
                <w:spacing w:val="50"/>
                <w:shd w:val="solid" w:color="000000" w:fill="000000"/>
                <w:fitText w:val="529" w:id="-1232957178"/>
                <w14:textFill>
                  <w14:solidFill>
                    <w14:srgbClr w14:val="000000">
                      <w14:alpha w14:val="100000"/>
                    </w14:srgbClr>
                  </w14:solidFill>
                </w14:textFill>
              </w:rPr>
              <w:t>|||||</w:t>
            </w:r>
            <w:r w:rsidR="009E0870" w:rsidRPr="009E0870">
              <w:rPr>
                <w:b/>
                <w:bCs w:val="0"/>
                <w:color w:val="000000"/>
                <w:spacing w:val="4"/>
                <w:shd w:val="solid" w:color="000000" w:fill="000000"/>
                <w:fitText w:val="529" w:id="-1232957178"/>
                <w14:textFill>
                  <w14:solidFill>
                    <w14:srgbClr w14:val="000000">
                      <w14:alpha w14:val="100000"/>
                    </w14:srgbClr>
                  </w14:solidFill>
                </w14:textFill>
              </w:rPr>
              <w:t>|</w:t>
            </w:r>
            <w:r w:rsidR="008F3D2A" w:rsidRPr="009E0870">
              <w:rPr>
                <w:iCs/>
                <w:szCs w:val="18"/>
                <w:vertAlign w:val="superscript"/>
              </w:rPr>
              <w:t>11</w:t>
            </w:r>
          </w:p>
        </w:tc>
        <w:tc>
          <w:tcPr>
            <w:tcW w:w="625" w:type="pct"/>
            <w:shd w:val="clear" w:color="auto" w:fill="auto"/>
          </w:tcPr>
          <w:p w14:paraId="243F1185" w14:textId="6F8FD992" w:rsidR="00B13F70" w:rsidRPr="009E0870" w:rsidRDefault="00B13F70" w:rsidP="002A1F14">
            <w:pPr>
              <w:pStyle w:val="TableText0"/>
              <w:keepNext w:val="0"/>
              <w:jc w:val="center"/>
              <w:rPr>
                <w:b/>
                <w:bCs w:val="0"/>
              </w:rPr>
            </w:pPr>
            <w:r w:rsidRPr="009E0870">
              <w:rPr>
                <w:b/>
                <w:bCs w:val="0"/>
              </w:rPr>
              <w:t>$</w:t>
            </w:r>
            <w:r w:rsidR="009E0870" w:rsidRPr="009E0870">
              <w:rPr>
                <w:b/>
                <w:bCs w:val="0"/>
                <w:color w:val="000000"/>
                <w:spacing w:val="43"/>
                <w:shd w:val="solid" w:color="000000" w:fill="000000"/>
                <w:fitText w:val="492" w:id="-1232957177"/>
                <w14:textFill>
                  <w14:solidFill>
                    <w14:srgbClr w14:val="000000">
                      <w14:alpha w14:val="100000"/>
                    </w14:srgbClr>
                  </w14:solidFill>
                </w14:textFill>
              </w:rPr>
              <w:t>|||||</w:t>
            </w:r>
            <w:r w:rsidR="009E0870" w:rsidRPr="009E0870">
              <w:rPr>
                <w:b/>
                <w:bCs w:val="0"/>
                <w:color w:val="000000"/>
                <w:spacing w:val="2"/>
                <w:shd w:val="solid" w:color="000000" w:fill="000000"/>
                <w:fitText w:val="492" w:id="-1232957177"/>
                <w14:textFill>
                  <w14:solidFill>
                    <w14:srgbClr w14:val="000000">
                      <w14:alpha w14:val="100000"/>
                    </w14:srgbClr>
                  </w14:solidFill>
                </w14:textFill>
              </w:rPr>
              <w:t>|</w:t>
            </w:r>
            <w:r w:rsidR="00DA650E" w:rsidRPr="009E0870">
              <w:rPr>
                <w:iCs/>
                <w:szCs w:val="18"/>
                <w:vertAlign w:val="superscript"/>
              </w:rPr>
              <w:t>19</w:t>
            </w:r>
          </w:p>
        </w:tc>
        <w:tc>
          <w:tcPr>
            <w:tcW w:w="607" w:type="pct"/>
            <w:shd w:val="clear" w:color="auto" w:fill="auto"/>
          </w:tcPr>
          <w:p w14:paraId="228FD7EF" w14:textId="4065C915" w:rsidR="00B13F70" w:rsidRPr="009E0870" w:rsidRDefault="00B13F70" w:rsidP="002A1F14">
            <w:pPr>
              <w:pStyle w:val="TableText0"/>
              <w:keepNext w:val="0"/>
              <w:jc w:val="center"/>
              <w:rPr>
                <w:b/>
                <w:bCs w:val="0"/>
              </w:rPr>
            </w:pPr>
            <w:r w:rsidRPr="009E0870">
              <w:rPr>
                <w:b/>
                <w:bCs w:val="0"/>
              </w:rPr>
              <w:t>$</w:t>
            </w:r>
            <w:r w:rsidR="009E0870" w:rsidRPr="009E0870">
              <w:rPr>
                <w:b/>
                <w:bCs w:val="0"/>
                <w:color w:val="000000"/>
                <w:spacing w:val="46"/>
                <w:shd w:val="solid" w:color="000000" w:fill="000000"/>
                <w:fitText w:val="510" w:id="-1232957176"/>
                <w14:textFill>
                  <w14:solidFill>
                    <w14:srgbClr w14:val="000000">
                      <w14:alpha w14:val="100000"/>
                    </w14:srgbClr>
                  </w14:solidFill>
                </w14:textFill>
              </w:rPr>
              <w:t>|||||</w:t>
            </w:r>
            <w:r w:rsidR="009E0870" w:rsidRPr="009E0870">
              <w:rPr>
                <w:b/>
                <w:bCs w:val="0"/>
                <w:color w:val="000000"/>
                <w:spacing w:val="5"/>
                <w:shd w:val="solid" w:color="000000" w:fill="000000"/>
                <w:fitText w:val="510" w:id="-1232957176"/>
                <w14:textFill>
                  <w14:solidFill>
                    <w14:srgbClr w14:val="000000">
                      <w14:alpha w14:val="100000"/>
                    </w14:srgbClr>
                  </w14:solidFill>
                </w14:textFill>
              </w:rPr>
              <w:t>|</w:t>
            </w:r>
            <w:r w:rsidR="00DA650E" w:rsidRPr="009E0870">
              <w:rPr>
                <w:iCs/>
                <w:szCs w:val="18"/>
                <w:vertAlign w:val="superscript"/>
              </w:rPr>
              <w:t>19</w:t>
            </w:r>
          </w:p>
        </w:tc>
        <w:tc>
          <w:tcPr>
            <w:tcW w:w="606" w:type="pct"/>
            <w:shd w:val="clear" w:color="auto" w:fill="auto"/>
          </w:tcPr>
          <w:p w14:paraId="035BC3A5" w14:textId="75FC0747" w:rsidR="00B13F70" w:rsidRPr="009E0870" w:rsidRDefault="00B13F70" w:rsidP="002A1F14">
            <w:pPr>
              <w:pStyle w:val="TableText0"/>
              <w:keepNext w:val="0"/>
              <w:jc w:val="center"/>
              <w:rPr>
                <w:b/>
                <w:bCs w:val="0"/>
              </w:rPr>
            </w:pPr>
            <w:r w:rsidRPr="009E0870">
              <w:rPr>
                <w:b/>
                <w:bCs w:val="0"/>
              </w:rPr>
              <w:t>$</w:t>
            </w:r>
            <w:r w:rsidR="009E0870" w:rsidRPr="009E0870">
              <w:rPr>
                <w:b/>
                <w:bCs w:val="0"/>
                <w:color w:val="000000"/>
                <w:spacing w:val="46"/>
                <w:shd w:val="solid" w:color="000000" w:fill="000000"/>
                <w:fitText w:val="510" w:id="-1232957175"/>
                <w14:textFill>
                  <w14:solidFill>
                    <w14:srgbClr w14:val="000000">
                      <w14:alpha w14:val="100000"/>
                    </w14:srgbClr>
                  </w14:solidFill>
                </w14:textFill>
              </w:rPr>
              <w:t>|||||</w:t>
            </w:r>
            <w:r w:rsidR="009E0870" w:rsidRPr="009E0870">
              <w:rPr>
                <w:b/>
                <w:bCs w:val="0"/>
                <w:color w:val="000000"/>
                <w:spacing w:val="5"/>
                <w:shd w:val="solid" w:color="000000" w:fill="000000"/>
                <w:fitText w:val="510" w:id="-1232957175"/>
                <w14:textFill>
                  <w14:solidFill>
                    <w14:srgbClr w14:val="000000">
                      <w14:alpha w14:val="100000"/>
                    </w14:srgbClr>
                  </w14:solidFill>
                </w14:textFill>
              </w:rPr>
              <w:t>|</w:t>
            </w:r>
            <w:r w:rsidR="00DA650E" w:rsidRPr="009E0870">
              <w:rPr>
                <w:iCs/>
                <w:szCs w:val="18"/>
                <w:vertAlign w:val="superscript"/>
              </w:rPr>
              <w:t>19</w:t>
            </w:r>
          </w:p>
        </w:tc>
      </w:tr>
      <w:tr w:rsidR="009E0870" w:rsidRPr="009E0870" w14:paraId="23767299" w14:textId="77777777" w:rsidTr="002E1153">
        <w:tc>
          <w:tcPr>
            <w:tcW w:w="5000" w:type="pct"/>
            <w:gridSpan w:val="7"/>
            <w:shd w:val="clear" w:color="auto" w:fill="B8CCE4" w:themeFill="accent1" w:themeFillTint="66"/>
            <w:vAlign w:val="center"/>
          </w:tcPr>
          <w:p w14:paraId="643A164D" w14:textId="77777777" w:rsidR="00B13F70" w:rsidRPr="009E0870" w:rsidRDefault="00B13F70" w:rsidP="002A1F14">
            <w:pPr>
              <w:pStyle w:val="COMTableheadingrow"/>
              <w:keepNext w:val="0"/>
            </w:pPr>
            <w:r w:rsidRPr="009E0870">
              <w:t>Previous submission July 2022</w:t>
            </w:r>
          </w:p>
        </w:tc>
      </w:tr>
      <w:tr w:rsidR="009E0870" w:rsidRPr="009E0870" w14:paraId="209EDAF4" w14:textId="77777777" w:rsidTr="002E1153">
        <w:tc>
          <w:tcPr>
            <w:tcW w:w="1362" w:type="pct"/>
            <w:shd w:val="clear" w:color="auto" w:fill="B8CCE4" w:themeFill="accent1" w:themeFillTint="66"/>
            <w:vAlign w:val="center"/>
          </w:tcPr>
          <w:p w14:paraId="12171D45" w14:textId="77777777" w:rsidR="00B13F70" w:rsidRPr="009E0870" w:rsidRDefault="00B13F70" w:rsidP="002A1F14">
            <w:pPr>
              <w:pStyle w:val="TableText0"/>
              <w:keepNext w:val="0"/>
            </w:pPr>
            <w:r w:rsidRPr="009E0870">
              <w:t>Net PBS/RPBS cost</w:t>
            </w:r>
          </w:p>
        </w:tc>
        <w:tc>
          <w:tcPr>
            <w:tcW w:w="607" w:type="pct"/>
            <w:shd w:val="clear" w:color="auto" w:fill="B8CCE4" w:themeFill="accent1" w:themeFillTint="66"/>
          </w:tcPr>
          <w:p w14:paraId="1BCA90B3" w14:textId="102AECC9" w:rsidR="00B13F70" w:rsidRPr="009E0870" w:rsidRDefault="00B13F70" w:rsidP="002A1F14">
            <w:pPr>
              <w:pStyle w:val="TableText0"/>
              <w:keepNext w:val="0"/>
              <w:jc w:val="center"/>
            </w:pPr>
            <w:r w:rsidRPr="009E0870">
              <w:t>$</w:t>
            </w:r>
            <w:r w:rsidR="009E0870" w:rsidRPr="009E0870">
              <w:rPr>
                <w:color w:val="000000"/>
                <w:spacing w:val="36"/>
                <w:shd w:val="solid" w:color="000000" w:fill="000000"/>
                <w:fitText w:val="438" w:id="-1232957174"/>
                <w14:textFill>
                  <w14:solidFill>
                    <w14:srgbClr w14:val="000000">
                      <w14:alpha w14:val="100000"/>
                    </w14:srgbClr>
                  </w14:solidFill>
                </w14:textFill>
              </w:rPr>
              <w:t>|||||</w:t>
            </w:r>
            <w:r w:rsidR="009E0870" w:rsidRPr="009E0870">
              <w:rPr>
                <w:color w:val="000000"/>
                <w:spacing w:val="3"/>
                <w:shd w:val="solid" w:color="000000" w:fill="000000"/>
                <w:fitText w:val="438" w:id="-1232957174"/>
                <w14:textFill>
                  <w14:solidFill>
                    <w14:srgbClr w14:val="000000">
                      <w14:alpha w14:val="100000"/>
                    </w14:srgbClr>
                  </w14:solidFill>
                </w14:textFill>
              </w:rPr>
              <w:t>|</w:t>
            </w:r>
            <w:r w:rsidR="00676BCD" w:rsidRPr="009E0870">
              <w:rPr>
                <w:iCs/>
                <w:szCs w:val="18"/>
                <w:vertAlign w:val="superscript"/>
              </w:rPr>
              <w:t>1</w:t>
            </w:r>
            <w:r w:rsidR="00C6397E" w:rsidRPr="009E0870">
              <w:rPr>
                <w:iCs/>
                <w:szCs w:val="18"/>
                <w:vertAlign w:val="superscript"/>
              </w:rPr>
              <w:t>1</w:t>
            </w:r>
          </w:p>
        </w:tc>
        <w:tc>
          <w:tcPr>
            <w:tcW w:w="606" w:type="pct"/>
            <w:shd w:val="clear" w:color="auto" w:fill="B8CCE4" w:themeFill="accent1" w:themeFillTint="66"/>
          </w:tcPr>
          <w:p w14:paraId="451DD215" w14:textId="0106618F" w:rsidR="00B13F70" w:rsidRPr="009E0870" w:rsidRDefault="00B13F70" w:rsidP="002A1F14">
            <w:pPr>
              <w:pStyle w:val="TableText0"/>
              <w:keepNext w:val="0"/>
              <w:jc w:val="center"/>
            </w:pPr>
            <w:r w:rsidRPr="009E0870">
              <w:t>$</w:t>
            </w:r>
            <w:r w:rsidR="009E0870" w:rsidRPr="009E0870">
              <w:rPr>
                <w:color w:val="000000"/>
                <w:spacing w:val="36"/>
                <w:shd w:val="solid" w:color="000000" w:fill="000000"/>
                <w:fitText w:val="438" w:id="-1232957173"/>
                <w14:textFill>
                  <w14:solidFill>
                    <w14:srgbClr w14:val="000000">
                      <w14:alpha w14:val="100000"/>
                    </w14:srgbClr>
                  </w14:solidFill>
                </w14:textFill>
              </w:rPr>
              <w:t>|||||</w:t>
            </w:r>
            <w:r w:rsidR="009E0870" w:rsidRPr="009E0870">
              <w:rPr>
                <w:color w:val="000000"/>
                <w:spacing w:val="3"/>
                <w:shd w:val="solid" w:color="000000" w:fill="000000"/>
                <w:fitText w:val="438" w:id="-1232957173"/>
                <w14:textFill>
                  <w14:solidFill>
                    <w14:srgbClr w14:val="000000">
                      <w14:alpha w14:val="100000"/>
                    </w14:srgbClr>
                  </w14:solidFill>
                </w14:textFill>
              </w:rPr>
              <w:t>|</w:t>
            </w:r>
            <w:r w:rsidR="00DA650E" w:rsidRPr="009E0870">
              <w:rPr>
                <w:iCs/>
                <w:szCs w:val="18"/>
                <w:vertAlign w:val="superscript"/>
              </w:rPr>
              <w:t>19</w:t>
            </w:r>
          </w:p>
        </w:tc>
        <w:tc>
          <w:tcPr>
            <w:tcW w:w="586" w:type="pct"/>
            <w:shd w:val="clear" w:color="auto" w:fill="B8CCE4" w:themeFill="accent1" w:themeFillTint="66"/>
          </w:tcPr>
          <w:p w14:paraId="24114C2B" w14:textId="23C30634" w:rsidR="00B13F70" w:rsidRPr="009E0870" w:rsidRDefault="00B13F70" w:rsidP="002A1F14">
            <w:pPr>
              <w:pStyle w:val="TableText0"/>
              <w:keepNext w:val="0"/>
              <w:jc w:val="center"/>
            </w:pPr>
            <w:r w:rsidRPr="009E0870">
              <w:t>$</w:t>
            </w:r>
            <w:r w:rsidR="009E0870" w:rsidRPr="009E0870">
              <w:rPr>
                <w:color w:val="000000"/>
                <w:spacing w:val="40"/>
                <w:shd w:val="solid" w:color="000000" w:fill="000000"/>
                <w:fitText w:val="456" w:id="-1232957172"/>
                <w14:textFill>
                  <w14:solidFill>
                    <w14:srgbClr w14:val="000000">
                      <w14:alpha w14:val="100000"/>
                    </w14:srgbClr>
                  </w14:solidFill>
                </w14:textFill>
              </w:rPr>
              <w:t>|||||</w:t>
            </w:r>
            <w:r w:rsidR="009E0870" w:rsidRPr="009E0870">
              <w:rPr>
                <w:color w:val="000000"/>
                <w:spacing w:val="1"/>
                <w:shd w:val="solid" w:color="000000" w:fill="000000"/>
                <w:fitText w:val="456" w:id="-1232957172"/>
                <w14:textFill>
                  <w14:solidFill>
                    <w14:srgbClr w14:val="000000">
                      <w14:alpha w14:val="100000"/>
                    </w14:srgbClr>
                  </w14:solidFill>
                </w14:textFill>
              </w:rPr>
              <w:t>|</w:t>
            </w:r>
            <w:r w:rsidR="00DA650E" w:rsidRPr="009E0870">
              <w:rPr>
                <w:iCs/>
                <w:szCs w:val="18"/>
                <w:vertAlign w:val="superscript"/>
              </w:rPr>
              <w:t>19</w:t>
            </w:r>
          </w:p>
        </w:tc>
        <w:tc>
          <w:tcPr>
            <w:tcW w:w="625" w:type="pct"/>
            <w:shd w:val="clear" w:color="auto" w:fill="B8CCE4" w:themeFill="accent1" w:themeFillTint="66"/>
          </w:tcPr>
          <w:p w14:paraId="46A3CD9C" w14:textId="0DF3209D" w:rsidR="00B13F70" w:rsidRPr="009E0870" w:rsidRDefault="00B13F70" w:rsidP="002A1F14">
            <w:pPr>
              <w:pStyle w:val="TableText0"/>
              <w:keepNext w:val="0"/>
              <w:jc w:val="center"/>
            </w:pPr>
            <w:r w:rsidRPr="009E0870">
              <w:t>$</w:t>
            </w:r>
            <w:r w:rsidR="009E0870" w:rsidRPr="009E0870">
              <w:rPr>
                <w:color w:val="000000"/>
                <w:spacing w:val="32"/>
                <w:shd w:val="solid" w:color="000000" w:fill="000000"/>
                <w:fitText w:val="420" w:id="-1232957171"/>
                <w14:textFill>
                  <w14:solidFill>
                    <w14:srgbClr w14:val="000000">
                      <w14:alpha w14:val="100000"/>
                    </w14:srgbClr>
                  </w14:solidFill>
                </w14:textFill>
              </w:rPr>
              <w:t>|||||</w:t>
            </w:r>
            <w:r w:rsidR="009E0870" w:rsidRPr="009E0870">
              <w:rPr>
                <w:color w:val="000000"/>
                <w:spacing w:val="5"/>
                <w:shd w:val="solid" w:color="000000" w:fill="000000"/>
                <w:fitText w:val="420" w:id="-1232957171"/>
                <w14:textFill>
                  <w14:solidFill>
                    <w14:srgbClr w14:val="000000">
                      <w14:alpha w14:val="100000"/>
                    </w14:srgbClr>
                  </w14:solidFill>
                </w14:textFill>
              </w:rPr>
              <w:t>|</w:t>
            </w:r>
            <w:r w:rsidR="003813A1" w:rsidRPr="009E0870">
              <w:rPr>
                <w:iCs/>
                <w:szCs w:val="18"/>
                <w:vertAlign w:val="superscript"/>
              </w:rPr>
              <w:t>21</w:t>
            </w:r>
          </w:p>
        </w:tc>
        <w:tc>
          <w:tcPr>
            <w:tcW w:w="607" w:type="pct"/>
            <w:shd w:val="clear" w:color="auto" w:fill="B8CCE4" w:themeFill="accent1" w:themeFillTint="66"/>
          </w:tcPr>
          <w:p w14:paraId="1513B829" w14:textId="187E1195" w:rsidR="00B13F70" w:rsidRPr="009E0870" w:rsidRDefault="00B13F70" w:rsidP="002A1F14">
            <w:pPr>
              <w:pStyle w:val="TableText0"/>
              <w:keepNext w:val="0"/>
              <w:jc w:val="center"/>
            </w:pPr>
            <w:r w:rsidRPr="009E0870">
              <w:t>$</w:t>
            </w:r>
            <w:r w:rsidR="009E0870" w:rsidRPr="009E0870">
              <w:rPr>
                <w:color w:val="000000"/>
                <w:spacing w:val="36"/>
                <w:shd w:val="solid" w:color="000000" w:fill="000000"/>
                <w:fitText w:val="437" w:id="-1232957170"/>
                <w14:textFill>
                  <w14:solidFill>
                    <w14:srgbClr w14:val="000000">
                      <w14:alpha w14:val="100000"/>
                    </w14:srgbClr>
                  </w14:solidFill>
                </w14:textFill>
              </w:rPr>
              <w:t>|||||</w:t>
            </w:r>
            <w:r w:rsidR="009E0870" w:rsidRPr="009E0870">
              <w:rPr>
                <w:color w:val="000000"/>
                <w:spacing w:val="2"/>
                <w:shd w:val="solid" w:color="000000" w:fill="000000"/>
                <w:fitText w:val="437" w:id="-1232957170"/>
                <w14:textFill>
                  <w14:solidFill>
                    <w14:srgbClr w14:val="000000">
                      <w14:alpha w14:val="100000"/>
                    </w14:srgbClr>
                  </w14:solidFill>
                </w14:textFill>
              </w:rPr>
              <w:t>|</w:t>
            </w:r>
            <w:r w:rsidR="003813A1" w:rsidRPr="009E0870">
              <w:rPr>
                <w:iCs/>
                <w:szCs w:val="18"/>
                <w:vertAlign w:val="superscript"/>
              </w:rPr>
              <w:t>21</w:t>
            </w:r>
          </w:p>
        </w:tc>
        <w:tc>
          <w:tcPr>
            <w:tcW w:w="606" w:type="pct"/>
            <w:shd w:val="clear" w:color="auto" w:fill="B8CCE4" w:themeFill="accent1" w:themeFillTint="66"/>
          </w:tcPr>
          <w:p w14:paraId="308CB23F" w14:textId="308BAA8A" w:rsidR="00B13F70" w:rsidRPr="009E0870" w:rsidRDefault="00B13F70" w:rsidP="002A1F14">
            <w:pPr>
              <w:pStyle w:val="TableText0"/>
              <w:keepNext w:val="0"/>
              <w:jc w:val="center"/>
            </w:pPr>
            <w:r w:rsidRPr="009E0870">
              <w:t>$</w:t>
            </w:r>
            <w:r w:rsidR="009E0870" w:rsidRPr="009E0870">
              <w:rPr>
                <w:color w:val="000000"/>
                <w:spacing w:val="36"/>
                <w:shd w:val="solid" w:color="000000" w:fill="000000"/>
                <w:fitText w:val="437" w:id="-1232957169"/>
                <w14:textFill>
                  <w14:solidFill>
                    <w14:srgbClr w14:val="000000">
                      <w14:alpha w14:val="100000"/>
                    </w14:srgbClr>
                  </w14:solidFill>
                </w14:textFill>
              </w:rPr>
              <w:t>|||||</w:t>
            </w:r>
            <w:r w:rsidR="009E0870" w:rsidRPr="009E0870">
              <w:rPr>
                <w:color w:val="000000"/>
                <w:spacing w:val="2"/>
                <w:shd w:val="solid" w:color="000000" w:fill="000000"/>
                <w:fitText w:val="437" w:id="-1232957169"/>
                <w14:textFill>
                  <w14:solidFill>
                    <w14:srgbClr w14:val="000000">
                      <w14:alpha w14:val="100000"/>
                    </w14:srgbClr>
                  </w14:solidFill>
                </w14:textFill>
              </w:rPr>
              <w:t>|</w:t>
            </w:r>
            <w:r w:rsidR="003813A1" w:rsidRPr="009E0870">
              <w:rPr>
                <w:iCs/>
                <w:szCs w:val="18"/>
                <w:vertAlign w:val="superscript"/>
              </w:rPr>
              <w:t>21</w:t>
            </w:r>
          </w:p>
        </w:tc>
      </w:tr>
      <w:tr w:rsidR="009E0870" w:rsidRPr="009E0870" w14:paraId="39C6695A" w14:textId="77777777" w:rsidTr="002E1153">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14:paraId="03CFAA64" w14:textId="577985EA" w:rsidR="0076089B" w:rsidRPr="009E0870" w:rsidRDefault="0076089B" w:rsidP="002A1F14">
            <w:pPr>
              <w:pStyle w:val="TableText0"/>
              <w:keepNext w:val="0"/>
              <w:rPr>
                <w:vertAlign w:val="superscript"/>
              </w:rPr>
            </w:pPr>
            <w:r w:rsidRPr="009E0870">
              <w:t>Total MBS costs</w:t>
            </w:r>
            <w:r w:rsidR="00587451" w:rsidRPr="009E0870">
              <w:t xml:space="preserve"> </w:t>
            </w:r>
            <w:r w:rsidR="00587451" w:rsidRPr="009E0870">
              <w:rPr>
                <w:vertAlign w:val="superscript"/>
              </w:rPr>
              <w:t>b</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50C88343" w14:textId="64A7CBED" w:rsidR="0076089B" w:rsidRPr="009E0870" w:rsidRDefault="0076089B" w:rsidP="002A1F14">
            <w:pPr>
              <w:pStyle w:val="TableText0"/>
              <w:keepNext w:val="0"/>
              <w:jc w:val="center"/>
            </w:pPr>
            <w:r w:rsidRPr="009E0870">
              <w:t>$</w:t>
            </w:r>
            <w:r w:rsidR="009E0870" w:rsidRPr="009E0870">
              <w:rPr>
                <w:color w:val="000000"/>
                <w:spacing w:val="36"/>
                <w:shd w:val="solid" w:color="000000" w:fill="000000"/>
                <w:fitText w:val="438" w:id="-1232957168"/>
                <w14:textFill>
                  <w14:solidFill>
                    <w14:srgbClr w14:val="000000">
                      <w14:alpha w14:val="100000"/>
                    </w14:srgbClr>
                  </w14:solidFill>
                </w14:textFill>
              </w:rPr>
              <w:t>|||||</w:t>
            </w:r>
            <w:r w:rsidR="009E0870" w:rsidRPr="009E0870">
              <w:rPr>
                <w:color w:val="000000"/>
                <w:spacing w:val="3"/>
                <w:shd w:val="solid" w:color="000000" w:fill="000000"/>
                <w:fitText w:val="438" w:id="-1232957168"/>
                <w14:textFill>
                  <w14:solidFill>
                    <w14:srgbClr w14:val="000000">
                      <w14:alpha w14:val="100000"/>
                    </w14:srgbClr>
                  </w14:solidFill>
                </w14:textFill>
              </w:rPr>
              <w:t>|</w:t>
            </w:r>
            <w:r w:rsidR="00676BCD" w:rsidRPr="009E0870">
              <w:rPr>
                <w:iCs/>
                <w:szCs w:val="18"/>
                <w:vertAlign w:val="superscript"/>
              </w:rPr>
              <w:t>1</w:t>
            </w:r>
            <w:r w:rsidR="008F3D2A" w:rsidRPr="009E0870">
              <w:rPr>
                <w:iCs/>
                <w:szCs w:val="18"/>
                <w:vertAlign w:val="superscript"/>
              </w:rPr>
              <w:t>0</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37607F60" w14:textId="08A64755" w:rsidR="0076089B" w:rsidRPr="009E0870" w:rsidRDefault="0076089B" w:rsidP="002A1F14">
            <w:pPr>
              <w:pStyle w:val="TableText0"/>
              <w:keepNext w:val="0"/>
              <w:jc w:val="center"/>
            </w:pPr>
            <w:r w:rsidRPr="009E0870">
              <w:t>$</w:t>
            </w:r>
            <w:r w:rsidR="009E0870" w:rsidRPr="009E0870">
              <w:rPr>
                <w:color w:val="000000"/>
                <w:spacing w:val="36"/>
                <w:shd w:val="solid" w:color="000000" w:fill="000000"/>
                <w:fitText w:val="438" w:id="-1232957184"/>
                <w14:textFill>
                  <w14:solidFill>
                    <w14:srgbClr w14:val="000000">
                      <w14:alpha w14:val="100000"/>
                    </w14:srgbClr>
                  </w14:solidFill>
                </w14:textFill>
              </w:rPr>
              <w:t>|||||</w:t>
            </w:r>
            <w:r w:rsidR="009E0870" w:rsidRPr="009E0870">
              <w:rPr>
                <w:color w:val="000000"/>
                <w:spacing w:val="3"/>
                <w:shd w:val="solid" w:color="000000" w:fill="000000"/>
                <w:fitText w:val="438" w:id="-1232957184"/>
                <w14:textFill>
                  <w14:solidFill>
                    <w14:srgbClr w14:val="000000">
                      <w14:alpha w14:val="100000"/>
                    </w14:srgbClr>
                  </w14:solidFill>
                </w14:textFill>
              </w:rPr>
              <w:t>|</w:t>
            </w:r>
            <w:r w:rsidR="008F3D2A" w:rsidRPr="009E0870">
              <w:rPr>
                <w:iCs/>
                <w:szCs w:val="18"/>
                <w:vertAlign w:val="superscript"/>
              </w:rPr>
              <w:t>10</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0C035E25" w14:textId="6A46B811" w:rsidR="0076089B" w:rsidRPr="009E0870" w:rsidRDefault="0076089B" w:rsidP="002A1F14">
            <w:pPr>
              <w:pStyle w:val="TableText0"/>
              <w:keepNext w:val="0"/>
              <w:jc w:val="center"/>
            </w:pPr>
            <w:r w:rsidRPr="009E0870">
              <w:t>$</w:t>
            </w:r>
            <w:r w:rsidR="009E0870" w:rsidRPr="009E0870">
              <w:rPr>
                <w:color w:val="000000"/>
                <w:spacing w:val="40"/>
                <w:shd w:val="solid" w:color="000000" w:fill="000000"/>
                <w:fitText w:val="456" w:id="-1232957183"/>
                <w14:textFill>
                  <w14:solidFill>
                    <w14:srgbClr w14:val="000000">
                      <w14:alpha w14:val="100000"/>
                    </w14:srgbClr>
                  </w14:solidFill>
                </w14:textFill>
              </w:rPr>
              <w:t>|||||</w:t>
            </w:r>
            <w:r w:rsidR="009E0870" w:rsidRPr="009E0870">
              <w:rPr>
                <w:color w:val="000000"/>
                <w:spacing w:val="1"/>
                <w:shd w:val="solid" w:color="000000" w:fill="000000"/>
                <w:fitText w:val="456" w:id="-1232957183"/>
                <w14:textFill>
                  <w14:solidFill>
                    <w14:srgbClr w14:val="000000">
                      <w14:alpha w14:val="100000"/>
                    </w14:srgbClr>
                  </w14:solidFill>
                </w14:textFill>
              </w:rPr>
              <w:t>|</w:t>
            </w:r>
            <w:r w:rsidR="008F3D2A" w:rsidRPr="009E0870">
              <w:rPr>
                <w:iCs/>
                <w:szCs w:val="18"/>
                <w:vertAlign w:val="superscript"/>
              </w:rPr>
              <w:t>10</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783F63DD" w14:textId="1129BD55" w:rsidR="0076089B" w:rsidRPr="009E0870" w:rsidRDefault="0076089B" w:rsidP="002A1F14">
            <w:pPr>
              <w:pStyle w:val="TableText0"/>
              <w:keepNext w:val="0"/>
              <w:jc w:val="center"/>
            </w:pPr>
            <w:r w:rsidRPr="009E0870">
              <w:t>$</w:t>
            </w:r>
            <w:r w:rsidR="009E0870" w:rsidRPr="009E0870">
              <w:rPr>
                <w:color w:val="000000"/>
                <w:spacing w:val="32"/>
                <w:shd w:val="solid" w:color="000000" w:fill="000000"/>
                <w:fitText w:val="420" w:id="-1232957182"/>
                <w14:textFill>
                  <w14:solidFill>
                    <w14:srgbClr w14:val="000000">
                      <w14:alpha w14:val="100000"/>
                    </w14:srgbClr>
                  </w14:solidFill>
                </w14:textFill>
              </w:rPr>
              <w:t>|||||</w:t>
            </w:r>
            <w:r w:rsidR="009E0870" w:rsidRPr="009E0870">
              <w:rPr>
                <w:color w:val="000000"/>
                <w:spacing w:val="5"/>
                <w:shd w:val="solid" w:color="000000" w:fill="000000"/>
                <w:fitText w:val="420" w:id="-1232957182"/>
                <w14:textFill>
                  <w14:solidFill>
                    <w14:srgbClr w14:val="000000">
                      <w14:alpha w14:val="100000"/>
                    </w14:srgbClr>
                  </w14:solidFill>
                </w14:textFill>
              </w:rPr>
              <w:t>|</w:t>
            </w:r>
            <w:r w:rsidR="008F3D2A" w:rsidRPr="009E0870">
              <w:rPr>
                <w:iCs/>
                <w:szCs w:val="18"/>
                <w:vertAlign w:val="superscript"/>
              </w:rPr>
              <w:t>10</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32E71EDB" w14:textId="04824DE1" w:rsidR="0076089B" w:rsidRPr="009E0870" w:rsidRDefault="0076089B" w:rsidP="002A1F14">
            <w:pPr>
              <w:pStyle w:val="TableText0"/>
              <w:keepNext w:val="0"/>
              <w:jc w:val="center"/>
            </w:pPr>
            <w:r w:rsidRPr="009E0870">
              <w:t>$</w:t>
            </w:r>
            <w:r w:rsidR="009E0870" w:rsidRPr="009E0870">
              <w:rPr>
                <w:color w:val="000000"/>
                <w:spacing w:val="36"/>
                <w:shd w:val="solid" w:color="000000" w:fill="000000"/>
                <w:fitText w:val="437" w:id="-1232957181"/>
                <w14:textFill>
                  <w14:solidFill>
                    <w14:srgbClr w14:val="000000">
                      <w14:alpha w14:val="100000"/>
                    </w14:srgbClr>
                  </w14:solidFill>
                </w14:textFill>
              </w:rPr>
              <w:t>|||||</w:t>
            </w:r>
            <w:r w:rsidR="009E0870" w:rsidRPr="009E0870">
              <w:rPr>
                <w:color w:val="000000"/>
                <w:spacing w:val="2"/>
                <w:shd w:val="solid" w:color="000000" w:fill="000000"/>
                <w:fitText w:val="437" w:id="-1232957181"/>
                <w14:textFill>
                  <w14:solidFill>
                    <w14:srgbClr w14:val="000000">
                      <w14:alpha w14:val="100000"/>
                    </w14:srgbClr>
                  </w14:solidFill>
                </w14:textFill>
              </w:rPr>
              <w:t>|</w:t>
            </w:r>
            <w:r w:rsidR="008F3D2A" w:rsidRPr="009E0870">
              <w:rPr>
                <w:iCs/>
                <w:szCs w:val="18"/>
                <w:vertAlign w:val="superscript"/>
              </w:rPr>
              <w:t>10</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67977DEA" w14:textId="22419384" w:rsidR="0076089B" w:rsidRPr="009E0870" w:rsidRDefault="0076089B" w:rsidP="002A1F14">
            <w:pPr>
              <w:pStyle w:val="TableText0"/>
              <w:keepNext w:val="0"/>
              <w:jc w:val="center"/>
            </w:pPr>
            <w:r w:rsidRPr="009E0870">
              <w:t>$</w:t>
            </w:r>
            <w:r w:rsidR="009E0870" w:rsidRPr="009E0870">
              <w:rPr>
                <w:color w:val="000000"/>
                <w:spacing w:val="36"/>
                <w:shd w:val="solid" w:color="000000" w:fill="000000"/>
                <w:fitText w:val="437" w:id="-1232957180"/>
                <w14:textFill>
                  <w14:solidFill>
                    <w14:srgbClr w14:val="000000">
                      <w14:alpha w14:val="100000"/>
                    </w14:srgbClr>
                  </w14:solidFill>
                </w14:textFill>
              </w:rPr>
              <w:t>|||||</w:t>
            </w:r>
            <w:r w:rsidR="009E0870" w:rsidRPr="009E0870">
              <w:rPr>
                <w:color w:val="000000"/>
                <w:spacing w:val="2"/>
                <w:shd w:val="solid" w:color="000000" w:fill="000000"/>
                <w:fitText w:val="437" w:id="-1232957180"/>
                <w14:textFill>
                  <w14:solidFill>
                    <w14:srgbClr w14:val="000000">
                      <w14:alpha w14:val="100000"/>
                    </w14:srgbClr>
                  </w14:solidFill>
                </w14:textFill>
              </w:rPr>
              <w:t>|</w:t>
            </w:r>
            <w:r w:rsidR="008F3D2A" w:rsidRPr="009E0870">
              <w:rPr>
                <w:iCs/>
                <w:szCs w:val="18"/>
                <w:vertAlign w:val="superscript"/>
              </w:rPr>
              <w:t>10</w:t>
            </w:r>
          </w:p>
        </w:tc>
      </w:tr>
      <w:tr w:rsidR="009E0870" w:rsidRPr="009E0870" w14:paraId="581B37F3" w14:textId="77777777" w:rsidTr="002E1153">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14:paraId="0BC47864" w14:textId="77777777" w:rsidR="0076089B" w:rsidRPr="009E0870" w:rsidRDefault="0076089B" w:rsidP="002A1F14">
            <w:pPr>
              <w:pStyle w:val="TableText0"/>
              <w:keepNext w:val="0"/>
              <w:rPr>
                <w:b/>
                <w:bCs w:val="0"/>
              </w:rPr>
            </w:pPr>
            <w:r w:rsidRPr="009E0870">
              <w:rPr>
                <w:b/>
                <w:bCs w:val="0"/>
              </w:rPr>
              <w:t>Net cost to Government</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0B4B4DE0" w14:textId="10F56DB3" w:rsidR="0076089B" w:rsidRPr="009E0870" w:rsidRDefault="0076089B" w:rsidP="002A1F14">
            <w:pPr>
              <w:pStyle w:val="TableText0"/>
              <w:keepNext w:val="0"/>
              <w:jc w:val="center"/>
              <w:rPr>
                <w:b/>
                <w:bCs w:val="0"/>
              </w:rPr>
            </w:pPr>
            <w:r w:rsidRPr="009E0870">
              <w:rPr>
                <w:b/>
                <w:bCs w:val="0"/>
              </w:rPr>
              <w:t>$</w:t>
            </w:r>
            <w:r w:rsidR="009E0870" w:rsidRPr="009E0870">
              <w:rPr>
                <w:b/>
                <w:bCs w:val="0"/>
                <w:color w:val="000000"/>
                <w:spacing w:val="46"/>
                <w:shd w:val="solid" w:color="000000" w:fill="000000"/>
                <w:fitText w:val="510" w:id="-1232957179"/>
                <w14:textFill>
                  <w14:solidFill>
                    <w14:srgbClr w14:val="000000">
                      <w14:alpha w14:val="100000"/>
                    </w14:srgbClr>
                  </w14:solidFill>
                </w14:textFill>
              </w:rPr>
              <w:t>|||||</w:t>
            </w:r>
            <w:r w:rsidR="009E0870" w:rsidRPr="009E0870">
              <w:rPr>
                <w:b/>
                <w:bCs w:val="0"/>
                <w:color w:val="000000"/>
                <w:spacing w:val="5"/>
                <w:shd w:val="solid" w:color="000000" w:fill="000000"/>
                <w:fitText w:val="510" w:id="-1232957179"/>
                <w14:textFill>
                  <w14:solidFill>
                    <w14:srgbClr w14:val="000000">
                      <w14:alpha w14:val="100000"/>
                    </w14:srgbClr>
                  </w14:solidFill>
                </w14:textFill>
              </w:rPr>
              <w:t>|</w:t>
            </w:r>
            <w:r w:rsidR="00676BCD" w:rsidRPr="009E0870">
              <w:rPr>
                <w:iCs/>
                <w:szCs w:val="18"/>
                <w:vertAlign w:val="superscript"/>
              </w:rPr>
              <w:t>1</w:t>
            </w:r>
            <w:r w:rsidR="008F3D2A" w:rsidRPr="009E0870">
              <w:rPr>
                <w:iCs/>
                <w:szCs w:val="18"/>
                <w:vertAlign w:val="superscript"/>
              </w:rPr>
              <w:t>0</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62F75108" w14:textId="12AD20F4" w:rsidR="0076089B" w:rsidRPr="009E0870" w:rsidRDefault="0076089B" w:rsidP="002A1F14">
            <w:pPr>
              <w:pStyle w:val="TableText0"/>
              <w:keepNext w:val="0"/>
              <w:jc w:val="center"/>
              <w:rPr>
                <w:b/>
                <w:bCs w:val="0"/>
              </w:rPr>
            </w:pPr>
            <w:r w:rsidRPr="009E0870">
              <w:rPr>
                <w:b/>
                <w:bCs w:val="0"/>
              </w:rPr>
              <w:t>$</w:t>
            </w:r>
            <w:r w:rsidR="009E0870" w:rsidRPr="009E0870">
              <w:rPr>
                <w:b/>
                <w:bCs w:val="0"/>
                <w:color w:val="000000"/>
                <w:spacing w:val="47"/>
                <w:shd w:val="solid" w:color="000000" w:fill="000000"/>
                <w:fitText w:val="511" w:id="-1232957178"/>
                <w14:textFill>
                  <w14:solidFill>
                    <w14:srgbClr w14:val="000000">
                      <w14:alpha w14:val="100000"/>
                    </w14:srgbClr>
                  </w14:solidFill>
                </w14:textFill>
              </w:rPr>
              <w:t>|||||</w:t>
            </w:r>
            <w:r w:rsidR="009E0870" w:rsidRPr="009E0870">
              <w:rPr>
                <w:b/>
                <w:bCs w:val="0"/>
                <w:color w:val="000000"/>
                <w:spacing w:val="1"/>
                <w:shd w:val="solid" w:color="000000" w:fill="000000"/>
                <w:fitText w:val="511" w:id="-1232957178"/>
                <w14:textFill>
                  <w14:solidFill>
                    <w14:srgbClr w14:val="000000">
                      <w14:alpha w14:val="100000"/>
                    </w14:srgbClr>
                  </w14:solidFill>
                </w14:textFill>
              </w:rPr>
              <w:t>|</w:t>
            </w:r>
            <w:r w:rsidR="008F3D2A" w:rsidRPr="009E0870">
              <w:rPr>
                <w:iCs/>
                <w:szCs w:val="18"/>
                <w:vertAlign w:val="superscript"/>
              </w:rPr>
              <w:t>11</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44EC84C2" w14:textId="34B57788" w:rsidR="0076089B" w:rsidRPr="009E0870" w:rsidRDefault="0076089B" w:rsidP="002A1F14">
            <w:pPr>
              <w:pStyle w:val="TableText0"/>
              <w:keepNext w:val="0"/>
              <w:jc w:val="center"/>
              <w:rPr>
                <w:b/>
                <w:bCs w:val="0"/>
              </w:rPr>
            </w:pPr>
            <w:r w:rsidRPr="009E0870">
              <w:rPr>
                <w:b/>
                <w:bCs w:val="0"/>
              </w:rPr>
              <w:t>$</w:t>
            </w:r>
            <w:r w:rsidR="009E0870" w:rsidRPr="009E0870">
              <w:rPr>
                <w:b/>
                <w:bCs w:val="0"/>
                <w:color w:val="000000"/>
                <w:spacing w:val="50"/>
                <w:shd w:val="solid" w:color="000000" w:fill="000000"/>
                <w:fitText w:val="529" w:id="-1232957177"/>
                <w14:textFill>
                  <w14:solidFill>
                    <w14:srgbClr w14:val="000000">
                      <w14:alpha w14:val="100000"/>
                    </w14:srgbClr>
                  </w14:solidFill>
                </w14:textFill>
              </w:rPr>
              <w:t>|||||</w:t>
            </w:r>
            <w:r w:rsidR="009E0870" w:rsidRPr="009E0870">
              <w:rPr>
                <w:b/>
                <w:bCs w:val="0"/>
                <w:color w:val="000000"/>
                <w:spacing w:val="4"/>
                <w:shd w:val="solid" w:color="000000" w:fill="000000"/>
                <w:fitText w:val="529" w:id="-1232957177"/>
                <w14:textFill>
                  <w14:solidFill>
                    <w14:srgbClr w14:val="000000">
                      <w14:alpha w14:val="100000"/>
                    </w14:srgbClr>
                  </w14:solidFill>
                </w14:textFill>
              </w:rPr>
              <w:t>|</w:t>
            </w:r>
            <w:r w:rsidR="008F3D2A" w:rsidRPr="009E0870">
              <w:rPr>
                <w:iCs/>
                <w:szCs w:val="18"/>
                <w:vertAlign w:val="superscript"/>
              </w:rPr>
              <w:t>11</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40ADF30C" w14:textId="0800BDA8" w:rsidR="0076089B" w:rsidRPr="009E0870" w:rsidRDefault="0076089B" w:rsidP="002A1F14">
            <w:pPr>
              <w:pStyle w:val="TableText0"/>
              <w:keepNext w:val="0"/>
              <w:jc w:val="center"/>
              <w:rPr>
                <w:b/>
                <w:bCs w:val="0"/>
              </w:rPr>
            </w:pPr>
            <w:r w:rsidRPr="009E0870">
              <w:rPr>
                <w:b/>
                <w:bCs w:val="0"/>
              </w:rPr>
              <w:t>$</w:t>
            </w:r>
            <w:r w:rsidR="009E0870" w:rsidRPr="009E0870">
              <w:rPr>
                <w:b/>
                <w:bCs w:val="0"/>
                <w:color w:val="000000"/>
                <w:spacing w:val="43"/>
                <w:shd w:val="solid" w:color="000000" w:fill="000000"/>
                <w:fitText w:val="492" w:id="-1232957176"/>
                <w14:textFill>
                  <w14:solidFill>
                    <w14:srgbClr w14:val="000000">
                      <w14:alpha w14:val="100000"/>
                    </w14:srgbClr>
                  </w14:solidFill>
                </w14:textFill>
              </w:rPr>
              <w:t>|||||</w:t>
            </w:r>
            <w:r w:rsidR="009E0870" w:rsidRPr="009E0870">
              <w:rPr>
                <w:b/>
                <w:bCs w:val="0"/>
                <w:color w:val="000000"/>
                <w:spacing w:val="2"/>
                <w:shd w:val="solid" w:color="000000" w:fill="000000"/>
                <w:fitText w:val="492" w:id="-1232957176"/>
                <w14:textFill>
                  <w14:solidFill>
                    <w14:srgbClr w14:val="000000">
                      <w14:alpha w14:val="100000"/>
                    </w14:srgbClr>
                  </w14:solidFill>
                </w14:textFill>
              </w:rPr>
              <w:t>|</w:t>
            </w:r>
            <w:r w:rsidR="00DA650E" w:rsidRPr="009E0870">
              <w:rPr>
                <w:iCs/>
                <w:szCs w:val="18"/>
                <w:vertAlign w:val="superscript"/>
              </w:rPr>
              <w:t>19</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6C51F4C4" w14:textId="1F6E7ADC" w:rsidR="0076089B" w:rsidRPr="009E0870" w:rsidRDefault="0076089B" w:rsidP="002A1F14">
            <w:pPr>
              <w:pStyle w:val="TableText0"/>
              <w:keepNext w:val="0"/>
              <w:jc w:val="center"/>
              <w:rPr>
                <w:b/>
                <w:bCs w:val="0"/>
              </w:rPr>
            </w:pPr>
            <w:r w:rsidRPr="009E0870">
              <w:rPr>
                <w:b/>
                <w:bCs w:val="0"/>
              </w:rPr>
              <w:t>$</w:t>
            </w:r>
            <w:r w:rsidR="009E0870" w:rsidRPr="009E0870">
              <w:rPr>
                <w:b/>
                <w:bCs w:val="0"/>
                <w:color w:val="000000"/>
                <w:spacing w:val="46"/>
                <w:shd w:val="solid" w:color="000000" w:fill="000000"/>
                <w:fitText w:val="510" w:id="-1232957175"/>
                <w14:textFill>
                  <w14:solidFill>
                    <w14:srgbClr w14:val="000000">
                      <w14:alpha w14:val="100000"/>
                    </w14:srgbClr>
                  </w14:solidFill>
                </w14:textFill>
              </w:rPr>
              <w:t>|||||</w:t>
            </w:r>
            <w:r w:rsidR="009E0870" w:rsidRPr="009E0870">
              <w:rPr>
                <w:b/>
                <w:bCs w:val="0"/>
                <w:color w:val="000000"/>
                <w:spacing w:val="5"/>
                <w:shd w:val="solid" w:color="000000" w:fill="000000"/>
                <w:fitText w:val="510" w:id="-1232957175"/>
                <w14:textFill>
                  <w14:solidFill>
                    <w14:srgbClr w14:val="000000">
                      <w14:alpha w14:val="100000"/>
                    </w14:srgbClr>
                  </w14:solidFill>
                </w14:textFill>
              </w:rPr>
              <w:t>|</w:t>
            </w:r>
            <w:r w:rsidR="00DA650E" w:rsidRPr="009E0870">
              <w:rPr>
                <w:iCs/>
                <w:szCs w:val="18"/>
                <w:vertAlign w:val="superscript"/>
              </w:rPr>
              <w:t>19</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1F27E224" w14:textId="6F100AE6" w:rsidR="0076089B" w:rsidRPr="009E0870" w:rsidRDefault="0076089B" w:rsidP="002A1F14">
            <w:pPr>
              <w:pStyle w:val="TableText0"/>
              <w:keepNext w:val="0"/>
              <w:jc w:val="center"/>
              <w:rPr>
                <w:b/>
                <w:bCs w:val="0"/>
              </w:rPr>
            </w:pPr>
            <w:r w:rsidRPr="009E0870">
              <w:rPr>
                <w:b/>
                <w:bCs w:val="0"/>
              </w:rPr>
              <w:t>$</w:t>
            </w:r>
            <w:r w:rsidR="009E0870" w:rsidRPr="009E0870">
              <w:rPr>
                <w:b/>
                <w:bCs w:val="0"/>
                <w:color w:val="000000"/>
                <w:spacing w:val="46"/>
                <w:shd w:val="solid" w:color="000000" w:fill="000000"/>
                <w:fitText w:val="510" w:id="-1232957174"/>
                <w14:textFill>
                  <w14:solidFill>
                    <w14:srgbClr w14:val="000000">
                      <w14:alpha w14:val="100000"/>
                    </w14:srgbClr>
                  </w14:solidFill>
                </w14:textFill>
              </w:rPr>
              <w:t>|||||</w:t>
            </w:r>
            <w:r w:rsidR="009E0870" w:rsidRPr="009E0870">
              <w:rPr>
                <w:b/>
                <w:bCs w:val="0"/>
                <w:color w:val="000000"/>
                <w:spacing w:val="5"/>
                <w:shd w:val="solid" w:color="000000" w:fill="000000"/>
                <w:fitText w:val="510" w:id="-1232957174"/>
                <w14:textFill>
                  <w14:solidFill>
                    <w14:srgbClr w14:val="000000">
                      <w14:alpha w14:val="100000"/>
                    </w14:srgbClr>
                  </w14:solidFill>
                </w14:textFill>
              </w:rPr>
              <w:t>|</w:t>
            </w:r>
            <w:r w:rsidR="00DA650E" w:rsidRPr="009E0870">
              <w:rPr>
                <w:iCs/>
                <w:szCs w:val="18"/>
                <w:vertAlign w:val="superscript"/>
              </w:rPr>
              <w:t>19</w:t>
            </w:r>
          </w:p>
        </w:tc>
      </w:tr>
    </w:tbl>
    <w:p w14:paraId="2992D77B" w14:textId="335794F8" w:rsidR="00056A6A" w:rsidRDefault="00056A6A" w:rsidP="002A1F14">
      <w:pPr>
        <w:pStyle w:val="TableFooter"/>
      </w:pPr>
      <w:r>
        <w:t xml:space="preserve">Source: </w:t>
      </w:r>
      <w:r w:rsidR="00587451" w:rsidRPr="003C6258">
        <w:t xml:space="preserve">Table </w:t>
      </w:r>
      <w:r w:rsidR="00587451">
        <w:t xml:space="preserve">4.4-2, p113; </w:t>
      </w:r>
      <w:r>
        <w:t>Table 4.2-3, p110; Table 4.2-4, p111; Table 4.2-5, p111</w:t>
      </w:r>
      <w:r w:rsidR="004A64B7">
        <w:t xml:space="preserve">; </w:t>
      </w:r>
      <w:r w:rsidR="00E562FF">
        <w:t xml:space="preserve">Table 4.3-1, p112; </w:t>
      </w:r>
      <w:r w:rsidR="004A64B7" w:rsidRPr="003C6258">
        <w:t xml:space="preserve">Table </w:t>
      </w:r>
      <w:r w:rsidR="004A64B7">
        <w:t xml:space="preserve">4.5-2, p118 </w:t>
      </w:r>
      <w:r>
        <w:t>of the resubmission; Evenity financial analysis_Mar 23.xlsx excel workbook of the resubmission</w:t>
      </w:r>
      <w:r w:rsidRPr="00461194">
        <w:t>; Section 4, July 2022 romosozumab submission</w:t>
      </w:r>
    </w:p>
    <w:p w14:paraId="01614B66" w14:textId="77777777" w:rsidR="00056A6A" w:rsidRDefault="00056A6A" w:rsidP="002A1F14">
      <w:pPr>
        <w:pStyle w:val="TableFooter"/>
      </w:pPr>
      <w:r>
        <w:lastRenderedPageBreak/>
        <w:t>Abbreviations: 1L, first-line; BMD, bone mineral density; DPMQ, dispensed price for maximum quantity.</w:t>
      </w:r>
    </w:p>
    <w:p w14:paraId="0C9646FF" w14:textId="77777777" w:rsidR="00056A6A" w:rsidRPr="00AA6715" w:rsidRDefault="00056A6A" w:rsidP="00056A6A">
      <w:pPr>
        <w:pStyle w:val="TableFooter"/>
      </w:pPr>
      <w:r>
        <w:rPr>
          <w:vertAlign w:val="superscript"/>
        </w:rPr>
        <w:t>a</w:t>
      </w:r>
      <w:r>
        <w:t xml:space="preserve"> 12 scripts per year, with 90% adherence.</w:t>
      </w:r>
    </w:p>
    <w:p w14:paraId="637CB1BB" w14:textId="77777777" w:rsidR="00587451" w:rsidRPr="003E72DA" w:rsidRDefault="00587451" w:rsidP="00587451">
      <w:pPr>
        <w:pStyle w:val="TableFooter"/>
      </w:pPr>
      <w:r>
        <w:rPr>
          <w:vertAlign w:val="superscript"/>
        </w:rPr>
        <w:t>b</w:t>
      </w:r>
      <w:r>
        <w:t xml:space="preserve"> Includes additional costs due to increased specialist visits, electrocardiography and blood tests over 1 year of romosozumab treatment</w:t>
      </w:r>
    </w:p>
    <w:p w14:paraId="7C2E6E4A" w14:textId="3CF32B67" w:rsidR="00056A6A" w:rsidRDefault="004F319F" w:rsidP="002E1153">
      <w:pPr>
        <w:pStyle w:val="TableFooter"/>
        <w:spacing w:after="0"/>
      </w:pPr>
      <w:r w:rsidRPr="004F319F">
        <w:rPr>
          <w:i/>
          <w:iCs/>
        </w:rPr>
        <w:t xml:space="preserve">* </w:t>
      </w:r>
      <w:r w:rsidR="00056A6A" w:rsidRPr="004F319F">
        <w:t>Numbers</w:t>
      </w:r>
      <w:r w:rsidRPr="004F319F">
        <w:t xml:space="preserve"> </w:t>
      </w:r>
      <w:r w:rsidR="00056A6A" w:rsidRPr="004F319F">
        <w:t>corrected during the evaluation. The resubmission erroneously applied a flat 98.90% proportion across the “ever treated, no first-line romosozumab” step in calculating the number of patients eligible for second-line treatment with multiple fractures and BMD ≤-2.5 and &gt;-3.0).</w:t>
      </w:r>
    </w:p>
    <w:p w14:paraId="26813C51" w14:textId="77777777" w:rsidR="006042B8" w:rsidRPr="009E0870" w:rsidRDefault="006042B8" w:rsidP="006042B8">
      <w:pPr>
        <w:pStyle w:val="TableFigureFooter"/>
        <w:keepNext/>
        <w:spacing w:after="0"/>
        <w:contextualSpacing w:val="0"/>
        <w:rPr>
          <w:i/>
        </w:rPr>
      </w:pPr>
      <w:r w:rsidRPr="009E0870">
        <w:rPr>
          <w:i/>
        </w:rPr>
        <w:t>The redacted values correspond to the following ranges:</w:t>
      </w:r>
    </w:p>
    <w:p w14:paraId="17CC05DC" w14:textId="77777777" w:rsidR="00A57C9A" w:rsidRDefault="00A57C9A" w:rsidP="002E1153">
      <w:pPr>
        <w:pStyle w:val="TableFigureFooter"/>
        <w:keepNext/>
        <w:spacing w:after="0"/>
        <w:rPr>
          <w:i/>
          <w:szCs w:val="18"/>
          <w:vertAlign w:val="superscript"/>
        </w:rPr>
        <w:sectPr w:rsidR="00A57C9A" w:rsidSect="003074AF">
          <w:headerReference w:type="default" r:id="rId8"/>
          <w:footerReference w:type="default" r:id="rId9"/>
          <w:pgSz w:w="11907" w:h="16840" w:code="9"/>
          <w:pgMar w:top="1440" w:right="1440" w:bottom="1440" w:left="1440" w:header="1440" w:footer="1440" w:gutter="0"/>
          <w:pgNumType w:start="1"/>
          <w:cols w:space="708"/>
          <w:docGrid w:linePitch="360"/>
        </w:sectPr>
      </w:pPr>
    </w:p>
    <w:p w14:paraId="156EE293" w14:textId="77777777" w:rsidR="00193CE6" w:rsidRPr="009E0870" w:rsidRDefault="006042B8" w:rsidP="002E1153">
      <w:pPr>
        <w:pStyle w:val="TableFigureFooter"/>
        <w:keepNext/>
        <w:spacing w:after="0"/>
        <w:rPr>
          <w:i/>
          <w:szCs w:val="18"/>
        </w:rPr>
      </w:pPr>
      <w:r w:rsidRPr="009E0870">
        <w:rPr>
          <w:i/>
          <w:szCs w:val="18"/>
          <w:vertAlign w:val="superscript"/>
        </w:rPr>
        <w:t>1</w:t>
      </w:r>
      <w:r w:rsidRPr="009E0870">
        <w:rPr>
          <w:i/>
          <w:szCs w:val="18"/>
        </w:rPr>
        <w:t xml:space="preserve"> </w:t>
      </w:r>
      <w:r w:rsidR="00193CE6" w:rsidRPr="009E0870">
        <w:rPr>
          <w:i/>
          <w:szCs w:val="18"/>
        </w:rPr>
        <w:t>700,000 to &lt; 800,000</w:t>
      </w:r>
    </w:p>
    <w:p w14:paraId="6B2CCBC4" w14:textId="77777777" w:rsidR="00981B2A" w:rsidRPr="009E0870" w:rsidRDefault="006042B8" w:rsidP="00981B2A">
      <w:pPr>
        <w:rPr>
          <w:rFonts w:ascii="Arial Narrow" w:hAnsi="Arial Narrow"/>
          <w:i/>
          <w:sz w:val="18"/>
          <w:szCs w:val="18"/>
        </w:rPr>
      </w:pPr>
      <w:r w:rsidRPr="009E0870">
        <w:rPr>
          <w:rFonts w:ascii="Arial Narrow" w:hAnsi="Arial Narrow"/>
          <w:i/>
          <w:sz w:val="18"/>
          <w:szCs w:val="18"/>
          <w:vertAlign w:val="superscript"/>
        </w:rPr>
        <w:t>2</w:t>
      </w:r>
      <w:r w:rsidRPr="009E0870">
        <w:rPr>
          <w:rFonts w:ascii="Arial Narrow" w:hAnsi="Arial Narrow"/>
          <w:i/>
          <w:sz w:val="18"/>
          <w:szCs w:val="18"/>
        </w:rPr>
        <w:t xml:space="preserve"> </w:t>
      </w:r>
      <w:r w:rsidR="00981B2A" w:rsidRPr="009E0870">
        <w:rPr>
          <w:rFonts w:ascii="Arial Narrow" w:hAnsi="Arial Narrow"/>
          <w:i/>
          <w:sz w:val="18"/>
          <w:szCs w:val="18"/>
        </w:rPr>
        <w:t>100,000 to &lt; 200,000</w:t>
      </w:r>
    </w:p>
    <w:p w14:paraId="2A2DF77D" w14:textId="2141F830" w:rsidR="00676BCD" w:rsidRPr="009E0870" w:rsidRDefault="006042B8" w:rsidP="00676BCD">
      <w:pPr>
        <w:rPr>
          <w:rFonts w:ascii="Arial Narrow" w:hAnsi="Arial Narrow"/>
          <w:i/>
          <w:sz w:val="18"/>
          <w:szCs w:val="18"/>
        </w:rPr>
      </w:pPr>
      <w:r w:rsidRPr="009E0870">
        <w:rPr>
          <w:rFonts w:ascii="Arial Narrow" w:hAnsi="Arial Narrow"/>
          <w:i/>
          <w:sz w:val="18"/>
          <w:szCs w:val="18"/>
          <w:vertAlign w:val="superscript"/>
        </w:rPr>
        <w:t xml:space="preserve">3 </w:t>
      </w:r>
      <w:r w:rsidR="00676BCD" w:rsidRPr="009E0870">
        <w:rPr>
          <w:rFonts w:ascii="Arial Narrow" w:hAnsi="Arial Narrow"/>
          <w:i/>
          <w:sz w:val="18"/>
          <w:szCs w:val="18"/>
        </w:rPr>
        <w:t>30,000 to &lt; 40,000</w:t>
      </w:r>
    </w:p>
    <w:p w14:paraId="401D5F50" w14:textId="34F6D9E3" w:rsidR="00355654" w:rsidRPr="009E0870" w:rsidRDefault="006042B8" w:rsidP="00355654">
      <w:pPr>
        <w:rPr>
          <w:rFonts w:ascii="Arial Narrow" w:hAnsi="Arial Narrow"/>
          <w:i/>
          <w:sz w:val="18"/>
          <w:szCs w:val="18"/>
        </w:rPr>
      </w:pPr>
      <w:r w:rsidRPr="009E0870">
        <w:rPr>
          <w:rFonts w:ascii="Arial Narrow" w:hAnsi="Arial Narrow"/>
          <w:i/>
          <w:sz w:val="18"/>
          <w:szCs w:val="18"/>
          <w:vertAlign w:val="superscript"/>
        </w:rPr>
        <w:t xml:space="preserve">4 </w:t>
      </w:r>
      <w:r w:rsidR="00355654" w:rsidRPr="009E0870">
        <w:rPr>
          <w:rFonts w:ascii="Arial Narrow" w:hAnsi="Arial Narrow"/>
          <w:i/>
          <w:sz w:val="18"/>
          <w:szCs w:val="18"/>
        </w:rPr>
        <w:t>20,000 to &lt; 30,000</w:t>
      </w:r>
    </w:p>
    <w:p w14:paraId="56B0C4AC" w14:textId="0C3341DB" w:rsidR="00355654" w:rsidRPr="009E0870" w:rsidRDefault="00355654" w:rsidP="00355654">
      <w:pPr>
        <w:pStyle w:val="TableFigureFooter"/>
        <w:keepNext/>
        <w:spacing w:after="0"/>
        <w:contextualSpacing w:val="0"/>
      </w:pPr>
      <w:r w:rsidRPr="009E0870">
        <w:rPr>
          <w:i/>
          <w:szCs w:val="18"/>
          <w:vertAlign w:val="superscript"/>
        </w:rPr>
        <w:t>5</w:t>
      </w:r>
      <w:r w:rsidRPr="009E0870">
        <w:rPr>
          <w:i/>
          <w:szCs w:val="18"/>
        </w:rPr>
        <w:t xml:space="preserve"> 500 to &lt; 5,000</w:t>
      </w:r>
    </w:p>
    <w:p w14:paraId="0768814D" w14:textId="77777777" w:rsidR="00355654" w:rsidRPr="009E0870" w:rsidRDefault="00355654" w:rsidP="00355654">
      <w:pPr>
        <w:rPr>
          <w:rFonts w:ascii="Arial Narrow" w:hAnsi="Arial Narrow"/>
          <w:i/>
          <w:sz w:val="18"/>
          <w:szCs w:val="18"/>
        </w:rPr>
      </w:pPr>
      <w:r w:rsidRPr="009E0870">
        <w:rPr>
          <w:rFonts w:ascii="Arial Narrow" w:hAnsi="Arial Narrow"/>
          <w:i/>
          <w:sz w:val="18"/>
          <w:szCs w:val="18"/>
          <w:vertAlign w:val="superscript"/>
        </w:rPr>
        <w:t xml:space="preserve">6 </w:t>
      </w:r>
      <w:r w:rsidRPr="009E0870">
        <w:rPr>
          <w:rFonts w:ascii="Arial Narrow" w:hAnsi="Arial Narrow"/>
          <w:i/>
          <w:sz w:val="18"/>
          <w:szCs w:val="18"/>
        </w:rPr>
        <w:t>5,000 to &lt; 10,000</w:t>
      </w:r>
    </w:p>
    <w:p w14:paraId="5D926736" w14:textId="77777777" w:rsidR="00C6397E" w:rsidRPr="009E0870" w:rsidRDefault="00C6397E" w:rsidP="00676BCD">
      <w:pPr>
        <w:rPr>
          <w:rFonts w:ascii="Arial Narrow" w:hAnsi="Arial Narrow"/>
          <w:i/>
          <w:sz w:val="18"/>
          <w:szCs w:val="18"/>
        </w:rPr>
      </w:pPr>
      <w:r w:rsidRPr="009E0870">
        <w:rPr>
          <w:rFonts w:ascii="Arial Narrow" w:hAnsi="Arial Narrow"/>
          <w:i/>
          <w:sz w:val="18"/>
          <w:szCs w:val="18"/>
          <w:vertAlign w:val="superscript"/>
        </w:rPr>
        <w:t xml:space="preserve">7 </w:t>
      </w:r>
      <w:r w:rsidRPr="009E0870">
        <w:rPr>
          <w:rFonts w:ascii="Arial Narrow" w:hAnsi="Arial Narrow"/>
          <w:i/>
          <w:sz w:val="18"/>
          <w:szCs w:val="18"/>
        </w:rPr>
        <w:t>500,000 to &lt; 600,000</w:t>
      </w:r>
    </w:p>
    <w:p w14:paraId="0B687163" w14:textId="77777777" w:rsidR="00C6397E" w:rsidRPr="009E0870" w:rsidRDefault="00C6397E" w:rsidP="00C6397E">
      <w:pPr>
        <w:rPr>
          <w:rFonts w:ascii="Arial Narrow" w:hAnsi="Arial Narrow"/>
          <w:i/>
          <w:sz w:val="18"/>
          <w:szCs w:val="18"/>
        </w:rPr>
      </w:pPr>
      <w:r w:rsidRPr="009E0870">
        <w:rPr>
          <w:rFonts w:ascii="Arial Narrow" w:hAnsi="Arial Narrow"/>
          <w:sz w:val="18"/>
          <w:szCs w:val="18"/>
          <w:vertAlign w:val="superscript"/>
        </w:rPr>
        <w:t xml:space="preserve">8 </w:t>
      </w:r>
      <w:r w:rsidRPr="009E0870">
        <w:rPr>
          <w:rFonts w:ascii="Arial Narrow" w:hAnsi="Arial Narrow"/>
          <w:i/>
          <w:sz w:val="18"/>
          <w:szCs w:val="18"/>
        </w:rPr>
        <w:t>50,000 to &lt; 60,000</w:t>
      </w:r>
    </w:p>
    <w:p w14:paraId="551E7508" w14:textId="77777777" w:rsidR="00C6397E" w:rsidRPr="009E0870" w:rsidRDefault="00C6397E" w:rsidP="00C6397E">
      <w:pPr>
        <w:rPr>
          <w:rFonts w:ascii="Arial Narrow" w:hAnsi="Arial Narrow"/>
          <w:i/>
          <w:sz w:val="18"/>
          <w:szCs w:val="18"/>
        </w:rPr>
      </w:pPr>
      <w:r w:rsidRPr="009E0870">
        <w:rPr>
          <w:rFonts w:ascii="Arial Narrow" w:hAnsi="Arial Narrow"/>
          <w:sz w:val="18"/>
          <w:szCs w:val="18"/>
          <w:vertAlign w:val="superscript"/>
        </w:rPr>
        <w:t>9</w:t>
      </w:r>
      <w:r w:rsidRPr="009E0870">
        <w:rPr>
          <w:rFonts w:ascii="Arial Narrow" w:hAnsi="Arial Narrow"/>
          <w:i/>
          <w:sz w:val="18"/>
          <w:szCs w:val="18"/>
        </w:rPr>
        <w:t>&lt;500</w:t>
      </w:r>
    </w:p>
    <w:p w14:paraId="27B02797" w14:textId="57CACC9B" w:rsidR="006042B8" w:rsidRPr="009E0870" w:rsidRDefault="008F3D2A" w:rsidP="006042B8">
      <w:pPr>
        <w:rPr>
          <w:rFonts w:ascii="Arial Narrow" w:hAnsi="Arial Narrow"/>
          <w:i/>
          <w:sz w:val="18"/>
          <w:szCs w:val="18"/>
        </w:rPr>
      </w:pPr>
      <w:r w:rsidRPr="009E0870">
        <w:rPr>
          <w:rFonts w:ascii="Arial Narrow" w:hAnsi="Arial Narrow"/>
          <w:i/>
          <w:sz w:val="18"/>
          <w:szCs w:val="18"/>
          <w:vertAlign w:val="superscript"/>
        </w:rPr>
        <w:t xml:space="preserve">10 </w:t>
      </w:r>
      <w:r w:rsidR="006042B8" w:rsidRPr="009E0870">
        <w:rPr>
          <w:rFonts w:ascii="Arial Narrow" w:hAnsi="Arial Narrow"/>
          <w:i/>
          <w:sz w:val="18"/>
          <w:szCs w:val="18"/>
        </w:rPr>
        <w:t>$0 to &lt;$10 million</w:t>
      </w:r>
    </w:p>
    <w:p w14:paraId="2BEB87BA" w14:textId="79F3EC7D" w:rsidR="006042B8" w:rsidRPr="009E0870" w:rsidRDefault="008F3D2A" w:rsidP="006042B8">
      <w:pPr>
        <w:rPr>
          <w:rFonts w:ascii="Arial Narrow" w:hAnsi="Arial Narrow"/>
          <w:i/>
          <w:sz w:val="18"/>
          <w:szCs w:val="18"/>
        </w:rPr>
      </w:pPr>
      <w:r w:rsidRPr="009E0870">
        <w:rPr>
          <w:rFonts w:ascii="Arial Narrow" w:hAnsi="Arial Narrow"/>
          <w:i/>
          <w:sz w:val="18"/>
          <w:szCs w:val="18"/>
          <w:vertAlign w:val="superscript"/>
        </w:rPr>
        <w:t xml:space="preserve">11 </w:t>
      </w:r>
      <w:r w:rsidR="00355654" w:rsidRPr="009E0870">
        <w:rPr>
          <w:rFonts w:ascii="Arial Narrow" w:hAnsi="Arial Narrow"/>
          <w:i/>
          <w:sz w:val="18"/>
          <w:szCs w:val="18"/>
        </w:rPr>
        <w:t>$</w:t>
      </w:r>
      <w:r w:rsidR="006042B8" w:rsidRPr="009E0870">
        <w:rPr>
          <w:rFonts w:ascii="Arial Narrow" w:hAnsi="Arial Narrow"/>
          <w:i/>
          <w:sz w:val="18"/>
          <w:szCs w:val="18"/>
        </w:rPr>
        <w:t>10 million to &lt;$20 million</w:t>
      </w:r>
    </w:p>
    <w:p w14:paraId="2FCAE681" w14:textId="77777777" w:rsidR="008F3D2A" w:rsidRPr="009E0870" w:rsidRDefault="008F3D2A" w:rsidP="008F3D2A">
      <w:pPr>
        <w:rPr>
          <w:rFonts w:ascii="Arial Narrow" w:hAnsi="Arial Narrow"/>
          <w:i/>
          <w:sz w:val="18"/>
          <w:szCs w:val="18"/>
        </w:rPr>
      </w:pPr>
      <w:r w:rsidRPr="009E0870">
        <w:rPr>
          <w:rFonts w:ascii="Arial Narrow" w:hAnsi="Arial Narrow"/>
          <w:i/>
          <w:sz w:val="18"/>
          <w:szCs w:val="18"/>
          <w:vertAlign w:val="superscript"/>
        </w:rPr>
        <w:t>12</w:t>
      </w:r>
      <w:r w:rsidRPr="009E0870">
        <w:rPr>
          <w:rFonts w:ascii="Arial Narrow" w:hAnsi="Arial Narrow"/>
          <w:i/>
          <w:sz w:val="18"/>
          <w:szCs w:val="18"/>
        </w:rPr>
        <w:t xml:space="preserve"> net cost saving</w:t>
      </w:r>
    </w:p>
    <w:p w14:paraId="6DC43FD9" w14:textId="280EEEB2" w:rsidR="00DA650E" w:rsidRPr="009E0870" w:rsidRDefault="00DA650E" w:rsidP="00DA650E">
      <w:pPr>
        <w:rPr>
          <w:rFonts w:ascii="Arial Narrow" w:hAnsi="Arial Narrow"/>
          <w:i/>
          <w:sz w:val="18"/>
          <w:szCs w:val="18"/>
        </w:rPr>
      </w:pPr>
      <w:r w:rsidRPr="009E0870">
        <w:rPr>
          <w:rFonts w:ascii="Arial Narrow" w:hAnsi="Arial Narrow"/>
          <w:i/>
          <w:sz w:val="18"/>
          <w:szCs w:val="18"/>
          <w:vertAlign w:val="superscript"/>
        </w:rPr>
        <w:t xml:space="preserve">13 </w:t>
      </w:r>
      <w:r w:rsidRPr="009E0870">
        <w:rPr>
          <w:rFonts w:ascii="Arial Narrow" w:hAnsi="Arial Narrow"/>
          <w:i/>
          <w:sz w:val="18"/>
          <w:szCs w:val="18"/>
        </w:rPr>
        <w:t>800,000 to &lt; 900,000</w:t>
      </w:r>
    </w:p>
    <w:p w14:paraId="5FDC6775" w14:textId="6DAB1877" w:rsidR="00DA650E" w:rsidRPr="009E0870" w:rsidRDefault="00DA650E" w:rsidP="008F3D2A">
      <w:pPr>
        <w:rPr>
          <w:rFonts w:ascii="Arial Narrow" w:hAnsi="Arial Narrow"/>
          <w:i/>
          <w:sz w:val="18"/>
          <w:szCs w:val="18"/>
        </w:rPr>
      </w:pPr>
      <w:r w:rsidRPr="009E0870">
        <w:rPr>
          <w:rFonts w:ascii="Arial Narrow" w:hAnsi="Arial Narrow"/>
          <w:i/>
          <w:sz w:val="18"/>
          <w:szCs w:val="18"/>
          <w:vertAlign w:val="superscript"/>
        </w:rPr>
        <w:t xml:space="preserve">14 </w:t>
      </w:r>
      <w:r w:rsidRPr="009E0870">
        <w:rPr>
          <w:rFonts w:ascii="Arial Narrow" w:hAnsi="Arial Narrow"/>
          <w:i/>
          <w:sz w:val="18"/>
          <w:szCs w:val="18"/>
        </w:rPr>
        <w:t>40,000 to &lt; 50,000</w:t>
      </w:r>
    </w:p>
    <w:p w14:paraId="7EF5C025" w14:textId="77777777" w:rsidR="001E6174" w:rsidRPr="009E0870" w:rsidRDefault="001E6174" w:rsidP="001E6174">
      <w:pPr>
        <w:rPr>
          <w:rFonts w:ascii="Arial Narrow" w:hAnsi="Arial Narrow"/>
          <w:i/>
          <w:sz w:val="18"/>
          <w:szCs w:val="18"/>
        </w:rPr>
      </w:pPr>
      <w:r w:rsidRPr="009E0870">
        <w:rPr>
          <w:rFonts w:ascii="Arial Narrow" w:hAnsi="Arial Narrow"/>
          <w:i/>
          <w:sz w:val="18"/>
          <w:szCs w:val="18"/>
          <w:vertAlign w:val="superscript"/>
        </w:rPr>
        <w:t>15</w:t>
      </w:r>
      <w:r w:rsidRPr="009E0870">
        <w:rPr>
          <w:rFonts w:ascii="Arial Narrow" w:hAnsi="Arial Narrow"/>
          <w:i/>
          <w:sz w:val="18"/>
          <w:szCs w:val="18"/>
        </w:rPr>
        <w:t xml:space="preserve"> 600,000 to &lt; 700,000</w:t>
      </w:r>
    </w:p>
    <w:p w14:paraId="50657699" w14:textId="5AB577A7" w:rsidR="001E6174" w:rsidRPr="009E0870" w:rsidRDefault="001E6174" w:rsidP="001E6174">
      <w:pPr>
        <w:rPr>
          <w:rFonts w:ascii="Arial Narrow" w:hAnsi="Arial Narrow"/>
          <w:i/>
          <w:sz w:val="18"/>
          <w:szCs w:val="18"/>
        </w:rPr>
      </w:pPr>
      <w:r w:rsidRPr="009E0870">
        <w:rPr>
          <w:rFonts w:ascii="Arial Narrow" w:hAnsi="Arial Narrow"/>
          <w:i/>
          <w:sz w:val="18"/>
          <w:szCs w:val="18"/>
          <w:vertAlign w:val="superscript"/>
        </w:rPr>
        <w:t>16</w:t>
      </w:r>
      <w:r w:rsidRPr="009E0870">
        <w:rPr>
          <w:rFonts w:ascii="Arial Narrow" w:hAnsi="Arial Narrow"/>
          <w:i/>
          <w:sz w:val="18"/>
          <w:szCs w:val="18"/>
        </w:rPr>
        <w:t xml:space="preserve"> 60,000 to &lt; 70,000</w:t>
      </w:r>
    </w:p>
    <w:p w14:paraId="6D6E22C5" w14:textId="7550E8BB" w:rsidR="001E6174" w:rsidRPr="009E0870" w:rsidRDefault="001E6174" w:rsidP="001E6174">
      <w:pPr>
        <w:rPr>
          <w:rFonts w:ascii="Arial Narrow" w:hAnsi="Arial Narrow"/>
          <w:i/>
          <w:sz w:val="18"/>
          <w:szCs w:val="18"/>
        </w:rPr>
      </w:pPr>
      <w:r w:rsidRPr="009E0870">
        <w:rPr>
          <w:rFonts w:ascii="Arial Narrow" w:hAnsi="Arial Narrow"/>
          <w:i/>
          <w:sz w:val="18"/>
          <w:szCs w:val="18"/>
          <w:vertAlign w:val="superscript"/>
        </w:rPr>
        <w:t xml:space="preserve">17 </w:t>
      </w:r>
      <w:r w:rsidRPr="009E0870">
        <w:rPr>
          <w:rFonts w:ascii="Arial Narrow" w:hAnsi="Arial Narrow"/>
          <w:i/>
          <w:sz w:val="18"/>
          <w:szCs w:val="18"/>
        </w:rPr>
        <w:t>200,000 to &lt; 300,000</w:t>
      </w:r>
    </w:p>
    <w:p w14:paraId="00FE976C" w14:textId="2F941FB6" w:rsidR="001E6174" w:rsidRPr="009E0870" w:rsidRDefault="001E6174" w:rsidP="001E6174">
      <w:pPr>
        <w:rPr>
          <w:rFonts w:ascii="Arial Narrow" w:hAnsi="Arial Narrow"/>
          <w:i/>
          <w:sz w:val="18"/>
          <w:szCs w:val="18"/>
        </w:rPr>
      </w:pPr>
      <w:r w:rsidRPr="009E0870">
        <w:rPr>
          <w:rFonts w:ascii="Arial Narrow" w:hAnsi="Arial Narrow"/>
          <w:i/>
          <w:sz w:val="18"/>
          <w:szCs w:val="18"/>
          <w:vertAlign w:val="superscript"/>
        </w:rPr>
        <w:t xml:space="preserve">18 </w:t>
      </w:r>
      <w:r w:rsidRPr="009E0870">
        <w:rPr>
          <w:rFonts w:ascii="Arial Narrow" w:hAnsi="Arial Narrow"/>
          <w:i/>
          <w:sz w:val="18"/>
          <w:szCs w:val="18"/>
        </w:rPr>
        <w:t>80,000 to &lt; 90,000</w:t>
      </w:r>
    </w:p>
    <w:p w14:paraId="5D015A8C" w14:textId="77777777" w:rsidR="001E6174" w:rsidRPr="009E0870" w:rsidRDefault="001E6174" w:rsidP="001E6174">
      <w:pPr>
        <w:rPr>
          <w:rFonts w:ascii="Arial Narrow" w:hAnsi="Arial Narrow"/>
          <w:i/>
          <w:sz w:val="18"/>
          <w:szCs w:val="18"/>
          <w:vertAlign w:val="superscript"/>
        </w:rPr>
      </w:pPr>
      <w:r w:rsidRPr="009E0870">
        <w:rPr>
          <w:rFonts w:ascii="Arial Narrow" w:hAnsi="Arial Narrow"/>
          <w:i/>
          <w:sz w:val="18"/>
          <w:szCs w:val="18"/>
          <w:vertAlign w:val="superscript"/>
        </w:rPr>
        <w:t>19</w:t>
      </w:r>
      <w:r w:rsidRPr="009E0870">
        <w:rPr>
          <w:rFonts w:ascii="Arial" w:hAnsi="Arial"/>
          <w:i/>
          <w:sz w:val="18"/>
          <w:szCs w:val="18"/>
          <w:vertAlign w:val="superscript"/>
        </w:rPr>
        <w:t xml:space="preserve"> </w:t>
      </w:r>
      <w:r w:rsidRPr="009E0870">
        <w:rPr>
          <w:rFonts w:ascii="Arial Narrow" w:hAnsi="Arial Narrow"/>
          <w:i/>
          <w:sz w:val="18"/>
          <w:szCs w:val="18"/>
        </w:rPr>
        <w:t>20 million to &lt;$30 million</w:t>
      </w:r>
    </w:p>
    <w:p w14:paraId="0616172D" w14:textId="507CBF87" w:rsidR="008F3D2A" w:rsidRPr="009E0870" w:rsidRDefault="001E6174" w:rsidP="008F3D2A">
      <w:pPr>
        <w:rPr>
          <w:rFonts w:ascii="Arial Narrow" w:hAnsi="Arial Narrow"/>
          <w:i/>
          <w:sz w:val="18"/>
          <w:szCs w:val="18"/>
        </w:rPr>
      </w:pPr>
      <w:r w:rsidRPr="009E0870">
        <w:rPr>
          <w:rFonts w:ascii="Arial Narrow" w:hAnsi="Arial Narrow"/>
          <w:i/>
          <w:sz w:val="18"/>
          <w:szCs w:val="18"/>
          <w:vertAlign w:val="superscript"/>
        </w:rPr>
        <w:t xml:space="preserve">20 </w:t>
      </w:r>
      <w:r w:rsidRPr="009E0870">
        <w:rPr>
          <w:rFonts w:ascii="Arial Narrow" w:hAnsi="Arial Narrow"/>
          <w:i/>
          <w:sz w:val="18"/>
          <w:szCs w:val="18"/>
        </w:rPr>
        <w:t>10</w:t>
      </w:r>
      <w:r w:rsidR="008F3D2A" w:rsidRPr="009E0870">
        <w:rPr>
          <w:rFonts w:ascii="Arial Narrow" w:hAnsi="Arial Narrow"/>
          <w:i/>
          <w:sz w:val="18"/>
          <w:szCs w:val="18"/>
        </w:rPr>
        <w:t>,000 to &lt; $2</w:t>
      </w:r>
      <w:r w:rsidRPr="009E0870">
        <w:rPr>
          <w:rFonts w:ascii="Arial Narrow" w:hAnsi="Arial Narrow"/>
          <w:i/>
          <w:sz w:val="18"/>
          <w:szCs w:val="18"/>
        </w:rPr>
        <w:t>0</w:t>
      </w:r>
      <w:r w:rsidR="008F3D2A" w:rsidRPr="009E0870">
        <w:rPr>
          <w:rFonts w:ascii="Arial Narrow" w:hAnsi="Arial Narrow"/>
          <w:i/>
          <w:sz w:val="18"/>
          <w:szCs w:val="18"/>
        </w:rPr>
        <w:t>,000</w:t>
      </w:r>
    </w:p>
    <w:p w14:paraId="2AF5A56A" w14:textId="250251B2" w:rsidR="003813A1" w:rsidRPr="009E0870" w:rsidRDefault="003813A1" w:rsidP="003813A1">
      <w:pPr>
        <w:rPr>
          <w:rFonts w:ascii="Arial Narrow" w:hAnsi="Arial Narrow"/>
          <w:i/>
          <w:sz w:val="18"/>
          <w:szCs w:val="18"/>
          <w:vertAlign w:val="superscript"/>
        </w:rPr>
      </w:pPr>
      <w:r w:rsidRPr="009E0870">
        <w:rPr>
          <w:rFonts w:ascii="Arial Narrow" w:hAnsi="Arial Narrow"/>
          <w:i/>
          <w:sz w:val="18"/>
          <w:szCs w:val="18"/>
          <w:vertAlign w:val="superscript"/>
        </w:rPr>
        <w:t xml:space="preserve">21 </w:t>
      </w:r>
      <w:r w:rsidRPr="009E0870">
        <w:rPr>
          <w:rFonts w:ascii="Arial Narrow" w:hAnsi="Arial Narrow"/>
          <w:i/>
          <w:sz w:val="18"/>
          <w:szCs w:val="18"/>
        </w:rPr>
        <w:t>$30 million to &lt;$40 million</w:t>
      </w:r>
    </w:p>
    <w:p w14:paraId="118CC58C" w14:textId="7118549F" w:rsidR="003813A1" w:rsidRPr="009E0870" w:rsidRDefault="003813A1" w:rsidP="003813A1">
      <w:pPr>
        <w:rPr>
          <w:rFonts w:ascii="Arial Narrow" w:hAnsi="Arial Narrow"/>
          <w:i/>
          <w:sz w:val="18"/>
          <w:szCs w:val="18"/>
        </w:rPr>
      </w:pPr>
      <w:r w:rsidRPr="009E0870">
        <w:rPr>
          <w:rFonts w:ascii="Arial Narrow" w:hAnsi="Arial Narrow"/>
          <w:i/>
          <w:sz w:val="18"/>
          <w:szCs w:val="18"/>
          <w:vertAlign w:val="superscript"/>
        </w:rPr>
        <w:t xml:space="preserve">22 </w:t>
      </w:r>
      <w:r w:rsidRPr="009E0870">
        <w:rPr>
          <w:rFonts w:ascii="Arial Narrow" w:hAnsi="Arial Narrow"/>
          <w:i/>
          <w:sz w:val="18"/>
          <w:szCs w:val="18"/>
        </w:rPr>
        <w:t>900,000 to &lt; 1,000,000</w:t>
      </w:r>
    </w:p>
    <w:p w14:paraId="07D29EFC" w14:textId="67919C4A" w:rsidR="003813A1" w:rsidRPr="009E0870" w:rsidRDefault="003813A1" w:rsidP="003813A1">
      <w:pPr>
        <w:rPr>
          <w:rFonts w:ascii="Arial Narrow" w:hAnsi="Arial Narrow"/>
          <w:i/>
          <w:sz w:val="18"/>
          <w:szCs w:val="18"/>
        </w:rPr>
      </w:pPr>
      <w:r w:rsidRPr="009E0870">
        <w:rPr>
          <w:rFonts w:ascii="Arial Narrow" w:hAnsi="Arial Narrow"/>
          <w:i/>
          <w:sz w:val="18"/>
          <w:szCs w:val="18"/>
          <w:vertAlign w:val="superscript"/>
        </w:rPr>
        <w:t xml:space="preserve">23 </w:t>
      </w:r>
      <w:r w:rsidRPr="009E0870">
        <w:rPr>
          <w:rFonts w:ascii="Arial Narrow" w:hAnsi="Arial Narrow"/>
          <w:i/>
          <w:sz w:val="18"/>
          <w:szCs w:val="18"/>
        </w:rPr>
        <w:t>70,000 to &lt; 80,000</w:t>
      </w:r>
    </w:p>
    <w:p w14:paraId="043EE6EB" w14:textId="766A7D67" w:rsidR="003813A1" w:rsidRPr="009E0870" w:rsidRDefault="003813A1" w:rsidP="003813A1">
      <w:pPr>
        <w:rPr>
          <w:rFonts w:ascii="Arial Narrow" w:hAnsi="Arial Narrow"/>
          <w:i/>
          <w:sz w:val="18"/>
          <w:szCs w:val="18"/>
        </w:rPr>
      </w:pPr>
      <w:r w:rsidRPr="009E0870">
        <w:rPr>
          <w:rFonts w:ascii="Arial Narrow" w:hAnsi="Arial Narrow"/>
          <w:i/>
          <w:sz w:val="18"/>
          <w:szCs w:val="18"/>
          <w:vertAlign w:val="superscript"/>
        </w:rPr>
        <w:t xml:space="preserve">24 </w:t>
      </w:r>
      <w:r w:rsidRPr="009E0870">
        <w:rPr>
          <w:rFonts w:ascii="Arial Narrow" w:hAnsi="Arial Narrow"/>
          <w:i/>
          <w:sz w:val="18"/>
          <w:szCs w:val="18"/>
        </w:rPr>
        <w:t>40 million to &lt;$50 million</w:t>
      </w:r>
    </w:p>
    <w:p w14:paraId="57D4E1AA" w14:textId="0AA3D37C" w:rsidR="006042B8" w:rsidRPr="009E0870" w:rsidRDefault="003813A1" w:rsidP="002E1153">
      <w:pPr>
        <w:spacing w:after="120"/>
        <w:rPr>
          <w:i/>
          <w:szCs w:val="18"/>
        </w:rPr>
      </w:pPr>
      <w:r w:rsidRPr="009E0870">
        <w:rPr>
          <w:rFonts w:ascii="Arial Narrow" w:hAnsi="Arial Narrow"/>
          <w:i/>
          <w:sz w:val="18"/>
          <w:szCs w:val="18"/>
          <w:vertAlign w:val="superscript"/>
        </w:rPr>
        <w:t>2</w:t>
      </w:r>
      <w:r w:rsidR="006013F6" w:rsidRPr="009E0870">
        <w:rPr>
          <w:rFonts w:ascii="Arial Narrow" w:hAnsi="Arial Narrow"/>
          <w:i/>
          <w:sz w:val="18"/>
          <w:szCs w:val="18"/>
          <w:vertAlign w:val="superscript"/>
        </w:rPr>
        <w:t xml:space="preserve">5 </w:t>
      </w:r>
      <w:r w:rsidR="006013F6" w:rsidRPr="009E0870">
        <w:rPr>
          <w:rFonts w:ascii="Arial Narrow" w:hAnsi="Arial Narrow"/>
          <w:i/>
          <w:sz w:val="18"/>
          <w:szCs w:val="18"/>
        </w:rPr>
        <w:t>1,000,000 to &lt; 2,000,000</w:t>
      </w:r>
    </w:p>
    <w:p w14:paraId="09098D7C" w14:textId="77777777" w:rsidR="00A57C9A" w:rsidRDefault="00A57C9A" w:rsidP="009159C3">
      <w:pPr>
        <w:pStyle w:val="ExecSumBodyText"/>
        <w:numPr>
          <w:ilvl w:val="1"/>
          <w:numId w:val="4"/>
        </w:numPr>
        <w:sectPr w:rsidR="00A57C9A" w:rsidSect="00A57C9A">
          <w:type w:val="continuous"/>
          <w:pgSz w:w="11907" w:h="16840" w:code="9"/>
          <w:pgMar w:top="1440" w:right="1440" w:bottom="1440" w:left="1440" w:header="1440" w:footer="1440" w:gutter="0"/>
          <w:pgNumType w:start="1"/>
          <w:cols w:num="2" w:space="708"/>
          <w:docGrid w:linePitch="360"/>
        </w:sectPr>
      </w:pPr>
    </w:p>
    <w:p w14:paraId="757F7BD6" w14:textId="29AA4ED5" w:rsidR="009159C3" w:rsidRPr="00C7281A" w:rsidRDefault="00794492" w:rsidP="009159C3">
      <w:pPr>
        <w:pStyle w:val="ExecSumBodyText"/>
        <w:numPr>
          <w:ilvl w:val="1"/>
          <w:numId w:val="4"/>
        </w:numPr>
        <w:rPr>
          <w:color w:val="0066FF"/>
        </w:rPr>
      </w:pPr>
      <w:r>
        <w:t xml:space="preserve">The estimated net cost to Government including PBS/RPBS cost offsets and additional MBS costs was </w:t>
      </w:r>
      <w:r w:rsidR="00C23EFA" w:rsidRPr="00C23EFA">
        <w:t>$0</w:t>
      </w:r>
      <w:r w:rsidR="00D16346">
        <w:t> </w:t>
      </w:r>
      <w:r w:rsidR="00C23EFA" w:rsidRPr="00C23EFA">
        <w:t>to</w:t>
      </w:r>
      <w:r w:rsidR="00D16346">
        <w:t> </w:t>
      </w:r>
      <w:r w:rsidR="00C23EFA" w:rsidRPr="00C23EFA">
        <w:t>&lt;</w:t>
      </w:r>
      <w:r w:rsidR="00D16346">
        <w:t> </w:t>
      </w:r>
      <w:r w:rsidR="00C23EFA" w:rsidRPr="00C23EFA">
        <w:t>$10 million</w:t>
      </w:r>
      <w:r w:rsidR="009E0870">
        <w:t xml:space="preserve"> </w:t>
      </w:r>
      <w:r>
        <w:t xml:space="preserve">in Year 1, increasing to </w:t>
      </w:r>
      <w:r w:rsidR="00C23EFA" w:rsidRPr="00C23EFA">
        <w:t>$20</w:t>
      </w:r>
      <w:r w:rsidR="00D16346">
        <w:t> </w:t>
      </w:r>
      <w:r w:rsidR="00C23EFA" w:rsidRPr="00C23EFA">
        <w:t>million</w:t>
      </w:r>
      <w:r w:rsidR="00D16346">
        <w:t> </w:t>
      </w:r>
      <w:r w:rsidR="00C23EFA" w:rsidRPr="00C23EFA">
        <w:t>to</w:t>
      </w:r>
      <w:r w:rsidR="00D16346">
        <w:t> </w:t>
      </w:r>
      <w:r w:rsidR="00C23EFA" w:rsidRPr="00C23EFA">
        <w:t>&lt;</w:t>
      </w:r>
      <w:r w:rsidR="00D16346">
        <w:t> </w:t>
      </w:r>
      <w:r w:rsidR="00C23EFA" w:rsidRPr="00C23EFA">
        <w:t>$30 million</w:t>
      </w:r>
      <w:r w:rsidR="009E0870">
        <w:t xml:space="preserve"> </w:t>
      </w:r>
      <w:r>
        <w:t xml:space="preserve">in Year 6, a total of </w:t>
      </w:r>
      <w:r w:rsidR="00C23EFA" w:rsidRPr="00C23EFA">
        <w:t>$100</w:t>
      </w:r>
      <w:r w:rsidR="00D16346">
        <w:t> </w:t>
      </w:r>
      <w:r w:rsidR="00C23EFA" w:rsidRPr="00C23EFA">
        <w:t>million</w:t>
      </w:r>
      <w:r w:rsidR="00D16346">
        <w:t> </w:t>
      </w:r>
      <w:r w:rsidR="00C23EFA" w:rsidRPr="00C23EFA">
        <w:t>to</w:t>
      </w:r>
      <w:r w:rsidR="00D16346">
        <w:t> </w:t>
      </w:r>
      <w:r w:rsidR="00C23EFA" w:rsidRPr="00C23EFA">
        <w:t>&lt;</w:t>
      </w:r>
      <w:r w:rsidR="00D16346">
        <w:t> </w:t>
      </w:r>
      <w:r w:rsidR="00C23EFA" w:rsidRPr="00C23EFA">
        <w:t>$200</w:t>
      </w:r>
      <w:r w:rsidR="00D16346">
        <w:t> </w:t>
      </w:r>
      <w:r w:rsidR="00C23EFA" w:rsidRPr="00C23EFA">
        <w:t>million</w:t>
      </w:r>
      <w:r w:rsidR="009E0870">
        <w:t xml:space="preserve"> </w:t>
      </w:r>
      <w:r>
        <w:t>over 6 years.</w:t>
      </w:r>
      <w:r w:rsidR="009159C3" w:rsidRPr="006B638D">
        <w:t xml:space="preserve"> </w:t>
      </w:r>
      <w:r w:rsidR="00FA44E2" w:rsidRPr="00C7281A">
        <w:t>The</w:t>
      </w:r>
      <w:r w:rsidR="00F761A8" w:rsidRPr="00C7281A">
        <w:t xml:space="preserve">se estimated costs were lower than in the July 2022 resubmission (total cost of </w:t>
      </w:r>
      <w:r w:rsidR="00C23EFA" w:rsidRPr="00C23EFA">
        <w:t>$100</w:t>
      </w:r>
      <w:r w:rsidR="00D16346">
        <w:t> </w:t>
      </w:r>
      <w:r w:rsidR="00C23EFA" w:rsidRPr="00C23EFA">
        <w:t>million</w:t>
      </w:r>
      <w:r w:rsidR="00D16346">
        <w:t> </w:t>
      </w:r>
      <w:r w:rsidR="00C23EFA" w:rsidRPr="00C23EFA">
        <w:t>to</w:t>
      </w:r>
      <w:r w:rsidR="00D16346">
        <w:t> </w:t>
      </w:r>
      <w:r w:rsidR="00C23EFA" w:rsidRPr="00C23EFA">
        <w:t>&lt;</w:t>
      </w:r>
      <w:r w:rsidR="00D16346">
        <w:t> </w:t>
      </w:r>
      <w:r w:rsidR="00C23EFA" w:rsidRPr="00C23EFA">
        <w:t>$200 million</w:t>
      </w:r>
      <w:r w:rsidR="009E0870">
        <w:t xml:space="preserve"> </w:t>
      </w:r>
      <w:r w:rsidR="00F761A8" w:rsidRPr="00C7281A">
        <w:t xml:space="preserve">over 6 years) due to a reduced effective DPMQ for romosozumab, and </w:t>
      </w:r>
      <w:r w:rsidR="00F81AAC" w:rsidRPr="00C7281A">
        <w:t>lower estimates</w:t>
      </w:r>
      <w:r w:rsidR="00DF73E0" w:rsidRPr="00C7281A">
        <w:t xml:space="preserve"> of patient numbers</w:t>
      </w:r>
      <w:r w:rsidR="00F81AAC" w:rsidRPr="00C7281A">
        <w:t xml:space="preserve"> in both first- and second-line populations</w:t>
      </w:r>
      <w:r w:rsidR="00FA44E2" w:rsidRPr="00C7281A">
        <w:t>.</w:t>
      </w:r>
    </w:p>
    <w:p w14:paraId="7CFC8467" w14:textId="2E4D375C" w:rsidR="00517DC1" w:rsidRPr="00C7281A" w:rsidRDefault="00B60658" w:rsidP="00517DC1">
      <w:pPr>
        <w:pStyle w:val="COMexecsumnumberedpara"/>
        <w:rPr>
          <w:color w:val="0066FF"/>
        </w:rPr>
      </w:pPr>
      <w:r w:rsidRPr="00C7281A">
        <w:t>The market share approach</w:t>
      </w:r>
      <w:r w:rsidR="00554ED0" w:rsidRPr="00C7281A">
        <w:t xml:space="preserve"> of determining eligible patients</w:t>
      </w:r>
      <w:r w:rsidRPr="00C7281A">
        <w:t xml:space="preserve"> </w:t>
      </w:r>
      <w:r w:rsidR="00554ED0" w:rsidRPr="00C7281A">
        <w:t>based on numbers of treated osteoporosis patients excludes</w:t>
      </w:r>
      <w:r w:rsidR="00517DC1" w:rsidRPr="00C7281A">
        <w:t xml:space="preserve"> the larger pool of ever</w:t>
      </w:r>
      <w:r w:rsidR="00554ED0" w:rsidRPr="00C7281A">
        <w:t>-</w:t>
      </w:r>
      <w:r w:rsidR="00517DC1" w:rsidRPr="00C7281A">
        <w:t xml:space="preserve">treated </w:t>
      </w:r>
      <w:r w:rsidR="00554ED0" w:rsidRPr="00C7281A">
        <w:t>osteoporosis patients</w:t>
      </w:r>
      <w:r w:rsidR="00517DC1" w:rsidRPr="00C7281A">
        <w:t>. An epidemiological approach considering the prevalent and incident osteoporosis population may give a more accurate starting point to estimate the overall eligible population.</w:t>
      </w:r>
    </w:p>
    <w:p w14:paraId="29328FE6" w14:textId="77777777" w:rsidR="00187DCB" w:rsidRPr="00C7281A" w:rsidRDefault="00187DCB" w:rsidP="00187DCB">
      <w:pPr>
        <w:pStyle w:val="COMexecsumnumberedpara"/>
      </w:pPr>
      <w:r w:rsidRPr="00C7281A">
        <w:t>The derivation of the proportion of patients meeting the fracture criteria in each subpopulation followed similar steps to the July 2022 resubmission, with some simplifications to the estimation of patients with an on-treatment fracture. However, the process remained complex, and was based on multiple sources and assumptions.</w:t>
      </w:r>
    </w:p>
    <w:p w14:paraId="32E7840D" w14:textId="7156DE13" w:rsidR="00D244B6" w:rsidRPr="00C7281A" w:rsidRDefault="00187DCB" w:rsidP="00D27BFA">
      <w:pPr>
        <w:pStyle w:val="COMexecsumnumberedpara"/>
        <w:rPr>
          <w:color w:val="0066FF"/>
        </w:rPr>
      </w:pPr>
      <w:r w:rsidRPr="00C7281A">
        <w:t>Estimates of multiple fractures in first</w:t>
      </w:r>
      <w:r w:rsidR="00FE4D70">
        <w:t>-</w:t>
      </w:r>
      <w:r w:rsidRPr="00C7281A">
        <w:t xml:space="preserve">line patients were based on reports of </w:t>
      </w:r>
      <w:r w:rsidRPr="00C7281A">
        <w:rPr>
          <w:u w:val="single"/>
        </w:rPr>
        <w:t>multiple symptomatic</w:t>
      </w:r>
      <w:r w:rsidRPr="00C7281A">
        <w:t xml:space="preserve"> (clinical) fractures (with one assumed to be recent), while the requested restriction specifies </w:t>
      </w:r>
      <w:r w:rsidRPr="00C7281A">
        <w:rPr>
          <w:u w:val="single"/>
        </w:rPr>
        <w:t>multiple fractures</w:t>
      </w:r>
      <w:r w:rsidRPr="00C7281A">
        <w:t>, with one recent symptomatic fracture. The population with a prevalent fracture (of any type, for example, a non-symptomatic vertebral fracture) and a recent symptomatic fracture will be larger than the population with multiple symptomatic fractures.</w:t>
      </w:r>
      <w:r w:rsidR="00503F3A" w:rsidRPr="00C7281A">
        <w:rPr>
          <w:color w:val="0066FF"/>
        </w:rPr>
        <w:t xml:space="preserve"> </w:t>
      </w:r>
    </w:p>
    <w:p w14:paraId="02FB9035" w14:textId="413416D1" w:rsidR="00871183" w:rsidRPr="00C7281A" w:rsidRDefault="00871183" w:rsidP="00871183">
      <w:pPr>
        <w:pStyle w:val="ExecSumBodyText"/>
        <w:numPr>
          <w:ilvl w:val="1"/>
          <w:numId w:val="4"/>
        </w:numPr>
      </w:pPr>
      <w:bookmarkStart w:id="60" w:name="_Toc22897648"/>
      <w:r w:rsidRPr="00C7281A">
        <w:t>Uptake rates were the same as in the July 2022 resubmission, and were assumed based on previously used uptake rates in the March 2020 submission, adjusted to account for 100% anabolic agent market share in the expanded listings. Uptake rates assumed for the restricted second</w:t>
      </w:r>
      <w:r w:rsidR="00FE4D70">
        <w:t>-</w:t>
      </w:r>
      <w:r w:rsidRPr="00C7281A">
        <w:t>line setting may not be applicable to the requested first</w:t>
      </w:r>
      <w:r w:rsidR="00FE4D70">
        <w:t>-</w:t>
      </w:r>
      <w:r w:rsidRPr="00C7281A">
        <w:t>line and expanded second</w:t>
      </w:r>
      <w:r w:rsidR="00FE4D70">
        <w:t>-</w:t>
      </w:r>
      <w:r w:rsidRPr="00C7281A">
        <w:t>line settings.</w:t>
      </w:r>
    </w:p>
    <w:p w14:paraId="64ABAF1A" w14:textId="107E59EB" w:rsidR="00894775" w:rsidRPr="00C7281A" w:rsidRDefault="00894775" w:rsidP="00C112DE">
      <w:pPr>
        <w:pStyle w:val="ExecSumBodyText"/>
        <w:numPr>
          <w:ilvl w:val="1"/>
          <w:numId w:val="4"/>
        </w:numPr>
      </w:pPr>
      <w:r>
        <w:lastRenderedPageBreak/>
        <w:t xml:space="preserve">The </w:t>
      </w:r>
      <w:r w:rsidR="00AE4022">
        <w:t>resubmission</w:t>
      </w:r>
      <w:r>
        <w:t xml:space="preserve"> included an estimate of </w:t>
      </w:r>
      <w:r w:rsidR="00C23EFA" w:rsidRPr="00C23EFA">
        <w:t>&lt;</w:t>
      </w:r>
      <w:r w:rsidR="00D16346">
        <w:t> </w:t>
      </w:r>
      <w:r w:rsidR="00C23EFA" w:rsidRPr="00C23EFA">
        <w:t>500</w:t>
      </w:r>
      <w:r>
        <w:t xml:space="preserve"> additional grandfathered patients </w:t>
      </w:r>
      <w:r w:rsidR="00AE4022">
        <w:t>who would receive romosozumab in the first year of listing. The sponsor</w:t>
      </w:r>
      <w:r w:rsidRPr="00846C30">
        <w:t xml:space="preserve"> estimated that around </w:t>
      </w:r>
      <w:r w:rsidR="00C23EFA" w:rsidRPr="00C23EFA">
        <w:t>&lt;</w:t>
      </w:r>
      <w:r w:rsidR="00D16346">
        <w:t> </w:t>
      </w:r>
      <w:r w:rsidR="00C23EFA" w:rsidRPr="00C23EFA">
        <w:t>500</w:t>
      </w:r>
      <w:r w:rsidRPr="00846C30">
        <w:t xml:space="preserve"> patients are currently privately funding romosozumab, but recent introduction of a shared cost program has increased forecast of patients to around </w:t>
      </w:r>
      <w:r w:rsidR="00C23EFA" w:rsidRPr="00C23EFA">
        <w:t>500</w:t>
      </w:r>
      <w:r w:rsidR="00D16346">
        <w:t> </w:t>
      </w:r>
      <w:r w:rsidR="00C23EFA" w:rsidRPr="00C23EFA">
        <w:t>to</w:t>
      </w:r>
      <w:r w:rsidR="00D16346">
        <w:t> </w:t>
      </w:r>
      <w:r w:rsidR="00C23EFA" w:rsidRPr="00C23EFA">
        <w:t>&lt;</w:t>
      </w:r>
      <w:r w:rsidR="00D16346">
        <w:t> </w:t>
      </w:r>
      <w:r w:rsidR="00C23EFA" w:rsidRPr="00C23EFA">
        <w:t>5,000</w:t>
      </w:r>
      <w:r w:rsidRPr="00846C30">
        <w:t xml:space="preserve"> patients in the next year. The submission assumed that 90% of these patients would meet the proposed PBS eligibility criteria as </w:t>
      </w:r>
      <w:r>
        <w:t>first-line</w:t>
      </w:r>
      <w:r w:rsidRPr="00846C30">
        <w:t xml:space="preserve"> patients, and of those, 50% would make the transition to PBS-subsidised therapy, giving a total of </w:t>
      </w:r>
      <w:r w:rsidR="00C23EFA" w:rsidRPr="00C23EFA">
        <w:t>&lt;</w:t>
      </w:r>
      <w:r w:rsidR="00D16346">
        <w:t> </w:t>
      </w:r>
      <w:r w:rsidR="00C23EFA" w:rsidRPr="00C23EFA">
        <w:t>500</w:t>
      </w:r>
      <w:r w:rsidRPr="00846C30">
        <w:t xml:space="preserve"> grandfathered patients</w:t>
      </w:r>
      <w:r w:rsidRPr="00C7281A">
        <w:t>.</w:t>
      </w:r>
      <w:r w:rsidR="00AE4022" w:rsidRPr="00C7281A">
        <w:t xml:space="preserve"> These estimates could not be verified.</w:t>
      </w:r>
    </w:p>
    <w:p w14:paraId="0B09FFF3" w14:textId="17495EAB" w:rsidR="00C112DE" w:rsidRDefault="00C112DE" w:rsidP="00C112DE">
      <w:pPr>
        <w:pStyle w:val="ExecSumBodyText"/>
        <w:numPr>
          <w:ilvl w:val="1"/>
          <w:numId w:val="4"/>
        </w:numPr>
      </w:pPr>
      <w:r w:rsidRPr="00C7281A">
        <w:t xml:space="preserve">Based on the resubmission’s estimates the additional severe osteoporosis population treated with romosozumab represents approximately </w:t>
      </w:r>
      <w:r w:rsidR="00DB4E0F" w:rsidRPr="00C7281A">
        <w:t>0.6% to 1.4</w:t>
      </w:r>
      <w:r w:rsidRPr="00C7281A">
        <w:t>% of all patients treated for osteoporosis, with the majority of patients receiving romosozumab as first</w:t>
      </w:r>
      <w:r w:rsidR="00FE4D70">
        <w:t>-</w:t>
      </w:r>
      <w:r w:rsidRPr="00C7281A">
        <w:t>line treatment (7</w:t>
      </w:r>
      <w:r w:rsidR="00DB4E0F" w:rsidRPr="00C7281A">
        <w:t>6.6</w:t>
      </w:r>
      <w:r w:rsidRPr="00C7281A">
        <w:t>%) followed by second</w:t>
      </w:r>
      <w:r w:rsidR="00FE4D70">
        <w:t>-</w:t>
      </w:r>
      <w:r w:rsidRPr="00C7281A">
        <w:t>line in those with multiple fractures and BMD ≤-2.5 and &gt;- 3.0 (</w:t>
      </w:r>
      <w:r w:rsidR="00DB4E0F" w:rsidRPr="00C7281A">
        <w:t>15.6</w:t>
      </w:r>
      <w:r w:rsidRPr="00C7281A">
        <w:t>%), and second</w:t>
      </w:r>
      <w:r w:rsidR="00FE4D70">
        <w:t>-</w:t>
      </w:r>
      <w:r w:rsidRPr="00C7281A">
        <w:t>line in those with a single hip/vertebral fracture and BMD ≤-2.5 (</w:t>
      </w:r>
      <w:r w:rsidR="00B0581F" w:rsidRPr="00C7281A">
        <w:t>7.8</w:t>
      </w:r>
      <w:r w:rsidRPr="00C7281A">
        <w:t xml:space="preserve">%). </w:t>
      </w:r>
    </w:p>
    <w:p w14:paraId="13BA449B" w14:textId="363D0369" w:rsidR="00A451D7" w:rsidRPr="00810C1E" w:rsidRDefault="00A451D7" w:rsidP="00C112DE">
      <w:pPr>
        <w:pStyle w:val="ExecSumBodyText"/>
        <w:numPr>
          <w:ilvl w:val="1"/>
          <w:numId w:val="4"/>
        </w:numPr>
        <w:rPr>
          <w:iCs/>
        </w:rPr>
      </w:pPr>
      <w:bookmarkStart w:id="61" w:name="_Ref130209297"/>
      <w:r w:rsidRPr="00810C1E">
        <w:rPr>
          <w:iCs/>
        </w:rPr>
        <w:t>The ESC noted that many of the data sources and steps were unchanged from the July 2022 resubmission and considered significant uncertainties regarding the size of the eligible and treated populations remain.</w:t>
      </w:r>
      <w:bookmarkEnd w:id="61"/>
    </w:p>
    <w:p w14:paraId="2238DEE9" w14:textId="2CAFEA44" w:rsidR="00576972" w:rsidRPr="00C9624D" w:rsidRDefault="00576972" w:rsidP="00606FBA">
      <w:pPr>
        <w:pStyle w:val="COMH2-non-numbered"/>
      </w:pPr>
      <w:bookmarkStart w:id="62" w:name="_Toc124858711"/>
      <w:r w:rsidRPr="00C9624D">
        <w:t>Quality Use of Medicines</w:t>
      </w:r>
      <w:bookmarkEnd w:id="60"/>
      <w:bookmarkEnd w:id="62"/>
    </w:p>
    <w:p w14:paraId="4BCC1776" w14:textId="41CD8A19" w:rsidR="00D77BA7" w:rsidRPr="00444E76" w:rsidRDefault="00D77BA7" w:rsidP="00535BEA">
      <w:pPr>
        <w:pStyle w:val="COMexecsumnumberedpara"/>
      </w:pPr>
      <w:r w:rsidRPr="00C7281A">
        <w:t xml:space="preserve">The resubmission did not update the quality use of medicines information provided in the July 2022 resubmission. </w:t>
      </w:r>
      <w:r w:rsidRPr="00444E76">
        <w:t>The resubmission stated that the sponsor has a significant presence and reach in the osteoporosis setting, providing an extensive education program that covers specialists, GPs and patients. The resubmission claimed that this presence will be leveraged to provide initiatives to support the quality use of romosozumab, including successful transition to anti-resorptive therapy upon completion of romosozumab treatment.</w:t>
      </w:r>
    </w:p>
    <w:p w14:paraId="38BD0AEF" w14:textId="6FACEA39" w:rsidR="00576972" w:rsidRPr="00606FBA" w:rsidRDefault="00D77BA7" w:rsidP="00D77BA7">
      <w:pPr>
        <w:pStyle w:val="COMexecsumnumberedpara"/>
        <w:rPr>
          <w:color w:val="0066FF"/>
        </w:rPr>
      </w:pPr>
      <w:r w:rsidRPr="00425F7A">
        <w:t>There are multiple ongoing post-marketing surveillance studies and published reviews assessing the risk of serious cardiovascular events associated with romosozumab</w:t>
      </w:r>
      <w:r>
        <w:t xml:space="preserve">. </w:t>
      </w:r>
      <w:r w:rsidRPr="00425F7A">
        <w:t>To date, the available evidence has been unable to rule in or rule out a causal relationship between romosozumab and serious cardiovascular adverse events.</w:t>
      </w:r>
    </w:p>
    <w:p w14:paraId="6015A395" w14:textId="5AEF5072" w:rsidR="00576972" w:rsidRPr="00C9624D" w:rsidRDefault="00576972" w:rsidP="00606FBA">
      <w:pPr>
        <w:pStyle w:val="COMH2-non-numbered"/>
      </w:pPr>
      <w:bookmarkStart w:id="63" w:name="_Toc22897649"/>
      <w:bookmarkStart w:id="64" w:name="_Toc124858712"/>
      <w:r w:rsidRPr="00C9624D">
        <w:t>Financial Management – Risk Sharing Arrangements</w:t>
      </w:r>
      <w:bookmarkEnd w:id="63"/>
      <w:bookmarkEnd w:id="64"/>
    </w:p>
    <w:p w14:paraId="0EBC8B54" w14:textId="485C34D7" w:rsidR="00576972" w:rsidRPr="00314925" w:rsidRDefault="00D77BA7">
      <w:pPr>
        <w:pStyle w:val="COMexecsumnumberedpara"/>
        <w:rPr>
          <w:color w:val="0066FF"/>
        </w:rPr>
      </w:pPr>
      <w:r w:rsidRPr="006024B4">
        <w:t xml:space="preserve">The resubmission </w:t>
      </w:r>
      <w:r>
        <w:t>stated that</w:t>
      </w:r>
      <w:r w:rsidRPr="006024B4">
        <w:t xml:space="preserve"> the sponsor is willing to agree to a revised deed for romosozumab,</w:t>
      </w:r>
      <w:r>
        <w:t xml:space="preserve"> proposing new financial caps using the sum of the existing caps </w:t>
      </w:r>
      <w:r w:rsidR="00191151">
        <w:t>(</w:t>
      </w:r>
      <w:r w:rsidR="00191151">
        <w:fldChar w:fldCharType="begin" w:fldLock="1"/>
      </w:r>
      <w:r w:rsidR="00191151">
        <w:instrText xml:space="preserve"> REF _Ref127528190 \h  \* MERGEFORMAT </w:instrText>
      </w:r>
      <w:r w:rsidR="00191151">
        <w:fldChar w:fldCharType="separate"/>
      </w:r>
      <w:r w:rsidR="00191151" w:rsidRPr="00191151">
        <w:t xml:space="preserve">Table </w:t>
      </w:r>
      <w:r w:rsidR="00191151" w:rsidRPr="005F6E7C">
        <w:t>16</w:t>
      </w:r>
      <w:r w:rsidR="00191151">
        <w:fldChar w:fldCharType="end"/>
      </w:r>
      <w:r w:rsidR="00191151">
        <w:t xml:space="preserve">) </w:t>
      </w:r>
      <w:r>
        <w:t xml:space="preserve">and the financial estimates presented for the additional populations in the current submission (see </w:t>
      </w:r>
      <w:r w:rsidR="00793F5D">
        <w:fldChar w:fldCharType="begin" w:fldLock="1"/>
      </w:r>
      <w:r w:rsidR="00793F5D">
        <w:instrText xml:space="preserve"> REF _Ref104805295 \h </w:instrText>
      </w:r>
      <w:r w:rsidR="00793F5D">
        <w:fldChar w:fldCharType="separate"/>
      </w:r>
      <w:r w:rsidR="00605CB9">
        <w:t xml:space="preserve">Table </w:t>
      </w:r>
      <w:r w:rsidR="00605CB9">
        <w:rPr>
          <w:noProof/>
        </w:rPr>
        <w:t>15</w:t>
      </w:r>
      <w:r w:rsidR="00793F5D">
        <w:fldChar w:fldCharType="end"/>
      </w:r>
      <w:r>
        <w:t xml:space="preserve">). The sponsor proposed a </w:t>
      </w:r>
      <w:r w:rsidR="009E0870" w:rsidRPr="009E0870">
        <w:rPr>
          <w:color w:val="000000"/>
          <w:w w:val="21"/>
          <w:shd w:val="solid" w:color="000000" w:fill="000000"/>
          <w:fitText w:val="72" w:id="-1232957173"/>
          <w14:textFill>
            <w14:solidFill>
              <w14:srgbClr w14:val="000000">
                <w14:alpha w14:val="100000"/>
              </w14:srgbClr>
            </w14:solidFill>
          </w14:textFill>
        </w:rPr>
        <w:t xml:space="preserve">|  </w:t>
      </w:r>
      <w:r w:rsidR="009E0870" w:rsidRPr="009E0870">
        <w:rPr>
          <w:color w:val="000000"/>
          <w:spacing w:val="2"/>
          <w:w w:val="21"/>
          <w:shd w:val="solid" w:color="000000" w:fill="000000"/>
          <w:fitText w:val="72" w:id="-1232957173"/>
          <w14:textFill>
            <w14:solidFill>
              <w14:srgbClr w14:val="000000">
                <w14:alpha w14:val="100000"/>
              </w14:srgbClr>
            </w14:solidFill>
          </w14:textFill>
        </w:rPr>
        <w:t>|</w:t>
      </w:r>
      <w:r>
        <w:t xml:space="preserve">% rebate on any expenditure </w:t>
      </w:r>
      <w:r w:rsidRPr="000F375C">
        <w:t xml:space="preserve">above the caps. </w:t>
      </w:r>
      <w:r w:rsidRPr="00C7281A">
        <w:t xml:space="preserve">This is an increase from the </w:t>
      </w:r>
      <w:r w:rsidR="009E0870" w:rsidRPr="009E0870">
        <w:rPr>
          <w:color w:val="000000"/>
          <w:w w:val="24"/>
          <w:shd w:val="solid" w:color="000000" w:fill="000000"/>
          <w:fitText w:val="80" w:id="-1232957172"/>
          <w14:textFill>
            <w14:solidFill>
              <w14:srgbClr w14:val="000000">
                <w14:alpha w14:val="100000"/>
              </w14:srgbClr>
            </w14:solidFill>
          </w14:textFill>
        </w:rPr>
        <w:t xml:space="preserve">|  </w:t>
      </w:r>
      <w:r w:rsidR="009E0870" w:rsidRPr="009E0870">
        <w:rPr>
          <w:color w:val="000000"/>
          <w:spacing w:val="1"/>
          <w:w w:val="24"/>
          <w:shd w:val="solid" w:color="000000" w:fill="000000"/>
          <w:fitText w:val="80" w:id="-1232957172"/>
          <w14:textFill>
            <w14:solidFill>
              <w14:srgbClr w14:val="000000">
                <w14:alpha w14:val="100000"/>
              </w14:srgbClr>
            </w14:solidFill>
          </w14:textFill>
        </w:rPr>
        <w:t>|</w:t>
      </w:r>
      <w:r w:rsidRPr="00C7281A">
        <w:t>% rebate offered in the July 2022 resubmission.</w:t>
      </w:r>
      <w:r w:rsidR="007326BA">
        <w:t xml:space="preserve"> </w:t>
      </w:r>
      <w:r w:rsidRPr="00C7281A">
        <w:t xml:space="preserve">The </w:t>
      </w:r>
      <w:r w:rsidR="007326BA" w:rsidRPr="00810C1E">
        <w:t>ESC considered the</w:t>
      </w:r>
      <w:r w:rsidR="007326BA">
        <w:t xml:space="preserve"> </w:t>
      </w:r>
      <w:r w:rsidRPr="00C7281A">
        <w:t>nominated caps were highly uncertain as they were associated with significant uncertainties regarding the size of the eligible and treated populations.</w:t>
      </w:r>
      <w:r w:rsidR="0050455D">
        <w:t xml:space="preserve"> </w:t>
      </w:r>
    </w:p>
    <w:p w14:paraId="1AA349B5" w14:textId="00A91B93" w:rsidR="00191151" w:rsidRPr="00314925" w:rsidRDefault="00191151" w:rsidP="00324078">
      <w:pPr>
        <w:pStyle w:val="Caption"/>
        <w:keepNext/>
        <w:keepLines/>
        <w:spacing w:after="0"/>
        <w:rPr>
          <w:rFonts w:ascii="Arial Narrow" w:eastAsiaTheme="majorEastAsia" w:hAnsi="Arial Narrow" w:cstheme="majorBidi"/>
          <w:bCs/>
          <w:sz w:val="20"/>
          <w:szCs w:val="24"/>
        </w:rPr>
      </w:pPr>
      <w:bookmarkStart w:id="65" w:name="_Ref127528190"/>
      <w:r w:rsidRPr="00314925">
        <w:rPr>
          <w:rFonts w:ascii="Arial Narrow" w:eastAsiaTheme="majorEastAsia" w:hAnsi="Arial Narrow" w:cstheme="majorBidi"/>
          <w:b/>
          <w:bCs/>
          <w:i w:val="0"/>
          <w:iCs w:val="0"/>
          <w:color w:val="auto"/>
          <w:sz w:val="20"/>
          <w:szCs w:val="24"/>
        </w:rPr>
        <w:lastRenderedPageBreak/>
        <w:t xml:space="preserve">Table </w:t>
      </w:r>
      <w:r w:rsidRPr="00314925">
        <w:rPr>
          <w:rFonts w:ascii="Arial Narrow" w:eastAsiaTheme="majorEastAsia" w:hAnsi="Arial Narrow" w:cstheme="majorBidi"/>
          <w:b/>
          <w:bCs/>
          <w:i w:val="0"/>
          <w:iCs w:val="0"/>
          <w:color w:val="auto"/>
          <w:sz w:val="20"/>
          <w:szCs w:val="24"/>
        </w:rPr>
        <w:fldChar w:fldCharType="begin" w:fldLock="1"/>
      </w:r>
      <w:r w:rsidRPr="00314925">
        <w:rPr>
          <w:rFonts w:ascii="Arial Narrow" w:eastAsiaTheme="majorEastAsia" w:hAnsi="Arial Narrow" w:cstheme="majorBidi"/>
          <w:b/>
          <w:bCs/>
          <w:i w:val="0"/>
          <w:iCs w:val="0"/>
          <w:color w:val="auto"/>
          <w:sz w:val="20"/>
          <w:szCs w:val="24"/>
        </w:rPr>
        <w:instrText xml:space="preserve"> SEQ Table \* ARABIC </w:instrText>
      </w:r>
      <w:r w:rsidRPr="00314925">
        <w:rPr>
          <w:rFonts w:ascii="Arial Narrow" w:eastAsiaTheme="majorEastAsia" w:hAnsi="Arial Narrow" w:cstheme="majorBidi"/>
          <w:b/>
          <w:bCs/>
          <w:i w:val="0"/>
          <w:iCs w:val="0"/>
          <w:color w:val="auto"/>
          <w:sz w:val="20"/>
          <w:szCs w:val="24"/>
        </w:rPr>
        <w:fldChar w:fldCharType="separate"/>
      </w:r>
      <w:r w:rsidR="00B20BD0">
        <w:rPr>
          <w:rFonts w:ascii="Arial Narrow" w:eastAsiaTheme="majorEastAsia" w:hAnsi="Arial Narrow" w:cstheme="majorBidi"/>
          <w:b/>
          <w:bCs/>
          <w:i w:val="0"/>
          <w:iCs w:val="0"/>
          <w:noProof/>
          <w:color w:val="auto"/>
          <w:sz w:val="20"/>
          <w:szCs w:val="24"/>
        </w:rPr>
        <w:t>16</w:t>
      </w:r>
      <w:r w:rsidRPr="00314925">
        <w:rPr>
          <w:rFonts w:ascii="Arial Narrow" w:eastAsiaTheme="majorEastAsia" w:hAnsi="Arial Narrow" w:cstheme="majorBidi"/>
          <w:b/>
          <w:bCs/>
          <w:i w:val="0"/>
          <w:iCs w:val="0"/>
          <w:color w:val="auto"/>
          <w:sz w:val="20"/>
          <w:szCs w:val="24"/>
        </w:rPr>
        <w:fldChar w:fldCharType="end"/>
      </w:r>
      <w:bookmarkEnd w:id="65"/>
      <w:r w:rsidRPr="00314925">
        <w:rPr>
          <w:rFonts w:ascii="Arial Narrow" w:eastAsiaTheme="majorEastAsia" w:hAnsi="Arial Narrow" w:cstheme="majorBidi"/>
          <w:b/>
          <w:bCs/>
          <w:i w:val="0"/>
          <w:iCs w:val="0"/>
          <w:color w:val="auto"/>
          <w:sz w:val="20"/>
          <w:szCs w:val="24"/>
        </w:rPr>
        <w:t xml:space="preserve"> Current RSA for romosozumab in severe established osteoporosis</w:t>
      </w:r>
      <w:r w:rsidR="007326BA">
        <w:rPr>
          <w:rFonts w:ascii="Arial Narrow" w:eastAsiaTheme="majorEastAsia" w:hAnsi="Arial Narrow" w:cstheme="majorBidi"/>
          <w:b/>
          <w:bCs/>
          <w:i w:val="0"/>
          <w:iCs w:val="0"/>
          <w:color w:val="auto"/>
          <w:sz w:val="20"/>
          <w:szCs w:val="24"/>
        </w:rPr>
        <w:t xml:space="preserve"> (deed started 1</w:t>
      </w:r>
      <w:r w:rsidR="007326BA" w:rsidRPr="00314925">
        <w:rPr>
          <w:rFonts w:ascii="Arial Narrow" w:eastAsiaTheme="majorEastAsia" w:hAnsi="Arial Narrow" w:cstheme="majorBidi"/>
          <w:b/>
          <w:bCs/>
          <w:i w:val="0"/>
          <w:iCs w:val="0"/>
          <w:color w:val="auto"/>
          <w:sz w:val="20"/>
          <w:szCs w:val="24"/>
          <w:vertAlign w:val="superscript"/>
        </w:rPr>
        <w:t>st</w:t>
      </w:r>
      <w:r w:rsidR="007326BA">
        <w:rPr>
          <w:rFonts w:ascii="Arial Narrow" w:eastAsiaTheme="majorEastAsia" w:hAnsi="Arial Narrow" w:cstheme="majorBidi"/>
          <w:b/>
          <w:bCs/>
          <w:i w:val="0"/>
          <w:iCs w:val="0"/>
          <w:color w:val="auto"/>
          <w:sz w:val="20"/>
          <w:szCs w:val="24"/>
        </w:rPr>
        <w:t xml:space="preserve"> April 2021)</w:t>
      </w:r>
    </w:p>
    <w:tbl>
      <w:tblPr>
        <w:tblW w:w="8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3"/>
        <w:gridCol w:w="2124"/>
        <w:gridCol w:w="2124"/>
        <w:gridCol w:w="2124"/>
      </w:tblGrid>
      <w:tr w:rsidR="002A3E4F" w14:paraId="3037DE90" w14:textId="77777777" w:rsidTr="009E0870">
        <w:trPr>
          <w:trHeight w:val="315"/>
        </w:trPr>
        <w:tc>
          <w:tcPr>
            <w:tcW w:w="2123" w:type="dxa"/>
            <w:shd w:val="clear" w:color="auto" w:fill="FFFFFF" w:themeFill="background1"/>
            <w:noWrap/>
            <w:tcMar>
              <w:top w:w="0" w:type="dxa"/>
              <w:left w:w="108" w:type="dxa"/>
              <w:bottom w:w="0" w:type="dxa"/>
              <w:right w:w="108" w:type="dxa"/>
            </w:tcMar>
            <w:hideMark/>
          </w:tcPr>
          <w:p w14:paraId="3E059807" w14:textId="32DE0D5E" w:rsidR="002A3E4F" w:rsidRPr="00BD6B44" w:rsidRDefault="002A3E4F" w:rsidP="00324078">
            <w:pPr>
              <w:pStyle w:val="Tableheadingrow"/>
              <w:keepLines/>
              <w:jc w:val="center"/>
            </w:pPr>
            <w:r w:rsidRPr="00BD6B44">
              <w:t>Romosozumab</w:t>
            </w:r>
          </w:p>
        </w:tc>
        <w:tc>
          <w:tcPr>
            <w:tcW w:w="2124" w:type="dxa"/>
            <w:tcBorders>
              <w:bottom w:val="single" w:sz="4" w:space="0" w:color="auto"/>
            </w:tcBorders>
            <w:shd w:val="clear" w:color="auto" w:fill="FFFFFF" w:themeFill="background1"/>
            <w:noWrap/>
            <w:tcMar>
              <w:top w:w="0" w:type="dxa"/>
              <w:left w:w="108" w:type="dxa"/>
              <w:bottom w:w="0" w:type="dxa"/>
              <w:right w:w="108" w:type="dxa"/>
            </w:tcMar>
            <w:hideMark/>
          </w:tcPr>
          <w:p w14:paraId="0A4A6DCA" w14:textId="77777777" w:rsidR="002A3E4F" w:rsidRDefault="002A3E4F" w:rsidP="00324078">
            <w:pPr>
              <w:pStyle w:val="Tableheadingrow"/>
              <w:keepLines/>
              <w:jc w:val="center"/>
            </w:pPr>
            <w:r w:rsidRPr="00BD6B44">
              <w:t>Cap Threshold</w:t>
            </w:r>
          </w:p>
          <w:p w14:paraId="77A628B8" w14:textId="4F442C06" w:rsidR="00274329" w:rsidRPr="00BD6B44" w:rsidRDefault="00274329" w:rsidP="00324078">
            <w:pPr>
              <w:pStyle w:val="Tableheadingrow"/>
              <w:keepLines/>
              <w:jc w:val="center"/>
              <w:rPr>
                <w:b w:val="0"/>
              </w:rPr>
            </w:pPr>
            <w:r>
              <w:t>($)</w:t>
            </w:r>
          </w:p>
        </w:tc>
        <w:tc>
          <w:tcPr>
            <w:tcW w:w="2124" w:type="dxa"/>
            <w:tcBorders>
              <w:bottom w:val="single" w:sz="4" w:space="0" w:color="auto"/>
            </w:tcBorders>
            <w:shd w:val="clear" w:color="auto" w:fill="FFFFFF" w:themeFill="background1"/>
            <w:hideMark/>
          </w:tcPr>
          <w:p w14:paraId="3C75156D" w14:textId="5CD430F3" w:rsidR="002A3E4F" w:rsidRPr="00BD6B44" w:rsidRDefault="002A3E4F" w:rsidP="00324078">
            <w:pPr>
              <w:pStyle w:val="Tableheadingrow"/>
              <w:keepLines/>
              <w:jc w:val="center"/>
              <w:rPr>
                <w:b w:val="0"/>
              </w:rPr>
            </w:pPr>
            <w:r w:rsidRPr="00BD6B44">
              <w:t>Total Commonwealth Payment (CP)</w:t>
            </w:r>
            <w:r w:rsidR="00274329">
              <w:t xml:space="preserve"> ($)</w:t>
            </w:r>
          </w:p>
        </w:tc>
        <w:tc>
          <w:tcPr>
            <w:tcW w:w="2124" w:type="dxa"/>
            <w:tcBorders>
              <w:bottom w:val="single" w:sz="4" w:space="0" w:color="auto"/>
            </w:tcBorders>
            <w:shd w:val="clear" w:color="auto" w:fill="FFFFFF" w:themeFill="background1"/>
            <w:noWrap/>
            <w:tcMar>
              <w:top w:w="0" w:type="dxa"/>
              <w:left w:w="108" w:type="dxa"/>
              <w:bottom w:w="0" w:type="dxa"/>
              <w:right w:w="108" w:type="dxa"/>
            </w:tcMar>
            <w:hideMark/>
          </w:tcPr>
          <w:p w14:paraId="72C3D6BA" w14:textId="77777777" w:rsidR="002A3E4F" w:rsidRPr="00BD6B44" w:rsidRDefault="002A3E4F" w:rsidP="00324078">
            <w:pPr>
              <w:pStyle w:val="Tableheadingrow"/>
              <w:keepLines/>
              <w:jc w:val="center"/>
              <w:rPr>
                <w:b w:val="0"/>
              </w:rPr>
            </w:pPr>
            <w:r w:rsidRPr="00BD6B44">
              <w:t>% of Cap Reached</w:t>
            </w:r>
          </w:p>
        </w:tc>
      </w:tr>
      <w:tr w:rsidR="002A3E4F" w14:paraId="0A6DECAC" w14:textId="77777777" w:rsidTr="009E0870">
        <w:trPr>
          <w:trHeight w:val="315"/>
        </w:trPr>
        <w:tc>
          <w:tcPr>
            <w:tcW w:w="2123" w:type="dxa"/>
            <w:noWrap/>
            <w:tcMar>
              <w:top w:w="0" w:type="dxa"/>
              <w:left w:w="108" w:type="dxa"/>
              <w:bottom w:w="0" w:type="dxa"/>
              <w:right w:w="108" w:type="dxa"/>
            </w:tcMar>
            <w:vAlign w:val="center"/>
            <w:hideMark/>
          </w:tcPr>
          <w:p w14:paraId="6A6208E9" w14:textId="77777777" w:rsidR="002A3E4F" w:rsidRPr="00BD6B44" w:rsidRDefault="002A3E4F" w:rsidP="00324078">
            <w:pPr>
              <w:pStyle w:val="TableText0"/>
              <w:keepLines/>
              <w:jc w:val="center"/>
            </w:pPr>
            <w:r w:rsidRPr="00BD6B44">
              <w:t>1 Year</w:t>
            </w:r>
          </w:p>
        </w:tc>
        <w:tc>
          <w:tcPr>
            <w:tcW w:w="2124" w:type="dxa"/>
            <w:tcBorders>
              <w:bottom w:val="single" w:sz="4" w:space="0" w:color="auto"/>
            </w:tcBorders>
            <w:shd w:val="solid" w:color="000000" w:fill="000000"/>
            <w:noWrap/>
            <w:tcMar>
              <w:top w:w="0" w:type="dxa"/>
              <w:left w:w="108" w:type="dxa"/>
              <w:bottom w:w="0" w:type="dxa"/>
              <w:right w:w="108" w:type="dxa"/>
            </w:tcMar>
            <w:hideMark/>
          </w:tcPr>
          <w:p w14:paraId="4DFCC13D" w14:textId="1BBF0681" w:rsidR="002A3E4F" w:rsidRPr="009E0870" w:rsidRDefault="009E0870" w:rsidP="00324078">
            <w:pPr>
              <w:pStyle w:val="TableText0"/>
              <w:keepLines/>
              <w:jc w:val="center"/>
            </w:pPr>
            <w:r w:rsidRPr="009E0870">
              <w:rPr>
                <w:color w:val="000000"/>
                <w14:textFill>
                  <w14:solidFill>
                    <w14:srgbClr w14:val="000000">
                      <w14:alpha w14:val="100000"/>
                    </w14:srgbClr>
                  </w14:solidFill>
                </w14:textFill>
              </w:rPr>
              <w:t>|</w:t>
            </w:r>
          </w:p>
        </w:tc>
        <w:tc>
          <w:tcPr>
            <w:tcW w:w="2124" w:type="dxa"/>
            <w:shd w:val="solid" w:color="000000" w:fill="000000"/>
            <w:hideMark/>
          </w:tcPr>
          <w:p w14:paraId="748E1EE4" w14:textId="0FCD93FD" w:rsidR="002A3E4F" w:rsidRPr="009E0870" w:rsidRDefault="009E0870" w:rsidP="00324078">
            <w:pPr>
              <w:pStyle w:val="TableText0"/>
              <w:keepLines/>
              <w:jc w:val="center"/>
            </w:pPr>
            <w:r w:rsidRPr="009E0870">
              <w:rPr>
                <w:color w:val="000000"/>
                <w14:textFill>
                  <w14:solidFill>
                    <w14:srgbClr w14:val="000000">
                      <w14:alpha w14:val="100000"/>
                    </w14:srgbClr>
                  </w14:solidFill>
                </w14:textFill>
              </w:rPr>
              <w:t>|</w:t>
            </w:r>
          </w:p>
        </w:tc>
        <w:tc>
          <w:tcPr>
            <w:tcW w:w="2124" w:type="dxa"/>
            <w:shd w:val="solid" w:color="000000" w:fill="000000"/>
            <w:noWrap/>
            <w:tcMar>
              <w:top w:w="0" w:type="dxa"/>
              <w:left w:w="108" w:type="dxa"/>
              <w:bottom w:w="0" w:type="dxa"/>
              <w:right w:w="108" w:type="dxa"/>
            </w:tcMar>
            <w:hideMark/>
          </w:tcPr>
          <w:p w14:paraId="0B4419F3" w14:textId="2B50C0F8" w:rsidR="002A3E4F" w:rsidRPr="009E0870" w:rsidRDefault="009E0870" w:rsidP="00324078">
            <w:pPr>
              <w:pStyle w:val="TableText0"/>
              <w:keepLines/>
              <w:jc w:val="center"/>
            </w:pPr>
            <w:r w:rsidRPr="009E0870">
              <w:rPr>
                <w:color w:val="000000"/>
                <w14:textFill>
                  <w14:solidFill>
                    <w14:srgbClr w14:val="000000">
                      <w14:alpha w14:val="100000"/>
                    </w14:srgbClr>
                  </w14:solidFill>
                </w14:textFill>
              </w:rPr>
              <w:t>|</w:t>
            </w:r>
          </w:p>
        </w:tc>
      </w:tr>
      <w:tr w:rsidR="002A3E4F" w14:paraId="6D0ED7CC" w14:textId="77777777" w:rsidTr="009E0870">
        <w:trPr>
          <w:trHeight w:val="315"/>
        </w:trPr>
        <w:tc>
          <w:tcPr>
            <w:tcW w:w="2123" w:type="dxa"/>
            <w:noWrap/>
            <w:tcMar>
              <w:top w:w="0" w:type="dxa"/>
              <w:left w:w="108" w:type="dxa"/>
              <w:bottom w:w="0" w:type="dxa"/>
              <w:right w:w="108" w:type="dxa"/>
            </w:tcMar>
            <w:vAlign w:val="center"/>
            <w:hideMark/>
          </w:tcPr>
          <w:p w14:paraId="361D2B8C" w14:textId="77777777" w:rsidR="002A3E4F" w:rsidRPr="00BD6B44" w:rsidRDefault="002A3E4F" w:rsidP="00324078">
            <w:pPr>
              <w:pStyle w:val="TableText0"/>
              <w:keepLines/>
              <w:jc w:val="center"/>
            </w:pPr>
            <w:r w:rsidRPr="00BD6B44">
              <w:t>2 Year</w:t>
            </w:r>
          </w:p>
        </w:tc>
        <w:tc>
          <w:tcPr>
            <w:tcW w:w="2124" w:type="dxa"/>
            <w:tcBorders>
              <w:bottom w:val="single" w:sz="4" w:space="0" w:color="auto"/>
            </w:tcBorders>
            <w:shd w:val="solid" w:color="000000" w:fill="000000"/>
            <w:noWrap/>
            <w:tcMar>
              <w:top w:w="0" w:type="dxa"/>
              <w:left w:w="108" w:type="dxa"/>
              <w:bottom w:w="0" w:type="dxa"/>
              <w:right w:w="108" w:type="dxa"/>
            </w:tcMar>
            <w:hideMark/>
          </w:tcPr>
          <w:p w14:paraId="181C6205" w14:textId="39860061" w:rsidR="002A3E4F" w:rsidRPr="009E0870" w:rsidRDefault="009E0870" w:rsidP="00324078">
            <w:pPr>
              <w:pStyle w:val="TableText0"/>
              <w:keepLines/>
              <w:jc w:val="center"/>
            </w:pPr>
            <w:r w:rsidRPr="009E0870">
              <w:rPr>
                <w:color w:val="000000"/>
                <w14:textFill>
                  <w14:solidFill>
                    <w14:srgbClr w14:val="000000">
                      <w14:alpha w14:val="100000"/>
                    </w14:srgbClr>
                  </w14:solidFill>
                </w14:textFill>
              </w:rPr>
              <w:t>|</w:t>
            </w:r>
          </w:p>
        </w:tc>
        <w:tc>
          <w:tcPr>
            <w:tcW w:w="2124" w:type="dxa"/>
            <w:hideMark/>
          </w:tcPr>
          <w:p w14:paraId="13E90A39" w14:textId="204CCDC9" w:rsidR="002A3E4F" w:rsidRPr="00BD6B44" w:rsidRDefault="009E0870" w:rsidP="00324078">
            <w:pPr>
              <w:pStyle w:val="TableText0"/>
              <w:keepLines/>
              <w:jc w:val="center"/>
            </w:pPr>
            <w:r w:rsidRPr="009E0870">
              <w:rPr>
                <w:color w:val="000000"/>
                <w:szCs w:val="20"/>
                <w:shd w:val="solid" w:color="000000" w:fill="000000"/>
                <w14:textFill>
                  <w14:solidFill>
                    <w14:srgbClr w14:val="000000">
                      <w14:alpha w14:val="100000"/>
                    </w14:srgbClr>
                  </w14:solidFill>
                </w14:textFill>
              </w:rPr>
              <w:t>|</w:t>
            </w:r>
            <w:r w:rsidR="007536F5" w:rsidRPr="00BD6B44">
              <w:rPr>
                <w:color w:val="000000"/>
                <w:szCs w:val="20"/>
              </w:rPr>
              <w:t>*</w:t>
            </w:r>
          </w:p>
        </w:tc>
        <w:tc>
          <w:tcPr>
            <w:tcW w:w="2124" w:type="dxa"/>
            <w:noWrap/>
            <w:tcMar>
              <w:top w:w="0" w:type="dxa"/>
              <w:left w:w="108" w:type="dxa"/>
              <w:bottom w:w="0" w:type="dxa"/>
              <w:right w:w="108" w:type="dxa"/>
            </w:tcMar>
            <w:hideMark/>
          </w:tcPr>
          <w:p w14:paraId="6E39ED38" w14:textId="56F81D94" w:rsidR="002A3E4F" w:rsidRPr="002E1153" w:rsidRDefault="009E0870" w:rsidP="00324078">
            <w:pPr>
              <w:pStyle w:val="TableText0"/>
              <w:keepLines/>
              <w:jc w:val="center"/>
              <w:rPr>
                <w:highlight w:val="cyan"/>
              </w:rPr>
            </w:pPr>
            <w:r w:rsidRPr="009E0870">
              <w:rPr>
                <w:color w:val="000000"/>
                <w:szCs w:val="20"/>
                <w:shd w:val="solid" w:color="000000" w:fill="000000"/>
                <w14:textFill>
                  <w14:solidFill>
                    <w14:srgbClr w14:val="000000">
                      <w14:alpha w14:val="100000"/>
                    </w14:srgbClr>
                  </w14:solidFill>
                </w14:textFill>
              </w:rPr>
              <w:t>|</w:t>
            </w:r>
            <w:r w:rsidR="007536F5" w:rsidRPr="00780C02">
              <w:rPr>
                <w:color w:val="000000"/>
                <w:szCs w:val="20"/>
              </w:rPr>
              <w:t>*</w:t>
            </w:r>
          </w:p>
        </w:tc>
      </w:tr>
      <w:tr w:rsidR="002A3E4F" w14:paraId="2E4EC4AA" w14:textId="77777777" w:rsidTr="009E0870">
        <w:trPr>
          <w:trHeight w:val="315"/>
        </w:trPr>
        <w:tc>
          <w:tcPr>
            <w:tcW w:w="2123" w:type="dxa"/>
            <w:noWrap/>
            <w:tcMar>
              <w:top w:w="0" w:type="dxa"/>
              <w:left w:w="108" w:type="dxa"/>
              <w:bottom w:w="0" w:type="dxa"/>
              <w:right w:w="108" w:type="dxa"/>
            </w:tcMar>
            <w:vAlign w:val="center"/>
            <w:hideMark/>
          </w:tcPr>
          <w:p w14:paraId="6D79A046" w14:textId="77777777" w:rsidR="002A3E4F" w:rsidRPr="00BD6B44" w:rsidRDefault="002A3E4F" w:rsidP="00324078">
            <w:pPr>
              <w:pStyle w:val="TableText0"/>
              <w:keepLines/>
              <w:jc w:val="center"/>
            </w:pPr>
            <w:r w:rsidRPr="00BD6B44">
              <w:t>3 Year</w:t>
            </w:r>
          </w:p>
        </w:tc>
        <w:tc>
          <w:tcPr>
            <w:tcW w:w="2124" w:type="dxa"/>
            <w:tcBorders>
              <w:bottom w:val="single" w:sz="4" w:space="0" w:color="auto"/>
            </w:tcBorders>
            <w:shd w:val="solid" w:color="000000" w:fill="000000"/>
            <w:noWrap/>
            <w:tcMar>
              <w:top w:w="0" w:type="dxa"/>
              <w:left w:w="108" w:type="dxa"/>
              <w:bottom w:w="0" w:type="dxa"/>
              <w:right w:w="108" w:type="dxa"/>
            </w:tcMar>
            <w:hideMark/>
          </w:tcPr>
          <w:p w14:paraId="6E067E4F" w14:textId="791139C7" w:rsidR="002A3E4F" w:rsidRPr="009E0870" w:rsidRDefault="009E0870" w:rsidP="00324078">
            <w:pPr>
              <w:pStyle w:val="TableText0"/>
              <w:keepLines/>
              <w:jc w:val="center"/>
            </w:pPr>
            <w:r w:rsidRPr="009E0870">
              <w:rPr>
                <w:color w:val="000000"/>
                <w14:textFill>
                  <w14:solidFill>
                    <w14:srgbClr w14:val="000000">
                      <w14:alpha w14:val="100000"/>
                    </w14:srgbClr>
                  </w14:solidFill>
                </w14:textFill>
              </w:rPr>
              <w:t>|</w:t>
            </w:r>
          </w:p>
        </w:tc>
        <w:tc>
          <w:tcPr>
            <w:tcW w:w="2124" w:type="dxa"/>
            <w:hideMark/>
          </w:tcPr>
          <w:p w14:paraId="0A2897A9" w14:textId="77777777" w:rsidR="002A3E4F" w:rsidRPr="00BD6B44" w:rsidRDefault="002A3E4F" w:rsidP="00324078">
            <w:pPr>
              <w:pStyle w:val="TableText0"/>
              <w:keepLines/>
              <w:jc w:val="center"/>
            </w:pPr>
            <w:r w:rsidRPr="00BD6B44">
              <w:t>-</w:t>
            </w:r>
          </w:p>
        </w:tc>
        <w:tc>
          <w:tcPr>
            <w:tcW w:w="2124" w:type="dxa"/>
            <w:noWrap/>
            <w:tcMar>
              <w:top w:w="0" w:type="dxa"/>
              <w:left w:w="108" w:type="dxa"/>
              <w:bottom w:w="0" w:type="dxa"/>
              <w:right w:w="108" w:type="dxa"/>
            </w:tcMar>
            <w:hideMark/>
          </w:tcPr>
          <w:p w14:paraId="524EE4B7" w14:textId="77777777" w:rsidR="002A3E4F" w:rsidRPr="00BD6B44" w:rsidRDefault="002A3E4F" w:rsidP="00324078">
            <w:pPr>
              <w:pStyle w:val="TableText0"/>
              <w:keepLines/>
              <w:jc w:val="center"/>
            </w:pPr>
            <w:r w:rsidRPr="00BD6B44">
              <w:t>-</w:t>
            </w:r>
          </w:p>
        </w:tc>
      </w:tr>
      <w:tr w:rsidR="002A3E4F" w14:paraId="4C9552FE" w14:textId="77777777" w:rsidTr="009E0870">
        <w:trPr>
          <w:trHeight w:val="315"/>
        </w:trPr>
        <w:tc>
          <w:tcPr>
            <w:tcW w:w="2123" w:type="dxa"/>
            <w:noWrap/>
            <w:tcMar>
              <w:top w:w="0" w:type="dxa"/>
              <w:left w:w="108" w:type="dxa"/>
              <w:bottom w:w="0" w:type="dxa"/>
              <w:right w:w="108" w:type="dxa"/>
            </w:tcMar>
            <w:vAlign w:val="center"/>
            <w:hideMark/>
          </w:tcPr>
          <w:p w14:paraId="1EDB66EE" w14:textId="77777777" w:rsidR="002A3E4F" w:rsidRPr="00BD6B44" w:rsidRDefault="002A3E4F" w:rsidP="00324078">
            <w:pPr>
              <w:pStyle w:val="TableText0"/>
              <w:keepLines/>
              <w:jc w:val="center"/>
            </w:pPr>
            <w:r w:rsidRPr="00BD6B44">
              <w:t>4 Year</w:t>
            </w:r>
          </w:p>
        </w:tc>
        <w:tc>
          <w:tcPr>
            <w:tcW w:w="2124" w:type="dxa"/>
            <w:tcBorders>
              <w:bottom w:val="single" w:sz="4" w:space="0" w:color="auto"/>
            </w:tcBorders>
            <w:shd w:val="solid" w:color="000000" w:fill="000000"/>
            <w:noWrap/>
            <w:tcMar>
              <w:top w:w="0" w:type="dxa"/>
              <w:left w:w="108" w:type="dxa"/>
              <w:bottom w:w="0" w:type="dxa"/>
              <w:right w:w="108" w:type="dxa"/>
            </w:tcMar>
            <w:hideMark/>
          </w:tcPr>
          <w:p w14:paraId="620882A3" w14:textId="34B6A6BB" w:rsidR="002A3E4F" w:rsidRPr="009E0870" w:rsidRDefault="009E0870" w:rsidP="00324078">
            <w:pPr>
              <w:pStyle w:val="TableText0"/>
              <w:keepLines/>
              <w:jc w:val="center"/>
            </w:pPr>
            <w:r w:rsidRPr="009E0870">
              <w:rPr>
                <w:color w:val="000000"/>
                <w14:textFill>
                  <w14:solidFill>
                    <w14:srgbClr w14:val="000000">
                      <w14:alpha w14:val="100000"/>
                    </w14:srgbClr>
                  </w14:solidFill>
                </w14:textFill>
              </w:rPr>
              <w:t>|</w:t>
            </w:r>
          </w:p>
        </w:tc>
        <w:tc>
          <w:tcPr>
            <w:tcW w:w="2124" w:type="dxa"/>
            <w:hideMark/>
          </w:tcPr>
          <w:p w14:paraId="7B88A0AC" w14:textId="77777777" w:rsidR="002A3E4F" w:rsidRPr="00BD6B44" w:rsidRDefault="002A3E4F" w:rsidP="00324078">
            <w:pPr>
              <w:pStyle w:val="TableText0"/>
              <w:keepLines/>
              <w:jc w:val="center"/>
            </w:pPr>
            <w:r w:rsidRPr="00BD6B44">
              <w:t>-</w:t>
            </w:r>
          </w:p>
        </w:tc>
        <w:tc>
          <w:tcPr>
            <w:tcW w:w="2124" w:type="dxa"/>
            <w:noWrap/>
            <w:tcMar>
              <w:top w:w="0" w:type="dxa"/>
              <w:left w:w="108" w:type="dxa"/>
              <w:bottom w:w="0" w:type="dxa"/>
              <w:right w:w="108" w:type="dxa"/>
            </w:tcMar>
            <w:hideMark/>
          </w:tcPr>
          <w:p w14:paraId="4388D12F" w14:textId="77777777" w:rsidR="002A3E4F" w:rsidRPr="00BD6B44" w:rsidRDefault="002A3E4F" w:rsidP="00324078">
            <w:pPr>
              <w:pStyle w:val="TableText0"/>
              <w:keepLines/>
              <w:jc w:val="center"/>
            </w:pPr>
            <w:r w:rsidRPr="00BD6B44">
              <w:t>-</w:t>
            </w:r>
          </w:p>
        </w:tc>
      </w:tr>
      <w:tr w:rsidR="002A3E4F" w14:paraId="6ED18A1B" w14:textId="77777777" w:rsidTr="009E0870">
        <w:trPr>
          <w:trHeight w:val="315"/>
        </w:trPr>
        <w:tc>
          <w:tcPr>
            <w:tcW w:w="2123" w:type="dxa"/>
            <w:noWrap/>
            <w:tcMar>
              <w:top w:w="0" w:type="dxa"/>
              <w:left w:w="108" w:type="dxa"/>
              <w:bottom w:w="0" w:type="dxa"/>
              <w:right w:w="108" w:type="dxa"/>
            </w:tcMar>
            <w:vAlign w:val="center"/>
            <w:hideMark/>
          </w:tcPr>
          <w:p w14:paraId="179DC13A" w14:textId="77777777" w:rsidR="002A3E4F" w:rsidRPr="00BD6B44" w:rsidRDefault="002A3E4F" w:rsidP="00324078">
            <w:pPr>
              <w:pStyle w:val="TableText0"/>
              <w:keepLines/>
              <w:jc w:val="center"/>
            </w:pPr>
            <w:r w:rsidRPr="00BD6B44">
              <w:t>5 Year</w:t>
            </w:r>
          </w:p>
        </w:tc>
        <w:tc>
          <w:tcPr>
            <w:tcW w:w="2124" w:type="dxa"/>
            <w:shd w:val="solid" w:color="000000" w:fill="000000"/>
            <w:noWrap/>
            <w:tcMar>
              <w:top w:w="0" w:type="dxa"/>
              <w:left w:w="108" w:type="dxa"/>
              <w:bottom w:w="0" w:type="dxa"/>
              <w:right w:w="108" w:type="dxa"/>
            </w:tcMar>
            <w:hideMark/>
          </w:tcPr>
          <w:p w14:paraId="1A0A9794" w14:textId="7434D768" w:rsidR="002A3E4F" w:rsidRPr="009E0870" w:rsidRDefault="009E0870" w:rsidP="00324078">
            <w:pPr>
              <w:pStyle w:val="TableText0"/>
              <w:keepLines/>
              <w:jc w:val="center"/>
            </w:pPr>
            <w:r w:rsidRPr="009E0870">
              <w:rPr>
                <w:color w:val="000000"/>
                <w14:textFill>
                  <w14:solidFill>
                    <w14:srgbClr w14:val="000000">
                      <w14:alpha w14:val="100000"/>
                    </w14:srgbClr>
                  </w14:solidFill>
                </w14:textFill>
              </w:rPr>
              <w:t>|</w:t>
            </w:r>
          </w:p>
        </w:tc>
        <w:tc>
          <w:tcPr>
            <w:tcW w:w="2124" w:type="dxa"/>
            <w:hideMark/>
          </w:tcPr>
          <w:p w14:paraId="2365C383" w14:textId="77777777" w:rsidR="002A3E4F" w:rsidRPr="00BD6B44" w:rsidRDefault="002A3E4F" w:rsidP="00324078">
            <w:pPr>
              <w:pStyle w:val="TableText0"/>
              <w:keepLines/>
              <w:jc w:val="center"/>
            </w:pPr>
            <w:r w:rsidRPr="00BD6B44">
              <w:t>-</w:t>
            </w:r>
          </w:p>
        </w:tc>
        <w:tc>
          <w:tcPr>
            <w:tcW w:w="2124" w:type="dxa"/>
            <w:noWrap/>
            <w:tcMar>
              <w:top w:w="0" w:type="dxa"/>
              <w:left w:w="108" w:type="dxa"/>
              <w:bottom w:w="0" w:type="dxa"/>
              <w:right w:w="108" w:type="dxa"/>
            </w:tcMar>
            <w:hideMark/>
          </w:tcPr>
          <w:p w14:paraId="120A3BA7" w14:textId="77777777" w:rsidR="002A3E4F" w:rsidRPr="00BD6B44" w:rsidRDefault="002A3E4F" w:rsidP="00324078">
            <w:pPr>
              <w:pStyle w:val="TableText0"/>
              <w:keepLines/>
              <w:jc w:val="center"/>
            </w:pPr>
            <w:r w:rsidRPr="00BD6B44">
              <w:t>-</w:t>
            </w:r>
          </w:p>
        </w:tc>
      </w:tr>
    </w:tbl>
    <w:p w14:paraId="59D64C03" w14:textId="7E294B63" w:rsidR="00A451D7" w:rsidRPr="005F6E7C" w:rsidRDefault="00A252A9" w:rsidP="00A252A9">
      <w:pPr>
        <w:pStyle w:val="COMexecsumnumberedpara"/>
        <w:numPr>
          <w:ilvl w:val="0"/>
          <w:numId w:val="0"/>
        </w:numPr>
        <w:jc w:val="left"/>
        <w:rPr>
          <w:rFonts w:ascii="Arial Narrow" w:hAnsi="Arial Narrow"/>
          <w:sz w:val="18"/>
          <w:szCs w:val="22"/>
          <w:lang w:eastAsia="en-US"/>
        </w:rPr>
      </w:pPr>
      <w:r w:rsidRPr="00A252A9">
        <w:rPr>
          <w:rFonts w:ascii="Arial Narrow" w:hAnsi="Arial Narrow"/>
          <w:sz w:val="18"/>
          <w:szCs w:val="22"/>
          <w:lang w:eastAsia="en-US"/>
        </w:rPr>
        <w:t>Source:</w:t>
      </w:r>
      <w:r>
        <w:t xml:space="preserve"> </w:t>
      </w:r>
      <w:r w:rsidRPr="00A252A9">
        <w:rPr>
          <w:rFonts w:ascii="Arial Narrow" w:hAnsi="Arial Narrow"/>
          <w:sz w:val="18"/>
          <w:szCs w:val="22"/>
          <w:lang w:eastAsia="en-US"/>
        </w:rPr>
        <w:t>Compiled during the preparation of the ESC advice</w:t>
      </w:r>
      <w:r w:rsidRPr="00A252A9">
        <w:rPr>
          <w:rFonts w:ascii="Arial Narrow" w:hAnsi="Arial Narrow"/>
          <w:sz w:val="18"/>
          <w:szCs w:val="22"/>
          <w:lang w:eastAsia="en-US"/>
        </w:rPr>
        <w:br/>
      </w:r>
      <w:r w:rsidR="00531ACE" w:rsidRPr="005F6E7C">
        <w:rPr>
          <w:rFonts w:ascii="Arial Narrow" w:hAnsi="Arial Narrow"/>
          <w:sz w:val="18"/>
          <w:szCs w:val="22"/>
          <w:lang w:eastAsia="en-US"/>
        </w:rPr>
        <w:t xml:space="preserve">*based on </w:t>
      </w:r>
      <w:r w:rsidR="007536F5" w:rsidRPr="007536F5">
        <w:rPr>
          <w:rFonts w:ascii="Arial Narrow" w:hAnsi="Arial Narrow"/>
          <w:sz w:val="18"/>
          <w:szCs w:val="22"/>
          <w:lang w:eastAsia="en-US"/>
        </w:rPr>
        <w:t>11 months’ data (1-Apr-2022 – 20-Feb-2023)</w:t>
      </w:r>
    </w:p>
    <w:p w14:paraId="485F431E" w14:textId="072E5BCF" w:rsidR="00720CCF" w:rsidRPr="00B20BD0" w:rsidRDefault="00720CCF" w:rsidP="00720CCF">
      <w:pPr>
        <w:pStyle w:val="COMexecsumnumberedpara"/>
        <w:rPr>
          <w:i/>
          <w:iCs/>
        </w:rPr>
      </w:pPr>
      <w:r>
        <w:t xml:space="preserve">The pre-PBAC response provided the proposed overall financial caps </w:t>
      </w:r>
      <w:r w:rsidR="00A252A9">
        <w:t xml:space="preserve">which represent the sum of the commonwealth payment for the expanding listing calculated in this resubmission and the agreed caps for the current listing </w:t>
      </w:r>
      <w:r>
        <w:t>(</w:t>
      </w:r>
      <w:r w:rsidR="00B20BD0">
        <w:fldChar w:fldCharType="begin" w:fldLock="1"/>
      </w:r>
      <w:r w:rsidR="00B20BD0">
        <w:instrText xml:space="preserve"> REF _Ref130215147 \h  \* MERGEFORMAT </w:instrText>
      </w:r>
      <w:r w:rsidR="00B20BD0">
        <w:fldChar w:fldCharType="separate"/>
      </w:r>
      <w:r w:rsidR="00B20BD0" w:rsidRPr="00B20BD0">
        <w:t>Table 17</w:t>
      </w:r>
      <w:r w:rsidR="00B20BD0">
        <w:fldChar w:fldCharType="end"/>
      </w:r>
      <w:r>
        <w:t xml:space="preserve">). An adjustment to the contribution from the current caps </w:t>
      </w:r>
      <w:r w:rsidR="00500BDE">
        <w:t>was</w:t>
      </w:r>
      <w:r>
        <w:t xml:space="preserve"> made in acknowledgement that initial </w:t>
      </w:r>
      <w:r w:rsidR="00B20BD0">
        <w:t xml:space="preserve">romosozumab uptake under the current listing has been slower than anticipated (current year 1 caps for April 2021 – March 2022 have been shifted to 2023 for the proposed new overall caps). The pre-PBAC response stated the sponsor is willing to accept the </w:t>
      </w:r>
      <w:r w:rsidR="009E0870" w:rsidRPr="009E0870">
        <w:rPr>
          <w:color w:val="000000"/>
          <w:w w:val="24"/>
          <w:shd w:val="solid" w:color="000000" w:fill="000000"/>
          <w:fitText w:val="81" w:id="-1232957171"/>
          <w14:textFill>
            <w14:solidFill>
              <w14:srgbClr w14:val="000000">
                <w14:alpha w14:val="100000"/>
              </w14:srgbClr>
            </w14:solidFill>
          </w14:textFill>
        </w:rPr>
        <w:t xml:space="preserve">|  </w:t>
      </w:r>
      <w:r w:rsidR="009E0870" w:rsidRPr="009E0870">
        <w:rPr>
          <w:color w:val="000000"/>
          <w:spacing w:val="2"/>
          <w:w w:val="24"/>
          <w:shd w:val="solid" w:color="000000" w:fill="000000"/>
          <w:fitText w:val="81" w:id="-1232957171"/>
          <w14:textFill>
            <w14:solidFill>
              <w14:srgbClr w14:val="000000">
                <w14:alpha w14:val="100000"/>
              </w14:srgbClr>
            </w14:solidFill>
          </w14:textFill>
        </w:rPr>
        <w:t>|</w:t>
      </w:r>
      <w:r w:rsidR="00B20BD0">
        <w:t xml:space="preserve">% rebate stipulated by the PBAC. </w:t>
      </w:r>
    </w:p>
    <w:p w14:paraId="1DA5396A" w14:textId="7D89FC66" w:rsidR="00B20BD0" w:rsidRPr="00B20BD0" w:rsidRDefault="00B20BD0" w:rsidP="00B20BD0">
      <w:pPr>
        <w:pStyle w:val="Caption"/>
        <w:spacing w:after="0"/>
        <w:rPr>
          <w:rFonts w:ascii="Arial Narrow" w:eastAsiaTheme="majorEastAsia" w:hAnsi="Arial Narrow" w:cstheme="majorBidi"/>
          <w:b/>
          <w:bCs/>
          <w:i w:val="0"/>
          <w:iCs w:val="0"/>
          <w:color w:val="auto"/>
          <w:sz w:val="20"/>
          <w:szCs w:val="24"/>
        </w:rPr>
      </w:pPr>
      <w:bookmarkStart w:id="66" w:name="_Ref130215147"/>
      <w:r w:rsidRPr="00B20BD0">
        <w:rPr>
          <w:rFonts w:ascii="Arial Narrow" w:eastAsiaTheme="majorEastAsia" w:hAnsi="Arial Narrow" w:cstheme="majorBidi"/>
          <w:b/>
          <w:bCs/>
          <w:i w:val="0"/>
          <w:iCs w:val="0"/>
          <w:color w:val="auto"/>
          <w:sz w:val="20"/>
          <w:szCs w:val="24"/>
        </w:rPr>
        <w:t xml:space="preserve">Table </w:t>
      </w:r>
      <w:r w:rsidRPr="00B20BD0">
        <w:rPr>
          <w:rFonts w:ascii="Arial Narrow" w:eastAsiaTheme="majorEastAsia" w:hAnsi="Arial Narrow" w:cstheme="majorBidi"/>
          <w:b/>
          <w:bCs/>
          <w:i w:val="0"/>
          <w:iCs w:val="0"/>
          <w:color w:val="auto"/>
          <w:sz w:val="20"/>
          <w:szCs w:val="24"/>
        </w:rPr>
        <w:fldChar w:fldCharType="begin" w:fldLock="1"/>
      </w:r>
      <w:r w:rsidRPr="00B20BD0">
        <w:rPr>
          <w:rFonts w:ascii="Arial Narrow" w:eastAsiaTheme="majorEastAsia" w:hAnsi="Arial Narrow" w:cstheme="majorBidi"/>
          <w:b/>
          <w:bCs/>
          <w:i w:val="0"/>
          <w:iCs w:val="0"/>
          <w:color w:val="auto"/>
          <w:sz w:val="20"/>
          <w:szCs w:val="24"/>
        </w:rPr>
        <w:instrText xml:space="preserve"> SEQ Table \* ARABIC </w:instrText>
      </w:r>
      <w:r w:rsidRPr="00B20BD0">
        <w:rPr>
          <w:rFonts w:ascii="Arial Narrow" w:eastAsiaTheme="majorEastAsia" w:hAnsi="Arial Narrow" w:cstheme="majorBidi"/>
          <w:b/>
          <w:bCs/>
          <w:i w:val="0"/>
          <w:iCs w:val="0"/>
          <w:color w:val="auto"/>
          <w:sz w:val="20"/>
          <w:szCs w:val="24"/>
        </w:rPr>
        <w:fldChar w:fldCharType="separate"/>
      </w:r>
      <w:r w:rsidR="00761F31">
        <w:rPr>
          <w:rFonts w:ascii="Arial Narrow" w:eastAsiaTheme="majorEastAsia" w:hAnsi="Arial Narrow" w:cstheme="majorBidi"/>
          <w:b/>
          <w:bCs/>
          <w:i w:val="0"/>
          <w:iCs w:val="0"/>
          <w:noProof/>
          <w:color w:val="auto"/>
          <w:sz w:val="20"/>
          <w:szCs w:val="24"/>
        </w:rPr>
        <w:t>17</w:t>
      </w:r>
      <w:r w:rsidRPr="00B20BD0">
        <w:rPr>
          <w:rFonts w:ascii="Arial Narrow" w:eastAsiaTheme="majorEastAsia" w:hAnsi="Arial Narrow" w:cstheme="majorBidi"/>
          <w:b/>
          <w:bCs/>
          <w:i w:val="0"/>
          <w:iCs w:val="0"/>
          <w:color w:val="auto"/>
          <w:sz w:val="20"/>
          <w:szCs w:val="24"/>
        </w:rPr>
        <w:fldChar w:fldCharType="end"/>
      </w:r>
      <w:bookmarkEnd w:id="66"/>
      <w:r w:rsidRPr="00B20BD0">
        <w:rPr>
          <w:rFonts w:ascii="Arial Narrow" w:eastAsiaTheme="majorEastAsia" w:hAnsi="Arial Narrow" w:cstheme="majorBidi"/>
          <w:b/>
          <w:bCs/>
          <w:i w:val="0"/>
          <w:iCs w:val="0"/>
          <w:color w:val="auto"/>
          <w:sz w:val="20"/>
          <w:szCs w:val="24"/>
        </w:rPr>
        <w:t xml:space="preserve"> Proposed overall financial caps</w:t>
      </w:r>
    </w:p>
    <w:tbl>
      <w:tblPr>
        <w:tblStyle w:val="TableGrid"/>
        <w:tblW w:w="0" w:type="auto"/>
        <w:tblLook w:val="04A0" w:firstRow="1" w:lastRow="0" w:firstColumn="1" w:lastColumn="0" w:noHBand="0" w:noVBand="1"/>
      </w:tblPr>
      <w:tblGrid>
        <w:gridCol w:w="1356"/>
        <w:gridCol w:w="1276"/>
        <w:gridCol w:w="1276"/>
        <w:gridCol w:w="1277"/>
        <w:gridCol w:w="1277"/>
        <w:gridCol w:w="1277"/>
        <w:gridCol w:w="1278"/>
      </w:tblGrid>
      <w:tr w:rsidR="00B20BD0" w14:paraId="082E1E20" w14:textId="77777777" w:rsidTr="009E0870">
        <w:tc>
          <w:tcPr>
            <w:tcW w:w="1356" w:type="dxa"/>
          </w:tcPr>
          <w:p w14:paraId="3EC0451A" w14:textId="77777777" w:rsidR="00B20BD0" w:rsidRDefault="00B20BD0" w:rsidP="00B20BD0">
            <w:pPr>
              <w:pStyle w:val="COMexecsumnumberedpara"/>
              <w:numPr>
                <w:ilvl w:val="0"/>
                <w:numId w:val="0"/>
              </w:numPr>
              <w:rPr>
                <w:i/>
                <w:iCs/>
              </w:rPr>
            </w:pPr>
          </w:p>
        </w:tc>
        <w:tc>
          <w:tcPr>
            <w:tcW w:w="1276" w:type="dxa"/>
            <w:tcBorders>
              <w:bottom w:val="single" w:sz="4" w:space="0" w:color="auto"/>
            </w:tcBorders>
          </w:tcPr>
          <w:p w14:paraId="1024B897" w14:textId="77777777" w:rsidR="00B20BD0" w:rsidRDefault="00B20BD0" w:rsidP="00B20BD0">
            <w:pPr>
              <w:pStyle w:val="Tableheadingrow"/>
              <w:keepNext w:val="0"/>
              <w:jc w:val="center"/>
            </w:pPr>
            <w:r w:rsidRPr="00B20BD0">
              <w:t>2023</w:t>
            </w:r>
          </w:p>
          <w:p w14:paraId="7127BC93" w14:textId="35857084" w:rsidR="00725A23" w:rsidRPr="00B20BD0" w:rsidRDefault="00725A23" w:rsidP="00B20BD0">
            <w:pPr>
              <w:pStyle w:val="Tableheadingrow"/>
              <w:keepNext w:val="0"/>
              <w:jc w:val="center"/>
            </w:pPr>
            <w:r>
              <w:t>($)</w:t>
            </w:r>
          </w:p>
        </w:tc>
        <w:tc>
          <w:tcPr>
            <w:tcW w:w="1276" w:type="dxa"/>
            <w:tcBorders>
              <w:bottom w:val="single" w:sz="4" w:space="0" w:color="auto"/>
            </w:tcBorders>
          </w:tcPr>
          <w:p w14:paraId="6843C033" w14:textId="77777777" w:rsidR="00B20BD0" w:rsidRDefault="00B20BD0" w:rsidP="00B20BD0">
            <w:pPr>
              <w:pStyle w:val="Tableheadingrow"/>
              <w:keepNext w:val="0"/>
              <w:jc w:val="center"/>
            </w:pPr>
            <w:r w:rsidRPr="00B20BD0">
              <w:t>2024</w:t>
            </w:r>
          </w:p>
          <w:p w14:paraId="1C7A5435" w14:textId="445C3894" w:rsidR="00725A23" w:rsidRPr="00B20BD0" w:rsidRDefault="00725A23" w:rsidP="00B20BD0">
            <w:pPr>
              <w:pStyle w:val="Tableheadingrow"/>
              <w:keepNext w:val="0"/>
              <w:jc w:val="center"/>
            </w:pPr>
            <w:r>
              <w:t>($)</w:t>
            </w:r>
          </w:p>
        </w:tc>
        <w:tc>
          <w:tcPr>
            <w:tcW w:w="1277" w:type="dxa"/>
            <w:tcBorders>
              <w:bottom w:val="single" w:sz="4" w:space="0" w:color="auto"/>
            </w:tcBorders>
          </w:tcPr>
          <w:p w14:paraId="34D84146" w14:textId="77777777" w:rsidR="00B20BD0" w:rsidRDefault="00B20BD0" w:rsidP="00B20BD0">
            <w:pPr>
              <w:pStyle w:val="Tableheadingrow"/>
              <w:keepNext w:val="0"/>
              <w:jc w:val="center"/>
            </w:pPr>
            <w:r w:rsidRPr="00B20BD0">
              <w:t>2025</w:t>
            </w:r>
          </w:p>
          <w:p w14:paraId="1BFD3206" w14:textId="79F5E65A" w:rsidR="00725A23" w:rsidRPr="00B20BD0" w:rsidRDefault="00725A23" w:rsidP="00B20BD0">
            <w:pPr>
              <w:pStyle w:val="Tableheadingrow"/>
              <w:keepNext w:val="0"/>
              <w:jc w:val="center"/>
            </w:pPr>
            <w:r>
              <w:t>($)</w:t>
            </w:r>
          </w:p>
        </w:tc>
        <w:tc>
          <w:tcPr>
            <w:tcW w:w="1277" w:type="dxa"/>
            <w:tcBorders>
              <w:bottom w:val="single" w:sz="4" w:space="0" w:color="auto"/>
            </w:tcBorders>
          </w:tcPr>
          <w:p w14:paraId="4763DEC1" w14:textId="77777777" w:rsidR="00B20BD0" w:rsidRDefault="00B20BD0" w:rsidP="00B20BD0">
            <w:pPr>
              <w:pStyle w:val="Tableheadingrow"/>
              <w:keepNext w:val="0"/>
              <w:jc w:val="center"/>
            </w:pPr>
            <w:r w:rsidRPr="00B20BD0">
              <w:t>2026</w:t>
            </w:r>
          </w:p>
          <w:p w14:paraId="5B74CF91" w14:textId="71A3B5C0" w:rsidR="00725A23" w:rsidRPr="00B20BD0" w:rsidRDefault="00725A23" w:rsidP="00B20BD0">
            <w:pPr>
              <w:pStyle w:val="Tableheadingrow"/>
              <w:keepNext w:val="0"/>
              <w:jc w:val="center"/>
            </w:pPr>
            <w:r>
              <w:t>($)</w:t>
            </w:r>
          </w:p>
        </w:tc>
        <w:tc>
          <w:tcPr>
            <w:tcW w:w="1277" w:type="dxa"/>
            <w:tcBorders>
              <w:bottom w:val="single" w:sz="4" w:space="0" w:color="auto"/>
            </w:tcBorders>
          </w:tcPr>
          <w:p w14:paraId="4C4AA175" w14:textId="77777777" w:rsidR="00B20BD0" w:rsidRDefault="00B20BD0" w:rsidP="00B20BD0">
            <w:pPr>
              <w:pStyle w:val="Tableheadingrow"/>
              <w:keepNext w:val="0"/>
              <w:jc w:val="center"/>
            </w:pPr>
            <w:r w:rsidRPr="00B20BD0">
              <w:t>2027</w:t>
            </w:r>
          </w:p>
          <w:p w14:paraId="2B4BE124" w14:textId="406BEB66" w:rsidR="00725A23" w:rsidRPr="00B20BD0" w:rsidRDefault="00725A23" w:rsidP="00B20BD0">
            <w:pPr>
              <w:pStyle w:val="Tableheadingrow"/>
              <w:keepNext w:val="0"/>
              <w:jc w:val="center"/>
            </w:pPr>
            <w:r>
              <w:t>($)</w:t>
            </w:r>
          </w:p>
        </w:tc>
        <w:tc>
          <w:tcPr>
            <w:tcW w:w="1278" w:type="dxa"/>
            <w:tcBorders>
              <w:bottom w:val="single" w:sz="4" w:space="0" w:color="auto"/>
            </w:tcBorders>
          </w:tcPr>
          <w:p w14:paraId="347DA498" w14:textId="77777777" w:rsidR="00B20BD0" w:rsidRDefault="00B20BD0" w:rsidP="00B20BD0">
            <w:pPr>
              <w:pStyle w:val="Tableheadingrow"/>
              <w:keepNext w:val="0"/>
              <w:jc w:val="center"/>
            </w:pPr>
            <w:r w:rsidRPr="00B20BD0">
              <w:t>2028</w:t>
            </w:r>
          </w:p>
          <w:p w14:paraId="1908F866" w14:textId="1F8490DD" w:rsidR="00725A23" w:rsidRPr="00B20BD0" w:rsidRDefault="00725A23" w:rsidP="00B20BD0">
            <w:pPr>
              <w:pStyle w:val="Tableheadingrow"/>
              <w:keepNext w:val="0"/>
              <w:jc w:val="center"/>
            </w:pPr>
            <w:r>
              <w:t>($)</w:t>
            </w:r>
          </w:p>
        </w:tc>
      </w:tr>
      <w:tr w:rsidR="00B20BD0" w14:paraId="067996FD" w14:textId="77777777" w:rsidTr="009E0870">
        <w:tc>
          <w:tcPr>
            <w:tcW w:w="1356" w:type="dxa"/>
          </w:tcPr>
          <w:p w14:paraId="6C466686" w14:textId="5080AC8E" w:rsidR="00B20BD0" w:rsidRPr="00B20BD0" w:rsidRDefault="00B20BD0" w:rsidP="00B20BD0">
            <w:pPr>
              <w:pStyle w:val="TableText0"/>
              <w:keepNext w:val="0"/>
              <w:jc w:val="center"/>
            </w:pPr>
            <w:r w:rsidRPr="00410BE3">
              <w:t>Current caps with time shift adjustment</w:t>
            </w:r>
          </w:p>
        </w:tc>
        <w:tc>
          <w:tcPr>
            <w:tcW w:w="1276" w:type="dxa"/>
            <w:tcBorders>
              <w:bottom w:val="single" w:sz="4" w:space="0" w:color="auto"/>
            </w:tcBorders>
            <w:shd w:val="solid" w:color="000000" w:fill="000000"/>
          </w:tcPr>
          <w:p w14:paraId="63D805A8" w14:textId="00D05F9A" w:rsidR="00B20BD0" w:rsidRPr="009E0870" w:rsidRDefault="009E0870" w:rsidP="00B20BD0">
            <w:pPr>
              <w:pStyle w:val="TableText0"/>
              <w:keepNext w:val="0"/>
              <w:jc w:val="center"/>
            </w:pPr>
            <w:r w:rsidRPr="009E0870">
              <w:rPr>
                <w:color w:val="000000"/>
                <w:spacing w:val="58"/>
                <w:fitText w:val="347" w:id="-1232957170"/>
                <w14:textFill>
                  <w14:solidFill>
                    <w14:srgbClr w14:val="000000">
                      <w14:alpha w14:val="100000"/>
                    </w14:srgbClr>
                  </w14:solidFill>
                </w14:textFill>
              </w:rPr>
              <w:t>|||</w:t>
            </w:r>
            <w:r w:rsidRPr="009E0870">
              <w:rPr>
                <w:color w:val="000000"/>
                <w:spacing w:val="3"/>
                <w:fitText w:val="347" w:id="-1232957170"/>
                <w14:textFill>
                  <w14:solidFill>
                    <w14:srgbClr w14:val="000000">
                      <w14:alpha w14:val="100000"/>
                    </w14:srgbClr>
                  </w14:solidFill>
                </w14:textFill>
              </w:rPr>
              <w:t>|</w:t>
            </w:r>
          </w:p>
        </w:tc>
        <w:tc>
          <w:tcPr>
            <w:tcW w:w="1276" w:type="dxa"/>
            <w:tcBorders>
              <w:bottom w:val="single" w:sz="4" w:space="0" w:color="auto"/>
            </w:tcBorders>
            <w:shd w:val="solid" w:color="000000" w:fill="000000"/>
          </w:tcPr>
          <w:p w14:paraId="715DFC48" w14:textId="27D0F4A8" w:rsidR="00B20BD0" w:rsidRPr="009E0870" w:rsidRDefault="009E0870" w:rsidP="00B20BD0">
            <w:pPr>
              <w:pStyle w:val="TableText0"/>
              <w:keepNext w:val="0"/>
              <w:jc w:val="center"/>
            </w:pPr>
            <w:r w:rsidRPr="009E0870">
              <w:rPr>
                <w:color w:val="000000"/>
                <w:spacing w:val="58"/>
                <w:fitText w:val="346" w:id="-1232957169"/>
                <w14:textFill>
                  <w14:solidFill>
                    <w14:srgbClr w14:val="000000">
                      <w14:alpha w14:val="100000"/>
                    </w14:srgbClr>
                  </w14:solidFill>
                </w14:textFill>
              </w:rPr>
              <w:t>|||</w:t>
            </w:r>
            <w:r w:rsidRPr="009E0870">
              <w:rPr>
                <w:color w:val="000000"/>
                <w:spacing w:val="2"/>
                <w:fitText w:val="346" w:id="-1232957169"/>
                <w14:textFill>
                  <w14:solidFill>
                    <w14:srgbClr w14:val="000000">
                      <w14:alpha w14:val="100000"/>
                    </w14:srgbClr>
                  </w14:solidFill>
                </w14:textFill>
              </w:rPr>
              <w:t>|</w:t>
            </w:r>
          </w:p>
        </w:tc>
        <w:tc>
          <w:tcPr>
            <w:tcW w:w="1277" w:type="dxa"/>
            <w:tcBorders>
              <w:bottom w:val="single" w:sz="4" w:space="0" w:color="auto"/>
            </w:tcBorders>
            <w:shd w:val="solid" w:color="000000" w:fill="000000"/>
          </w:tcPr>
          <w:p w14:paraId="3DA458D5" w14:textId="20423C14" w:rsidR="00B20BD0" w:rsidRPr="009E0870" w:rsidRDefault="009E0870" w:rsidP="00B20BD0">
            <w:pPr>
              <w:pStyle w:val="TableText0"/>
              <w:keepNext w:val="0"/>
              <w:jc w:val="center"/>
            </w:pPr>
            <w:r w:rsidRPr="009E0870">
              <w:rPr>
                <w:color w:val="000000"/>
                <w:spacing w:val="58"/>
                <w:fitText w:val="346" w:id="-1232957168"/>
                <w14:textFill>
                  <w14:solidFill>
                    <w14:srgbClr w14:val="000000">
                      <w14:alpha w14:val="100000"/>
                    </w14:srgbClr>
                  </w14:solidFill>
                </w14:textFill>
              </w:rPr>
              <w:t>|||</w:t>
            </w:r>
            <w:r w:rsidRPr="009E0870">
              <w:rPr>
                <w:color w:val="000000"/>
                <w:spacing w:val="2"/>
                <w:fitText w:val="346" w:id="-1232957168"/>
                <w14:textFill>
                  <w14:solidFill>
                    <w14:srgbClr w14:val="000000">
                      <w14:alpha w14:val="100000"/>
                    </w14:srgbClr>
                  </w14:solidFill>
                </w14:textFill>
              </w:rPr>
              <w:t>|</w:t>
            </w:r>
          </w:p>
        </w:tc>
        <w:tc>
          <w:tcPr>
            <w:tcW w:w="1277" w:type="dxa"/>
            <w:tcBorders>
              <w:bottom w:val="single" w:sz="4" w:space="0" w:color="auto"/>
            </w:tcBorders>
            <w:shd w:val="solid" w:color="000000" w:fill="000000"/>
          </w:tcPr>
          <w:p w14:paraId="64F0B4D3" w14:textId="3B3F042C" w:rsidR="00B20BD0" w:rsidRPr="009E0870" w:rsidRDefault="009E0870" w:rsidP="00B20BD0">
            <w:pPr>
              <w:pStyle w:val="TableText0"/>
              <w:keepNext w:val="0"/>
              <w:jc w:val="center"/>
            </w:pPr>
            <w:r w:rsidRPr="009E0870">
              <w:rPr>
                <w:color w:val="000000"/>
                <w:spacing w:val="58"/>
                <w:fitText w:val="346" w:id="-1232957184"/>
                <w14:textFill>
                  <w14:solidFill>
                    <w14:srgbClr w14:val="000000">
                      <w14:alpha w14:val="100000"/>
                    </w14:srgbClr>
                  </w14:solidFill>
                </w14:textFill>
              </w:rPr>
              <w:t>|||</w:t>
            </w:r>
            <w:r w:rsidRPr="009E0870">
              <w:rPr>
                <w:color w:val="000000"/>
                <w:spacing w:val="2"/>
                <w:fitText w:val="346" w:id="-1232957184"/>
                <w14:textFill>
                  <w14:solidFill>
                    <w14:srgbClr w14:val="000000">
                      <w14:alpha w14:val="100000"/>
                    </w14:srgbClr>
                  </w14:solidFill>
                </w14:textFill>
              </w:rPr>
              <w:t>|</w:t>
            </w:r>
          </w:p>
        </w:tc>
        <w:tc>
          <w:tcPr>
            <w:tcW w:w="1277" w:type="dxa"/>
            <w:tcBorders>
              <w:bottom w:val="single" w:sz="4" w:space="0" w:color="auto"/>
            </w:tcBorders>
            <w:shd w:val="solid" w:color="000000" w:fill="000000"/>
          </w:tcPr>
          <w:p w14:paraId="0155ED81" w14:textId="3E89469E" w:rsidR="00B20BD0" w:rsidRPr="009E0870" w:rsidRDefault="009E0870" w:rsidP="00B20BD0">
            <w:pPr>
              <w:pStyle w:val="TableText0"/>
              <w:keepNext w:val="0"/>
              <w:jc w:val="center"/>
            </w:pPr>
            <w:r w:rsidRPr="009E0870">
              <w:rPr>
                <w:color w:val="000000"/>
                <w:spacing w:val="58"/>
                <w:fitText w:val="346" w:id="-1232957183"/>
                <w14:textFill>
                  <w14:solidFill>
                    <w14:srgbClr w14:val="000000">
                      <w14:alpha w14:val="100000"/>
                    </w14:srgbClr>
                  </w14:solidFill>
                </w14:textFill>
              </w:rPr>
              <w:t>|||</w:t>
            </w:r>
            <w:r w:rsidRPr="009E0870">
              <w:rPr>
                <w:color w:val="000000"/>
                <w:spacing w:val="2"/>
                <w:fitText w:val="346" w:id="-1232957183"/>
                <w14:textFill>
                  <w14:solidFill>
                    <w14:srgbClr w14:val="000000">
                      <w14:alpha w14:val="100000"/>
                    </w14:srgbClr>
                  </w14:solidFill>
                </w14:textFill>
              </w:rPr>
              <w:t>|</w:t>
            </w:r>
          </w:p>
        </w:tc>
        <w:tc>
          <w:tcPr>
            <w:tcW w:w="1278" w:type="dxa"/>
            <w:tcBorders>
              <w:bottom w:val="single" w:sz="4" w:space="0" w:color="auto"/>
            </w:tcBorders>
            <w:shd w:val="solid" w:color="000000" w:fill="000000"/>
          </w:tcPr>
          <w:p w14:paraId="58852216" w14:textId="41E41665" w:rsidR="00B20BD0" w:rsidRPr="009E0870" w:rsidRDefault="009E0870" w:rsidP="00B20BD0">
            <w:pPr>
              <w:pStyle w:val="TableText0"/>
              <w:keepNext w:val="0"/>
              <w:jc w:val="center"/>
            </w:pPr>
            <w:r w:rsidRPr="009E0870">
              <w:rPr>
                <w:color w:val="000000"/>
                <w:spacing w:val="58"/>
                <w:fitText w:val="346" w:id="-1232957182"/>
                <w14:textFill>
                  <w14:solidFill>
                    <w14:srgbClr w14:val="000000">
                      <w14:alpha w14:val="100000"/>
                    </w14:srgbClr>
                  </w14:solidFill>
                </w14:textFill>
              </w:rPr>
              <w:t>|||</w:t>
            </w:r>
            <w:r w:rsidRPr="009E0870">
              <w:rPr>
                <w:color w:val="000000"/>
                <w:spacing w:val="2"/>
                <w:fitText w:val="346" w:id="-1232957182"/>
                <w14:textFill>
                  <w14:solidFill>
                    <w14:srgbClr w14:val="000000">
                      <w14:alpha w14:val="100000"/>
                    </w14:srgbClr>
                  </w14:solidFill>
                </w14:textFill>
              </w:rPr>
              <w:t>|</w:t>
            </w:r>
          </w:p>
        </w:tc>
      </w:tr>
      <w:tr w:rsidR="00B20BD0" w14:paraId="7AFD5199" w14:textId="77777777" w:rsidTr="009E0870">
        <w:tc>
          <w:tcPr>
            <w:tcW w:w="1356" w:type="dxa"/>
          </w:tcPr>
          <w:p w14:paraId="01A2238F" w14:textId="40670A2A" w:rsidR="00B20BD0" w:rsidRPr="00B20BD0" w:rsidRDefault="00B20BD0" w:rsidP="00B20BD0">
            <w:pPr>
              <w:pStyle w:val="TableText0"/>
              <w:keepNext w:val="0"/>
              <w:jc w:val="center"/>
            </w:pPr>
            <w:r w:rsidRPr="00410BE3">
              <w:t>Commonwealth payment for expanded listing</w:t>
            </w:r>
          </w:p>
        </w:tc>
        <w:tc>
          <w:tcPr>
            <w:tcW w:w="1276" w:type="dxa"/>
            <w:tcBorders>
              <w:bottom w:val="single" w:sz="4" w:space="0" w:color="auto"/>
            </w:tcBorders>
            <w:shd w:val="solid" w:color="000000" w:fill="000000"/>
          </w:tcPr>
          <w:p w14:paraId="443AC88A" w14:textId="00E7D08A" w:rsidR="00B20BD0" w:rsidRPr="009E0870" w:rsidRDefault="009E0870" w:rsidP="00B20BD0">
            <w:pPr>
              <w:pStyle w:val="TableText0"/>
              <w:keepNext w:val="0"/>
              <w:jc w:val="center"/>
            </w:pPr>
            <w:r w:rsidRPr="009E0870">
              <w:rPr>
                <w:color w:val="000000"/>
                <w:spacing w:val="58"/>
                <w:fitText w:val="347" w:id="-1232957181"/>
                <w14:textFill>
                  <w14:solidFill>
                    <w14:srgbClr w14:val="000000">
                      <w14:alpha w14:val="100000"/>
                    </w14:srgbClr>
                  </w14:solidFill>
                </w14:textFill>
              </w:rPr>
              <w:t>|||</w:t>
            </w:r>
            <w:r w:rsidRPr="009E0870">
              <w:rPr>
                <w:color w:val="000000"/>
                <w:spacing w:val="3"/>
                <w:fitText w:val="347" w:id="-1232957181"/>
                <w14:textFill>
                  <w14:solidFill>
                    <w14:srgbClr w14:val="000000">
                      <w14:alpha w14:val="100000"/>
                    </w14:srgbClr>
                  </w14:solidFill>
                </w14:textFill>
              </w:rPr>
              <w:t>|</w:t>
            </w:r>
          </w:p>
        </w:tc>
        <w:tc>
          <w:tcPr>
            <w:tcW w:w="1276" w:type="dxa"/>
            <w:tcBorders>
              <w:bottom w:val="single" w:sz="4" w:space="0" w:color="auto"/>
            </w:tcBorders>
            <w:shd w:val="solid" w:color="000000" w:fill="000000"/>
          </w:tcPr>
          <w:p w14:paraId="1E2C3AB1" w14:textId="48B7D54D" w:rsidR="00B20BD0" w:rsidRPr="009E0870" w:rsidRDefault="009E0870" w:rsidP="00B20BD0">
            <w:pPr>
              <w:pStyle w:val="TableText0"/>
              <w:keepNext w:val="0"/>
              <w:jc w:val="center"/>
            </w:pPr>
            <w:r w:rsidRPr="009E0870">
              <w:rPr>
                <w:color w:val="000000"/>
                <w:spacing w:val="58"/>
                <w:fitText w:val="346" w:id="-1232957180"/>
                <w14:textFill>
                  <w14:solidFill>
                    <w14:srgbClr w14:val="000000">
                      <w14:alpha w14:val="100000"/>
                    </w14:srgbClr>
                  </w14:solidFill>
                </w14:textFill>
              </w:rPr>
              <w:t>|||</w:t>
            </w:r>
            <w:r w:rsidRPr="009E0870">
              <w:rPr>
                <w:color w:val="000000"/>
                <w:spacing w:val="2"/>
                <w:fitText w:val="346" w:id="-1232957180"/>
                <w14:textFill>
                  <w14:solidFill>
                    <w14:srgbClr w14:val="000000">
                      <w14:alpha w14:val="100000"/>
                    </w14:srgbClr>
                  </w14:solidFill>
                </w14:textFill>
              </w:rPr>
              <w:t>|</w:t>
            </w:r>
          </w:p>
        </w:tc>
        <w:tc>
          <w:tcPr>
            <w:tcW w:w="1277" w:type="dxa"/>
            <w:tcBorders>
              <w:bottom w:val="single" w:sz="4" w:space="0" w:color="auto"/>
            </w:tcBorders>
            <w:shd w:val="solid" w:color="000000" w:fill="000000"/>
          </w:tcPr>
          <w:p w14:paraId="21D44E1A" w14:textId="5C22E72F" w:rsidR="00B20BD0" w:rsidRPr="009E0870" w:rsidRDefault="009E0870" w:rsidP="00B20BD0">
            <w:pPr>
              <w:pStyle w:val="TableText0"/>
              <w:keepNext w:val="0"/>
              <w:jc w:val="center"/>
            </w:pPr>
            <w:r w:rsidRPr="009E0870">
              <w:rPr>
                <w:color w:val="000000"/>
                <w:spacing w:val="58"/>
                <w:fitText w:val="346" w:id="-1232957179"/>
                <w14:textFill>
                  <w14:solidFill>
                    <w14:srgbClr w14:val="000000">
                      <w14:alpha w14:val="100000"/>
                    </w14:srgbClr>
                  </w14:solidFill>
                </w14:textFill>
              </w:rPr>
              <w:t>|||</w:t>
            </w:r>
            <w:r w:rsidRPr="009E0870">
              <w:rPr>
                <w:color w:val="000000"/>
                <w:spacing w:val="2"/>
                <w:fitText w:val="346" w:id="-1232957179"/>
                <w14:textFill>
                  <w14:solidFill>
                    <w14:srgbClr w14:val="000000">
                      <w14:alpha w14:val="100000"/>
                    </w14:srgbClr>
                  </w14:solidFill>
                </w14:textFill>
              </w:rPr>
              <w:t>|</w:t>
            </w:r>
          </w:p>
        </w:tc>
        <w:tc>
          <w:tcPr>
            <w:tcW w:w="1277" w:type="dxa"/>
            <w:tcBorders>
              <w:bottom w:val="single" w:sz="4" w:space="0" w:color="auto"/>
            </w:tcBorders>
            <w:shd w:val="solid" w:color="000000" w:fill="000000"/>
          </w:tcPr>
          <w:p w14:paraId="68C4FEF4" w14:textId="017FBF48" w:rsidR="00B20BD0" w:rsidRPr="009E0870" w:rsidRDefault="009E0870" w:rsidP="00B20BD0">
            <w:pPr>
              <w:pStyle w:val="TableText0"/>
              <w:keepNext w:val="0"/>
              <w:jc w:val="center"/>
            </w:pPr>
            <w:r w:rsidRPr="009E0870">
              <w:rPr>
                <w:color w:val="000000"/>
                <w:spacing w:val="58"/>
                <w:fitText w:val="346" w:id="-1232957178"/>
                <w14:textFill>
                  <w14:solidFill>
                    <w14:srgbClr w14:val="000000">
                      <w14:alpha w14:val="100000"/>
                    </w14:srgbClr>
                  </w14:solidFill>
                </w14:textFill>
              </w:rPr>
              <w:t>|||</w:t>
            </w:r>
            <w:r w:rsidRPr="009E0870">
              <w:rPr>
                <w:color w:val="000000"/>
                <w:spacing w:val="2"/>
                <w:fitText w:val="346" w:id="-1232957178"/>
                <w14:textFill>
                  <w14:solidFill>
                    <w14:srgbClr w14:val="000000">
                      <w14:alpha w14:val="100000"/>
                    </w14:srgbClr>
                  </w14:solidFill>
                </w14:textFill>
              </w:rPr>
              <w:t>|</w:t>
            </w:r>
          </w:p>
        </w:tc>
        <w:tc>
          <w:tcPr>
            <w:tcW w:w="1277" w:type="dxa"/>
            <w:tcBorders>
              <w:bottom w:val="single" w:sz="4" w:space="0" w:color="auto"/>
            </w:tcBorders>
            <w:shd w:val="solid" w:color="000000" w:fill="000000"/>
          </w:tcPr>
          <w:p w14:paraId="6875C9BA" w14:textId="1F939512" w:rsidR="00B20BD0" w:rsidRPr="009E0870" w:rsidRDefault="009E0870" w:rsidP="00B20BD0">
            <w:pPr>
              <w:pStyle w:val="TableText0"/>
              <w:keepNext w:val="0"/>
              <w:jc w:val="center"/>
            </w:pPr>
            <w:r w:rsidRPr="009E0870">
              <w:rPr>
                <w:color w:val="000000"/>
                <w:spacing w:val="58"/>
                <w:fitText w:val="346" w:id="-1232957177"/>
                <w14:textFill>
                  <w14:solidFill>
                    <w14:srgbClr w14:val="000000">
                      <w14:alpha w14:val="100000"/>
                    </w14:srgbClr>
                  </w14:solidFill>
                </w14:textFill>
              </w:rPr>
              <w:t>|||</w:t>
            </w:r>
            <w:r w:rsidRPr="009E0870">
              <w:rPr>
                <w:color w:val="000000"/>
                <w:spacing w:val="2"/>
                <w:fitText w:val="346" w:id="-1232957177"/>
                <w14:textFill>
                  <w14:solidFill>
                    <w14:srgbClr w14:val="000000">
                      <w14:alpha w14:val="100000"/>
                    </w14:srgbClr>
                  </w14:solidFill>
                </w14:textFill>
              </w:rPr>
              <w:t>|</w:t>
            </w:r>
          </w:p>
        </w:tc>
        <w:tc>
          <w:tcPr>
            <w:tcW w:w="1278" w:type="dxa"/>
            <w:tcBorders>
              <w:bottom w:val="single" w:sz="4" w:space="0" w:color="auto"/>
            </w:tcBorders>
            <w:shd w:val="solid" w:color="000000" w:fill="000000"/>
          </w:tcPr>
          <w:p w14:paraId="09C8E4C7" w14:textId="101A7C0D" w:rsidR="00B20BD0" w:rsidRPr="009E0870" w:rsidRDefault="009E0870" w:rsidP="00B20BD0">
            <w:pPr>
              <w:pStyle w:val="TableText0"/>
              <w:keepNext w:val="0"/>
              <w:jc w:val="center"/>
            </w:pPr>
            <w:r w:rsidRPr="009E0870">
              <w:rPr>
                <w:color w:val="000000"/>
                <w:spacing w:val="58"/>
                <w:fitText w:val="346" w:id="-1232957176"/>
                <w14:textFill>
                  <w14:solidFill>
                    <w14:srgbClr w14:val="000000">
                      <w14:alpha w14:val="100000"/>
                    </w14:srgbClr>
                  </w14:solidFill>
                </w14:textFill>
              </w:rPr>
              <w:t>|||</w:t>
            </w:r>
            <w:r w:rsidRPr="009E0870">
              <w:rPr>
                <w:color w:val="000000"/>
                <w:spacing w:val="2"/>
                <w:fitText w:val="346" w:id="-1232957176"/>
                <w14:textFill>
                  <w14:solidFill>
                    <w14:srgbClr w14:val="000000">
                      <w14:alpha w14:val="100000"/>
                    </w14:srgbClr>
                  </w14:solidFill>
                </w14:textFill>
              </w:rPr>
              <w:t>|</w:t>
            </w:r>
          </w:p>
        </w:tc>
      </w:tr>
      <w:tr w:rsidR="00B20BD0" w14:paraId="3A6EB52D" w14:textId="77777777" w:rsidTr="009E0870">
        <w:tc>
          <w:tcPr>
            <w:tcW w:w="1356" w:type="dxa"/>
          </w:tcPr>
          <w:p w14:paraId="63305A55" w14:textId="1F5E61AF" w:rsidR="00B20BD0" w:rsidRPr="00B20BD0" w:rsidRDefault="00B20BD0" w:rsidP="00B20BD0">
            <w:pPr>
              <w:pStyle w:val="TableText0"/>
              <w:keepNext w:val="0"/>
              <w:jc w:val="center"/>
            </w:pPr>
            <w:r w:rsidRPr="00410BE3">
              <w:t>Proposed new overall caps</w:t>
            </w:r>
          </w:p>
        </w:tc>
        <w:tc>
          <w:tcPr>
            <w:tcW w:w="1276" w:type="dxa"/>
            <w:shd w:val="solid" w:color="000000" w:fill="000000"/>
          </w:tcPr>
          <w:p w14:paraId="5106638B" w14:textId="44FAC528" w:rsidR="00B20BD0" w:rsidRPr="009E0870" w:rsidRDefault="009E0870" w:rsidP="00B20BD0">
            <w:pPr>
              <w:pStyle w:val="TableText0"/>
              <w:keepNext w:val="0"/>
              <w:jc w:val="center"/>
            </w:pPr>
            <w:r w:rsidRPr="009E0870">
              <w:rPr>
                <w:color w:val="000000"/>
                <w:spacing w:val="58"/>
                <w:fitText w:val="347" w:id="-1232957175"/>
                <w14:textFill>
                  <w14:solidFill>
                    <w14:srgbClr w14:val="000000">
                      <w14:alpha w14:val="100000"/>
                    </w14:srgbClr>
                  </w14:solidFill>
                </w14:textFill>
              </w:rPr>
              <w:t>|||</w:t>
            </w:r>
            <w:r w:rsidRPr="009E0870">
              <w:rPr>
                <w:color w:val="000000"/>
                <w:spacing w:val="3"/>
                <w:fitText w:val="347" w:id="-1232957175"/>
                <w14:textFill>
                  <w14:solidFill>
                    <w14:srgbClr w14:val="000000">
                      <w14:alpha w14:val="100000"/>
                    </w14:srgbClr>
                  </w14:solidFill>
                </w14:textFill>
              </w:rPr>
              <w:t>|</w:t>
            </w:r>
          </w:p>
        </w:tc>
        <w:tc>
          <w:tcPr>
            <w:tcW w:w="1276" w:type="dxa"/>
            <w:shd w:val="solid" w:color="000000" w:fill="000000"/>
          </w:tcPr>
          <w:p w14:paraId="7D259E37" w14:textId="2EF4F8D9" w:rsidR="00B20BD0" w:rsidRPr="009E0870" w:rsidRDefault="009E0870" w:rsidP="00B20BD0">
            <w:pPr>
              <w:pStyle w:val="TableText0"/>
              <w:keepNext w:val="0"/>
              <w:jc w:val="center"/>
            </w:pPr>
            <w:r w:rsidRPr="009E0870">
              <w:rPr>
                <w:color w:val="000000"/>
                <w:spacing w:val="58"/>
                <w:fitText w:val="346" w:id="-1232957174"/>
                <w14:textFill>
                  <w14:solidFill>
                    <w14:srgbClr w14:val="000000">
                      <w14:alpha w14:val="100000"/>
                    </w14:srgbClr>
                  </w14:solidFill>
                </w14:textFill>
              </w:rPr>
              <w:t>|||</w:t>
            </w:r>
            <w:r w:rsidRPr="009E0870">
              <w:rPr>
                <w:color w:val="000000"/>
                <w:spacing w:val="2"/>
                <w:fitText w:val="346" w:id="-1232957174"/>
                <w14:textFill>
                  <w14:solidFill>
                    <w14:srgbClr w14:val="000000">
                      <w14:alpha w14:val="100000"/>
                    </w14:srgbClr>
                  </w14:solidFill>
                </w14:textFill>
              </w:rPr>
              <w:t>|</w:t>
            </w:r>
          </w:p>
        </w:tc>
        <w:tc>
          <w:tcPr>
            <w:tcW w:w="1277" w:type="dxa"/>
            <w:shd w:val="solid" w:color="000000" w:fill="000000"/>
          </w:tcPr>
          <w:p w14:paraId="27339234" w14:textId="047DB0A3" w:rsidR="00B20BD0" w:rsidRPr="009E0870" w:rsidRDefault="009E0870" w:rsidP="00B20BD0">
            <w:pPr>
              <w:pStyle w:val="TableText0"/>
              <w:keepNext w:val="0"/>
              <w:jc w:val="center"/>
            </w:pPr>
            <w:r w:rsidRPr="009E0870">
              <w:rPr>
                <w:color w:val="000000"/>
                <w:spacing w:val="58"/>
                <w:fitText w:val="346" w:id="-1232957173"/>
                <w14:textFill>
                  <w14:solidFill>
                    <w14:srgbClr w14:val="000000">
                      <w14:alpha w14:val="100000"/>
                    </w14:srgbClr>
                  </w14:solidFill>
                </w14:textFill>
              </w:rPr>
              <w:t>|||</w:t>
            </w:r>
            <w:r w:rsidRPr="009E0870">
              <w:rPr>
                <w:color w:val="000000"/>
                <w:spacing w:val="2"/>
                <w:fitText w:val="346" w:id="-1232957173"/>
                <w14:textFill>
                  <w14:solidFill>
                    <w14:srgbClr w14:val="000000">
                      <w14:alpha w14:val="100000"/>
                    </w14:srgbClr>
                  </w14:solidFill>
                </w14:textFill>
              </w:rPr>
              <w:t>|</w:t>
            </w:r>
          </w:p>
        </w:tc>
        <w:tc>
          <w:tcPr>
            <w:tcW w:w="1277" w:type="dxa"/>
            <w:shd w:val="solid" w:color="000000" w:fill="000000"/>
          </w:tcPr>
          <w:p w14:paraId="007C8FDD" w14:textId="70F9B0DC" w:rsidR="00B20BD0" w:rsidRPr="009E0870" w:rsidRDefault="009E0870" w:rsidP="00B20BD0">
            <w:pPr>
              <w:pStyle w:val="TableText0"/>
              <w:keepNext w:val="0"/>
              <w:jc w:val="center"/>
            </w:pPr>
            <w:r w:rsidRPr="009E0870">
              <w:rPr>
                <w:color w:val="000000"/>
                <w:spacing w:val="58"/>
                <w:fitText w:val="346" w:id="-1232957172"/>
                <w14:textFill>
                  <w14:solidFill>
                    <w14:srgbClr w14:val="000000">
                      <w14:alpha w14:val="100000"/>
                    </w14:srgbClr>
                  </w14:solidFill>
                </w14:textFill>
              </w:rPr>
              <w:t>|||</w:t>
            </w:r>
            <w:r w:rsidRPr="009E0870">
              <w:rPr>
                <w:color w:val="000000"/>
                <w:spacing w:val="2"/>
                <w:fitText w:val="346" w:id="-1232957172"/>
                <w14:textFill>
                  <w14:solidFill>
                    <w14:srgbClr w14:val="000000">
                      <w14:alpha w14:val="100000"/>
                    </w14:srgbClr>
                  </w14:solidFill>
                </w14:textFill>
              </w:rPr>
              <w:t>|</w:t>
            </w:r>
          </w:p>
        </w:tc>
        <w:tc>
          <w:tcPr>
            <w:tcW w:w="1277" w:type="dxa"/>
            <w:shd w:val="solid" w:color="000000" w:fill="000000"/>
          </w:tcPr>
          <w:p w14:paraId="45A7C2E3" w14:textId="0880C455" w:rsidR="00B20BD0" w:rsidRPr="009E0870" w:rsidRDefault="009E0870" w:rsidP="00B20BD0">
            <w:pPr>
              <w:pStyle w:val="TableText0"/>
              <w:keepNext w:val="0"/>
              <w:jc w:val="center"/>
            </w:pPr>
            <w:r w:rsidRPr="009E0870">
              <w:rPr>
                <w:color w:val="000000"/>
                <w:spacing w:val="58"/>
                <w:fitText w:val="346" w:id="-1232957171"/>
                <w14:textFill>
                  <w14:solidFill>
                    <w14:srgbClr w14:val="000000">
                      <w14:alpha w14:val="100000"/>
                    </w14:srgbClr>
                  </w14:solidFill>
                </w14:textFill>
              </w:rPr>
              <w:t>|||</w:t>
            </w:r>
            <w:r w:rsidRPr="009E0870">
              <w:rPr>
                <w:color w:val="000000"/>
                <w:spacing w:val="2"/>
                <w:fitText w:val="346" w:id="-1232957171"/>
                <w14:textFill>
                  <w14:solidFill>
                    <w14:srgbClr w14:val="000000">
                      <w14:alpha w14:val="100000"/>
                    </w14:srgbClr>
                  </w14:solidFill>
                </w14:textFill>
              </w:rPr>
              <w:t>|</w:t>
            </w:r>
          </w:p>
        </w:tc>
        <w:tc>
          <w:tcPr>
            <w:tcW w:w="1278" w:type="dxa"/>
            <w:shd w:val="solid" w:color="000000" w:fill="000000"/>
          </w:tcPr>
          <w:p w14:paraId="4FEC61BF" w14:textId="3CBFDA3C" w:rsidR="00B20BD0" w:rsidRPr="009E0870" w:rsidRDefault="009E0870" w:rsidP="00B20BD0">
            <w:pPr>
              <w:pStyle w:val="TableText0"/>
              <w:keepNext w:val="0"/>
              <w:jc w:val="center"/>
            </w:pPr>
            <w:r w:rsidRPr="009E0870">
              <w:rPr>
                <w:color w:val="000000"/>
                <w:spacing w:val="58"/>
                <w:fitText w:val="346" w:id="-1232957170"/>
                <w14:textFill>
                  <w14:solidFill>
                    <w14:srgbClr w14:val="000000">
                      <w14:alpha w14:val="100000"/>
                    </w14:srgbClr>
                  </w14:solidFill>
                </w14:textFill>
              </w:rPr>
              <w:t>|||</w:t>
            </w:r>
            <w:r w:rsidRPr="009E0870">
              <w:rPr>
                <w:color w:val="000000"/>
                <w:fitText w:val="346" w:id="-1232957170"/>
                <w14:textFill>
                  <w14:solidFill>
                    <w14:srgbClr w14:val="000000">
                      <w14:alpha w14:val="100000"/>
                    </w14:srgbClr>
                  </w14:solidFill>
                </w14:textFill>
              </w:rPr>
              <w:t>|</w:t>
            </w:r>
          </w:p>
        </w:tc>
      </w:tr>
    </w:tbl>
    <w:p w14:paraId="0C50E177" w14:textId="7C1B9854" w:rsidR="00A252A9" w:rsidRDefault="00A252A9" w:rsidP="00B20BD0">
      <w:pPr>
        <w:spacing w:line="276" w:lineRule="auto"/>
        <w:rPr>
          <w:rFonts w:ascii="Arial Narrow" w:hAnsi="Arial Narrow"/>
          <w:snapToGrid w:val="0"/>
          <w:sz w:val="18"/>
          <w:szCs w:val="22"/>
          <w:lang w:eastAsia="en-US"/>
        </w:rPr>
      </w:pPr>
      <w:r>
        <w:rPr>
          <w:rFonts w:ascii="Arial Narrow" w:hAnsi="Arial Narrow"/>
          <w:snapToGrid w:val="0"/>
          <w:sz w:val="18"/>
          <w:szCs w:val="22"/>
          <w:lang w:eastAsia="en-US"/>
        </w:rPr>
        <w:t xml:space="preserve">Source: Table 1 of pre-PBAC response </w:t>
      </w:r>
    </w:p>
    <w:p w14:paraId="5B7746D7" w14:textId="550A6EFE" w:rsidR="00B20BD0" w:rsidRPr="00B20BD0" w:rsidRDefault="00B20BD0" w:rsidP="00B20BD0">
      <w:pPr>
        <w:spacing w:line="276" w:lineRule="auto"/>
        <w:rPr>
          <w:rFonts w:ascii="Arial Narrow" w:hAnsi="Arial Narrow"/>
          <w:snapToGrid w:val="0"/>
          <w:sz w:val="18"/>
          <w:szCs w:val="22"/>
          <w:lang w:eastAsia="en-US"/>
        </w:rPr>
      </w:pPr>
      <w:r w:rsidRPr="00B20BD0">
        <w:rPr>
          <w:rFonts w:ascii="Arial Narrow" w:hAnsi="Arial Narrow"/>
          <w:snapToGrid w:val="0"/>
          <w:sz w:val="18"/>
          <w:szCs w:val="22"/>
          <w:lang w:eastAsia="en-US"/>
        </w:rPr>
        <w:t>Note: Caps are based on calendar years and, if the submission is recommended, would require adjustment depending on the actual listing date.</w:t>
      </w:r>
    </w:p>
    <w:p w14:paraId="6353E91C" w14:textId="798BAFB9" w:rsidR="00B20BD0" w:rsidRDefault="00B20BD0" w:rsidP="00A252A9">
      <w:pPr>
        <w:spacing w:line="276" w:lineRule="auto"/>
        <w:rPr>
          <w:rFonts w:ascii="Arial Narrow" w:hAnsi="Arial Narrow"/>
          <w:snapToGrid w:val="0"/>
          <w:sz w:val="18"/>
          <w:szCs w:val="22"/>
          <w:lang w:eastAsia="en-US"/>
        </w:rPr>
      </w:pPr>
      <w:r w:rsidRPr="00B20BD0">
        <w:rPr>
          <w:rFonts w:ascii="Arial Narrow" w:hAnsi="Arial Narrow"/>
          <w:snapToGrid w:val="0"/>
          <w:sz w:val="18"/>
          <w:szCs w:val="22"/>
          <w:lang w:eastAsia="en-US"/>
        </w:rPr>
        <w:t>* Additional year forecast based on immediately prior year-on-year growth.</w:t>
      </w:r>
    </w:p>
    <w:p w14:paraId="7EE15207" w14:textId="77777777" w:rsidR="00A252A9" w:rsidRPr="00A252A9" w:rsidRDefault="00A252A9" w:rsidP="00A252A9">
      <w:pPr>
        <w:spacing w:line="276" w:lineRule="auto"/>
        <w:rPr>
          <w:rFonts w:ascii="Arial Narrow" w:hAnsi="Arial Narrow"/>
          <w:snapToGrid w:val="0"/>
          <w:sz w:val="18"/>
          <w:szCs w:val="22"/>
          <w:lang w:eastAsia="en-US"/>
        </w:rPr>
      </w:pPr>
    </w:p>
    <w:p w14:paraId="343CD6CC" w14:textId="0497A345" w:rsidR="00E15396" w:rsidRDefault="00E15396" w:rsidP="00E15396">
      <w:pPr>
        <w:pStyle w:val="COMexecsumnumberedpara"/>
        <w:numPr>
          <w:ilvl w:val="0"/>
          <w:numId w:val="0"/>
        </w:numPr>
        <w:ind w:left="720"/>
        <w:rPr>
          <w:i/>
          <w:iCs/>
        </w:rPr>
      </w:pPr>
      <w:r w:rsidRPr="00E15396">
        <w:rPr>
          <w:i/>
          <w:iCs/>
        </w:rPr>
        <w:t>For more detail on PBAC’s view, see section 7 PBAC outcome.</w:t>
      </w:r>
    </w:p>
    <w:p w14:paraId="4EC27FA2" w14:textId="5F325CD8" w:rsidR="00BD6B44" w:rsidRPr="00F9348B" w:rsidRDefault="00E15396" w:rsidP="00F9348B">
      <w:pPr>
        <w:pStyle w:val="COMH1numbered"/>
      </w:pPr>
      <w:bookmarkStart w:id="67" w:name="_Hlk76381249"/>
      <w:bookmarkStart w:id="68" w:name="_Hlk76377955"/>
      <w:r w:rsidRPr="00996CAA">
        <w:t>PBAC Outcome</w:t>
      </w:r>
    </w:p>
    <w:p w14:paraId="74555A2C" w14:textId="7F60E751" w:rsidR="009353A6" w:rsidRDefault="009E59AA" w:rsidP="00CC0E2B">
      <w:pPr>
        <w:pStyle w:val="COMexecsumnumberedpara"/>
      </w:pPr>
      <w:r>
        <w:t>The PBAC recommended the Authority Required (Telephone/electronic)</w:t>
      </w:r>
      <w:r w:rsidR="002D55FF">
        <w:t xml:space="preserve"> </w:t>
      </w:r>
      <w:r>
        <w:t xml:space="preserve">listing of romosozumab for the treatment of severe osteoporosis </w:t>
      </w:r>
      <w:r w:rsidR="00FE4D70">
        <w:t>in</w:t>
      </w:r>
      <w:r w:rsidR="002D55FF">
        <w:t xml:space="preserve"> </w:t>
      </w:r>
      <w:r>
        <w:t>the first</w:t>
      </w:r>
      <w:r w:rsidR="00A067B7">
        <w:t>-</w:t>
      </w:r>
      <w:r>
        <w:t xml:space="preserve">line setting. </w:t>
      </w:r>
      <w:r w:rsidR="00EF48E7">
        <w:t xml:space="preserve">The PBAC </w:t>
      </w:r>
      <w:r w:rsidR="002D55FF">
        <w:t xml:space="preserve">considered the clinical </w:t>
      </w:r>
      <w:r w:rsidR="004C0A8B">
        <w:t xml:space="preserve">and cost-effectiveness </w:t>
      </w:r>
      <w:r w:rsidR="002D55FF">
        <w:t xml:space="preserve">evidence for romosozumab was adequate to support </w:t>
      </w:r>
      <w:r w:rsidR="00A067B7">
        <w:t xml:space="preserve">listing </w:t>
      </w:r>
      <w:r w:rsidR="002D55FF">
        <w:t>in the first</w:t>
      </w:r>
      <w:r w:rsidR="00A067B7">
        <w:t>-</w:t>
      </w:r>
      <w:r w:rsidR="002D55FF">
        <w:t>line setting</w:t>
      </w:r>
      <w:r w:rsidR="00A067B7">
        <w:t xml:space="preserve"> </w:t>
      </w:r>
      <w:r w:rsidR="009353A6">
        <w:t xml:space="preserve">but not an expansion to the current second-line listing. </w:t>
      </w:r>
      <w:r w:rsidR="00A067B7">
        <w:t>On this basis, the PBAC considered that romosozumab</w:t>
      </w:r>
      <w:r w:rsidR="002D55FF">
        <w:t xml:space="preserve"> </w:t>
      </w:r>
      <w:r w:rsidR="00291BA4">
        <w:t xml:space="preserve">in the first-line setting </w:t>
      </w:r>
      <w:r w:rsidR="00EF48E7">
        <w:t xml:space="preserve">provides, for some patients a significant improvement in efficacy </w:t>
      </w:r>
      <w:r w:rsidR="002D55FF">
        <w:t xml:space="preserve">over alendronate. </w:t>
      </w:r>
      <w:r w:rsidR="00A067B7">
        <w:t xml:space="preserve">The PBAC noted that the resubmission had addressed a number of its </w:t>
      </w:r>
      <w:r w:rsidR="00A067B7">
        <w:lastRenderedPageBreak/>
        <w:t>previous concerns with the economic model</w:t>
      </w:r>
      <w:r w:rsidR="00291BA4">
        <w:t xml:space="preserve">, but had not provided </w:t>
      </w:r>
      <w:r w:rsidR="00401639">
        <w:t>an</w:t>
      </w:r>
      <w:r w:rsidR="00291BA4">
        <w:t xml:space="preserve"> </w:t>
      </w:r>
      <w:r w:rsidR="00291BA4" w:rsidRPr="00CC0E2B">
        <w:t>economic analysis for romosozumab in the expanded second-line setting</w:t>
      </w:r>
      <w:r w:rsidR="00291BA4">
        <w:t xml:space="preserve"> (see paragraph </w:t>
      </w:r>
      <w:r w:rsidR="00291BA4">
        <w:fldChar w:fldCharType="begin" w:fldLock="1"/>
      </w:r>
      <w:r w:rsidR="00291BA4">
        <w:instrText xml:space="preserve"> REF _Ref127524381 \r \h </w:instrText>
      </w:r>
      <w:r w:rsidR="00291BA4">
        <w:fldChar w:fldCharType="separate"/>
      </w:r>
      <w:r w:rsidR="00324078">
        <w:t>6.39</w:t>
      </w:r>
      <w:r w:rsidR="00291BA4">
        <w:fldChar w:fldCharType="end"/>
      </w:r>
      <w:r w:rsidR="00291BA4">
        <w:t>)</w:t>
      </w:r>
      <w:r w:rsidR="00291BA4" w:rsidRPr="00CC0E2B">
        <w:t>.</w:t>
      </w:r>
      <w:r w:rsidR="00A067B7">
        <w:t xml:space="preserve"> The PBAC’s recommendation for listing was based on, among other matters, its assessment that romosozumab would be cost-effective </w:t>
      </w:r>
      <w:r w:rsidR="00E30E94">
        <w:t xml:space="preserve">in the first-line setting </w:t>
      </w:r>
      <w:r w:rsidR="00A067B7">
        <w:t xml:space="preserve">if its price was reduced such that the incremental cost-effectiveness ratio (ICER) was </w:t>
      </w:r>
      <w:r w:rsidR="00FE4D70">
        <w:t xml:space="preserve">no higher than </w:t>
      </w:r>
      <w:r w:rsidR="00E30E94">
        <w:t xml:space="preserve">the revised base case in the July 2022 submission </w:t>
      </w:r>
      <w:r w:rsidR="009A5C72" w:rsidRPr="009A5C72">
        <w:t>$35,000</w:t>
      </w:r>
      <w:r w:rsidR="00D16346">
        <w:t> </w:t>
      </w:r>
      <w:r w:rsidR="009A5C72" w:rsidRPr="009A5C72">
        <w:t>to</w:t>
      </w:r>
      <w:r w:rsidR="00D16346">
        <w:t> </w:t>
      </w:r>
      <w:r w:rsidR="009A5C72" w:rsidRPr="009A5C72">
        <w:t>&lt;</w:t>
      </w:r>
      <w:r w:rsidR="00D16346">
        <w:t> </w:t>
      </w:r>
      <w:r w:rsidR="009A5C72" w:rsidRPr="009A5C72">
        <w:t xml:space="preserve">$45,000 </w:t>
      </w:r>
      <w:r w:rsidR="00871B45">
        <w:t xml:space="preserve">per QALY gained, </w:t>
      </w:r>
      <w:r w:rsidR="00E30E94">
        <w:t xml:space="preserve">see paragraph </w:t>
      </w:r>
      <w:r w:rsidR="00291BA4">
        <w:fldChar w:fldCharType="begin" w:fldLock="1"/>
      </w:r>
      <w:r w:rsidR="00291BA4">
        <w:instrText xml:space="preserve"> REF _Ref127957066 \r \h </w:instrText>
      </w:r>
      <w:r w:rsidR="00291BA4">
        <w:fldChar w:fldCharType="separate"/>
      </w:r>
      <w:r w:rsidR="00500BDE">
        <w:t>6.53</w:t>
      </w:r>
      <w:r w:rsidR="00291BA4">
        <w:fldChar w:fldCharType="end"/>
      </w:r>
      <w:r w:rsidR="00E30E94">
        <w:t xml:space="preserve">) </w:t>
      </w:r>
      <w:r w:rsidR="00FE4D70">
        <w:t>and with</w:t>
      </w:r>
      <w:r w:rsidR="00E30E94">
        <w:t xml:space="preserve"> a risk sharing arrangement (RSA) to address the uncertainty </w:t>
      </w:r>
      <w:r w:rsidR="00CC0E2B">
        <w:t>associated with the size of the eligible first-line population</w:t>
      </w:r>
      <w:r w:rsidR="00871B45">
        <w:t xml:space="preserve"> and</w:t>
      </w:r>
      <w:r w:rsidR="00A51C89">
        <w:t xml:space="preserve"> also any residual </w:t>
      </w:r>
      <w:r w:rsidR="00500BDE">
        <w:t>concerns</w:t>
      </w:r>
      <w:r w:rsidR="00A51C89">
        <w:t xml:space="preserve"> regarding the cost-effectiveness of romosozumab use in the first-line setting</w:t>
      </w:r>
      <w:r w:rsidR="00CC0E2B">
        <w:t xml:space="preserve">. </w:t>
      </w:r>
    </w:p>
    <w:p w14:paraId="41A6A85A" w14:textId="7CE99351" w:rsidR="00BD6B44" w:rsidRDefault="008A005D" w:rsidP="004E4944">
      <w:pPr>
        <w:pStyle w:val="COMexecsumnumberedpara"/>
      </w:pPr>
      <w:r>
        <w:t>The PBAC noted the input from an individual, health care professionals and organisations highlighting the potential role of romosozumab in the first-line setting in those at highest risk of fracture recurrence. The PBAC re</w:t>
      </w:r>
      <w:r w:rsidR="0056287C">
        <w:t>iterated</w:t>
      </w:r>
      <w:r>
        <w:t xml:space="preserve"> its July 2022 advice that there is likely a clinical need for earlier use of romosozumab in patients at very high risk of fracture, noting that a number of international guidelines support the earlier use of anabolic agents in such patients (para 7.2</w:t>
      </w:r>
      <w:r w:rsidR="0056287C" w:rsidRPr="00DF44C5">
        <w:t xml:space="preserve">, romosozumab </w:t>
      </w:r>
      <w:r w:rsidR="0056287C">
        <w:t>Public Summary Document (</w:t>
      </w:r>
      <w:r w:rsidR="0056287C" w:rsidRPr="00DF44C5">
        <w:t>PSD</w:t>
      </w:r>
      <w:r w:rsidR="0056287C">
        <w:t>)</w:t>
      </w:r>
      <w:r w:rsidR="0056287C" w:rsidRPr="00DF44C5">
        <w:t>, July 2022 PBAC meeting</w:t>
      </w:r>
      <w:r w:rsidR="0056287C">
        <w:t xml:space="preserve">). </w:t>
      </w:r>
    </w:p>
    <w:p w14:paraId="20603F52" w14:textId="26EBD83C" w:rsidR="000125E0" w:rsidRDefault="000125E0" w:rsidP="004E4944">
      <w:pPr>
        <w:pStyle w:val="COMexecsumnumberedpara"/>
      </w:pPr>
      <w:r>
        <w:t xml:space="preserve">The PBAC reiterated its July 2022 advice that alendronate, as a proxy for anti-resorptive therapy was appropriate as the nominated comparator (para 7.4, </w:t>
      </w:r>
      <w:r w:rsidRPr="00DF44C5">
        <w:t>romosozumab PSD, July 2022 PBAC meeting</w:t>
      </w:r>
      <w:r>
        <w:t xml:space="preserve">). </w:t>
      </w:r>
    </w:p>
    <w:p w14:paraId="0E64BB3E" w14:textId="67EEFDDF" w:rsidR="00067572" w:rsidRDefault="00067572" w:rsidP="00067572">
      <w:pPr>
        <w:pStyle w:val="COMexecsumnumberedpara"/>
      </w:pPr>
      <w:r w:rsidRPr="003074AF">
        <w:t xml:space="preserve">The </w:t>
      </w:r>
      <w:r>
        <w:t>PBAC</w:t>
      </w:r>
      <w:r w:rsidRPr="00810C1E">
        <w:t xml:space="preserve"> noted that the</w:t>
      </w:r>
      <w:r>
        <w:rPr>
          <w:i/>
          <w:iCs/>
        </w:rPr>
        <w:t xml:space="preserve"> </w:t>
      </w:r>
      <w:r w:rsidRPr="003074AF">
        <w:t>c</w:t>
      </w:r>
      <w:r>
        <w:t>omparative</w:t>
      </w:r>
      <w:r w:rsidRPr="003074AF">
        <w:t xml:space="preserve"> </w:t>
      </w:r>
      <w:r>
        <w:t xml:space="preserve">effectiveness </w:t>
      </w:r>
      <w:r w:rsidRPr="003074AF">
        <w:t>evidence presented</w:t>
      </w:r>
      <w:r w:rsidR="005301F6">
        <w:t xml:space="preserve"> </w:t>
      </w:r>
      <w:r w:rsidRPr="003074AF">
        <w:t>was unchanged from the July 2022 resubmission</w:t>
      </w:r>
      <w:r>
        <w:t xml:space="preserve">. Hence, the resubmission was based on a direct comparison of romosozumab versus alendronate in the ARCH trial which was conducted in patients predominantly naïve to anti-resorptive therapy. The PBAC noted that treatment with romosozumab versus alendronate was associated with statistically significant decreases in vertebral fractures, clinical fractures and non-vertebral fractures over a median of 33 months compared to alendronate alone. </w:t>
      </w:r>
      <w:r w:rsidR="00B1164E">
        <w:t>The PBAC reiterated its July 2022 advic</w:t>
      </w:r>
      <w:r w:rsidR="005301F6">
        <w:t>e</w:t>
      </w:r>
      <w:r w:rsidR="00B1164E">
        <w:t xml:space="preserve"> </w:t>
      </w:r>
      <w:r w:rsidR="005301F6" w:rsidRPr="009A4F80">
        <w:t>that the claim of superior comparative effectiveness was reasonable for the first</w:t>
      </w:r>
      <w:r w:rsidR="005301F6">
        <w:t>-</w:t>
      </w:r>
      <w:r w:rsidR="005301F6" w:rsidRPr="009A4F80">
        <w:t>line setting in treatment naïve patients, however the magnitude of effect was uncertain due to poor transition to and persistence with anti-resorptive therapy post romosozumab</w:t>
      </w:r>
      <w:r w:rsidR="00042200">
        <w:t xml:space="preserve"> </w:t>
      </w:r>
      <w:r w:rsidR="00042200" w:rsidRPr="009A4F80">
        <w:t xml:space="preserve">(para </w:t>
      </w:r>
      <w:r w:rsidR="00042200">
        <w:t>7.8</w:t>
      </w:r>
      <w:r w:rsidR="00042200" w:rsidRPr="009A4F80">
        <w:t>, romosozumab PSD, July 2022 PBAC meeting)</w:t>
      </w:r>
      <w:r w:rsidR="005301F6">
        <w:t>.</w:t>
      </w:r>
    </w:p>
    <w:p w14:paraId="355AD291" w14:textId="5CCF3F15" w:rsidR="005D7CD0" w:rsidRDefault="00574F76" w:rsidP="00067572">
      <w:pPr>
        <w:pStyle w:val="COMexecsumnumberedpara"/>
      </w:pPr>
      <w:r>
        <w:t>The PBAC noted that no new data were presented in the resubmission to support an extended second-line listing</w:t>
      </w:r>
      <w:r w:rsidR="00F4495D">
        <w:t xml:space="preserve">. </w:t>
      </w:r>
      <w:r w:rsidR="00FD4187">
        <w:t xml:space="preserve">The resubmission assumed that relative treatment effects in the ARCH trial are generalisable to the second-line setting. The PBAC noted the pre-PBAC response acknowledgement of the lack of second-line fracture outcome data and </w:t>
      </w:r>
      <w:r w:rsidR="00B36DDC">
        <w:t>proposed an</w:t>
      </w:r>
      <w:r w:rsidR="005D7CD0">
        <w:t xml:space="preserve"> alternative listing to limit second-line access to the currently eligible population (see paragraph </w:t>
      </w:r>
      <w:r w:rsidR="005D7CD0">
        <w:fldChar w:fldCharType="begin" w:fldLock="1"/>
      </w:r>
      <w:r w:rsidR="005D7CD0">
        <w:instrText xml:space="preserve"> REF _Ref130117394 \r \h </w:instrText>
      </w:r>
      <w:r w:rsidR="005D7CD0">
        <w:fldChar w:fldCharType="separate"/>
      </w:r>
      <w:r w:rsidR="00500BDE">
        <w:t>3.12</w:t>
      </w:r>
      <w:r w:rsidR="005D7CD0">
        <w:fldChar w:fldCharType="end"/>
      </w:r>
      <w:r w:rsidR="005D7CD0">
        <w:t xml:space="preserve">). The PBAC reiterated its July </w:t>
      </w:r>
      <w:r w:rsidR="00042200">
        <w:t xml:space="preserve">2022 advice that the claim of superior comparative effectiveness was uncertain in the second line setting due to data limitations </w:t>
      </w:r>
      <w:r w:rsidR="00042200" w:rsidRPr="009A4F80">
        <w:t xml:space="preserve">(para </w:t>
      </w:r>
      <w:r w:rsidR="00042200">
        <w:t>7.8</w:t>
      </w:r>
      <w:r w:rsidR="00042200" w:rsidRPr="009A4F80">
        <w:t>, romosozumab PSD, July 2022 PBAC meeting)</w:t>
      </w:r>
      <w:r w:rsidR="00042200">
        <w:t xml:space="preserve">. </w:t>
      </w:r>
    </w:p>
    <w:p w14:paraId="07200DE2" w14:textId="42651C64" w:rsidR="00042200" w:rsidRDefault="00042200" w:rsidP="00067572">
      <w:pPr>
        <w:pStyle w:val="COMexecsumnumberedpara"/>
      </w:pPr>
      <w:r>
        <w:lastRenderedPageBreak/>
        <w:t xml:space="preserve">The PBAC noted that the </w:t>
      </w:r>
      <w:r w:rsidR="003354CC">
        <w:t xml:space="preserve">evidence presented for </w:t>
      </w:r>
      <w:r>
        <w:t xml:space="preserve">comparative harms was unchanged from the July 2022 resubmission, with the exception of additional safety data from recent Periodic Safety Update Reports. </w:t>
      </w:r>
      <w:r w:rsidR="00CD091A">
        <w:t xml:space="preserve">The PBAC reiterated its July 2022 advice that the claim of inferior comparative safety was reasonable (para 7.9, </w:t>
      </w:r>
      <w:bookmarkStart w:id="69" w:name="_Hlk130130718"/>
      <w:r w:rsidR="00CD091A">
        <w:t>romosozumab PSD, July 2022 PBAC meeting)</w:t>
      </w:r>
      <w:bookmarkEnd w:id="69"/>
      <w:r w:rsidR="00CD091A">
        <w:t xml:space="preserve">. </w:t>
      </w:r>
    </w:p>
    <w:p w14:paraId="00835598" w14:textId="0E7DF52E" w:rsidR="00401639" w:rsidRDefault="006916AE" w:rsidP="00067572">
      <w:pPr>
        <w:pStyle w:val="COMexecsumnumberedpara"/>
      </w:pPr>
      <w:bookmarkStart w:id="70" w:name="_Ref130211322"/>
      <w:bookmarkStart w:id="71" w:name="_Ref130575899"/>
      <w:r>
        <w:t xml:space="preserve">The PBAC noted that the </w:t>
      </w:r>
      <w:r w:rsidR="00401639">
        <w:t xml:space="preserve">economic model was a cost-utility analysis based on data from the ARCH trial (a predominantly treatment-naïve population) and other modelled variables. The PBAC </w:t>
      </w:r>
      <w:r w:rsidR="007C4A9B">
        <w:t xml:space="preserve">recalled that in July 2022 it had recommended the economic model be revised to include a treatment discontinuation of 20% per year and convergence by 4 years. </w:t>
      </w:r>
      <w:r w:rsidR="00C83A96">
        <w:t xml:space="preserve">In July 2022, the </w:t>
      </w:r>
      <w:r w:rsidR="008812AA">
        <w:t xml:space="preserve">Committee </w:t>
      </w:r>
      <w:r w:rsidR="00C83A96">
        <w:t>had also recommended a price reduction to achieve an ICER no higher than the revised base case in the July 2022 submission</w:t>
      </w:r>
      <w:r w:rsidR="00B36DDC">
        <w:t xml:space="preserve"> (</w:t>
      </w:r>
      <w:r w:rsidR="009A5C72" w:rsidRPr="00044C86">
        <w:rPr>
          <w:iCs/>
        </w:rPr>
        <w:t>$35,000</w:t>
      </w:r>
      <w:r w:rsidR="00D16346">
        <w:rPr>
          <w:iCs/>
        </w:rPr>
        <w:t> </w:t>
      </w:r>
      <w:r w:rsidR="009A5C72" w:rsidRPr="00044C86">
        <w:rPr>
          <w:iCs/>
        </w:rPr>
        <w:t>to</w:t>
      </w:r>
      <w:r w:rsidR="00D16346">
        <w:rPr>
          <w:iCs/>
        </w:rPr>
        <w:t> </w:t>
      </w:r>
      <w:r w:rsidR="009A5C72" w:rsidRPr="00044C86">
        <w:rPr>
          <w:iCs/>
        </w:rPr>
        <w:t>&lt; $45,000</w:t>
      </w:r>
      <w:r w:rsidR="009A5C72">
        <w:rPr>
          <w:iCs/>
        </w:rPr>
        <w:t xml:space="preserve"> </w:t>
      </w:r>
      <w:r w:rsidR="003059F0">
        <w:t xml:space="preserve">per </w:t>
      </w:r>
      <w:r w:rsidR="00B36DDC">
        <w:t>QALY</w:t>
      </w:r>
      <w:r w:rsidR="003059F0">
        <w:t xml:space="preserve"> gained</w:t>
      </w:r>
      <w:r w:rsidR="00B36DDC">
        <w:t>)</w:t>
      </w:r>
      <w:r w:rsidR="00C83A96">
        <w:t xml:space="preserve">. </w:t>
      </w:r>
      <w:r w:rsidR="007C4A9B">
        <w:t xml:space="preserve">The PBAC </w:t>
      </w:r>
      <w:r w:rsidR="00401639">
        <w:t>noted th</w:t>
      </w:r>
      <w:r w:rsidR="00300665">
        <w:t>at</w:t>
      </w:r>
      <w:r w:rsidR="007C4A9B">
        <w:t xml:space="preserve"> </w:t>
      </w:r>
      <w:r w:rsidR="00300665">
        <w:t>the resubmission model included a treatment d</w:t>
      </w:r>
      <w:r w:rsidR="007C4A9B">
        <w:t>iscontinuation</w:t>
      </w:r>
      <w:r w:rsidR="00300665">
        <w:t xml:space="preserve"> of 20% per year </w:t>
      </w:r>
      <w:r w:rsidR="007C4A9B">
        <w:t xml:space="preserve">but </w:t>
      </w:r>
      <w:r w:rsidR="00300665">
        <w:t xml:space="preserve">did not include convergence by 4 years with the </w:t>
      </w:r>
      <w:r w:rsidR="007C4A9B">
        <w:t xml:space="preserve">pre-PBAC response arguing that inclusion of both changes would be overly conservative. </w:t>
      </w:r>
      <w:r w:rsidR="002810EC">
        <w:t>The PBAC accepted the</w:t>
      </w:r>
      <w:r w:rsidR="005913D3">
        <w:t xml:space="preserve"> scenario proposed in the</w:t>
      </w:r>
      <w:r w:rsidR="002810EC">
        <w:t xml:space="preserve"> resubmission</w:t>
      </w:r>
      <w:r w:rsidR="005913D3">
        <w:t xml:space="preserve"> </w:t>
      </w:r>
      <w:r w:rsidR="0000467D">
        <w:t>(</w:t>
      </w:r>
      <w:r w:rsidR="005913D3">
        <w:t xml:space="preserve">treatment discontinuation of 20% per year and convergence </w:t>
      </w:r>
      <w:r w:rsidR="0000467D">
        <w:t>by 6 years)</w:t>
      </w:r>
      <w:r w:rsidR="002810EC">
        <w:t xml:space="preserve"> could be used to assess the cost-effectiveness of romosozumab in the first-line setting. However, t</w:t>
      </w:r>
      <w:r w:rsidR="00B85807">
        <w:t>he PBAC noted t</w:t>
      </w:r>
      <w:r w:rsidR="00EA5B5B">
        <w:t>hat</w:t>
      </w:r>
      <w:r w:rsidR="002810EC">
        <w:t xml:space="preserve"> </w:t>
      </w:r>
      <w:r w:rsidR="00EA5B5B">
        <w:t xml:space="preserve">while the </w:t>
      </w:r>
      <w:r w:rsidR="00C83A96">
        <w:t>resubmission included a price reduction</w:t>
      </w:r>
      <w:r w:rsidR="0025118A">
        <w:t xml:space="preserve"> (see paragraph </w:t>
      </w:r>
      <w:r w:rsidR="0025118A">
        <w:fldChar w:fldCharType="begin" w:fldLock="1"/>
      </w:r>
      <w:r w:rsidR="0025118A">
        <w:instrText xml:space="preserve"> REF _Ref130127278 \r \h </w:instrText>
      </w:r>
      <w:r w:rsidR="0025118A">
        <w:fldChar w:fldCharType="separate"/>
      </w:r>
      <w:r w:rsidR="0025118A">
        <w:t>3.2</w:t>
      </w:r>
      <w:r w:rsidR="0025118A">
        <w:fldChar w:fldCharType="end"/>
      </w:r>
      <w:r w:rsidR="0025118A">
        <w:t>)</w:t>
      </w:r>
      <w:r w:rsidR="00EA5B5B">
        <w:t xml:space="preserve">, the resulting ICER was </w:t>
      </w:r>
      <w:r w:rsidR="009A5C72" w:rsidRPr="00044C86">
        <w:rPr>
          <w:iCs/>
        </w:rPr>
        <w:t>$45,000</w:t>
      </w:r>
      <w:r w:rsidR="00D16346">
        <w:rPr>
          <w:iCs/>
        </w:rPr>
        <w:t> </w:t>
      </w:r>
      <w:r w:rsidR="009A5C72" w:rsidRPr="00044C86">
        <w:rPr>
          <w:iCs/>
        </w:rPr>
        <w:t>to</w:t>
      </w:r>
      <w:r w:rsidR="00D16346">
        <w:rPr>
          <w:iCs/>
        </w:rPr>
        <w:t> </w:t>
      </w:r>
      <w:r w:rsidR="009A5C72" w:rsidRPr="00044C86">
        <w:rPr>
          <w:iCs/>
        </w:rPr>
        <w:t>&lt; $55,000</w:t>
      </w:r>
      <w:r w:rsidR="00D909F5">
        <w:rPr>
          <w:iCs/>
        </w:rPr>
        <w:t xml:space="preserve"> </w:t>
      </w:r>
      <w:r w:rsidR="005913D3">
        <w:t>per QALY gained</w:t>
      </w:r>
      <w:r w:rsidR="0025118A">
        <w:t xml:space="preserve">. The PBAC maintained that, as per the Committee’s July 2022 recommendation, the ICER should be no </w:t>
      </w:r>
      <w:r w:rsidR="00EA5B5B">
        <w:t xml:space="preserve">higher than the revised base case ICER in the July 2022 submission. </w:t>
      </w:r>
      <w:r w:rsidR="002810EC">
        <w:t xml:space="preserve">The PBAC </w:t>
      </w:r>
      <w:r w:rsidR="003C45D9">
        <w:t xml:space="preserve">advised that </w:t>
      </w:r>
      <w:r w:rsidR="002810EC">
        <w:t xml:space="preserve">romosozumab would be </w:t>
      </w:r>
      <w:r w:rsidR="003C45D9">
        <w:t xml:space="preserve">considered </w:t>
      </w:r>
      <w:r w:rsidR="002810EC">
        <w:t xml:space="preserve">cost-effective in the first-line setting if </w:t>
      </w:r>
      <w:r w:rsidR="003C45D9">
        <w:t xml:space="preserve">the price of romosozumab </w:t>
      </w:r>
      <w:r w:rsidR="002810EC">
        <w:t xml:space="preserve">was reduced such that the ICER was </w:t>
      </w:r>
      <w:r w:rsidR="003C45D9">
        <w:t xml:space="preserve">no higher than </w:t>
      </w:r>
      <w:r w:rsidR="009A5C72" w:rsidRPr="00044C86">
        <w:rPr>
          <w:iCs/>
        </w:rPr>
        <w:t>$35,000</w:t>
      </w:r>
      <w:r w:rsidR="00D16346">
        <w:rPr>
          <w:iCs/>
        </w:rPr>
        <w:t> </w:t>
      </w:r>
      <w:r w:rsidR="009A5C72" w:rsidRPr="00044C86">
        <w:rPr>
          <w:iCs/>
        </w:rPr>
        <w:t>to</w:t>
      </w:r>
      <w:r w:rsidR="00D16346">
        <w:rPr>
          <w:iCs/>
        </w:rPr>
        <w:t> </w:t>
      </w:r>
      <w:r w:rsidR="009A5C72" w:rsidRPr="00044C86">
        <w:rPr>
          <w:iCs/>
        </w:rPr>
        <w:t>&lt; $45,000</w:t>
      </w:r>
      <w:r w:rsidR="009A5C72">
        <w:rPr>
          <w:iCs/>
        </w:rPr>
        <w:t xml:space="preserve"> </w:t>
      </w:r>
      <w:r w:rsidR="003C45D9">
        <w:t>per QALY gained</w:t>
      </w:r>
      <w:r w:rsidR="002810EC">
        <w:t>.</w:t>
      </w:r>
      <w:bookmarkEnd w:id="70"/>
      <w:r w:rsidR="005913D3">
        <w:t xml:space="preserve"> The PBAC considered it would be reasonable for this ICER to be achieved through a reduction in the price of romosozumab for the first-line setting and/or the existing second-line setting (as was proposed in the resubmission). </w:t>
      </w:r>
      <w:bookmarkEnd w:id="71"/>
    </w:p>
    <w:p w14:paraId="4B775E49" w14:textId="276FA148" w:rsidR="007E5A8A" w:rsidRDefault="00B8021D" w:rsidP="00067572">
      <w:pPr>
        <w:pStyle w:val="COMexecsumnumberedpara"/>
      </w:pPr>
      <w:bookmarkStart w:id="72" w:name="_Ref130209998"/>
      <w:r>
        <w:t xml:space="preserve">The PBAC noted </w:t>
      </w:r>
      <w:r w:rsidR="00525DC8">
        <w:t>that</w:t>
      </w:r>
      <w:r w:rsidR="008812AA">
        <w:t xml:space="preserve"> </w:t>
      </w:r>
      <w:r>
        <w:t xml:space="preserve">an economic analysis was not presented for romosozumab in the second-line setting. </w:t>
      </w:r>
      <w:r w:rsidR="00525DC8">
        <w:t xml:space="preserve">The PBAC noted that the sponsor was unable to accommodate </w:t>
      </w:r>
      <w:r w:rsidR="007E5A8A">
        <w:t xml:space="preserve">the Committee’s July 2022 request for </w:t>
      </w:r>
      <w:r w:rsidR="00525DC8">
        <w:t xml:space="preserve">a cost-minimisation with alendronate or any further reduction in price for this component of the listing expansion (see paragraph </w:t>
      </w:r>
      <w:r w:rsidR="00525DC8">
        <w:fldChar w:fldCharType="begin" w:fldLock="1"/>
      </w:r>
      <w:r w:rsidR="00525DC8">
        <w:instrText xml:space="preserve"> REF _Ref130130964 \r \h </w:instrText>
      </w:r>
      <w:r w:rsidR="00525DC8">
        <w:fldChar w:fldCharType="separate"/>
      </w:r>
      <w:r w:rsidR="00525DC8">
        <w:t>6.39</w:t>
      </w:r>
      <w:r w:rsidR="00525DC8">
        <w:fldChar w:fldCharType="end"/>
      </w:r>
      <w:r w:rsidR="00525DC8">
        <w:t xml:space="preserve">). The </w:t>
      </w:r>
      <w:r w:rsidR="007E5A8A">
        <w:t>PBAC considered that the cost-effectiveness of romosozumab in the expanded second-line setting was unable to be adequately assessed using the data presented and hence an expansion to the current second-line listing could not be recommended.</w:t>
      </w:r>
      <w:bookmarkEnd w:id="72"/>
      <w:r w:rsidR="007E5A8A">
        <w:t xml:space="preserve"> </w:t>
      </w:r>
    </w:p>
    <w:p w14:paraId="4A6E651A" w14:textId="34931E45" w:rsidR="004750A6" w:rsidRDefault="00366ED7" w:rsidP="004750A6">
      <w:pPr>
        <w:pStyle w:val="COMexecsumnumberedpara"/>
      </w:pPr>
      <w:r w:rsidRPr="00810C1E">
        <w:t xml:space="preserve">The </w:t>
      </w:r>
      <w:r>
        <w:t xml:space="preserve">PBAC </w:t>
      </w:r>
      <w:r w:rsidR="004439D0">
        <w:t>noted</w:t>
      </w:r>
      <w:r w:rsidR="00A357C6">
        <w:t xml:space="preserve"> the </w:t>
      </w:r>
      <w:r w:rsidR="0075579F">
        <w:t xml:space="preserve">ESC </w:t>
      </w:r>
      <w:r w:rsidR="00A357C6">
        <w:t xml:space="preserve">advice that </w:t>
      </w:r>
      <w:r w:rsidRPr="00810C1E">
        <w:t xml:space="preserve">many of the data sources and steps </w:t>
      </w:r>
      <w:r w:rsidR="0075579F">
        <w:t xml:space="preserve">used to estimate the financial implications of listing romosozumab </w:t>
      </w:r>
      <w:r w:rsidRPr="00810C1E">
        <w:t>were unchanged from the July 2022 resubmission</w:t>
      </w:r>
      <w:r w:rsidR="00A357C6">
        <w:t xml:space="preserve"> (see paragraph </w:t>
      </w:r>
      <w:r w:rsidR="00A357C6">
        <w:fldChar w:fldCharType="begin" w:fldLock="1"/>
      </w:r>
      <w:r w:rsidR="00A357C6">
        <w:instrText xml:space="preserve"> REF _Ref130209297 \r \h </w:instrText>
      </w:r>
      <w:r w:rsidR="00A357C6">
        <w:fldChar w:fldCharType="separate"/>
      </w:r>
      <w:r w:rsidR="00500BDE">
        <w:t>6.78</w:t>
      </w:r>
      <w:r w:rsidR="00A357C6">
        <w:fldChar w:fldCharType="end"/>
      </w:r>
      <w:r w:rsidR="00A357C6">
        <w:t>). However, the PBAC noted that f</w:t>
      </w:r>
      <w:r w:rsidR="0030273D">
        <w:t xml:space="preserve">or the current resubmission the eligible first-line patient numbers were based on the proportion of patients estimated to initiate </w:t>
      </w:r>
      <w:r w:rsidR="00AD352D">
        <w:t xml:space="preserve">an osteoporosis </w:t>
      </w:r>
      <w:r w:rsidR="0030273D">
        <w:t xml:space="preserve">treatment in each year of listing rather than the July 2022 approach of using patients who had received prior anti-resorptive therapy for less than 12 months. The PBAC </w:t>
      </w:r>
      <w:r w:rsidR="0030273D">
        <w:lastRenderedPageBreak/>
        <w:t xml:space="preserve">considered this revised approach reduced some of the uncertainty associated with the first-line estimates. </w:t>
      </w:r>
      <w:r w:rsidR="004750A6">
        <w:t xml:space="preserve">The PBAC noted that grandfathered patients were assumed to meet the proposed PBS eligibility criteria as first-line patients and considered their inclusion in the estimates </w:t>
      </w:r>
      <w:r w:rsidR="002B4B11">
        <w:t xml:space="preserve">as additional patients </w:t>
      </w:r>
      <w:r w:rsidR="004750A6">
        <w:t xml:space="preserve">appropriate. </w:t>
      </w:r>
      <w:r w:rsidR="0030273D">
        <w:t xml:space="preserve">As an expansion to the current second-line listing could not be recommended </w:t>
      </w:r>
      <w:r w:rsidR="008812AA">
        <w:t xml:space="preserve">based on the data presented </w:t>
      </w:r>
      <w:r w:rsidR="0030273D">
        <w:t xml:space="preserve">(see paragraph </w:t>
      </w:r>
      <w:r w:rsidR="0030273D">
        <w:fldChar w:fldCharType="begin" w:fldLock="1"/>
      </w:r>
      <w:r w:rsidR="0030273D">
        <w:instrText xml:space="preserve"> REF _Ref130209998 \r \h </w:instrText>
      </w:r>
      <w:r w:rsidR="0030273D">
        <w:fldChar w:fldCharType="separate"/>
      </w:r>
      <w:r w:rsidR="00500BDE">
        <w:t>7.8</w:t>
      </w:r>
      <w:r w:rsidR="0030273D">
        <w:fldChar w:fldCharType="end"/>
      </w:r>
      <w:r w:rsidR="0030273D">
        <w:t xml:space="preserve">) </w:t>
      </w:r>
      <w:r w:rsidR="004750A6">
        <w:t>the PBAC advised that the second-line population should be removed from the financial estimates.</w:t>
      </w:r>
      <w:r w:rsidR="00182B33">
        <w:t xml:space="preserve"> The PBAC considered that </w:t>
      </w:r>
      <w:r w:rsidR="0050455D">
        <w:t xml:space="preserve">it was reasonable to accept the </w:t>
      </w:r>
      <w:r w:rsidR="008812AA">
        <w:t xml:space="preserve">first-line population </w:t>
      </w:r>
      <w:r w:rsidR="0050455D">
        <w:t>numbers pr</w:t>
      </w:r>
      <w:r w:rsidR="008812AA">
        <w:t>esented</w:t>
      </w:r>
      <w:r w:rsidR="0050455D">
        <w:t xml:space="preserve"> as the maximum number of first-line patients to be treated per annum. </w:t>
      </w:r>
    </w:p>
    <w:p w14:paraId="00AB4AA3" w14:textId="514E35E6" w:rsidR="007E5A8A" w:rsidRDefault="0050455D" w:rsidP="00067572">
      <w:pPr>
        <w:pStyle w:val="COMexecsumnumberedpara"/>
      </w:pPr>
      <w:r>
        <w:t xml:space="preserve">The PBAC considered that </w:t>
      </w:r>
      <w:r w:rsidR="00A252A9">
        <w:t>a RSA was appropriate to mitigate any residual uncertainties regarding the size of the eligible first-line population</w:t>
      </w:r>
      <w:r w:rsidR="00A51C89">
        <w:t xml:space="preserve"> and </w:t>
      </w:r>
      <w:r w:rsidR="00500BDE">
        <w:t xml:space="preserve">any remaining concerns </w:t>
      </w:r>
      <w:r w:rsidR="00A51C89">
        <w:t>regarding the cost-effectiveness of romosozumab use in the first-line setting</w:t>
      </w:r>
      <w:r w:rsidR="00A252A9">
        <w:t>. The PBAC considered that the overall financial caps proposed in the pre-PBAC response (</w:t>
      </w:r>
      <w:r w:rsidR="00DC63CE">
        <w:fldChar w:fldCharType="begin" w:fldLock="1"/>
      </w:r>
      <w:r w:rsidR="00DC63CE">
        <w:instrText xml:space="preserve"> REF _Ref130215147 \h  \* MERGEFORMAT </w:instrText>
      </w:r>
      <w:r w:rsidR="00DC63CE">
        <w:fldChar w:fldCharType="separate"/>
      </w:r>
      <w:r w:rsidR="00DC63CE" w:rsidRPr="00DC63CE">
        <w:t>Table 17</w:t>
      </w:r>
      <w:r w:rsidR="00DC63CE">
        <w:fldChar w:fldCharType="end"/>
      </w:r>
      <w:r w:rsidR="00DC63CE">
        <w:t>) would need to be adjusted for the removal of the second-line</w:t>
      </w:r>
      <w:r w:rsidR="00D3082E">
        <w:t xml:space="preserve"> </w:t>
      </w:r>
      <w:r w:rsidR="00DC63CE">
        <w:t>expanded listing population from the resubmission financial estimates</w:t>
      </w:r>
      <w:r w:rsidR="002B4B11">
        <w:t xml:space="preserve"> </w:t>
      </w:r>
      <w:r w:rsidR="002B4B11" w:rsidRPr="00871B45">
        <w:t>and for the price reduction</w:t>
      </w:r>
      <w:r w:rsidR="002B4B11">
        <w:t xml:space="preserve"> </w:t>
      </w:r>
      <w:r w:rsidR="00871B45">
        <w:t xml:space="preserve">outlined in paragraph </w:t>
      </w:r>
      <w:r w:rsidR="00871B45">
        <w:fldChar w:fldCharType="begin" w:fldLock="1"/>
      </w:r>
      <w:r w:rsidR="00871B45">
        <w:instrText xml:space="preserve"> REF _Ref130575899 \r \h </w:instrText>
      </w:r>
      <w:r w:rsidR="00871B45">
        <w:fldChar w:fldCharType="separate"/>
      </w:r>
      <w:r w:rsidR="00761F31">
        <w:t>7.7</w:t>
      </w:r>
      <w:r w:rsidR="00871B45">
        <w:fldChar w:fldCharType="end"/>
      </w:r>
      <w:r w:rsidR="00DC63CE">
        <w:t xml:space="preserve">. The PBAC </w:t>
      </w:r>
      <w:r w:rsidR="004439D0">
        <w:t>noted that</w:t>
      </w:r>
      <w:r w:rsidR="00DC63CE">
        <w:t xml:space="preserve"> the sponsor </w:t>
      </w:r>
      <w:r w:rsidR="004439D0">
        <w:t xml:space="preserve">proposed </w:t>
      </w:r>
      <w:r w:rsidR="00DC63CE">
        <w:t xml:space="preserve">a 100% rebate </w:t>
      </w:r>
      <w:r w:rsidR="004439D0">
        <w:t xml:space="preserve">for </w:t>
      </w:r>
      <w:r w:rsidR="00DC63CE">
        <w:t xml:space="preserve">any expenditure </w:t>
      </w:r>
      <w:r w:rsidR="00DC63CE" w:rsidRPr="000F375C">
        <w:t>above the caps</w:t>
      </w:r>
      <w:r w:rsidR="006840D6">
        <w:t xml:space="preserve"> and considered </w:t>
      </w:r>
      <w:r w:rsidR="00AD352D">
        <w:t>this was</w:t>
      </w:r>
      <w:r w:rsidR="00DC63CE">
        <w:t xml:space="preserve"> appropriate</w:t>
      </w:r>
      <w:r w:rsidR="00DC63CE" w:rsidRPr="000F375C">
        <w:t>.</w:t>
      </w:r>
      <w:r w:rsidR="00DC63CE">
        <w:t xml:space="preserve"> </w:t>
      </w:r>
    </w:p>
    <w:p w14:paraId="2EA8A8C1" w14:textId="00BE2422" w:rsidR="00525DC8" w:rsidRDefault="0071111C" w:rsidP="00067572">
      <w:pPr>
        <w:pStyle w:val="COMexecsumnumberedpara"/>
      </w:pPr>
      <w:r>
        <w:t xml:space="preserve">With regard to the requested listing and restriction, the PBAC advised that: </w:t>
      </w:r>
    </w:p>
    <w:p w14:paraId="166081AD" w14:textId="6276681A" w:rsidR="0071111C" w:rsidRPr="00EA45FA" w:rsidRDefault="0071111C" w:rsidP="00EA45FA">
      <w:pPr>
        <w:pStyle w:val="ListParagraph"/>
        <w:numPr>
          <w:ilvl w:val="0"/>
          <w:numId w:val="11"/>
        </w:numPr>
        <w:spacing w:after="0"/>
        <w:contextualSpacing/>
      </w:pPr>
      <w:r>
        <w:t>The listing should be restricted to the first-line setting with the following included in the clinical criteria for the initial and grandfathering restrictions ‘</w:t>
      </w:r>
      <w:r w:rsidR="00EA45FA" w:rsidRPr="00EA45FA">
        <w:t>Patient must not have received PBS-subsidised treatment with any of: (i) anti-resorptive therapy, (ii) teriparatide, (iii) romosozumab</w:t>
      </w:r>
      <w:r w:rsidR="00EA45FA">
        <w:t>.’</w:t>
      </w:r>
    </w:p>
    <w:p w14:paraId="28DBEDC4" w14:textId="09C65E4D" w:rsidR="0071111C" w:rsidRDefault="008718E9" w:rsidP="00817158">
      <w:pPr>
        <w:pStyle w:val="ListParagraph"/>
        <w:numPr>
          <w:ilvl w:val="0"/>
          <w:numId w:val="11"/>
        </w:numPr>
        <w:spacing w:after="0"/>
        <w:contextualSpacing/>
      </w:pPr>
      <w:r>
        <w:t xml:space="preserve">The clinical criteria should stipulate that the patient must have had a </w:t>
      </w:r>
      <w:r w:rsidRPr="00810C1E">
        <w:t xml:space="preserve">‘symptomatic’ </w:t>
      </w:r>
      <w:r>
        <w:t xml:space="preserve">fracture due to </w:t>
      </w:r>
      <w:r w:rsidRPr="00810C1E">
        <w:t>minimal trauma</w:t>
      </w:r>
      <w:r>
        <w:t xml:space="preserve">. </w:t>
      </w:r>
    </w:p>
    <w:p w14:paraId="1FB6C996" w14:textId="3F8B40CF" w:rsidR="0071111C" w:rsidRPr="005B1465" w:rsidRDefault="0071111C" w:rsidP="00817158">
      <w:pPr>
        <w:pStyle w:val="ListParagraph"/>
        <w:numPr>
          <w:ilvl w:val="0"/>
          <w:numId w:val="11"/>
        </w:numPr>
        <w:ind w:left="1077" w:hanging="357"/>
        <w:contextualSpacing/>
      </w:pPr>
      <w:r w:rsidRPr="000A03FD">
        <w:t xml:space="preserve">A </w:t>
      </w:r>
      <w:r w:rsidR="008718E9">
        <w:t xml:space="preserve">time-limited </w:t>
      </w:r>
      <w:r w:rsidRPr="000A03FD">
        <w:t xml:space="preserve">grandfathering restriction is appropriate. </w:t>
      </w:r>
    </w:p>
    <w:p w14:paraId="385C6FF4" w14:textId="5B47110E" w:rsidR="00451F63" w:rsidRPr="00451F63" w:rsidRDefault="00451F63" w:rsidP="00D3082E">
      <w:pPr>
        <w:pStyle w:val="COMexecsumnumberedpara"/>
      </w:pPr>
      <w:r w:rsidRPr="00996CAA">
        <w:rPr>
          <w:bCs/>
          <w:lang w:val="en-GB"/>
        </w:rPr>
        <w:t xml:space="preserve">The PBAC advised that </w:t>
      </w:r>
      <w:r>
        <w:rPr>
          <w:bCs/>
          <w:lang w:val="en-GB"/>
        </w:rPr>
        <w:t>romosozumab</w:t>
      </w:r>
      <w:r w:rsidRPr="00996CAA">
        <w:rPr>
          <w:bCs/>
          <w:lang w:val="en-GB"/>
        </w:rPr>
        <w:t xml:space="preserve"> is</w:t>
      </w:r>
      <w:r>
        <w:rPr>
          <w:bCs/>
          <w:lang w:val="en-GB"/>
        </w:rPr>
        <w:t xml:space="preserve"> </w:t>
      </w:r>
      <w:r w:rsidRPr="00996CAA">
        <w:rPr>
          <w:bCs/>
          <w:lang w:val="en-GB"/>
        </w:rPr>
        <w:t>not suitable for prescribing by nurse practitioners.</w:t>
      </w:r>
    </w:p>
    <w:p w14:paraId="5A923B35" w14:textId="25152C97" w:rsidR="00451F63" w:rsidRDefault="00451F63" w:rsidP="00D3082E">
      <w:pPr>
        <w:pStyle w:val="COMexecsumnumberedpara"/>
      </w:pPr>
      <w:r w:rsidRPr="00996CAA">
        <w:rPr>
          <w:bCs/>
          <w:lang w:val="en-GB"/>
        </w:rPr>
        <w:t>The PBAC recommended that the Early Supply Rule should</w:t>
      </w:r>
      <w:r>
        <w:rPr>
          <w:bCs/>
          <w:lang w:val="en-GB"/>
        </w:rPr>
        <w:t xml:space="preserve"> </w:t>
      </w:r>
      <w:r w:rsidRPr="00996CAA">
        <w:rPr>
          <w:bCs/>
          <w:lang w:val="en-GB"/>
        </w:rPr>
        <w:t>apply.</w:t>
      </w:r>
    </w:p>
    <w:p w14:paraId="4C74938C" w14:textId="29E1E81C" w:rsidR="00D3082E" w:rsidRPr="00D3082E" w:rsidRDefault="00D3082E" w:rsidP="00D3082E">
      <w:pPr>
        <w:pStyle w:val="COMexecsumnumberedpara"/>
      </w:pPr>
      <w:r w:rsidRPr="00D3082E">
        <w:t>The PBAC found that the criteria prescribed by the National Health (Pharmaceuticals and Vaccines – Cost Recovery) Regulations 2022 for Pricing Pathway A</w:t>
      </w:r>
      <w:r>
        <w:t xml:space="preserve"> </w:t>
      </w:r>
      <w:r w:rsidRPr="00D3082E">
        <w:t xml:space="preserve">were not met. Specifically the PBAC found that in the circumstances of its recommendation for </w:t>
      </w:r>
      <w:r>
        <w:t>romosozumab</w:t>
      </w:r>
      <w:r w:rsidRPr="00D3082E">
        <w:t>:</w:t>
      </w:r>
    </w:p>
    <w:p w14:paraId="2F4D2DEA" w14:textId="7B4BF528" w:rsidR="00D3082E" w:rsidRPr="00996CAA" w:rsidRDefault="00D3082E" w:rsidP="00817158">
      <w:pPr>
        <w:widowControl w:val="0"/>
        <w:numPr>
          <w:ilvl w:val="1"/>
          <w:numId w:val="12"/>
        </w:numPr>
        <w:spacing w:after="120"/>
        <w:rPr>
          <w:rFonts w:asciiTheme="minorHAnsi" w:hAnsiTheme="minorHAnsi" w:cstheme="minorHAnsi"/>
          <w:lang w:val="en-GB"/>
        </w:rPr>
      </w:pPr>
      <w:r w:rsidRPr="00996CAA">
        <w:rPr>
          <w:rFonts w:asciiTheme="minorHAnsi" w:hAnsiTheme="minorHAnsi" w:cstheme="minorHAnsi"/>
          <w:lang w:val="en-GB"/>
        </w:rPr>
        <w:t xml:space="preserve">The treatment is expected to provide a clinically relevant improvement in efficacy, over alternative therapies, </w:t>
      </w:r>
      <w:r>
        <w:rPr>
          <w:rFonts w:asciiTheme="minorHAnsi" w:hAnsiTheme="minorHAnsi" w:cstheme="minorHAnsi"/>
          <w:lang w:val="en-GB"/>
        </w:rPr>
        <w:t xml:space="preserve">on the basis of the fracture outcomes reported in the ARCH trial, however the magnitude of the </w:t>
      </w:r>
      <w:r w:rsidR="00451F63">
        <w:rPr>
          <w:rFonts w:asciiTheme="minorHAnsi" w:hAnsiTheme="minorHAnsi" w:cstheme="minorHAnsi"/>
          <w:lang w:val="en-GB"/>
        </w:rPr>
        <w:t>benefit was likely overestimated compared to the clinical effectiveness in the Australian treatment setting</w:t>
      </w:r>
      <w:r w:rsidRPr="00996CAA">
        <w:rPr>
          <w:rFonts w:asciiTheme="minorHAnsi" w:hAnsiTheme="minorHAnsi" w:cstheme="minorHAnsi"/>
          <w:lang w:val="en-GB"/>
        </w:rPr>
        <w:t xml:space="preserve">; </w:t>
      </w:r>
    </w:p>
    <w:p w14:paraId="3EE72B7F" w14:textId="5D6DB6C6" w:rsidR="00D3082E" w:rsidRPr="00996CAA" w:rsidRDefault="00D3082E" w:rsidP="00817158">
      <w:pPr>
        <w:widowControl w:val="0"/>
        <w:numPr>
          <w:ilvl w:val="1"/>
          <w:numId w:val="12"/>
        </w:numPr>
        <w:spacing w:after="120"/>
        <w:rPr>
          <w:rFonts w:asciiTheme="minorHAnsi" w:hAnsiTheme="minorHAnsi" w:cstheme="minorHAnsi"/>
          <w:lang w:val="en-GB"/>
        </w:rPr>
      </w:pPr>
      <w:r w:rsidRPr="00996CAA">
        <w:rPr>
          <w:rFonts w:asciiTheme="minorHAnsi" w:hAnsiTheme="minorHAnsi" w:cstheme="minorHAnsi"/>
          <w:lang w:val="en-GB"/>
        </w:rPr>
        <w:t xml:space="preserve">The treatment is not expected to address a high and urgent unmet clinical need due </w:t>
      </w:r>
      <w:r>
        <w:rPr>
          <w:rFonts w:asciiTheme="minorHAnsi" w:hAnsiTheme="minorHAnsi" w:cstheme="minorHAnsi"/>
          <w:lang w:val="en-GB"/>
        </w:rPr>
        <w:t xml:space="preserve">to the availability of alternative treatments. </w:t>
      </w:r>
    </w:p>
    <w:p w14:paraId="79C0DD9F" w14:textId="0A68E7EA" w:rsidR="004E4944" w:rsidRPr="00451F63" w:rsidRDefault="00D3082E" w:rsidP="00817158">
      <w:pPr>
        <w:widowControl w:val="0"/>
        <w:numPr>
          <w:ilvl w:val="1"/>
          <w:numId w:val="12"/>
        </w:numPr>
        <w:spacing w:after="120"/>
        <w:rPr>
          <w:rFonts w:asciiTheme="minorHAnsi" w:hAnsiTheme="minorHAnsi" w:cstheme="minorHAnsi"/>
          <w:lang w:val="en-GB"/>
        </w:rPr>
      </w:pPr>
      <w:r w:rsidRPr="00996CAA">
        <w:rPr>
          <w:rFonts w:asciiTheme="minorHAnsi" w:hAnsiTheme="minorHAnsi" w:cstheme="minorHAnsi"/>
          <w:lang w:val="en-GB"/>
        </w:rPr>
        <w:lastRenderedPageBreak/>
        <w:t>It was not necessary to make a finding in relation to whether it would be in the public interest for the subsequent pricing application to be progressed under Pricing Pathway A because one or more of the preceding tests had failed</w:t>
      </w:r>
      <w:r w:rsidR="00451F63">
        <w:rPr>
          <w:rFonts w:asciiTheme="minorHAnsi" w:hAnsiTheme="minorHAnsi" w:cstheme="minorHAnsi"/>
          <w:lang w:val="en-GB"/>
        </w:rPr>
        <w:t xml:space="preserve">. </w:t>
      </w:r>
    </w:p>
    <w:p w14:paraId="461C8A6E" w14:textId="7BA7F9A1" w:rsidR="001853DD" w:rsidRPr="00D3082E" w:rsidRDefault="00D3082E" w:rsidP="00D3082E">
      <w:pPr>
        <w:widowControl w:val="0"/>
        <w:numPr>
          <w:ilvl w:val="1"/>
          <w:numId w:val="4"/>
        </w:numPr>
        <w:spacing w:after="120"/>
        <w:rPr>
          <w:rFonts w:asciiTheme="minorHAnsi" w:hAnsiTheme="minorHAnsi"/>
          <w:bCs/>
          <w:i/>
          <w:snapToGrid w:val="0"/>
          <w:lang w:eastAsia="en-US"/>
        </w:rPr>
      </w:pPr>
      <w:bookmarkStart w:id="73" w:name="_Hlk111543188"/>
      <w:r w:rsidRPr="0089664C">
        <w:rPr>
          <w:rFonts w:asciiTheme="minorHAnsi" w:hAnsiTheme="minorHAnsi"/>
          <w:bCs/>
          <w:snapToGrid w:val="0"/>
          <w:lang w:eastAsia="en-US"/>
        </w:rPr>
        <w:t xml:space="preserve">The PBAC noted that this submission is not eligible for an Independent Review </w:t>
      </w:r>
      <w:r w:rsidRPr="0089664C">
        <w:rPr>
          <w:snapToGrid w:val="0"/>
        </w:rPr>
        <w:t>as it received a positive recommendation</w:t>
      </w:r>
      <w:r w:rsidRPr="0089664C">
        <w:rPr>
          <w:rFonts w:asciiTheme="minorHAnsi" w:hAnsiTheme="minorHAnsi"/>
          <w:bCs/>
          <w:snapToGrid w:val="0"/>
          <w:lang w:eastAsia="en-US"/>
        </w:rPr>
        <w:t xml:space="preserve">. </w:t>
      </w:r>
    </w:p>
    <w:bookmarkEnd w:id="73"/>
    <w:p w14:paraId="4D28316B" w14:textId="77777777" w:rsidR="00E15396" w:rsidRPr="00996CAA" w:rsidRDefault="00E15396" w:rsidP="00E15396">
      <w:pPr>
        <w:spacing w:before="240"/>
        <w:rPr>
          <w:rFonts w:asciiTheme="minorHAnsi" w:hAnsiTheme="minorHAnsi"/>
          <w:b/>
          <w:bCs/>
          <w:snapToGrid w:val="0"/>
          <w:lang w:val="en-GB"/>
        </w:rPr>
      </w:pPr>
      <w:r w:rsidRPr="00996CAA">
        <w:rPr>
          <w:rFonts w:asciiTheme="minorHAnsi" w:hAnsiTheme="minorHAnsi"/>
          <w:b/>
          <w:bCs/>
          <w:snapToGrid w:val="0"/>
          <w:lang w:val="en-GB"/>
        </w:rPr>
        <w:t>Outcome:</w:t>
      </w:r>
    </w:p>
    <w:p w14:paraId="0C0DA064" w14:textId="670A9C89" w:rsidR="00E15396" w:rsidRPr="00F9348B" w:rsidRDefault="00E15396" w:rsidP="00F9348B">
      <w:pPr>
        <w:rPr>
          <w:rFonts w:asciiTheme="minorHAnsi" w:hAnsiTheme="minorHAnsi"/>
          <w:bCs/>
          <w:snapToGrid w:val="0"/>
          <w:lang w:val="en-GB"/>
        </w:rPr>
      </w:pPr>
      <w:r w:rsidRPr="00996CAA">
        <w:rPr>
          <w:rFonts w:asciiTheme="minorHAnsi" w:hAnsiTheme="minorHAnsi"/>
          <w:bCs/>
          <w:snapToGrid w:val="0"/>
          <w:lang w:val="en-GB"/>
        </w:rPr>
        <w:t xml:space="preserve">Recommended </w:t>
      </w:r>
    </w:p>
    <w:bookmarkEnd w:id="67"/>
    <w:p w14:paraId="4868AD09" w14:textId="091CFC60" w:rsidR="00E15396" w:rsidRDefault="00E15396" w:rsidP="00F9348B">
      <w:pPr>
        <w:pStyle w:val="COMH1numbered"/>
      </w:pPr>
      <w:r w:rsidRPr="00F9348B">
        <w:t>Recommended listing</w:t>
      </w:r>
    </w:p>
    <w:p w14:paraId="380AA5B9" w14:textId="109CC587" w:rsidR="00B063F1" w:rsidRPr="00B063F1" w:rsidRDefault="00B063F1" w:rsidP="00EE2037">
      <w:pPr>
        <w:widowControl w:val="0"/>
        <w:numPr>
          <w:ilvl w:val="1"/>
          <w:numId w:val="4"/>
        </w:numPr>
        <w:spacing w:after="120"/>
        <w:contextualSpacing/>
      </w:pPr>
      <w:r w:rsidRPr="005C68B9">
        <w:rPr>
          <w:rFonts w:asciiTheme="minorHAnsi" w:hAnsiTheme="minorHAnsi"/>
          <w:bCs/>
          <w:snapToGrid w:val="0"/>
        </w:rPr>
        <w:t>Add new item:</w:t>
      </w:r>
    </w:p>
    <w:tbl>
      <w:tblPr>
        <w:tblpPr w:leftFromText="180" w:rightFromText="180" w:vertAnchor="text" w:horzAnchor="margin" w:tblpY="2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793"/>
        <w:gridCol w:w="1722"/>
        <w:gridCol w:w="1325"/>
        <w:gridCol w:w="1325"/>
        <w:gridCol w:w="1324"/>
        <w:gridCol w:w="1059"/>
        <w:gridCol w:w="938"/>
      </w:tblGrid>
      <w:tr w:rsidR="00B063F1" w:rsidRPr="00F9348B" w14:paraId="73C19492" w14:textId="77777777" w:rsidTr="00B063F1">
        <w:trPr>
          <w:cantSplit/>
          <w:trHeight w:val="20"/>
        </w:trPr>
        <w:tc>
          <w:tcPr>
            <w:tcW w:w="1689" w:type="pct"/>
            <w:gridSpan w:val="3"/>
          </w:tcPr>
          <w:p w14:paraId="7E0D6893" w14:textId="77777777" w:rsidR="00B063F1" w:rsidRPr="00F9348B" w:rsidRDefault="00B063F1" w:rsidP="00B063F1">
            <w:pPr>
              <w:keepNext/>
              <w:keepLines/>
              <w:rPr>
                <w:rFonts w:ascii="Arial Narrow" w:hAnsi="Arial Narrow"/>
                <w:b/>
                <w:bCs/>
                <w:sz w:val="20"/>
                <w:szCs w:val="20"/>
              </w:rPr>
            </w:pPr>
            <w:r w:rsidRPr="00F9348B">
              <w:rPr>
                <w:rFonts w:ascii="Arial Narrow" w:hAnsi="Arial Narrow"/>
                <w:b/>
                <w:bCs/>
                <w:sz w:val="20"/>
                <w:szCs w:val="20"/>
              </w:rPr>
              <w:t>MEDICINAL PRODUCT</w:t>
            </w:r>
          </w:p>
          <w:p w14:paraId="6371BAB3" w14:textId="77777777" w:rsidR="00B063F1" w:rsidRPr="00F9348B" w:rsidRDefault="00B063F1" w:rsidP="00B063F1">
            <w:pPr>
              <w:keepNext/>
              <w:keepLines/>
              <w:rPr>
                <w:rFonts w:ascii="Arial Narrow" w:hAnsi="Arial Narrow"/>
                <w:b/>
                <w:bCs/>
                <w:sz w:val="20"/>
                <w:szCs w:val="20"/>
              </w:rPr>
            </w:pPr>
            <w:r w:rsidRPr="00F9348B">
              <w:rPr>
                <w:rFonts w:ascii="Arial Narrow" w:hAnsi="Arial Narrow"/>
                <w:b/>
                <w:bCs/>
                <w:sz w:val="20"/>
                <w:szCs w:val="20"/>
              </w:rPr>
              <w:t>medicinal product pack</w:t>
            </w:r>
          </w:p>
        </w:tc>
        <w:tc>
          <w:tcPr>
            <w:tcW w:w="735" w:type="pct"/>
            <w:vAlign w:val="center"/>
          </w:tcPr>
          <w:p w14:paraId="1D144311" w14:textId="77777777" w:rsidR="00B063F1" w:rsidRPr="00F9348B" w:rsidRDefault="00B063F1" w:rsidP="00B063F1">
            <w:pPr>
              <w:pStyle w:val="COMTabletext"/>
              <w:keepLines/>
              <w:rPr>
                <w:b/>
                <w:bCs w:val="0"/>
                <w:szCs w:val="20"/>
              </w:rPr>
            </w:pPr>
            <w:r w:rsidRPr="00F9348B">
              <w:rPr>
                <w:b/>
                <w:bCs w:val="0"/>
                <w:snapToGrid w:val="0"/>
              </w:rPr>
              <w:t xml:space="preserve">PBS Item code </w:t>
            </w:r>
          </w:p>
        </w:tc>
        <w:tc>
          <w:tcPr>
            <w:tcW w:w="735" w:type="pct"/>
            <w:vAlign w:val="center"/>
          </w:tcPr>
          <w:p w14:paraId="2D5D9514" w14:textId="77777777" w:rsidR="00B063F1" w:rsidRPr="00F9348B" w:rsidRDefault="00B063F1" w:rsidP="00B063F1">
            <w:pPr>
              <w:keepNext/>
              <w:keepLines/>
              <w:jc w:val="center"/>
              <w:rPr>
                <w:rFonts w:ascii="Arial Narrow" w:hAnsi="Arial Narrow"/>
                <w:b/>
                <w:sz w:val="20"/>
                <w:szCs w:val="20"/>
              </w:rPr>
            </w:pPr>
            <w:r w:rsidRPr="00F9348B">
              <w:rPr>
                <w:rFonts w:ascii="Arial Narrow" w:hAnsi="Arial Narrow"/>
                <w:b/>
                <w:sz w:val="20"/>
                <w:szCs w:val="20"/>
              </w:rPr>
              <w:t>Max. qty packs</w:t>
            </w:r>
          </w:p>
        </w:tc>
        <w:tc>
          <w:tcPr>
            <w:tcW w:w="734" w:type="pct"/>
            <w:vAlign w:val="center"/>
          </w:tcPr>
          <w:p w14:paraId="7A2CF90D" w14:textId="77777777" w:rsidR="00B063F1" w:rsidRPr="00F9348B" w:rsidRDefault="00B063F1" w:rsidP="00B063F1">
            <w:pPr>
              <w:keepNext/>
              <w:keepLines/>
              <w:jc w:val="center"/>
              <w:rPr>
                <w:rFonts w:ascii="Arial Narrow" w:hAnsi="Arial Narrow"/>
                <w:b/>
                <w:sz w:val="20"/>
                <w:szCs w:val="20"/>
              </w:rPr>
            </w:pPr>
            <w:r w:rsidRPr="00F9348B">
              <w:rPr>
                <w:rFonts w:ascii="Arial Narrow" w:hAnsi="Arial Narrow"/>
                <w:b/>
                <w:sz w:val="20"/>
                <w:szCs w:val="20"/>
              </w:rPr>
              <w:t>Max. qty units</w:t>
            </w:r>
          </w:p>
        </w:tc>
        <w:tc>
          <w:tcPr>
            <w:tcW w:w="587" w:type="pct"/>
            <w:vAlign w:val="center"/>
          </w:tcPr>
          <w:p w14:paraId="2A5B714B" w14:textId="77777777" w:rsidR="00B063F1" w:rsidRPr="00F9348B" w:rsidRDefault="00B063F1" w:rsidP="00B063F1">
            <w:pPr>
              <w:keepNext/>
              <w:keepLines/>
              <w:jc w:val="center"/>
              <w:rPr>
                <w:rFonts w:ascii="Arial Narrow" w:hAnsi="Arial Narrow"/>
                <w:b/>
                <w:sz w:val="20"/>
                <w:szCs w:val="20"/>
              </w:rPr>
            </w:pPr>
            <w:r w:rsidRPr="00F9348B">
              <w:rPr>
                <w:rFonts w:ascii="Arial Narrow" w:hAnsi="Arial Narrow"/>
                <w:b/>
                <w:sz w:val="20"/>
                <w:szCs w:val="20"/>
              </w:rPr>
              <w:t>№.of</w:t>
            </w:r>
          </w:p>
          <w:p w14:paraId="1116109B" w14:textId="77777777" w:rsidR="00B063F1" w:rsidRPr="00F9348B" w:rsidRDefault="00B063F1" w:rsidP="00B063F1">
            <w:pPr>
              <w:keepNext/>
              <w:keepLines/>
              <w:jc w:val="center"/>
              <w:rPr>
                <w:rFonts w:ascii="Arial Narrow" w:hAnsi="Arial Narrow"/>
                <w:b/>
                <w:sz w:val="20"/>
                <w:szCs w:val="20"/>
              </w:rPr>
            </w:pPr>
            <w:r w:rsidRPr="00F9348B">
              <w:rPr>
                <w:rFonts w:ascii="Arial Narrow" w:hAnsi="Arial Narrow"/>
                <w:b/>
                <w:sz w:val="20"/>
                <w:szCs w:val="20"/>
              </w:rPr>
              <w:t>Rpts</w:t>
            </w:r>
          </w:p>
        </w:tc>
        <w:tc>
          <w:tcPr>
            <w:tcW w:w="520" w:type="pct"/>
            <w:vAlign w:val="center"/>
          </w:tcPr>
          <w:p w14:paraId="1687D34B" w14:textId="77777777" w:rsidR="00B063F1" w:rsidRPr="00F9348B" w:rsidRDefault="00B063F1" w:rsidP="00B063F1">
            <w:pPr>
              <w:keepNext/>
              <w:keepLines/>
              <w:rPr>
                <w:rFonts w:ascii="Arial Narrow" w:hAnsi="Arial Narrow"/>
                <w:b/>
                <w:sz w:val="20"/>
                <w:szCs w:val="20"/>
                <w:lang w:val="fr-FR"/>
              </w:rPr>
            </w:pPr>
            <w:r w:rsidRPr="00F9348B">
              <w:rPr>
                <w:rFonts w:ascii="Arial Narrow" w:hAnsi="Arial Narrow"/>
                <w:b/>
                <w:sz w:val="20"/>
                <w:szCs w:val="20"/>
              </w:rPr>
              <w:t>Available brands</w:t>
            </w:r>
          </w:p>
        </w:tc>
      </w:tr>
      <w:tr w:rsidR="00B063F1" w:rsidRPr="00F9348B" w14:paraId="5E51E2B8" w14:textId="77777777" w:rsidTr="00B063F1">
        <w:trPr>
          <w:cantSplit/>
          <w:trHeight w:val="20"/>
        </w:trPr>
        <w:tc>
          <w:tcPr>
            <w:tcW w:w="5000" w:type="pct"/>
            <w:gridSpan w:val="8"/>
          </w:tcPr>
          <w:p w14:paraId="646DAB4F" w14:textId="77777777" w:rsidR="00B063F1" w:rsidRPr="00F9348B" w:rsidRDefault="00B063F1" w:rsidP="00B063F1">
            <w:pPr>
              <w:pStyle w:val="COMTabletext"/>
              <w:keepLines/>
              <w:rPr>
                <w:rFonts w:cs="Arial"/>
                <w:szCs w:val="20"/>
              </w:rPr>
            </w:pPr>
            <w:r w:rsidRPr="00F9348B">
              <w:t>ROMOSOZUMAB</w:t>
            </w:r>
            <w:r w:rsidRPr="00F9348B">
              <w:rPr>
                <w:rFonts w:cs="Arial"/>
                <w:szCs w:val="20"/>
              </w:rPr>
              <w:t xml:space="preserve"> </w:t>
            </w:r>
          </w:p>
        </w:tc>
      </w:tr>
      <w:tr w:rsidR="00B063F1" w:rsidRPr="00F9348B" w14:paraId="32A51FEF" w14:textId="77777777" w:rsidTr="00B063F1">
        <w:trPr>
          <w:cantSplit/>
          <w:trHeight w:val="20"/>
        </w:trPr>
        <w:tc>
          <w:tcPr>
            <w:tcW w:w="1689" w:type="pct"/>
            <w:gridSpan w:val="3"/>
          </w:tcPr>
          <w:p w14:paraId="067391B3" w14:textId="77777777" w:rsidR="00B063F1" w:rsidRPr="00F9348B" w:rsidRDefault="00B063F1" w:rsidP="00B063F1">
            <w:pPr>
              <w:keepNext/>
              <w:keepLines/>
              <w:rPr>
                <w:rFonts w:ascii="Arial Narrow" w:hAnsi="Arial Narrow"/>
                <w:sz w:val="20"/>
                <w:szCs w:val="20"/>
              </w:rPr>
            </w:pPr>
            <w:r w:rsidRPr="00F9348B">
              <w:rPr>
                <w:rFonts w:ascii="Arial Narrow" w:eastAsiaTheme="majorEastAsia" w:hAnsi="Arial Narrow" w:cstheme="majorBidi"/>
                <w:bCs/>
                <w:sz w:val="20"/>
              </w:rPr>
              <w:t xml:space="preserve">Romosozumab, 105mg/1.17mL injection, </w:t>
            </w:r>
            <w:r w:rsidRPr="00F9348B">
              <w:rPr>
                <w:rFonts w:ascii="Arial Narrow" w:eastAsiaTheme="majorEastAsia" w:hAnsi="Arial Narrow" w:cstheme="majorBidi"/>
                <w:bCs/>
                <w:sz w:val="20"/>
              </w:rPr>
              <w:br/>
              <w:t>2 x 1.17mL syringes</w:t>
            </w:r>
          </w:p>
        </w:tc>
        <w:tc>
          <w:tcPr>
            <w:tcW w:w="735" w:type="pct"/>
          </w:tcPr>
          <w:p w14:paraId="1AA9463D" w14:textId="77777777" w:rsidR="00B063F1" w:rsidRPr="00F9348B" w:rsidRDefault="00B063F1" w:rsidP="00B063F1">
            <w:pPr>
              <w:pStyle w:val="COMTabletext"/>
              <w:keepLines/>
              <w:jc w:val="center"/>
              <w:rPr>
                <w:szCs w:val="20"/>
              </w:rPr>
            </w:pPr>
            <w:r w:rsidRPr="00F9348B">
              <w:t>NEW</w:t>
            </w:r>
          </w:p>
        </w:tc>
        <w:tc>
          <w:tcPr>
            <w:tcW w:w="735" w:type="pct"/>
            <w:vAlign w:val="center"/>
          </w:tcPr>
          <w:p w14:paraId="6AF84D34" w14:textId="77777777" w:rsidR="00B063F1" w:rsidRPr="00F9348B" w:rsidRDefault="00B063F1" w:rsidP="00B063F1">
            <w:pPr>
              <w:keepNext/>
              <w:keepLines/>
              <w:jc w:val="center"/>
              <w:rPr>
                <w:rFonts w:ascii="Arial Narrow" w:hAnsi="Arial Narrow"/>
                <w:sz w:val="20"/>
                <w:szCs w:val="20"/>
              </w:rPr>
            </w:pPr>
            <w:r w:rsidRPr="00F9348B">
              <w:rPr>
                <w:rFonts w:ascii="Arial Narrow" w:hAnsi="Arial Narrow"/>
                <w:sz w:val="20"/>
              </w:rPr>
              <w:t>1</w:t>
            </w:r>
          </w:p>
        </w:tc>
        <w:tc>
          <w:tcPr>
            <w:tcW w:w="734" w:type="pct"/>
            <w:vAlign w:val="center"/>
          </w:tcPr>
          <w:p w14:paraId="52B6A2D3" w14:textId="77777777" w:rsidR="00B063F1" w:rsidRPr="00F9348B" w:rsidRDefault="00B063F1" w:rsidP="00B063F1">
            <w:pPr>
              <w:keepNext/>
              <w:keepLines/>
              <w:jc w:val="center"/>
              <w:rPr>
                <w:rFonts w:ascii="Arial Narrow" w:hAnsi="Arial Narrow"/>
                <w:sz w:val="20"/>
                <w:szCs w:val="20"/>
              </w:rPr>
            </w:pPr>
            <w:r w:rsidRPr="00F9348B">
              <w:rPr>
                <w:rFonts w:ascii="Arial Narrow" w:hAnsi="Arial Narrow"/>
                <w:sz w:val="20"/>
              </w:rPr>
              <w:t>2</w:t>
            </w:r>
          </w:p>
        </w:tc>
        <w:tc>
          <w:tcPr>
            <w:tcW w:w="587" w:type="pct"/>
            <w:vAlign w:val="center"/>
          </w:tcPr>
          <w:p w14:paraId="439157E3" w14:textId="77777777" w:rsidR="00B063F1" w:rsidRPr="00F9348B" w:rsidRDefault="00B063F1" w:rsidP="00B063F1">
            <w:pPr>
              <w:keepNext/>
              <w:keepLines/>
              <w:jc w:val="center"/>
              <w:rPr>
                <w:rFonts w:ascii="Arial Narrow" w:hAnsi="Arial Narrow"/>
                <w:sz w:val="20"/>
                <w:szCs w:val="20"/>
              </w:rPr>
            </w:pPr>
            <w:r w:rsidRPr="00F9348B">
              <w:rPr>
                <w:rFonts w:ascii="Arial Narrow" w:hAnsi="Arial Narrow"/>
                <w:sz w:val="20"/>
              </w:rPr>
              <w:t>5</w:t>
            </w:r>
          </w:p>
        </w:tc>
        <w:tc>
          <w:tcPr>
            <w:tcW w:w="520" w:type="pct"/>
            <w:vAlign w:val="center"/>
          </w:tcPr>
          <w:p w14:paraId="39E57422" w14:textId="77777777" w:rsidR="00B063F1" w:rsidRPr="00F9348B" w:rsidRDefault="00B063F1" w:rsidP="00B063F1">
            <w:pPr>
              <w:keepNext/>
              <w:keepLines/>
              <w:rPr>
                <w:rFonts w:ascii="Arial Narrow" w:hAnsi="Arial Narrow"/>
                <w:sz w:val="20"/>
                <w:szCs w:val="20"/>
              </w:rPr>
            </w:pPr>
            <w:r w:rsidRPr="00F9348B">
              <w:rPr>
                <w:rFonts w:ascii="Arial Narrow" w:hAnsi="Arial Narrow"/>
                <w:sz w:val="20"/>
                <w:szCs w:val="20"/>
              </w:rPr>
              <w:t>Evenity</w:t>
            </w:r>
          </w:p>
        </w:tc>
      </w:tr>
      <w:tr w:rsidR="00B063F1" w:rsidRPr="00F9348B" w14:paraId="7E25EC21" w14:textId="77777777" w:rsidTr="00B063F1">
        <w:tblPrEx>
          <w:tblCellMar>
            <w:top w:w="15" w:type="dxa"/>
            <w:bottom w:w="15" w:type="dxa"/>
          </w:tblCellMar>
          <w:tblLook w:val="04A0" w:firstRow="1" w:lastRow="0" w:firstColumn="1" w:lastColumn="0" w:noHBand="0" w:noVBand="1"/>
        </w:tblPrEx>
        <w:trPr>
          <w:cantSplit/>
          <w:trHeight w:val="20"/>
        </w:trPr>
        <w:tc>
          <w:tcPr>
            <w:tcW w:w="5000" w:type="pct"/>
            <w:gridSpan w:val="8"/>
          </w:tcPr>
          <w:p w14:paraId="03C6D6AA" w14:textId="77777777" w:rsidR="00B063F1" w:rsidRPr="00F9348B" w:rsidRDefault="00B063F1" w:rsidP="00B063F1">
            <w:pPr>
              <w:pStyle w:val="COMTabletext"/>
              <w:keepLines/>
              <w:rPr>
                <w:b/>
                <w:szCs w:val="20"/>
              </w:rPr>
            </w:pPr>
          </w:p>
        </w:tc>
      </w:tr>
      <w:tr w:rsidR="00B063F1" w:rsidRPr="00F9348B" w14:paraId="395681D2" w14:textId="77777777" w:rsidTr="00B063F1">
        <w:tblPrEx>
          <w:tblCellMar>
            <w:top w:w="15" w:type="dxa"/>
            <w:bottom w:w="15" w:type="dxa"/>
          </w:tblCellMar>
          <w:tblLook w:val="04A0" w:firstRow="1" w:lastRow="0" w:firstColumn="1" w:lastColumn="0" w:noHBand="0" w:noVBand="1"/>
        </w:tblPrEx>
        <w:trPr>
          <w:cantSplit/>
          <w:trHeight w:val="20"/>
        </w:trPr>
        <w:tc>
          <w:tcPr>
            <w:tcW w:w="5000" w:type="pct"/>
            <w:gridSpan w:val="8"/>
          </w:tcPr>
          <w:p w14:paraId="0FE0ACEC" w14:textId="77777777" w:rsidR="00B063F1" w:rsidRPr="00F9348B" w:rsidRDefault="00B063F1" w:rsidP="00B063F1">
            <w:pPr>
              <w:pStyle w:val="COMTabletext"/>
              <w:keepLines/>
              <w:rPr>
                <w:b/>
                <w:szCs w:val="20"/>
              </w:rPr>
            </w:pPr>
            <w:r w:rsidRPr="00F9348B">
              <w:rPr>
                <w:b/>
                <w:szCs w:val="20"/>
              </w:rPr>
              <w:t>Restriction Summary edit [12486] / Treatment of concept edit [12475]</w:t>
            </w:r>
          </w:p>
        </w:tc>
      </w:tr>
      <w:tr w:rsidR="00B063F1" w:rsidRPr="00F9348B" w14:paraId="250E71B3"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vMerge w:val="restart"/>
          </w:tcPr>
          <w:p w14:paraId="46BF35F2" w14:textId="77777777" w:rsidR="00B063F1" w:rsidRPr="00F9348B" w:rsidRDefault="00B063F1" w:rsidP="00B063F1">
            <w:pPr>
              <w:pStyle w:val="COMTabletext"/>
              <w:keepLines/>
              <w:rPr>
                <w:b/>
                <w:szCs w:val="20"/>
              </w:rPr>
            </w:pPr>
            <w:r w:rsidRPr="00F9348B">
              <w:rPr>
                <w:b/>
                <w:szCs w:val="20"/>
              </w:rPr>
              <w:t xml:space="preserve">Concept ID </w:t>
            </w:r>
          </w:p>
          <w:p w14:paraId="30856AE5" w14:textId="77777777" w:rsidR="00B063F1" w:rsidRPr="00F9348B" w:rsidRDefault="00B063F1" w:rsidP="00B063F1">
            <w:pPr>
              <w:pStyle w:val="COMTabletext"/>
              <w:keepLines/>
              <w:rPr>
                <w:bCs w:val="0"/>
                <w:szCs w:val="20"/>
              </w:rPr>
            </w:pPr>
            <w:r w:rsidRPr="00F9348B">
              <w:rPr>
                <w:bCs w:val="0"/>
                <w:szCs w:val="20"/>
              </w:rPr>
              <w:t>(for internal Dept. use)</w:t>
            </w:r>
          </w:p>
        </w:tc>
        <w:tc>
          <w:tcPr>
            <w:tcW w:w="4266" w:type="pct"/>
            <w:gridSpan w:val="6"/>
          </w:tcPr>
          <w:p w14:paraId="09628ED7" w14:textId="77777777" w:rsidR="00B063F1" w:rsidRPr="00F9348B" w:rsidRDefault="00B063F1" w:rsidP="00B063F1">
            <w:pPr>
              <w:pStyle w:val="COMTabletext"/>
              <w:keepLines/>
              <w:rPr>
                <w:szCs w:val="20"/>
              </w:rPr>
            </w:pPr>
            <w:r w:rsidRPr="00F9348B">
              <w:rPr>
                <w:b/>
                <w:szCs w:val="20"/>
              </w:rPr>
              <w:t xml:space="preserve">Category / Program: </w:t>
            </w:r>
            <w:r w:rsidRPr="00F9348B">
              <w:rPr>
                <w:szCs w:val="20"/>
              </w:rPr>
              <w:t>General Schedule</w:t>
            </w:r>
            <w:r w:rsidRPr="00F9348B">
              <w:t xml:space="preserve"> (Code GE)</w:t>
            </w:r>
          </w:p>
        </w:tc>
      </w:tr>
      <w:tr w:rsidR="00B063F1" w:rsidRPr="00F9348B" w14:paraId="734EC085"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vMerge/>
          </w:tcPr>
          <w:p w14:paraId="362C9E38" w14:textId="77777777" w:rsidR="00B063F1" w:rsidRPr="00F9348B" w:rsidRDefault="00B063F1" w:rsidP="00B063F1">
            <w:pPr>
              <w:pStyle w:val="COMTabletext"/>
              <w:keepLines/>
              <w:rPr>
                <w:b/>
                <w:szCs w:val="20"/>
              </w:rPr>
            </w:pPr>
          </w:p>
        </w:tc>
        <w:tc>
          <w:tcPr>
            <w:tcW w:w="4266" w:type="pct"/>
            <w:gridSpan w:val="6"/>
          </w:tcPr>
          <w:p w14:paraId="68BE9B0A" w14:textId="77777777" w:rsidR="00B063F1" w:rsidRPr="00F9348B" w:rsidRDefault="00B063F1" w:rsidP="00B063F1">
            <w:pPr>
              <w:pStyle w:val="COMTabletext"/>
              <w:keepLines/>
              <w:rPr>
                <w:b/>
                <w:szCs w:val="20"/>
              </w:rPr>
            </w:pPr>
            <w:r w:rsidRPr="00F9348B">
              <w:rPr>
                <w:b/>
                <w:szCs w:val="20"/>
              </w:rPr>
              <w:t xml:space="preserve">Prescriber type: </w:t>
            </w:r>
            <w:r w:rsidRPr="00F9348B">
              <w:rPr>
                <w:szCs w:val="20"/>
              </w:rPr>
              <w:fldChar w:fldCharType="begin" w:fldLock="1">
                <w:ffData>
                  <w:name w:val=""/>
                  <w:enabled/>
                  <w:calcOnExit w:val="0"/>
                  <w:checkBox>
                    <w:sizeAuto/>
                    <w:default w:val="1"/>
                  </w:checkBox>
                </w:ffData>
              </w:fldChar>
            </w:r>
            <w:r w:rsidRPr="00F9348B">
              <w:rPr>
                <w:szCs w:val="20"/>
              </w:rPr>
              <w:instrText xml:space="preserve"> FORMCHECKBOX </w:instrText>
            </w:r>
            <w:r w:rsidR="00D16346">
              <w:rPr>
                <w:szCs w:val="20"/>
              </w:rPr>
            </w:r>
            <w:r w:rsidR="00D16346">
              <w:rPr>
                <w:szCs w:val="20"/>
              </w:rPr>
              <w:fldChar w:fldCharType="separate"/>
            </w:r>
            <w:r w:rsidRPr="00F9348B">
              <w:rPr>
                <w:szCs w:val="20"/>
              </w:rPr>
              <w:fldChar w:fldCharType="end"/>
            </w:r>
            <w:r w:rsidRPr="00F9348B">
              <w:rPr>
                <w:szCs w:val="20"/>
              </w:rPr>
              <w:t>Medical Practitioners</w:t>
            </w:r>
          </w:p>
        </w:tc>
      </w:tr>
      <w:tr w:rsidR="00B063F1" w:rsidRPr="00F9348B" w14:paraId="34C37EEC"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vMerge/>
          </w:tcPr>
          <w:p w14:paraId="2F3CB21E" w14:textId="77777777" w:rsidR="00B063F1" w:rsidRPr="00F9348B" w:rsidRDefault="00B063F1" w:rsidP="00B063F1">
            <w:pPr>
              <w:pStyle w:val="COMTabletext"/>
              <w:keepLines/>
              <w:rPr>
                <w:b/>
                <w:szCs w:val="20"/>
              </w:rPr>
            </w:pPr>
          </w:p>
        </w:tc>
        <w:tc>
          <w:tcPr>
            <w:tcW w:w="4266" w:type="pct"/>
            <w:gridSpan w:val="6"/>
          </w:tcPr>
          <w:p w14:paraId="4689EFDB" w14:textId="77777777" w:rsidR="00B063F1" w:rsidRPr="00F9348B" w:rsidRDefault="00B063F1" w:rsidP="00B063F1">
            <w:pPr>
              <w:pStyle w:val="COMTabletext"/>
              <w:keepLines/>
              <w:rPr>
                <w:rFonts w:eastAsia="Times New Roman"/>
                <w:szCs w:val="20"/>
              </w:rPr>
            </w:pPr>
            <w:r w:rsidRPr="00F9348B">
              <w:rPr>
                <w:b/>
                <w:szCs w:val="20"/>
              </w:rPr>
              <w:t xml:space="preserve">Restriction type: </w:t>
            </w:r>
            <w:r w:rsidRPr="00F9348B">
              <w:rPr>
                <w:rFonts w:eastAsia="Times New Roman"/>
                <w:szCs w:val="20"/>
              </w:rPr>
              <w:fldChar w:fldCharType="begin" w:fldLock="1">
                <w:ffData>
                  <w:name w:val="Check3"/>
                  <w:enabled/>
                  <w:calcOnExit w:val="0"/>
                  <w:checkBox>
                    <w:sizeAuto/>
                    <w:default w:val="1"/>
                  </w:checkBox>
                </w:ffData>
              </w:fldChar>
            </w:r>
            <w:r w:rsidRPr="00F9348B">
              <w:rPr>
                <w:rFonts w:eastAsia="Times New Roman"/>
                <w:szCs w:val="20"/>
              </w:rPr>
              <w:instrText xml:space="preserve"> FORMCHECKBOX </w:instrText>
            </w:r>
            <w:r w:rsidR="00D16346">
              <w:rPr>
                <w:rFonts w:eastAsia="Times New Roman"/>
                <w:szCs w:val="20"/>
              </w:rPr>
            </w:r>
            <w:r w:rsidR="00D16346">
              <w:rPr>
                <w:rFonts w:eastAsia="Times New Roman"/>
                <w:szCs w:val="20"/>
              </w:rPr>
              <w:fldChar w:fldCharType="separate"/>
            </w:r>
            <w:r w:rsidRPr="00F9348B">
              <w:rPr>
                <w:rFonts w:eastAsia="Times New Roman"/>
                <w:szCs w:val="20"/>
              </w:rPr>
              <w:fldChar w:fldCharType="end"/>
            </w:r>
            <w:r w:rsidRPr="00F9348B">
              <w:rPr>
                <w:rFonts w:eastAsia="Times New Roman"/>
                <w:szCs w:val="20"/>
              </w:rPr>
              <w:t xml:space="preserve"> </w:t>
            </w:r>
            <w:r w:rsidRPr="00F9348B">
              <w:t>Authority Required – Telephone, Electronic</w:t>
            </w:r>
          </w:p>
        </w:tc>
      </w:tr>
      <w:tr w:rsidR="00B063F1" w:rsidRPr="00F9348B" w14:paraId="114AB5C8" w14:textId="77777777" w:rsidTr="00B063F1">
        <w:tblPrEx>
          <w:tblCellMar>
            <w:top w:w="15" w:type="dxa"/>
            <w:bottom w:w="15" w:type="dxa"/>
          </w:tblCellMar>
          <w:tblLook w:val="04A0" w:firstRow="1" w:lastRow="0" w:firstColumn="1" w:lastColumn="0" w:noHBand="0" w:noVBand="1"/>
        </w:tblPrEx>
        <w:trPr>
          <w:cantSplit/>
          <w:trHeight w:val="20"/>
        </w:trPr>
        <w:tc>
          <w:tcPr>
            <w:tcW w:w="294" w:type="pct"/>
            <w:vMerge w:val="restart"/>
            <w:textDirection w:val="btLr"/>
          </w:tcPr>
          <w:p w14:paraId="4AE8FFD2" w14:textId="77777777" w:rsidR="00B063F1" w:rsidRPr="00F9348B" w:rsidRDefault="00B063F1" w:rsidP="00B063F1">
            <w:pPr>
              <w:pStyle w:val="COMTabletext"/>
              <w:keepLines/>
              <w:ind w:left="113" w:right="113"/>
              <w:rPr>
                <w:b/>
                <w:szCs w:val="20"/>
              </w:rPr>
            </w:pPr>
            <w:r w:rsidRPr="00F9348B">
              <w:t>Prescribing rule level</w:t>
            </w:r>
          </w:p>
          <w:p w14:paraId="67AAFE31" w14:textId="77777777" w:rsidR="00B063F1" w:rsidRPr="00F9348B" w:rsidRDefault="00B063F1" w:rsidP="00B063F1">
            <w:pPr>
              <w:pStyle w:val="COMTabletext"/>
              <w:keepLines/>
              <w:ind w:left="113" w:right="113"/>
              <w:rPr>
                <w:b/>
                <w:szCs w:val="20"/>
              </w:rPr>
            </w:pPr>
          </w:p>
        </w:tc>
        <w:tc>
          <w:tcPr>
            <w:tcW w:w="440" w:type="pct"/>
          </w:tcPr>
          <w:p w14:paraId="25E69503" w14:textId="77777777" w:rsidR="00B063F1" w:rsidRPr="00F9348B" w:rsidRDefault="00B063F1" w:rsidP="00B063F1">
            <w:pPr>
              <w:pStyle w:val="COMTabletext"/>
              <w:keepLines/>
              <w:rPr>
                <w:b/>
                <w:szCs w:val="20"/>
              </w:rPr>
            </w:pPr>
          </w:p>
        </w:tc>
        <w:tc>
          <w:tcPr>
            <w:tcW w:w="4266" w:type="pct"/>
            <w:gridSpan w:val="6"/>
          </w:tcPr>
          <w:p w14:paraId="19EF6D8F" w14:textId="77777777" w:rsidR="00B063F1" w:rsidRPr="00F9348B" w:rsidRDefault="00B063F1" w:rsidP="00B063F1">
            <w:pPr>
              <w:pStyle w:val="COMTabletext"/>
              <w:keepLines/>
              <w:rPr>
                <w:b/>
                <w:szCs w:val="20"/>
              </w:rPr>
            </w:pPr>
            <w:r w:rsidRPr="00F9348B">
              <w:rPr>
                <w:b/>
                <w:bCs w:val="0"/>
              </w:rPr>
              <w:t>Administrative advice:</w:t>
            </w:r>
            <w:r w:rsidRPr="00F9348B">
              <w:t xml:space="preserve"> No increase in the maximum quantity or number of units may be authorised.</w:t>
            </w:r>
          </w:p>
        </w:tc>
      </w:tr>
      <w:tr w:rsidR="00B063F1" w:rsidRPr="00F9348B" w14:paraId="708713AD" w14:textId="77777777" w:rsidTr="00B063F1">
        <w:tblPrEx>
          <w:tblCellMar>
            <w:top w:w="15" w:type="dxa"/>
            <w:bottom w:w="15" w:type="dxa"/>
          </w:tblCellMar>
          <w:tblLook w:val="04A0" w:firstRow="1" w:lastRow="0" w:firstColumn="1" w:lastColumn="0" w:noHBand="0" w:noVBand="1"/>
        </w:tblPrEx>
        <w:trPr>
          <w:cantSplit/>
          <w:trHeight w:val="20"/>
        </w:trPr>
        <w:tc>
          <w:tcPr>
            <w:tcW w:w="294" w:type="pct"/>
            <w:vMerge/>
          </w:tcPr>
          <w:p w14:paraId="7A2C8149" w14:textId="77777777" w:rsidR="00B063F1" w:rsidRPr="00F9348B" w:rsidRDefault="00B063F1" w:rsidP="00B063F1">
            <w:pPr>
              <w:pStyle w:val="COMTabletext"/>
              <w:keepLines/>
              <w:rPr>
                <w:b/>
                <w:szCs w:val="20"/>
              </w:rPr>
            </w:pPr>
          </w:p>
        </w:tc>
        <w:tc>
          <w:tcPr>
            <w:tcW w:w="440" w:type="pct"/>
          </w:tcPr>
          <w:p w14:paraId="1868C03D" w14:textId="77777777" w:rsidR="00B063F1" w:rsidRPr="00F9348B" w:rsidRDefault="00B063F1" w:rsidP="00B063F1">
            <w:pPr>
              <w:pStyle w:val="COMTabletext"/>
              <w:keepLines/>
              <w:rPr>
                <w:b/>
                <w:szCs w:val="20"/>
              </w:rPr>
            </w:pPr>
          </w:p>
        </w:tc>
        <w:tc>
          <w:tcPr>
            <w:tcW w:w="4266" w:type="pct"/>
            <w:gridSpan w:val="6"/>
          </w:tcPr>
          <w:p w14:paraId="05A39B3D" w14:textId="77777777" w:rsidR="00B063F1" w:rsidRPr="00F9348B" w:rsidRDefault="00B063F1" w:rsidP="00B063F1">
            <w:pPr>
              <w:pStyle w:val="COMTabletext"/>
              <w:keepLines/>
              <w:rPr>
                <w:b/>
                <w:szCs w:val="20"/>
              </w:rPr>
            </w:pPr>
            <w:r w:rsidRPr="00F9348B">
              <w:rPr>
                <w:b/>
                <w:bCs w:val="0"/>
              </w:rPr>
              <w:t>Administrative advice:</w:t>
            </w:r>
            <w:r w:rsidRPr="00F9348B">
              <w:t xml:space="preserve"> No increase in the maximum number of repeats may be authorised.</w:t>
            </w:r>
          </w:p>
        </w:tc>
      </w:tr>
      <w:tr w:rsidR="00B063F1" w:rsidRPr="00F9348B" w14:paraId="2E68004F" w14:textId="77777777" w:rsidTr="00B063F1">
        <w:tblPrEx>
          <w:tblCellMar>
            <w:top w:w="15" w:type="dxa"/>
            <w:bottom w:w="15" w:type="dxa"/>
          </w:tblCellMar>
          <w:tblLook w:val="04A0" w:firstRow="1" w:lastRow="0" w:firstColumn="1" w:lastColumn="0" w:noHBand="0" w:noVBand="1"/>
        </w:tblPrEx>
        <w:trPr>
          <w:cantSplit/>
          <w:trHeight w:val="20"/>
        </w:trPr>
        <w:tc>
          <w:tcPr>
            <w:tcW w:w="294" w:type="pct"/>
            <w:vMerge/>
          </w:tcPr>
          <w:p w14:paraId="090ACD9C" w14:textId="77777777" w:rsidR="00B063F1" w:rsidRPr="00F9348B" w:rsidRDefault="00B063F1" w:rsidP="00B063F1">
            <w:pPr>
              <w:pStyle w:val="COMTabletext"/>
              <w:keepLines/>
              <w:rPr>
                <w:b/>
                <w:szCs w:val="20"/>
              </w:rPr>
            </w:pPr>
          </w:p>
        </w:tc>
        <w:tc>
          <w:tcPr>
            <w:tcW w:w="440" w:type="pct"/>
          </w:tcPr>
          <w:p w14:paraId="7E7E9397" w14:textId="77777777" w:rsidR="00B063F1" w:rsidRPr="00F9348B" w:rsidRDefault="00B063F1" w:rsidP="00B063F1">
            <w:pPr>
              <w:pStyle w:val="COMTabletext"/>
              <w:keepLines/>
              <w:rPr>
                <w:b/>
                <w:szCs w:val="20"/>
              </w:rPr>
            </w:pPr>
          </w:p>
        </w:tc>
        <w:tc>
          <w:tcPr>
            <w:tcW w:w="4266" w:type="pct"/>
            <w:gridSpan w:val="6"/>
          </w:tcPr>
          <w:p w14:paraId="58F0F15A" w14:textId="77777777" w:rsidR="00B063F1" w:rsidRPr="00F9348B" w:rsidRDefault="00B063F1" w:rsidP="00B063F1">
            <w:pPr>
              <w:pStyle w:val="COMTabletext"/>
              <w:keepLines/>
              <w:rPr>
                <w:b/>
                <w:szCs w:val="20"/>
              </w:rPr>
            </w:pPr>
            <w:r w:rsidRPr="00F9348B">
              <w:rPr>
                <w:b/>
                <w:bCs w:val="0"/>
              </w:rPr>
              <w:t>Administrative advice:</w:t>
            </w:r>
            <w:r w:rsidRPr="00F9348B">
              <w:t xml:space="preserve"> Special Pricing Arrangements apply.</w:t>
            </w:r>
          </w:p>
        </w:tc>
      </w:tr>
      <w:tr w:rsidR="00B063F1" w:rsidRPr="00F9348B" w14:paraId="4E943E3D" w14:textId="77777777" w:rsidTr="00B063F1">
        <w:tblPrEx>
          <w:tblCellMar>
            <w:top w:w="15" w:type="dxa"/>
            <w:bottom w:w="15" w:type="dxa"/>
          </w:tblCellMar>
          <w:tblLook w:val="04A0" w:firstRow="1" w:lastRow="0" w:firstColumn="1" w:lastColumn="0" w:noHBand="0" w:noVBand="1"/>
        </w:tblPrEx>
        <w:trPr>
          <w:cantSplit/>
          <w:trHeight w:val="20"/>
        </w:trPr>
        <w:tc>
          <w:tcPr>
            <w:tcW w:w="294" w:type="pct"/>
            <w:vMerge/>
          </w:tcPr>
          <w:p w14:paraId="66E09EC7" w14:textId="77777777" w:rsidR="00B063F1" w:rsidRPr="00F9348B" w:rsidRDefault="00B063F1" w:rsidP="00B063F1">
            <w:pPr>
              <w:pStyle w:val="COMTabletext"/>
              <w:keepLines/>
              <w:rPr>
                <w:b/>
                <w:szCs w:val="20"/>
              </w:rPr>
            </w:pPr>
          </w:p>
        </w:tc>
        <w:tc>
          <w:tcPr>
            <w:tcW w:w="440" w:type="pct"/>
          </w:tcPr>
          <w:p w14:paraId="52382E74" w14:textId="77777777" w:rsidR="00B063F1" w:rsidRPr="00F9348B" w:rsidRDefault="00B063F1" w:rsidP="00B063F1">
            <w:pPr>
              <w:pStyle w:val="COMTabletext"/>
              <w:keepLines/>
            </w:pPr>
          </w:p>
        </w:tc>
        <w:tc>
          <w:tcPr>
            <w:tcW w:w="4266" w:type="pct"/>
            <w:gridSpan w:val="6"/>
          </w:tcPr>
          <w:p w14:paraId="505B0323" w14:textId="77777777" w:rsidR="00B063F1" w:rsidRPr="00F9348B" w:rsidRDefault="00B063F1" w:rsidP="00B063F1">
            <w:pPr>
              <w:pStyle w:val="COMTabletext"/>
              <w:keepLines/>
              <w:rPr>
                <w:b/>
                <w:bCs w:val="0"/>
              </w:rPr>
            </w:pPr>
            <w:r w:rsidRPr="00F9348B">
              <w:rPr>
                <w:b/>
                <w:bCs w:val="0"/>
              </w:rPr>
              <w:t>Administrative advice:</w:t>
            </w:r>
            <w:r w:rsidRPr="00F9348B">
              <w:t xml:space="preserve"> Applications for authorisation under this restriction may be made in real time using the Online PBS Authorities system (see www.servicesaustralia.gov.au/HPOS) or by telephone by contacting Services Australia on 1800 888 333 (hours of operation 8 a.m. to 5 p.m. Monday to Friday).</w:t>
            </w:r>
          </w:p>
        </w:tc>
      </w:tr>
      <w:tr w:rsidR="00B063F1" w:rsidRPr="00F9348B" w14:paraId="04B0811F"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vMerge w:val="restart"/>
          </w:tcPr>
          <w:p w14:paraId="282492E9" w14:textId="77777777" w:rsidR="00B063F1" w:rsidRPr="00F9348B" w:rsidRDefault="00B063F1" w:rsidP="00B063F1">
            <w:pPr>
              <w:pStyle w:val="COMTabletext"/>
              <w:keepLines/>
              <w:rPr>
                <w:b/>
                <w:szCs w:val="20"/>
              </w:rPr>
            </w:pPr>
          </w:p>
        </w:tc>
        <w:tc>
          <w:tcPr>
            <w:tcW w:w="4266" w:type="pct"/>
            <w:gridSpan w:val="6"/>
          </w:tcPr>
          <w:p w14:paraId="1E24CBF0" w14:textId="77777777" w:rsidR="00B063F1" w:rsidRPr="00F9348B" w:rsidRDefault="00B063F1" w:rsidP="00B063F1">
            <w:pPr>
              <w:rPr>
                <w:rFonts w:ascii="Arial Narrow" w:hAnsi="Arial Narrow" w:cs="Times New Roman"/>
                <w:b/>
                <w:bCs/>
                <w:sz w:val="18"/>
                <w:szCs w:val="18"/>
              </w:rPr>
            </w:pPr>
            <w:r w:rsidRPr="00F9348B">
              <w:rPr>
                <w:rFonts w:ascii="Arial Narrow" w:hAnsi="Arial Narrow" w:cs="Times New Roman"/>
                <w:b/>
                <w:bCs/>
                <w:sz w:val="18"/>
                <w:szCs w:val="18"/>
              </w:rPr>
              <w:t xml:space="preserve">Episodicity: </w:t>
            </w:r>
          </w:p>
        </w:tc>
      </w:tr>
      <w:tr w:rsidR="00B063F1" w:rsidRPr="00F9348B" w14:paraId="57982B63"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vMerge/>
          </w:tcPr>
          <w:p w14:paraId="025627F4" w14:textId="77777777" w:rsidR="00B063F1" w:rsidRPr="00F9348B" w:rsidRDefault="00B063F1" w:rsidP="00B063F1">
            <w:pPr>
              <w:pStyle w:val="COMTabletext"/>
              <w:keepLines/>
              <w:rPr>
                <w:b/>
                <w:szCs w:val="20"/>
              </w:rPr>
            </w:pPr>
          </w:p>
        </w:tc>
        <w:tc>
          <w:tcPr>
            <w:tcW w:w="4266" w:type="pct"/>
            <w:gridSpan w:val="6"/>
          </w:tcPr>
          <w:p w14:paraId="3E477D21" w14:textId="77777777" w:rsidR="00B063F1" w:rsidRPr="00F9348B" w:rsidRDefault="00B063F1" w:rsidP="00B063F1">
            <w:pPr>
              <w:rPr>
                <w:rFonts w:ascii="Arial Narrow" w:hAnsi="Arial Narrow" w:cs="Times New Roman"/>
                <w:b/>
                <w:bCs/>
                <w:sz w:val="18"/>
                <w:szCs w:val="18"/>
              </w:rPr>
            </w:pPr>
            <w:r w:rsidRPr="00F9348B">
              <w:rPr>
                <w:rFonts w:ascii="Arial Narrow" w:hAnsi="Arial Narrow" w:cs="Times New Roman"/>
                <w:b/>
                <w:bCs/>
                <w:sz w:val="18"/>
                <w:szCs w:val="18"/>
              </w:rPr>
              <w:t xml:space="preserve">Severity: </w:t>
            </w:r>
            <w:r w:rsidRPr="00F9348B">
              <w:rPr>
                <w:rFonts w:ascii="Arial Narrow" w:hAnsi="Arial Narrow" w:cs="Times New Roman"/>
                <w:b/>
                <w:bCs/>
                <w:i/>
                <w:iCs/>
                <w:sz w:val="18"/>
                <w:szCs w:val="18"/>
              </w:rPr>
              <w:t xml:space="preserve">Severe </w:t>
            </w:r>
          </w:p>
        </w:tc>
      </w:tr>
      <w:tr w:rsidR="00B063F1" w:rsidRPr="00F9348B" w14:paraId="0F0966A1"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vMerge/>
          </w:tcPr>
          <w:p w14:paraId="03C561FD" w14:textId="77777777" w:rsidR="00B063F1" w:rsidRPr="00F9348B" w:rsidRDefault="00B063F1" w:rsidP="00B063F1">
            <w:pPr>
              <w:pStyle w:val="COMTabletext"/>
              <w:keepLines/>
              <w:rPr>
                <w:b/>
                <w:szCs w:val="20"/>
              </w:rPr>
            </w:pPr>
          </w:p>
        </w:tc>
        <w:tc>
          <w:tcPr>
            <w:tcW w:w="4266" w:type="pct"/>
            <w:gridSpan w:val="6"/>
          </w:tcPr>
          <w:p w14:paraId="464CE566" w14:textId="77777777" w:rsidR="00B063F1" w:rsidRPr="00F9348B" w:rsidRDefault="00B063F1" w:rsidP="00B063F1">
            <w:pPr>
              <w:rPr>
                <w:rFonts w:ascii="Arial Narrow" w:hAnsi="Arial Narrow" w:cs="Times New Roman"/>
                <w:b/>
                <w:bCs/>
                <w:sz w:val="18"/>
                <w:szCs w:val="18"/>
              </w:rPr>
            </w:pPr>
            <w:r w:rsidRPr="00F9348B">
              <w:rPr>
                <w:rFonts w:ascii="Arial Narrow" w:hAnsi="Arial Narrow" w:cs="Times New Roman"/>
                <w:b/>
                <w:bCs/>
                <w:sz w:val="18"/>
                <w:szCs w:val="18"/>
              </w:rPr>
              <w:t xml:space="preserve">Condition: </w:t>
            </w:r>
            <w:r w:rsidRPr="00F9348B">
              <w:rPr>
                <w:rFonts w:ascii="Arial Narrow" w:hAnsi="Arial Narrow" w:cs="Times New Roman"/>
                <w:b/>
                <w:bCs/>
                <w:i/>
                <w:iCs/>
                <w:sz w:val="18"/>
                <w:szCs w:val="18"/>
              </w:rPr>
              <w:t xml:space="preserve">Established </w:t>
            </w:r>
            <w:r w:rsidRPr="00F9348B">
              <w:rPr>
                <w:rFonts w:ascii="Arial Narrow" w:hAnsi="Arial Narrow" w:cs="Times New Roman"/>
                <w:b/>
                <w:bCs/>
                <w:sz w:val="18"/>
                <w:szCs w:val="18"/>
              </w:rPr>
              <w:t>osteoporosis</w:t>
            </w:r>
          </w:p>
        </w:tc>
      </w:tr>
      <w:tr w:rsidR="00B063F1" w:rsidRPr="00F9348B" w14:paraId="052C19D8"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76B2E987" w14:textId="77777777" w:rsidR="00B063F1" w:rsidRPr="00F9348B" w:rsidRDefault="00B063F1" w:rsidP="00B063F1">
            <w:pPr>
              <w:pStyle w:val="COMTabletext"/>
              <w:keepLines/>
              <w:rPr>
                <w:bCs w:val="0"/>
                <w:szCs w:val="20"/>
              </w:rPr>
            </w:pPr>
          </w:p>
        </w:tc>
        <w:tc>
          <w:tcPr>
            <w:tcW w:w="4266" w:type="pct"/>
            <w:gridSpan w:val="6"/>
            <w:vAlign w:val="center"/>
            <w:hideMark/>
          </w:tcPr>
          <w:p w14:paraId="48B5E557" w14:textId="77777777" w:rsidR="00B063F1" w:rsidRPr="00F9348B" w:rsidRDefault="00B063F1" w:rsidP="00B063F1">
            <w:pPr>
              <w:pStyle w:val="COMTabletext"/>
              <w:keepLines/>
              <w:rPr>
                <w:szCs w:val="20"/>
              </w:rPr>
            </w:pPr>
            <w:r w:rsidRPr="00F9348B">
              <w:rPr>
                <w:b/>
                <w:szCs w:val="20"/>
              </w:rPr>
              <w:t>Indication:</w:t>
            </w:r>
            <w:r w:rsidRPr="00F9348B">
              <w:rPr>
                <w:szCs w:val="20"/>
              </w:rPr>
              <w:t xml:space="preserve"> Severe established osteoporosis</w:t>
            </w:r>
          </w:p>
        </w:tc>
      </w:tr>
      <w:tr w:rsidR="00B063F1" w:rsidRPr="00F9348B" w14:paraId="7F6F406C"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07E821C7" w14:textId="77777777" w:rsidR="00B063F1" w:rsidRPr="00F9348B" w:rsidRDefault="00B063F1" w:rsidP="00B063F1">
            <w:pPr>
              <w:pStyle w:val="COMTabletext"/>
              <w:keepLines/>
              <w:rPr>
                <w:bCs w:val="0"/>
                <w:szCs w:val="20"/>
              </w:rPr>
            </w:pPr>
          </w:p>
        </w:tc>
        <w:tc>
          <w:tcPr>
            <w:tcW w:w="4266" w:type="pct"/>
            <w:gridSpan w:val="6"/>
            <w:vAlign w:val="center"/>
          </w:tcPr>
          <w:p w14:paraId="6F648C82" w14:textId="77777777" w:rsidR="00B063F1" w:rsidRPr="00F9348B" w:rsidRDefault="00B063F1" w:rsidP="00B063F1">
            <w:pPr>
              <w:pStyle w:val="COMTabletext"/>
              <w:keepLines/>
              <w:rPr>
                <w:b/>
                <w:szCs w:val="20"/>
              </w:rPr>
            </w:pPr>
            <w:r w:rsidRPr="00F9348B">
              <w:rPr>
                <w:b/>
                <w:szCs w:val="20"/>
              </w:rPr>
              <w:t xml:space="preserve">Treatment Phase: </w:t>
            </w:r>
            <w:r w:rsidRPr="00F9348B">
              <w:rPr>
                <w:bCs w:val="0"/>
                <w:szCs w:val="20"/>
              </w:rPr>
              <w:t>Initial treatment</w:t>
            </w:r>
            <w:r w:rsidRPr="00F9348B">
              <w:rPr>
                <w:rFonts w:eastAsia="Times New Roman"/>
                <w:sz w:val="18"/>
                <w:szCs w:val="18"/>
              </w:rPr>
              <w:t xml:space="preserve">  </w:t>
            </w:r>
          </w:p>
        </w:tc>
      </w:tr>
      <w:tr w:rsidR="00B063F1" w:rsidRPr="00F9348B" w14:paraId="12D0925F"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6A077055" w14:textId="77777777" w:rsidR="00B063F1" w:rsidRPr="00F9348B" w:rsidRDefault="00B063F1" w:rsidP="00B063F1">
            <w:pPr>
              <w:pStyle w:val="COMTabletext"/>
              <w:keepLines/>
              <w:rPr>
                <w:bCs w:val="0"/>
                <w:szCs w:val="20"/>
              </w:rPr>
            </w:pPr>
          </w:p>
        </w:tc>
        <w:tc>
          <w:tcPr>
            <w:tcW w:w="4266" w:type="pct"/>
            <w:gridSpan w:val="6"/>
            <w:vAlign w:val="center"/>
          </w:tcPr>
          <w:p w14:paraId="3A6D6BE2" w14:textId="77777777" w:rsidR="00B063F1" w:rsidRPr="00F9348B" w:rsidRDefault="00B063F1" w:rsidP="00B063F1">
            <w:pPr>
              <w:pStyle w:val="COMTabletext"/>
              <w:keepLines/>
              <w:rPr>
                <w:b/>
                <w:szCs w:val="20"/>
              </w:rPr>
            </w:pPr>
            <w:r w:rsidRPr="00F9348B">
              <w:rPr>
                <w:b/>
                <w:szCs w:val="20"/>
              </w:rPr>
              <w:t>Clinical criteria:</w:t>
            </w:r>
          </w:p>
        </w:tc>
      </w:tr>
      <w:tr w:rsidR="00B063F1" w:rsidRPr="00F9348B" w14:paraId="15A059F1"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668C151C" w14:textId="77777777" w:rsidR="00B063F1" w:rsidRPr="00F9348B" w:rsidRDefault="00B063F1" w:rsidP="00B063F1">
            <w:pPr>
              <w:pStyle w:val="COMTabletext"/>
              <w:keepLines/>
              <w:rPr>
                <w:bCs w:val="0"/>
                <w:szCs w:val="20"/>
              </w:rPr>
            </w:pPr>
          </w:p>
        </w:tc>
        <w:tc>
          <w:tcPr>
            <w:tcW w:w="4266" w:type="pct"/>
            <w:gridSpan w:val="6"/>
            <w:vAlign w:val="center"/>
          </w:tcPr>
          <w:p w14:paraId="2712C1C5" w14:textId="77777777" w:rsidR="00B063F1" w:rsidRPr="00F9348B" w:rsidRDefault="00B063F1" w:rsidP="00B063F1">
            <w:pPr>
              <w:pStyle w:val="NormalWeb"/>
              <w:spacing w:before="0" w:beforeAutospacing="0" w:after="0" w:afterAutospacing="0"/>
              <w:rPr>
                <w:rFonts w:ascii="Segoe UI" w:hAnsi="Segoe UI" w:cs="Segoe UI"/>
              </w:rPr>
            </w:pPr>
            <w:r w:rsidRPr="00F9348B">
              <w:rPr>
                <w:rFonts w:ascii="Arial Narrow" w:eastAsiaTheme="majorEastAsia" w:hAnsi="Arial Narrow" w:cstheme="majorBidi"/>
                <w:bCs/>
                <w:sz w:val="20"/>
                <w:szCs w:val="20"/>
              </w:rPr>
              <w:t>Patient must not have received PBS-subsidised treatment with any of: (i) anti-resorptive therapy, (ii) teriparatide, (iii) romosozumab;</w:t>
            </w:r>
            <w:r w:rsidRPr="00F9348B">
              <w:rPr>
                <w:szCs w:val="20"/>
              </w:rPr>
              <w:t xml:space="preserve"> </w:t>
            </w:r>
          </w:p>
        </w:tc>
      </w:tr>
      <w:tr w:rsidR="00B063F1" w:rsidRPr="00F9348B" w14:paraId="2018CC5C"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43A72EF1" w14:textId="77777777" w:rsidR="00B063F1" w:rsidRPr="00F9348B" w:rsidRDefault="00B063F1" w:rsidP="00B063F1">
            <w:pPr>
              <w:pStyle w:val="COMTabletext"/>
              <w:keepLines/>
              <w:rPr>
                <w:bCs w:val="0"/>
                <w:szCs w:val="20"/>
              </w:rPr>
            </w:pPr>
          </w:p>
        </w:tc>
        <w:tc>
          <w:tcPr>
            <w:tcW w:w="4266" w:type="pct"/>
            <w:gridSpan w:val="6"/>
            <w:vAlign w:val="center"/>
          </w:tcPr>
          <w:p w14:paraId="7FC0BCD2" w14:textId="77777777" w:rsidR="00B063F1" w:rsidRPr="00F9348B" w:rsidRDefault="00B063F1" w:rsidP="00B063F1">
            <w:pPr>
              <w:pStyle w:val="COMTabletext"/>
              <w:keepLines/>
              <w:rPr>
                <w:bCs w:val="0"/>
                <w:szCs w:val="20"/>
              </w:rPr>
            </w:pPr>
            <w:r w:rsidRPr="00F9348B">
              <w:rPr>
                <w:b/>
                <w:szCs w:val="20"/>
              </w:rPr>
              <w:t>AND</w:t>
            </w:r>
          </w:p>
        </w:tc>
      </w:tr>
      <w:tr w:rsidR="00B063F1" w:rsidRPr="00F9348B" w14:paraId="06526781"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7264B9DD" w14:textId="77777777" w:rsidR="00B063F1" w:rsidRPr="00F9348B" w:rsidRDefault="00B063F1" w:rsidP="00B063F1">
            <w:pPr>
              <w:pStyle w:val="COMTabletext"/>
              <w:keepLines/>
              <w:rPr>
                <w:bCs w:val="0"/>
                <w:szCs w:val="20"/>
              </w:rPr>
            </w:pPr>
          </w:p>
        </w:tc>
        <w:tc>
          <w:tcPr>
            <w:tcW w:w="4266" w:type="pct"/>
            <w:gridSpan w:val="6"/>
            <w:vAlign w:val="center"/>
            <w:hideMark/>
          </w:tcPr>
          <w:p w14:paraId="1D3B4853" w14:textId="77777777" w:rsidR="00B063F1" w:rsidRPr="00F9348B" w:rsidRDefault="00B063F1" w:rsidP="00B063F1">
            <w:pPr>
              <w:pStyle w:val="COMTabletext"/>
              <w:keepLines/>
              <w:rPr>
                <w:szCs w:val="20"/>
              </w:rPr>
            </w:pPr>
            <w:r w:rsidRPr="00F9348B">
              <w:rPr>
                <w:b/>
                <w:szCs w:val="20"/>
              </w:rPr>
              <w:t>Clinical criteria:</w:t>
            </w:r>
          </w:p>
        </w:tc>
      </w:tr>
      <w:tr w:rsidR="00B063F1" w:rsidRPr="00F9348B" w14:paraId="6D76092C"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2259810E" w14:textId="77777777" w:rsidR="00B063F1" w:rsidRPr="00F9348B" w:rsidRDefault="00B063F1" w:rsidP="00B063F1">
            <w:pPr>
              <w:pStyle w:val="COMTabletext"/>
              <w:keepLines/>
              <w:rPr>
                <w:bCs w:val="0"/>
                <w:szCs w:val="20"/>
              </w:rPr>
            </w:pPr>
          </w:p>
        </w:tc>
        <w:tc>
          <w:tcPr>
            <w:tcW w:w="4266" w:type="pct"/>
            <w:gridSpan w:val="6"/>
            <w:vAlign w:val="center"/>
            <w:hideMark/>
          </w:tcPr>
          <w:p w14:paraId="5EB8AA9C" w14:textId="77777777" w:rsidR="00B063F1" w:rsidRPr="00F9348B" w:rsidRDefault="00B063F1" w:rsidP="00B063F1">
            <w:pPr>
              <w:pStyle w:val="COMTabletext"/>
              <w:keepLines/>
              <w:rPr>
                <w:szCs w:val="20"/>
              </w:rPr>
            </w:pPr>
            <w:r w:rsidRPr="00F9348B">
              <w:rPr>
                <w:szCs w:val="20"/>
              </w:rPr>
              <w:t>Patient must be at a very high risk of fracture;</w:t>
            </w:r>
          </w:p>
        </w:tc>
      </w:tr>
      <w:tr w:rsidR="00B063F1" w:rsidRPr="00F9348B" w14:paraId="181E544D"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644AC967" w14:textId="77777777" w:rsidR="00B063F1" w:rsidRPr="00F9348B" w:rsidRDefault="00B063F1" w:rsidP="00B063F1">
            <w:pPr>
              <w:pStyle w:val="COMTabletext"/>
              <w:keepLines/>
              <w:rPr>
                <w:bCs w:val="0"/>
                <w:szCs w:val="20"/>
              </w:rPr>
            </w:pPr>
          </w:p>
        </w:tc>
        <w:tc>
          <w:tcPr>
            <w:tcW w:w="4266" w:type="pct"/>
            <w:gridSpan w:val="6"/>
            <w:vAlign w:val="center"/>
            <w:hideMark/>
          </w:tcPr>
          <w:p w14:paraId="241D6E54" w14:textId="77777777" w:rsidR="00B063F1" w:rsidRPr="00F9348B" w:rsidRDefault="00B063F1" w:rsidP="00B063F1">
            <w:pPr>
              <w:pStyle w:val="COMTabletext"/>
              <w:keepLines/>
              <w:rPr>
                <w:szCs w:val="20"/>
              </w:rPr>
            </w:pPr>
            <w:r w:rsidRPr="00F9348B">
              <w:rPr>
                <w:b/>
                <w:szCs w:val="20"/>
              </w:rPr>
              <w:t>AND</w:t>
            </w:r>
          </w:p>
        </w:tc>
      </w:tr>
      <w:tr w:rsidR="00B063F1" w:rsidRPr="00F9348B" w14:paraId="14E5D284"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5E94C1E5" w14:textId="77777777" w:rsidR="00B063F1" w:rsidRPr="00F9348B" w:rsidRDefault="00B063F1" w:rsidP="00B063F1">
            <w:pPr>
              <w:pStyle w:val="COMTabletext"/>
              <w:keepLines/>
              <w:rPr>
                <w:bCs w:val="0"/>
                <w:szCs w:val="20"/>
              </w:rPr>
            </w:pPr>
          </w:p>
        </w:tc>
        <w:tc>
          <w:tcPr>
            <w:tcW w:w="4266" w:type="pct"/>
            <w:gridSpan w:val="6"/>
            <w:vAlign w:val="center"/>
            <w:hideMark/>
          </w:tcPr>
          <w:p w14:paraId="0BDF69AD" w14:textId="77777777" w:rsidR="00B063F1" w:rsidRPr="00F9348B" w:rsidRDefault="00B063F1" w:rsidP="00B063F1">
            <w:pPr>
              <w:pStyle w:val="COMTabletext"/>
              <w:keepLines/>
              <w:rPr>
                <w:szCs w:val="20"/>
              </w:rPr>
            </w:pPr>
            <w:r w:rsidRPr="00F9348B">
              <w:rPr>
                <w:b/>
                <w:szCs w:val="20"/>
              </w:rPr>
              <w:t>Clinical criteria:</w:t>
            </w:r>
          </w:p>
        </w:tc>
      </w:tr>
      <w:tr w:rsidR="00B063F1" w:rsidRPr="00F9348B" w14:paraId="0CB311E9"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4FC9BC10" w14:textId="77777777" w:rsidR="00B063F1" w:rsidRPr="00F9348B" w:rsidRDefault="00B063F1" w:rsidP="00B063F1">
            <w:pPr>
              <w:pStyle w:val="COMTabletext"/>
              <w:keepLines/>
              <w:rPr>
                <w:bCs w:val="0"/>
                <w:szCs w:val="20"/>
              </w:rPr>
            </w:pPr>
          </w:p>
        </w:tc>
        <w:tc>
          <w:tcPr>
            <w:tcW w:w="4266" w:type="pct"/>
            <w:gridSpan w:val="6"/>
            <w:vAlign w:val="center"/>
          </w:tcPr>
          <w:p w14:paraId="09408ECD" w14:textId="77777777" w:rsidR="00B063F1" w:rsidRPr="00F9348B" w:rsidRDefault="00B063F1" w:rsidP="00B063F1">
            <w:pPr>
              <w:pStyle w:val="COMTabletext"/>
              <w:keepLines/>
              <w:rPr>
                <w:bCs w:val="0"/>
                <w:szCs w:val="20"/>
              </w:rPr>
            </w:pPr>
            <w:r w:rsidRPr="00F9348B">
              <w:rPr>
                <w:bCs w:val="0"/>
                <w:szCs w:val="20"/>
              </w:rPr>
              <w:t>Patient must have a bone mineral density (BMD) T-score of -2.5 or less;</w:t>
            </w:r>
          </w:p>
        </w:tc>
      </w:tr>
      <w:tr w:rsidR="00B063F1" w:rsidRPr="00F9348B" w14:paraId="2CF9D889"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4CC2DD67" w14:textId="77777777" w:rsidR="00B063F1" w:rsidRPr="00F9348B" w:rsidRDefault="00B063F1" w:rsidP="00B063F1">
            <w:pPr>
              <w:pStyle w:val="COMTabletext"/>
              <w:keepLines/>
              <w:rPr>
                <w:bCs w:val="0"/>
                <w:szCs w:val="20"/>
              </w:rPr>
            </w:pPr>
          </w:p>
        </w:tc>
        <w:tc>
          <w:tcPr>
            <w:tcW w:w="4266" w:type="pct"/>
            <w:gridSpan w:val="6"/>
            <w:vAlign w:val="center"/>
          </w:tcPr>
          <w:p w14:paraId="6AB49660" w14:textId="77777777" w:rsidR="00B063F1" w:rsidRPr="00F9348B" w:rsidRDefault="00B063F1" w:rsidP="00B063F1">
            <w:pPr>
              <w:pStyle w:val="COMTabletext"/>
              <w:keepLines/>
              <w:rPr>
                <w:b/>
                <w:szCs w:val="20"/>
              </w:rPr>
            </w:pPr>
            <w:r w:rsidRPr="00F9348B">
              <w:rPr>
                <w:b/>
                <w:szCs w:val="20"/>
              </w:rPr>
              <w:t>AND</w:t>
            </w:r>
          </w:p>
        </w:tc>
      </w:tr>
      <w:tr w:rsidR="00B063F1" w:rsidRPr="00F9348B" w14:paraId="6A6689E0"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07F4DCAF" w14:textId="77777777" w:rsidR="00B063F1" w:rsidRPr="00F9348B" w:rsidRDefault="00B063F1" w:rsidP="00B063F1">
            <w:pPr>
              <w:pStyle w:val="COMTabletext"/>
              <w:keepLines/>
              <w:rPr>
                <w:bCs w:val="0"/>
                <w:szCs w:val="20"/>
              </w:rPr>
            </w:pPr>
          </w:p>
        </w:tc>
        <w:tc>
          <w:tcPr>
            <w:tcW w:w="4266" w:type="pct"/>
            <w:gridSpan w:val="6"/>
            <w:vAlign w:val="center"/>
            <w:hideMark/>
          </w:tcPr>
          <w:p w14:paraId="57C2E20A" w14:textId="77777777" w:rsidR="00B063F1" w:rsidRPr="00F9348B" w:rsidRDefault="00B063F1" w:rsidP="00B063F1">
            <w:pPr>
              <w:pStyle w:val="COMTabletext"/>
              <w:keepLines/>
              <w:rPr>
                <w:szCs w:val="20"/>
              </w:rPr>
            </w:pPr>
            <w:r w:rsidRPr="00F9348B">
              <w:rPr>
                <w:b/>
                <w:szCs w:val="20"/>
              </w:rPr>
              <w:t>Clinical criteria:</w:t>
            </w:r>
          </w:p>
        </w:tc>
      </w:tr>
      <w:tr w:rsidR="00B063F1" w:rsidRPr="00F9348B" w14:paraId="2740B198"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7AC433F5" w14:textId="77777777" w:rsidR="00B063F1" w:rsidRPr="00F9348B" w:rsidRDefault="00B063F1" w:rsidP="00B063F1">
            <w:pPr>
              <w:pStyle w:val="COMTabletext"/>
              <w:keepLines/>
              <w:rPr>
                <w:bCs w:val="0"/>
                <w:szCs w:val="20"/>
              </w:rPr>
            </w:pPr>
          </w:p>
        </w:tc>
        <w:tc>
          <w:tcPr>
            <w:tcW w:w="4266" w:type="pct"/>
            <w:gridSpan w:val="6"/>
            <w:vAlign w:val="center"/>
          </w:tcPr>
          <w:p w14:paraId="540A392F" w14:textId="77777777" w:rsidR="00B063F1" w:rsidRPr="00F9348B" w:rsidRDefault="00B063F1" w:rsidP="00B063F1">
            <w:pPr>
              <w:pStyle w:val="COMTabletext"/>
              <w:keepLines/>
              <w:rPr>
                <w:bCs w:val="0"/>
                <w:szCs w:val="20"/>
              </w:rPr>
            </w:pPr>
            <w:r w:rsidRPr="00F9348B">
              <w:rPr>
                <w:bCs w:val="0"/>
                <w:szCs w:val="20"/>
              </w:rPr>
              <w:t>Patient must have had a symptomatic fracture due to minimal trauma;</w:t>
            </w:r>
          </w:p>
        </w:tc>
      </w:tr>
      <w:tr w:rsidR="00B063F1" w:rsidRPr="00F9348B" w14:paraId="78C00D51"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77E9CECF" w14:textId="77777777" w:rsidR="00B063F1" w:rsidRPr="00F9348B" w:rsidRDefault="00B063F1" w:rsidP="00B063F1">
            <w:pPr>
              <w:pStyle w:val="COMTabletext"/>
              <w:keepLines/>
              <w:rPr>
                <w:bCs w:val="0"/>
                <w:szCs w:val="20"/>
              </w:rPr>
            </w:pPr>
          </w:p>
        </w:tc>
        <w:tc>
          <w:tcPr>
            <w:tcW w:w="4266" w:type="pct"/>
            <w:gridSpan w:val="6"/>
            <w:vAlign w:val="center"/>
          </w:tcPr>
          <w:p w14:paraId="5FAFDD0C" w14:textId="77777777" w:rsidR="00B063F1" w:rsidRPr="00F9348B" w:rsidRDefault="00B063F1" w:rsidP="00B063F1">
            <w:pPr>
              <w:pStyle w:val="COMTabletext"/>
              <w:keepLines/>
              <w:rPr>
                <w:b/>
                <w:szCs w:val="20"/>
              </w:rPr>
            </w:pPr>
            <w:r w:rsidRPr="00F9348B">
              <w:rPr>
                <w:b/>
                <w:szCs w:val="20"/>
              </w:rPr>
              <w:t>AND</w:t>
            </w:r>
          </w:p>
        </w:tc>
      </w:tr>
      <w:tr w:rsidR="00B063F1" w:rsidRPr="00F9348B" w14:paraId="5DABB12F"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7ACBD535" w14:textId="77777777" w:rsidR="00B063F1" w:rsidRPr="00F9348B" w:rsidRDefault="00B063F1" w:rsidP="00B063F1">
            <w:pPr>
              <w:pStyle w:val="COMTabletext"/>
              <w:keepLines/>
              <w:rPr>
                <w:bCs w:val="0"/>
                <w:szCs w:val="20"/>
              </w:rPr>
            </w:pPr>
          </w:p>
        </w:tc>
        <w:tc>
          <w:tcPr>
            <w:tcW w:w="4266" w:type="pct"/>
            <w:gridSpan w:val="6"/>
            <w:vAlign w:val="center"/>
            <w:hideMark/>
          </w:tcPr>
          <w:p w14:paraId="78BF4AF6" w14:textId="77777777" w:rsidR="00B063F1" w:rsidRPr="00F9348B" w:rsidRDefault="00B063F1" w:rsidP="00B063F1">
            <w:pPr>
              <w:pStyle w:val="COMTabletext"/>
              <w:keepLines/>
              <w:rPr>
                <w:szCs w:val="20"/>
              </w:rPr>
            </w:pPr>
            <w:r w:rsidRPr="00F9348B">
              <w:rPr>
                <w:b/>
                <w:szCs w:val="20"/>
              </w:rPr>
              <w:t>Clinical criteria:</w:t>
            </w:r>
          </w:p>
        </w:tc>
      </w:tr>
      <w:tr w:rsidR="00B063F1" w:rsidRPr="00F9348B" w14:paraId="0A924C6A"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1EB92E9E" w14:textId="77777777" w:rsidR="00B063F1" w:rsidRPr="00F9348B" w:rsidRDefault="00B063F1" w:rsidP="00B063F1">
            <w:pPr>
              <w:pStyle w:val="COMTabletext"/>
              <w:keepLines/>
              <w:rPr>
                <w:bCs w:val="0"/>
                <w:szCs w:val="20"/>
              </w:rPr>
            </w:pPr>
          </w:p>
        </w:tc>
        <w:tc>
          <w:tcPr>
            <w:tcW w:w="4266" w:type="pct"/>
            <w:gridSpan w:val="6"/>
            <w:vAlign w:val="center"/>
          </w:tcPr>
          <w:p w14:paraId="413E355F" w14:textId="77777777" w:rsidR="00B063F1" w:rsidRPr="00F9348B" w:rsidRDefault="00B063F1" w:rsidP="00B063F1">
            <w:pPr>
              <w:pStyle w:val="COMTabletext"/>
              <w:keepLines/>
              <w:rPr>
                <w:bCs w:val="0"/>
                <w:szCs w:val="20"/>
              </w:rPr>
            </w:pPr>
            <w:r w:rsidRPr="00F9348B">
              <w:rPr>
                <w:bCs w:val="0"/>
                <w:szCs w:val="20"/>
              </w:rPr>
              <w:t>Patient must have had at least 1 hip or symptomatic vertebral fracture in the previous 24 months, OR</w:t>
            </w:r>
          </w:p>
        </w:tc>
      </w:tr>
      <w:tr w:rsidR="00B063F1" w:rsidRPr="00F9348B" w14:paraId="34EF82C1"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298A3C40" w14:textId="77777777" w:rsidR="00B063F1" w:rsidRPr="00F9348B" w:rsidRDefault="00B063F1" w:rsidP="00B063F1">
            <w:pPr>
              <w:pStyle w:val="COMTabletext"/>
              <w:keepLines/>
              <w:rPr>
                <w:bCs w:val="0"/>
                <w:szCs w:val="20"/>
              </w:rPr>
            </w:pPr>
          </w:p>
        </w:tc>
        <w:tc>
          <w:tcPr>
            <w:tcW w:w="4266" w:type="pct"/>
            <w:gridSpan w:val="6"/>
            <w:vAlign w:val="center"/>
          </w:tcPr>
          <w:p w14:paraId="37363080" w14:textId="77777777" w:rsidR="00B063F1" w:rsidRPr="00F9348B" w:rsidRDefault="00B063F1" w:rsidP="00B063F1">
            <w:pPr>
              <w:pStyle w:val="COMTabletext"/>
              <w:keepLines/>
              <w:rPr>
                <w:bCs w:val="0"/>
                <w:szCs w:val="20"/>
              </w:rPr>
            </w:pPr>
            <w:r w:rsidRPr="00F9348B">
              <w:rPr>
                <w:bCs w:val="0"/>
                <w:szCs w:val="20"/>
              </w:rPr>
              <w:t>Patient must have had at least 2 fractures including 1 symptomatic new fracture in the previous 24 months,</w:t>
            </w:r>
          </w:p>
        </w:tc>
      </w:tr>
      <w:tr w:rsidR="00B063F1" w:rsidRPr="00F9348B" w14:paraId="0303197D"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6378014D" w14:textId="77777777" w:rsidR="00B063F1" w:rsidRPr="00F9348B" w:rsidRDefault="00B063F1" w:rsidP="00B063F1">
            <w:pPr>
              <w:pStyle w:val="COMTabletext"/>
              <w:keepLines/>
              <w:rPr>
                <w:bCs w:val="0"/>
                <w:szCs w:val="20"/>
              </w:rPr>
            </w:pPr>
          </w:p>
        </w:tc>
        <w:tc>
          <w:tcPr>
            <w:tcW w:w="4266" w:type="pct"/>
            <w:gridSpan w:val="6"/>
            <w:vAlign w:val="center"/>
          </w:tcPr>
          <w:p w14:paraId="0DD6C2FD" w14:textId="77777777" w:rsidR="00B063F1" w:rsidRPr="00F9348B" w:rsidRDefault="00B063F1" w:rsidP="00B063F1">
            <w:pPr>
              <w:pStyle w:val="COMTabletext"/>
              <w:keepLines/>
              <w:rPr>
                <w:b/>
                <w:szCs w:val="20"/>
              </w:rPr>
            </w:pPr>
            <w:r w:rsidRPr="00F9348B">
              <w:rPr>
                <w:b/>
                <w:szCs w:val="20"/>
              </w:rPr>
              <w:t>AND</w:t>
            </w:r>
          </w:p>
        </w:tc>
      </w:tr>
      <w:tr w:rsidR="00B063F1" w:rsidRPr="00F9348B" w14:paraId="1673E538"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28F57F04" w14:textId="77777777" w:rsidR="00B063F1" w:rsidRPr="00F9348B" w:rsidRDefault="00B063F1" w:rsidP="00B063F1">
            <w:pPr>
              <w:pStyle w:val="COMTabletext"/>
              <w:keepLines/>
              <w:rPr>
                <w:bCs w:val="0"/>
                <w:szCs w:val="20"/>
              </w:rPr>
            </w:pPr>
          </w:p>
        </w:tc>
        <w:tc>
          <w:tcPr>
            <w:tcW w:w="4266" w:type="pct"/>
            <w:gridSpan w:val="6"/>
            <w:vAlign w:val="center"/>
            <w:hideMark/>
          </w:tcPr>
          <w:p w14:paraId="6D16958B" w14:textId="77777777" w:rsidR="00B063F1" w:rsidRPr="00F9348B" w:rsidRDefault="00B063F1" w:rsidP="00B063F1">
            <w:pPr>
              <w:pStyle w:val="COMTabletext"/>
              <w:keepLines/>
              <w:rPr>
                <w:szCs w:val="20"/>
              </w:rPr>
            </w:pPr>
            <w:r w:rsidRPr="00F9348B">
              <w:rPr>
                <w:b/>
                <w:szCs w:val="20"/>
              </w:rPr>
              <w:t>Clinical criteria:</w:t>
            </w:r>
          </w:p>
        </w:tc>
      </w:tr>
      <w:tr w:rsidR="00B063F1" w:rsidRPr="00F9348B" w14:paraId="5D9F5D87"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772D4239" w14:textId="77777777" w:rsidR="00B063F1" w:rsidRPr="00F9348B" w:rsidRDefault="00B063F1" w:rsidP="00B063F1">
            <w:pPr>
              <w:pStyle w:val="COMTabletext"/>
              <w:keepLines/>
              <w:rPr>
                <w:bCs w:val="0"/>
                <w:szCs w:val="20"/>
              </w:rPr>
            </w:pPr>
          </w:p>
        </w:tc>
        <w:tc>
          <w:tcPr>
            <w:tcW w:w="4266" w:type="pct"/>
            <w:gridSpan w:val="6"/>
            <w:vAlign w:val="center"/>
          </w:tcPr>
          <w:p w14:paraId="1E527D58" w14:textId="77777777" w:rsidR="00B063F1" w:rsidRPr="00F9348B" w:rsidRDefault="00B063F1" w:rsidP="00B063F1">
            <w:pPr>
              <w:pStyle w:val="COMTabletext"/>
              <w:keepLines/>
              <w:rPr>
                <w:bCs w:val="0"/>
                <w:szCs w:val="20"/>
              </w:rPr>
            </w:pPr>
            <w:r w:rsidRPr="00F9348B">
              <w:rPr>
                <w:bCs w:val="0"/>
                <w:szCs w:val="20"/>
              </w:rPr>
              <w:t>The treatment must be the sole PBS-subsidised therapy for this condition;</w:t>
            </w:r>
          </w:p>
        </w:tc>
      </w:tr>
      <w:tr w:rsidR="00B063F1" w:rsidRPr="00F9348B" w14:paraId="67F0380E"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45D3E599" w14:textId="77777777" w:rsidR="00B063F1" w:rsidRPr="00F9348B" w:rsidRDefault="00B063F1" w:rsidP="00B063F1">
            <w:pPr>
              <w:pStyle w:val="COMTabletext"/>
              <w:keepLines/>
              <w:rPr>
                <w:bCs w:val="0"/>
                <w:szCs w:val="20"/>
              </w:rPr>
            </w:pPr>
          </w:p>
        </w:tc>
        <w:tc>
          <w:tcPr>
            <w:tcW w:w="4266" w:type="pct"/>
            <w:gridSpan w:val="6"/>
            <w:vAlign w:val="center"/>
          </w:tcPr>
          <w:p w14:paraId="6D1C0B73" w14:textId="77777777" w:rsidR="00B063F1" w:rsidRPr="00F9348B" w:rsidRDefault="00B063F1" w:rsidP="00B063F1">
            <w:pPr>
              <w:pStyle w:val="COMTabletext"/>
              <w:keepLines/>
              <w:rPr>
                <w:b/>
                <w:szCs w:val="20"/>
              </w:rPr>
            </w:pPr>
            <w:r w:rsidRPr="00F9348B">
              <w:rPr>
                <w:b/>
                <w:szCs w:val="20"/>
              </w:rPr>
              <w:t>AND</w:t>
            </w:r>
          </w:p>
        </w:tc>
      </w:tr>
      <w:tr w:rsidR="00B063F1" w:rsidRPr="00F9348B" w14:paraId="6C334298"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05A365E7" w14:textId="77777777" w:rsidR="00B063F1" w:rsidRPr="00F9348B" w:rsidRDefault="00B063F1" w:rsidP="00B063F1">
            <w:pPr>
              <w:pStyle w:val="COMTabletext"/>
              <w:keepNext w:val="0"/>
              <w:keepLines/>
              <w:rPr>
                <w:bCs w:val="0"/>
                <w:szCs w:val="20"/>
              </w:rPr>
            </w:pPr>
          </w:p>
        </w:tc>
        <w:tc>
          <w:tcPr>
            <w:tcW w:w="4266" w:type="pct"/>
            <w:gridSpan w:val="6"/>
            <w:vAlign w:val="center"/>
            <w:hideMark/>
          </w:tcPr>
          <w:p w14:paraId="68890936" w14:textId="77777777" w:rsidR="00B063F1" w:rsidRPr="00F9348B" w:rsidRDefault="00B063F1" w:rsidP="00B063F1">
            <w:pPr>
              <w:pStyle w:val="COMTabletext"/>
              <w:keepNext w:val="0"/>
              <w:keepLines/>
              <w:rPr>
                <w:szCs w:val="20"/>
              </w:rPr>
            </w:pPr>
            <w:r w:rsidRPr="00F9348B">
              <w:rPr>
                <w:b/>
                <w:szCs w:val="20"/>
              </w:rPr>
              <w:t>Clinical criteria:</w:t>
            </w:r>
          </w:p>
        </w:tc>
      </w:tr>
      <w:tr w:rsidR="00B063F1" w:rsidRPr="00F9348B" w14:paraId="6A7274BB"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058EA33B" w14:textId="77777777" w:rsidR="00B063F1" w:rsidRPr="00F9348B" w:rsidRDefault="00B063F1" w:rsidP="00B063F1">
            <w:pPr>
              <w:pStyle w:val="COMTabletext"/>
              <w:keepNext w:val="0"/>
              <w:keepLines/>
              <w:rPr>
                <w:bCs w:val="0"/>
                <w:szCs w:val="20"/>
              </w:rPr>
            </w:pPr>
          </w:p>
        </w:tc>
        <w:tc>
          <w:tcPr>
            <w:tcW w:w="4266" w:type="pct"/>
            <w:gridSpan w:val="6"/>
            <w:vAlign w:val="center"/>
          </w:tcPr>
          <w:p w14:paraId="4C18B206" w14:textId="77777777" w:rsidR="00B063F1" w:rsidRPr="00F9348B" w:rsidRDefault="00B063F1" w:rsidP="00B063F1">
            <w:pPr>
              <w:pStyle w:val="COMTabletext"/>
              <w:keepNext w:val="0"/>
              <w:keepLines/>
              <w:rPr>
                <w:bCs w:val="0"/>
                <w:szCs w:val="20"/>
              </w:rPr>
            </w:pPr>
            <w:r w:rsidRPr="00F9348B">
              <w:rPr>
                <w:bCs w:val="0"/>
                <w:szCs w:val="20"/>
              </w:rPr>
              <w:t>The treatment must not exceed a lifetime maximum of 12 months of PBS and non-PBS</w:t>
            </w:r>
            <w:r w:rsidRPr="00F9348B">
              <w:rPr>
                <w:bCs w:val="0"/>
                <w:i/>
                <w:iCs/>
                <w:szCs w:val="20"/>
              </w:rPr>
              <w:t xml:space="preserve"> </w:t>
            </w:r>
            <w:r w:rsidRPr="00F9348B">
              <w:rPr>
                <w:bCs w:val="0"/>
                <w:szCs w:val="20"/>
              </w:rPr>
              <w:t>subsidised therapy;</w:t>
            </w:r>
          </w:p>
        </w:tc>
      </w:tr>
      <w:tr w:rsidR="00B063F1" w:rsidRPr="00F9348B" w14:paraId="42FD02B2"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43F520FF" w14:textId="77777777" w:rsidR="00B063F1" w:rsidRPr="00F9348B" w:rsidRDefault="00B063F1" w:rsidP="00B063F1">
            <w:pPr>
              <w:pStyle w:val="COMTabletext"/>
              <w:keepNext w:val="0"/>
              <w:keepLines/>
              <w:rPr>
                <w:bCs w:val="0"/>
                <w:szCs w:val="20"/>
              </w:rPr>
            </w:pPr>
          </w:p>
        </w:tc>
        <w:tc>
          <w:tcPr>
            <w:tcW w:w="4266" w:type="pct"/>
            <w:gridSpan w:val="6"/>
            <w:vAlign w:val="center"/>
            <w:hideMark/>
          </w:tcPr>
          <w:p w14:paraId="2DFFA22A" w14:textId="77777777" w:rsidR="00B063F1" w:rsidRPr="00F9348B" w:rsidRDefault="00B063F1" w:rsidP="00B063F1">
            <w:pPr>
              <w:pStyle w:val="COMTabletext"/>
              <w:keepNext w:val="0"/>
              <w:keepLines/>
              <w:rPr>
                <w:szCs w:val="20"/>
              </w:rPr>
            </w:pPr>
            <w:r w:rsidRPr="00F9348B">
              <w:rPr>
                <w:b/>
                <w:szCs w:val="20"/>
              </w:rPr>
              <w:t>Treatment criteria:</w:t>
            </w:r>
          </w:p>
        </w:tc>
      </w:tr>
      <w:tr w:rsidR="00B063F1" w:rsidRPr="00F9348B" w14:paraId="5853C8E5"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7F5D2D8B" w14:textId="77777777" w:rsidR="00B063F1" w:rsidRPr="00F9348B" w:rsidRDefault="00B063F1" w:rsidP="00B063F1">
            <w:pPr>
              <w:pStyle w:val="COMTabletext"/>
              <w:keepNext w:val="0"/>
              <w:keepLines/>
              <w:rPr>
                <w:bCs w:val="0"/>
                <w:szCs w:val="20"/>
              </w:rPr>
            </w:pPr>
          </w:p>
        </w:tc>
        <w:tc>
          <w:tcPr>
            <w:tcW w:w="4266" w:type="pct"/>
            <w:gridSpan w:val="6"/>
            <w:vAlign w:val="center"/>
            <w:hideMark/>
          </w:tcPr>
          <w:p w14:paraId="34A92741" w14:textId="77777777" w:rsidR="00B063F1" w:rsidRPr="00F9348B" w:rsidRDefault="00B063F1" w:rsidP="00B063F1">
            <w:pPr>
              <w:pStyle w:val="COMTabletext"/>
              <w:keepNext w:val="0"/>
              <w:keepLines/>
              <w:rPr>
                <w:i/>
                <w:iCs/>
                <w:szCs w:val="20"/>
              </w:rPr>
            </w:pPr>
            <w:r w:rsidRPr="00F9348B">
              <w:rPr>
                <w:szCs w:val="20"/>
              </w:rPr>
              <w:t>Must be treated by a consultant physician</w:t>
            </w:r>
          </w:p>
        </w:tc>
      </w:tr>
      <w:tr w:rsidR="00B063F1" w:rsidRPr="00F9348B" w14:paraId="50F9994E"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214EE2B1" w14:textId="77777777" w:rsidR="00B063F1" w:rsidRPr="00F9348B" w:rsidRDefault="00B063F1" w:rsidP="00B063F1">
            <w:pPr>
              <w:pStyle w:val="COMTabletext"/>
              <w:keepNext w:val="0"/>
              <w:keepLines/>
              <w:rPr>
                <w:bCs w:val="0"/>
                <w:szCs w:val="20"/>
              </w:rPr>
            </w:pPr>
          </w:p>
        </w:tc>
        <w:tc>
          <w:tcPr>
            <w:tcW w:w="4266" w:type="pct"/>
            <w:gridSpan w:val="6"/>
            <w:vAlign w:val="center"/>
          </w:tcPr>
          <w:p w14:paraId="6A5B708C" w14:textId="77777777" w:rsidR="00B063F1" w:rsidRPr="00F9348B" w:rsidRDefault="00B063F1" w:rsidP="00B063F1">
            <w:pPr>
              <w:pStyle w:val="COMTabletext"/>
              <w:keepLines/>
              <w:rPr>
                <w:szCs w:val="20"/>
              </w:rPr>
            </w:pPr>
            <w:r w:rsidRPr="00F9348B">
              <w:rPr>
                <w:b/>
                <w:bCs w:val="0"/>
                <w:szCs w:val="20"/>
              </w:rPr>
              <w:t xml:space="preserve">Prescribing Instructions: </w:t>
            </w:r>
            <w:r w:rsidRPr="00F9348B">
              <w:rPr>
                <w:szCs w:val="20"/>
              </w:rPr>
              <w:t>Details of fracture history including the date(s), site(s), the symptoms associated with the fracture(s) and the score of the qualifying BMD measurement must be provided at the time of application.</w:t>
            </w:r>
          </w:p>
        </w:tc>
      </w:tr>
      <w:tr w:rsidR="00B063F1" w:rsidRPr="00F9348B" w14:paraId="293BD2DC"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127B1523" w14:textId="77777777" w:rsidR="00B063F1" w:rsidRPr="00F9348B" w:rsidRDefault="00B063F1" w:rsidP="00B063F1">
            <w:pPr>
              <w:pStyle w:val="COMTabletext"/>
              <w:keepNext w:val="0"/>
              <w:keepLines/>
              <w:rPr>
                <w:bCs w:val="0"/>
                <w:szCs w:val="20"/>
              </w:rPr>
            </w:pPr>
          </w:p>
        </w:tc>
        <w:tc>
          <w:tcPr>
            <w:tcW w:w="4266" w:type="pct"/>
            <w:gridSpan w:val="6"/>
            <w:vAlign w:val="center"/>
          </w:tcPr>
          <w:p w14:paraId="16E6A45A" w14:textId="77777777" w:rsidR="00B063F1" w:rsidRPr="00F9348B" w:rsidRDefault="00B063F1" w:rsidP="00B063F1">
            <w:pPr>
              <w:pStyle w:val="COMTabletext"/>
              <w:keepLines/>
              <w:rPr>
                <w:szCs w:val="20"/>
              </w:rPr>
            </w:pPr>
            <w:r w:rsidRPr="00F9348B">
              <w:rPr>
                <w:b/>
                <w:bCs w:val="0"/>
                <w:szCs w:val="20"/>
              </w:rPr>
              <w:t>Prescribing Instructions:</w:t>
            </w:r>
            <w:r w:rsidRPr="00F9348B">
              <w:rPr>
                <w:szCs w:val="20"/>
              </w:rPr>
              <w:t xml:space="preserve"> 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tc>
      </w:tr>
      <w:tr w:rsidR="00B063F1" w:rsidRPr="00F9348B" w14:paraId="1C4BD847"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7715044E" w14:textId="77777777" w:rsidR="00B063F1" w:rsidRPr="00F9348B" w:rsidRDefault="00B063F1" w:rsidP="00B063F1">
            <w:pPr>
              <w:pStyle w:val="COMTabletext"/>
              <w:keepNext w:val="0"/>
              <w:keepLines/>
              <w:rPr>
                <w:rFonts w:eastAsia="Times New Roman"/>
                <w:sz w:val="18"/>
                <w:szCs w:val="18"/>
              </w:rPr>
            </w:pPr>
          </w:p>
        </w:tc>
        <w:tc>
          <w:tcPr>
            <w:tcW w:w="4266" w:type="pct"/>
            <w:gridSpan w:val="6"/>
            <w:vAlign w:val="center"/>
          </w:tcPr>
          <w:p w14:paraId="7C5321FD" w14:textId="77777777" w:rsidR="00B063F1" w:rsidRPr="00F9348B" w:rsidRDefault="00B063F1" w:rsidP="00B063F1">
            <w:pPr>
              <w:pStyle w:val="COMTabletext"/>
              <w:keepLines/>
              <w:rPr>
                <w:szCs w:val="20"/>
              </w:rPr>
            </w:pPr>
            <w:r w:rsidRPr="00F9348B">
              <w:rPr>
                <w:b/>
                <w:bCs w:val="0"/>
                <w:szCs w:val="20"/>
              </w:rPr>
              <w:t xml:space="preserve">Prescribing Instructions: </w:t>
            </w:r>
            <w:r w:rsidRPr="00F9348B">
              <w:rPr>
                <w:szCs w:val="20"/>
              </w:rPr>
              <w:t xml:space="preserve">Anti-resorptive therapies for osteoporosis include alendronate sodium, risedronate sodium, raloxifene hydrochloride, denosumab and zoledronic acid.  </w:t>
            </w:r>
          </w:p>
        </w:tc>
      </w:tr>
      <w:tr w:rsidR="00B063F1" w:rsidRPr="00F9348B" w14:paraId="6A5EC8E8"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24B4EEE4" w14:textId="77777777" w:rsidR="00B063F1" w:rsidRPr="00F9348B" w:rsidRDefault="00B063F1" w:rsidP="00B063F1">
            <w:pPr>
              <w:pStyle w:val="COMTabletext"/>
              <w:keepNext w:val="0"/>
              <w:keepLines/>
              <w:rPr>
                <w:rFonts w:eastAsia="Times New Roman"/>
                <w:sz w:val="18"/>
                <w:szCs w:val="18"/>
              </w:rPr>
            </w:pPr>
          </w:p>
        </w:tc>
        <w:tc>
          <w:tcPr>
            <w:tcW w:w="4266" w:type="pct"/>
            <w:gridSpan w:val="6"/>
            <w:vAlign w:val="center"/>
          </w:tcPr>
          <w:p w14:paraId="4C3D652A" w14:textId="77777777" w:rsidR="00B063F1" w:rsidRPr="00F9348B" w:rsidRDefault="00B063F1" w:rsidP="00B063F1">
            <w:pPr>
              <w:pStyle w:val="COMTabletext"/>
              <w:keepLines/>
              <w:rPr>
                <w:b/>
                <w:bCs w:val="0"/>
                <w:szCs w:val="20"/>
              </w:rPr>
            </w:pPr>
          </w:p>
        </w:tc>
      </w:tr>
      <w:tr w:rsidR="00B063F1" w:rsidRPr="00F9348B" w14:paraId="5F6ECE66"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514E6584" w14:textId="77777777" w:rsidR="00B063F1" w:rsidRPr="00F9348B" w:rsidRDefault="00B063F1" w:rsidP="00B063F1">
            <w:pPr>
              <w:pStyle w:val="COMTabletext"/>
              <w:keepNext w:val="0"/>
              <w:rPr>
                <w:rFonts w:eastAsia="Times New Roman"/>
                <w:sz w:val="18"/>
                <w:szCs w:val="18"/>
              </w:rPr>
            </w:pPr>
          </w:p>
        </w:tc>
        <w:tc>
          <w:tcPr>
            <w:tcW w:w="4266" w:type="pct"/>
            <w:gridSpan w:val="6"/>
            <w:vAlign w:val="center"/>
          </w:tcPr>
          <w:p w14:paraId="47994EBF" w14:textId="77777777" w:rsidR="00B063F1" w:rsidRPr="00F9348B" w:rsidRDefault="00B063F1" w:rsidP="00B063F1">
            <w:pPr>
              <w:pStyle w:val="COMTabletext"/>
              <w:keepNext w:val="0"/>
              <w:rPr>
                <w:b/>
                <w:bCs w:val="0"/>
                <w:szCs w:val="20"/>
              </w:rPr>
            </w:pPr>
          </w:p>
        </w:tc>
      </w:tr>
      <w:tr w:rsidR="00B063F1" w:rsidRPr="00F9348B" w14:paraId="1412869E" w14:textId="77777777" w:rsidTr="00B063F1">
        <w:tblPrEx>
          <w:tblCellMar>
            <w:top w:w="15" w:type="dxa"/>
            <w:bottom w:w="15" w:type="dxa"/>
          </w:tblCellMar>
          <w:tblLook w:val="04A0" w:firstRow="1" w:lastRow="0" w:firstColumn="1" w:lastColumn="0" w:noHBand="0" w:noVBand="1"/>
        </w:tblPrEx>
        <w:trPr>
          <w:cantSplit/>
          <w:trHeight w:val="20"/>
        </w:trPr>
        <w:tc>
          <w:tcPr>
            <w:tcW w:w="5000" w:type="pct"/>
            <w:gridSpan w:val="8"/>
          </w:tcPr>
          <w:p w14:paraId="38F1172A" w14:textId="77777777" w:rsidR="00B063F1" w:rsidRPr="00F9348B" w:rsidRDefault="00B063F1" w:rsidP="00B063F1">
            <w:pPr>
              <w:pStyle w:val="COMTabletext"/>
              <w:keepNext w:val="0"/>
              <w:rPr>
                <w:b/>
                <w:bCs w:val="0"/>
                <w:szCs w:val="20"/>
              </w:rPr>
            </w:pPr>
            <w:r w:rsidRPr="00F9348B">
              <w:rPr>
                <w:b/>
                <w:bCs w:val="0"/>
                <w:szCs w:val="20"/>
              </w:rPr>
              <w:t>Restriction Summary  edit [11475]/ Treatment of Concept:  edit [11496]</w:t>
            </w:r>
          </w:p>
        </w:tc>
      </w:tr>
      <w:tr w:rsidR="00B063F1" w:rsidRPr="00F9348B" w14:paraId="1D422337"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vMerge w:val="restart"/>
          </w:tcPr>
          <w:p w14:paraId="25C32581" w14:textId="77777777" w:rsidR="00B063F1" w:rsidRPr="00F9348B" w:rsidRDefault="00B063F1" w:rsidP="00B063F1">
            <w:pPr>
              <w:pStyle w:val="COMTabletext"/>
              <w:keepNext w:val="0"/>
              <w:rPr>
                <w:b/>
                <w:bCs w:val="0"/>
                <w:szCs w:val="20"/>
              </w:rPr>
            </w:pPr>
            <w:r w:rsidRPr="00F9348B">
              <w:rPr>
                <w:b/>
                <w:bCs w:val="0"/>
                <w:szCs w:val="20"/>
              </w:rPr>
              <w:t>Concept ID</w:t>
            </w:r>
          </w:p>
          <w:p w14:paraId="4A8291FD" w14:textId="77777777" w:rsidR="00B063F1" w:rsidRPr="00F9348B" w:rsidRDefault="00B063F1" w:rsidP="00B063F1">
            <w:pPr>
              <w:pStyle w:val="COMTabletext"/>
              <w:keepNext w:val="0"/>
              <w:rPr>
                <w:szCs w:val="20"/>
              </w:rPr>
            </w:pPr>
            <w:r w:rsidRPr="00F9348B">
              <w:rPr>
                <w:szCs w:val="20"/>
              </w:rPr>
              <w:t>(for internal Dept. use)</w:t>
            </w:r>
          </w:p>
        </w:tc>
        <w:tc>
          <w:tcPr>
            <w:tcW w:w="4266" w:type="pct"/>
            <w:gridSpan w:val="6"/>
            <w:vAlign w:val="center"/>
          </w:tcPr>
          <w:p w14:paraId="0E2785BC" w14:textId="77777777" w:rsidR="00B063F1" w:rsidRPr="00F9348B" w:rsidRDefault="00B063F1" w:rsidP="00B063F1">
            <w:pPr>
              <w:pStyle w:val="COMTabletext"/>
              <w:keepNext w:val="0"/>
              <w:rPr>
                <w:rFonts w:cs="Arial"/>
                <w:b/>
                <w:bCs w:val="0"/>
              </w:rPr>
            </w:pPr>
            <w:r w:rsidRPr="00F9348B">
              <w:rPr>
                <w:b/>
                <w:szCs w:val="20"/>
              </w:rPr>
              <w:t xml:space="preserve">Category / Program:   </w:t>
            </w:r>
            <w:r w:rsidRPr="00F9348B">
              <w:rPr>
                <w:szCs w:val="20"/>
              </w:rPr>
              <w:t>GENERAL – General Schedule (Code GE)</w:t>
            </w:r>
          </w:p>
        </w:tc>
      </w:tr>
      <w:tr w:rsidR="00B063F1" w:rsidRPr="00F9348B" w14:paraId="44D02AC4"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vMerge/>
          </w:tcPr>
          <w:p w14:paraId="0D4DA503" w14:textId="77777777" w:rsidR="00B063F1" w:rsidRPr="00F9348B" w:rsidRDefault="00B063F1" w:rsidP="00B063F1">
            <w:pPr>
              <w:pStyle w:val="COMTabletext"/>
              <w:keepNext w:val="0"/>
              <w:rPr>
                <w:b/>
                <w:bCs w:val="0"/>
                <w:szCs w:val="20"/>
              </w:rPr>
            </w:pPr>
          </w:p>
        </w:tc>
        <w:tc>
          <w:tcPr>
            <w:tcW w:w="4266" w:type="pct"/>
            <w:gridSpan w:val="6"/>
            <w:vAlign w:val="center"/>
          </w:tcPr>
          <w:p w14:paraId="76C0281F" w14:textId="77777777" w:rsidR="00B063F1" w:rsidRPr="00F9348B" w:rsidRDefault="00B063F1" w:rsidP="00B063F1">
            <w:pPr>
              <w:pStyle w:val="COMTabletext"/>
              <w:keepNext w:val="0"/>
              <w:rPr>
                <w:rFonts w:cs="Arial"/>
                <w:b/>
                <w:bCs w:val="0"/>
              </w:rPr>
            </w:pPr>
            <w:r w:rsidRPr="00F9348B">
              <w:rPr>
                <w:b/>
                <w:szCs w:val="20"/>
              </w:rPr>
              <w:t xml:space="preserve">Prescriber type:   </w:t>
            </w:r>
            <w:r w:rsidRPr="00F9348B">
              <w:rPr>
                <w:szCs w:val="20"/>
              </w:rPr>
              <w:fldChar w:fldCharType="begin" w:fldLock="1">
                <w:ffData>
                  <w:name w:val=""/>
                  <w:enabled/>
                  <w:calcOnExit w:val="0"/>
                  <w:checkBox>
                    <w:sizeAuto/>
                    <w:default w:val="1"/>
                  </w:checkBox>
                </w:ffData>
              </w:fldChar>
            </w:r>
            <w:r w:rsidRPr="00F9348B">
              <w:rPr>
                <w:szCs w:val="20"/>
              </w:rPr>
              <w:instrText xml:space="preserve"> FORMCHECKBOX </w:instrText>
            </w:r>
            <w:r w:rsidR="00D16346">
              <w:rPr>
                <w:szCs w:val="20"/>
              </w:rPr>
            </w:r>
            <w:r w:rsidR="00D16346">
              <w:rPr>
                <w:szCs w:val="20"/>
              </w:rPr>
              <w:fldChar w:fldCharType="separate"/>
            </w:r>
            <w:r w:rsidRPr="00F9348B">
              <w:rPr>
                <w:szCs w:val="20"/>
              </w:rPr>
              <w:fldChar w:fldCharType="end"/>
            </w:r>
            <w:r w:rsidRPr="00F9348B">
              <w:rPr>
                <w:szCs w:val="20"/>
              </w:rPr>
              <w:t>Medical Practitioners</w:t>
            </w:r>
          </w:p>
        </w:tc>
      </w:tr>
      <w:tr w:rsidR="00B063F1" w:rsidRPr="00F9348B" w14:paraId="56633984"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vMerge/>
          </w:tcPr>
          <w:p w14:paraId="010584A3" w14:textId="77777777" w:rsidR="00B063F1" w:rsidRPr="00F9348B" w:rsidRDefault="00B063F1" w:rsidP="00B063F1">
            <w:pPr>
              <w:pStyle w:val="COMTabletext"/>
              <w:keepNext w:val="0"/>
              <w:rPr>
                <w:b/>
                <w:bCs w:val="0"/>
                <w:szCs w:val="20"/>
              </w:rPr>
            </w:pPr>
          </w:p>
        </w:tc>
        <w:tc>
          <w:tcPr>
            <w:tcW w:w="4266" w:type="pct"/>
            <w:gridSpan w:val="6"/>
          </w:tcPr>
          <w:p w14:paraId="4BBE161D" w14:textId="77777777" w:rsidR="00B063F1" w:rsidRPr="00F9348B" w:rsidRDefault="00B063F1" w:rsidP="00B063F1">
            <w:pPr>
              <w:pStyle w:val="COMTabletext"/>
              <w:keepNext w:val="0"/>
              <w:rPr>
                <w:rFonts w:cs="Arial"/>
                <w:b/>
                <w:bCs w:val="0"/>
              </w:rPr>
            </w:pPr>
            <w:r w:rsidRPr="00F9348B">
              <w:rPr>
                <w:b/>
                <w:szCs w:val="20"/>
              </w:rPr>
              <w:t xml:space="preserve">Restriction type: </w:t>
            </w:r>
            <w:r w:rsidRPr="00F9348B">
              <w:rPr>
                <w:rFonts w:eastAsia="Times New Roman"/>
                <w:szCs w:val="20"/>
              </w:rPr>
              <w:fldChar w:fldCharType="begin" w:fldLock="1">
                <w:ffData>
                  <w:name w:val="Check3"/>
                  <w:enabled/>
                  <w:calcOnExit w:val="0"/>
                  <w:checkBox>
                    <w:sizeAuto/>
                    <w:default w:val="1"/>
                  </w:checkBox>
                </w:ffData>
              </w:fldChar>
            </w:r>
            <w:r w:rsidRPr="00F9348B">
              <w:rPr>
                <w:rFonts w:eastAsia="Times New Roman"/>
                <w:szCs w:val="20"/>
              </w:rPr>
              <w:instrText xml:space="preserve"> FORMCHECKBOX </w:instrText>
            </w:r>
            <w:r w:rsidR="00D16346">
              <w:rPr>
                <w:rFonts w:eastAsia="Times New Roman"/>
                <w:szCs w:val="20"/>
              </w:rPr>
            </w:r>
            <w:r w:rsidR="00D16346">
              <w:rPr>
                <w:rFonts w:eastAsia="Times New Roman"/>
                <w:szCs w:val="20"/>
              </w:rPr>
              <w:fldChar w:fldCharType="separate"/>
            </w:r>
            <w:r w:rsidRPr="00F9348B">
              <w:rPr>
                <w:rFonts w:eastAsia="Times New Roman"/>
                <w:szCs w:val="20"/>
              </w:rPr>
              <w:fldChar w:fldCharType="end"/>
            </w:r>
            <w:r w:rsidRPr="00F9348B">
              <w:rPr>
                <w:rFonts w:eastAsia="Times New Roman"/>
                <w:szCs w:val="20"/>
              </w:rPr>
              <w:t xml:space="preserve"> </w:t>
            </w:r>
            <w:r w:rsidRPr="00F9348B">
              <w:t>Authority Required – Telephone, Electronic</w:t>
            </w:r>
          </w:p>
        </w:tc>
      </w:tr>
      <w:tr w:rsidR="00B063F1" w:rsidRPr="00F9348B" w14:paraId="5D7BAF7C"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37A2603C" w14:textId="77777777" w:rsidR="00B063F1" w:rsidRPr="00F9348B" w:rsidRDefault="00B063F1" w:rsidP="00B063F1">
            <w:pPr>
              <w:pStyle w:val="COMTabletext"/>
              <w:keepNext w:val="0"/>
              <w:rPr>
                <w:b/>
                <w:bCs w:val="0"/>
                <w:szCs w:val="20"/>
              </w:rPr>
            </w:pPr>
          </w:p>
        </w:tc>
        <w:tc>
          <w:tcPr>
            <w:tcW w:w="4266" w:type="pct"/>
            <w:gridSpan w:val="6"/>
            <w:vAlign w:val="center"/>
          </w:tcPr>
          <w:p w14:paraId="6B52AB1F" w14:textId="77777777" w:rsidR="00B063F1" w:rsidRPr="00F9348B" w:rsidRDefault="00B063F1" w:rsidP="00B063F1">
            <w:pPr>
              <w:pStyle w:val="COMTabletext"/>
              <w:keepNext w:val="0"/>
              <w:rPr>
                <w:b/>
                <w:bCs w:val="0"/>
                <w:szCs w:val="20"/>
              </w:rPr>
            </w:pPr>
            <w:r w:rsidRPr="00F9348B">
              <w:rPr>
                <w:rFonts w:cs="Arial"/>
                <w:b/>
                <w:bCs w:val="0"/>
              </w:rPr>
              <w:t>Treatment Phase:</w:t>
            </w:r>
            <w:r w:rsidRPr="00F9348B">
              <w:rPr>
                <w:rFonts w:cs="Arial"/>
              </w:rPr>
              <w:t xml:space="preserve"> Continuing treatment</w:t>
            </w:r>
            <w:r w:rsidRPr="00F9348B">
              <w:rPr>
                <w:rFonts w:eastAsia="Times New Roman"/>
                <w:sz w:val="18"/>
                <w:szCs w:val="18"/>
              </w:rPr>
              <w:t xml:space="preserve">  </w:t>
            </w:r>
          </w:p>
        </w:tc>
      </w:tr>
      <w:tr w:rsidR="00B063F1" w:rsidRPr="00F9348B" w14:paraId="2FF8BB31" w14:textId="77777777" w:rsidTr="00B06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34" w:type="pct"/>
            <w:gridSpan w:val="2"/>
            <w:tcBorders>
              <w:top w:val="single" w:sz="4" w:space="0" w:color="auto"/>
              <w:left w:val="single" w:sz="4" w:space="0" w:color="auto"/>
              <w:bottom w:val="single" w:sz="4" w:space="0" w:color="auto"/>
              <w:right w:val="single" w:sz="4" w:space="0" w:color="auto"/>
            </w:tcBorders>
          </w:tcPr>
          <w:p w14:paraId="6D07FF30" w14:textId="77777777" w:rsidR="00B063F1" w:rsidRPr="00F9348B" w:rsidRDefault="00B063F1" w:rsidP="00B063F1">
            <w:pPr>
              <w:pStyle w:val="TableText0"/>
              <w:keepNext w:val="0"/>
              <w:rPr>
                <w:b/>
              </w:rPr>
            </w:pPr>
          </w:p>
        </w:tc>
        <w:tc>
          <w:tcPr>
            <w:tcW w:w="4266" w:type="pct"/>
            <w:gridSpan w:val="6"/>
            <w:tcBorders>
              <w:top w:val="single" w:sz="4" w:space="0" w:color="auto"/>
              <w:left w:val="single" w:sz="4" w:space="0" w:color="auto"/>
              <w:bottom w:val="single" w:sz="4" w:space="0" w:color="auto"/>
              <w:right w:val="single" w:sz="4" w:space="0" w:color="auto"/>
            </w:tcBorders>
          </w:tcPr>
          <w:p w14:paraId="66D5B7CA" w14:textId="77777777" w:rsidR="00B063F1" w:rsidRPr="00F9348B" w:rsidRDefault="00B063F1" w:rsidP="00B063F1">
            <w:pPr>
              <w:pStyle w:val="TableText0"/>
              <w:keepNext w:val="0"/>
              <w:rPr>
                <w:b/>
              </w:rPr>
            </w:pPr>
            <w:r w:rsidRPr="00F9348B">
              <w:rPr>
                <w:b/>
              </w:rPr>
              <w:t>Clinical criteria:</w:t>
            </w:r>
          </w:p>
        </w:tc>
      </w:tr>
      <w:tr w:rsidR="00B063F1" w:rsidRPr="00F9348B" w14:paraId="72A9A001" w14:textId="77777777" w:rsidTr="00B06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34" w:type="pct"/>
            <w:gridSpan w:val="2"/>
            <w:tcBorders>
              <w:top w:val="single" w:sz="4" w:space="0" w:color="auto"/>
              <w:left w:val="single" w:sz="4" w:space="0" w:color="auto"/>
              <w:bottom w:val="single" w:sz="4" w:space="0" w:color="auto"/>
              <w:right w:val="single" w:sz="4" w:space="0" w:color="auto"/>
            </w:tcBorders>
          </w:tcPr>
          <w:p w14:paraId="74321579" w14:textId="77777777" w:rsidR="00B063F1" w:rsidRPr="00F9348B" w:rsidRDefault="00B063F1" w:rsidP="00B063F1">
            <w:pPr>
              <w:pStyle w:val="TableText0"/>
              <w:keepNext w:val="0"/>
              <w:rPr>
                <w:rFonts w:cs="Arial"/>
              </w:rPr>
            </w:pPr>
          </w:p>
        </w:tc>
        <w:tc>
          <w:tcPr>
            <w:tcW w:w="4266" w:type="pct"/>
            <w:gridSpan w:val="6"/>
            <w:tcBorders>
              <w:top w:val="single" w:sz="4" w:space="0" w:color="auto"/>
              <w:left w:val="single" w:sz="4" w:space="0" w:color="auto"/>
              <w:bottom w:val="single" w:sz="4" w:space="0" w:color="auto"/>
              <w:right w:val="single" w:sz="4" w:space="0" w:color="auto"/>
            </w:tcBorders>
          </w:tcPr>
          <w:p w14:paraId="406EB885" w14:textId="77777777" w:rsidR="00B063F1" w:rsidRPr="00F9348B" w:rsidRDefault="00B063F1" w:rsidP="00B063F1">
            <w:pPr>
              <w:pStyle w:val="TableText0"/>
              <w:keepNext w:val="0"/>
              <w:rPr>
                <w:rFonts w:cs="Arial"/>
              </w:rPr>
            </w:pPr>
            <w:r w:rsidRPr="00F9348B">
              <w:rPr>
                <w:rFonts w:cs="Arial"/>
              </w:rPr>
              <w:t>Patient must have previously received PBS-subsidised treatment with this drug for this condition;</w:t>
            </w:r>
          </w:p>
        </w:tc>
      </w:tr>
      <w:tr w:rsidR="00B063F1" w:rsidRPr="00F9348B" w14:paraId="72FBFC0C" w14:textId="77777777" w:rsidTr="00B06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34" w:type="pct"/>
            <w:gridSpan w:val="2"/>
            <w:tcBorders>
              <w:top w:val="single" w:sz="4" w:space="0" w:color="auto"/>
              <w:left w:val="single" w:sz="4" w:space="0" w:color="auto"/>
              <w:bottom w:val="single" w:sz="4" w:space="0" w:color="auto"/>
              <w:right w:val="single" w:sz="4" w:space="0" w:color="auto"/>
            </w:tcBorders>
          </w:tcPr>
          <w:p w14:paraId="706C3076" w14:textId="77777777" w:rsidR="00B063F1" w:rsidRPr="00F9348B" w:rsidRDefault="00B063F1" w:rsidP="00B063F1">
            <w:pPr>
              <w:pStyle w:val="TableText0"/>
              <w:keepNext w:val="0"/>
              <w:rPr>
                <w:rFonts w:cs="Arial"/>
                <w:b/>
                <w:bCs w:val="0"/>
              </w:rPr>
            </w:pPr>
          </w:p>
        </w:tc>
        <w:tc>
          <w:tcPr>
            <w:tcW w:w="4266" w:type="pct"/>
            <w:gridSpan w:val="6"/>
            <w:tcBorders>
              <w:top w:val="single" w:sz="4" w:space="0" w:color="auto"/>
              <w:left w:val="single" w:sz="4" w:space="0" w:color="auto"/>
              <w:bottom w:val="single" w:sz="4" w:space="0" w:color="auto"/>
              <w:right w:val="single" w:sz="4" w:space="0" w:color="auto"/>
            </w:tcBorders>
          </w:tcPr>
          <w:p w14:paraId="018C0081" w14:textId="77777777" w:rsidR="00B063F1" w:rsidRPr="00F9348B" w:rsidRDefault="00B063F1" w:rsidP="00B063F1">
            <w:pPr>
              <w:pStyle w:val="TableText0"/>
              <w:keepNext w:val="0"/>
              <w:rPr>
                <w:rFonts w:cs="Arial"/>
                <w:b/>
                <w:bCs w:val="0"/>
              </w:rPr>
            </w:pPr>
            <w:r w:rsidRPr="00F9348B">
              <w:rPr>
                <w:rFonts w:cs="Arial"/>
                <w:b/>
                <w:bCs w:val="0"/>
              </w:rPr>
              <w:t>AND</w:t>
            </w:r>
          </w:p>
        </w:tc>
      </w:tr>
      <w:tr w:rsidR="00B063F1" w:rsidRPr="00F9348B" w14:paraId="5429A821"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4801587D" w14:textId="77777777" w:rsidR="00B063F1" w:rsidRPr="00F9348B" w:rsidRDefault="00B063F1" w:rsidP="00B063F1">
            <w:pPr>
              <w:pStyle w:val="COMTabletext"/>
              <w:keepNext w:val="0"/>
              <w:rPr>
                <w:b/>
                <w:szCs w:val="20"/>
              </w:rPr>
            </w:pPr>
          </w:p>
        </w:tc>
        <w:tc>
          <w:tcPr>
            <w:tcW w:w="4266" w:type="pct"/>
            <w:gridSpan w:val="6"/>
            <w:vAlign w:val="center"/>
            <w:hideMark/>
          </w:tcPr>
          <w:p w14:paraId="76AC89A6" w14:textId="77777777" w:rsidR="00B063F1" w:rsidRPr="00F9348B" w:rsidRDefault="00B063F1" w:rsidP="00B063F1">
            <w:pPr>
              <w:pStyle w:val="COMTabletext"/>
              <w:keepNext w:val="0"/>
              <w:rPr>
                <w:szCs w:val="20"/>
              </w:rPr>
            </w:pPr>
            <w:r w:rsidRPr="00F9348B">
              <w:rPr>
                <w:b/>
                <w:szCs w:val="20"/>
              </w:rPr>
              <w:t>Clinical criteria:</w:t>
            </w:r>
          </w:p>
        </w:tc>
      </w:tr>
      <w:tr w:rsidR="00B063F1" w:rsidRPr="00F9348B" w14:paraId="566CD204" w14:textId="77777777" w:rsidTr="00B06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34" w:type="pct"/>
            <w:gridSpan w:val="2"/>
            <w:tcBorders>
              <w:top w:val="single" w:sz="4" w:space="0" w:color="auto"/>
              <w:left w:val="single" w:sz="4" w:space="0" w:color="auto"/>
              <w:bottom w:val="single" w:sz="4" w:space="0" w:color="auto"/>
              <w:right w:val="single" w:sz="4" w:space="0" w:color="auto"/>
            </w:tcBorders>
          </w:tcPr>
          <w:p w14:paraId="5D23D985" w14:textId="77777777" w:rsidR="00B063F1" w:rsidRPr="00F9348B" w:rsidRDefault="00B063F1" w:rsidP="00B063F1">
            <w:pPr>
              <w:pStyle w:val="TableText0"/>
              <w:keepNext w:val="0"/>
              <w:rPr>
                <w:rFonts w:cs="Arial"/>
              </w:rPr>
            </w:pPr>
          </w:p>
        </w:tc>
        <w:tc>
          <w:tcPr>
            <w:tcW w:w="4266" w:type="pct"/>
            <w:gridSpan w:val="6"/>
            <w:tcBorders>
              <w:top w:val="single" w:sz="4" w:space="0" w:color="auto"/>
              <w:left w:val="single" w:sz="4" w:space="0" w:color="auto"/>
              <w:bottom w:val="single" w:sz="4" w:space="0" w:color="auto"/>
              <w:right w:val="single" w:sz="4" w:space="0" w:color="auto"/>
            </w:tcBorders>
          </w:tcPr>
          <w:p w14:paraId="435CB3DC" w14:textId="77777777" w:rsidR="00B063F1" w:rsidRPr="00F9348B" w:rsidRDefault="00B063F1" w:rsidP="00B063F1">
            <w:pPr>
              <w:pStyle w:val="TableText0"/>
              <w:keepNext w:val="0"/>
              <w:rPr>
                <w:rFonts w:cs="Arial"/>
                <w:highlight w:val="green"/>
              </w:rPr>
            </w:pPr>
            <w:r w:rsidRPr="00F9348B">
              <w:rPr>
                <w:rFonts w:cs="Arial"/>
              </w:rPr>
              <w:t>The treatment must be the sole PBS-subsidised therapy for this condition;</w:t>
            </w:r>
          </w:p>
        </w:tc>
      </w:tr>
      <w:tr w:rsidR="00B063F1" w:rsidRPr="00F9348B" w14:paraId="338A9D29" w14:textId="77777777" w:rsidTr="00B06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34" w:type="pct"/>
            <w:gridSpan w:val="2"/>
            <w:tcBorders>
              <w:top w:val="single" w:sz="4" w:space="0" w:color="auto"/>
              <w:left w:val="single" w:sz="4" w:space="0" w:color="auto"/>
              <w:bottom w:val="single" w:sz="4" w:space="0" w:color="auto"/>
              <w:right w:val="single" w:sz="4" w:space="0" w:color="auto"/>
            </w:tcBorders>
          </w:tcPr>
          <w:p w14:paraId="27C1CE27" w14:textId="77777777" w:rsidR="00B063F1" w:rsidRPr="00F9348B" w:rsidRDefault="00B063F1" w:rsidP="00B063F1">
            <w:pPr>
              <w:pStyle w:val="TableText0"/>
              <w:keepNext w:val="0"/>
              <w:rPr>
                <w:rFonts w:cs="Arial"/>
                <w:b/>
                <w:bCs w:val="0"/>
              </w:rPr>
            </w:pPr>
          </w:p>
        </w:tc>
        <w:tc>
          <w:tcPr>
            <w:tcW w:w="4266" w:type="pct"/>
            <w:gridSpan w:val="6"/>
            <w:tcBorders>
              <w:top w:val="single" w:sz="4" w:space="0" w:color="auto"/>
              <w:left w:val="single" w:sz="4" w:space="0" w:color="auto"/>
              <w:bottom w:val="single" w:sz="4" w:space="0" w:color="auto"/>
              <w:right w:val="single" w:sz="4" w:space="0" w:color="auto"/>
            </w:tcBorders>
          </w:tcPr>
          <w:p w14:paraId="510E7AD2" w14:textId="77777777" w:rsidR="00B063F1" w:rsidRPr="00F9348B" w:rsidRDefault="00B063F1" w:rsidP="00B063F1">
            <w:pPr>
              <w:pStyle w:val="TableText0"/>
              <w:keepNext w:val="0"/>
              <w:rPr>
                <w:rFonts w:cs="Arial"/>
              </w:rPr>
            </w:pPr>
            <w:r w:rsidRPr="00F9348B">
              <w:rPr>
                <w:rFonts w:cs="Arial"/>
                <w:b/>
                <w:bCs w:val="0"/>
              </w:rPr>
              <w:t>AND</w:t>
            </w:r>
          </w:p>
        </w:tc>
      </w:tr>
      <w:tr w:rsidR="00B063F1" w:rsidRPr="00F9348B" w14:paraId="48961563"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67BC03AF" w14:textId="77777777" w:rsidR="00B063F1" w:rsidRPr="00F9348B" w:rsidRDefault="00B063F1" w:rsidP="00B063F1">
            <w:pPr>
              <w:pStyle w:val="COMTabletext"/>
              <w:keepNext w:val="0"/>
              <w:rPr>
                <w:b/>
                <w:szCs w:val="20"/>
              </w:rPr>
            </w:pPr>
          </w:p>
        </w:tc>
        <w:tc>
          <w:tcPr>
            <w:tcW w:w="4266" w:type="pct"/>
            <w:gridSpan w:val="6"/>
            <w:vAlign w:val="center"/>
            <w:hideMark/>
          </w:tcPr>
          <w:p w14:paraId="32E64FF4" w14:textId="77777777" w:rsidR="00B063F1" w:rsidRPr="00F9348B" w:rsidRDefault="00B063F1" w:rsidP="00B063F1">
            <w:pPr>
              <w:pStyle w:val="COMTabletext"/>
              <w:keepNext w:val="0"/>
              <w:rPr>
                <w:szCs w:val="20"/>
              </w:rPr>
            </w:pPr>
            <w:r w:rsidRPr="00F9348B">
              <w:rPr>
                <w:b/>
                <w:szCs w:val="20"/>
              </w:rPr>
              <w:t>Clinical criteria:</w:t>
            </w:r>
          </w:p>
        </w:tc>
      </w:tr>
      <w:tr w:rsidR="00B063F1" w:rsidRPr="00F9348B" w14:paraId="3453111B" w14:textId="77777777" w:rsidTr="00B06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34" w:type="pct"/>
            <w:gridSpan w:val="2"/>
            <w:tcBorders>
              <w:top w:val="single" w:sz="4" w:space="0" w:color="auto"/>
              <w:left w:val="single" w:sz="4" w:space="0" w:color="auto"/>
              <w:bottom w:val="single" w:sz="4" w:space="0" w:color="auto"/>
              <w:right w:val="single" w:sz="4" w:space="0" w:color="auto"/>
            </w:tcBorders>
          </w:tcPr>
          <w:p w14:paraId="40BF5753" w14:textId="77777777" w:rsidR="00B063F1" w:rsidRPr="00F9348B" w:rsidRDefault="00B063F1" w:rsidP="00B063F1">
            <w:pPr>
              <w:pStyle w:val="TableText0"/>
              <w:keepNext w:val="0"/>
              <w:rPr>
                <w:rFonts w:cs="Arial"/>
              </w:rPr>
            </w:pPr>
          </w:p>
        </w:tc>
        <w:tc>
          <w:tcPr>
            <w:tcW w:w="4266" w:type="pct"/>
            <w:gridSpan w:val="6"/>
            <w:tcBorders>
              <w:top w:val="single" w:sz="4" w:space="0" w:color="auto"/>
              <w:left w:val="single" w:sz="4" w:space="0" w:color="auto"/>
              <w:bottom w:val="single" w:sz="4" w:space="0" w:color="auto"/>
              <w:right w:val="single" w:sz="4" w:space="0" w:color="auto"/>
            </w:tcBorders>
          </w:tcPr>
          <w:p w14:paraId="0785D543" w14:textId="77777777" w:rsidR="00B063F1" w:rsidRPr="00F9348B" w:rsidRDefault="00B063F1" w:rsidP="00B063F1">
            <w:pPr>
              <w:pStyle w:val="TableText0"/>
              <w:keepNext w:val="0"/>
              <w:rPr>
                <w:rFonts w:cs="Arial"/>
              </w:rPr>
            </w:pPr>
            <w:r w:rsidRPr="00F9348B">
              <w:rPr>
                <w:rFonts w:cs="Arial"/>
              </w:rPr>
              <w:t xml:space="preserve">The treatment must not exceed a lifetime maximum of 12 months </w:t>
            </w:r>
            <w:r w:rsidRPr="00F9348B">
              <w:rPr>
                <w:bCs w:val="0"/>
                <w:szCs w:val="20"/>
              </w:rPr>
              <w:t>of PBS and non-PBS-subsidised therapy</w:t>
            </w:r>
            <w:r w:rsidRPr="00F9348B">
              <w:rPr>
                <w:rFonts w:cs="Arial"/>
              </w:rPr>
              <w:t>.</w:t>
            </w:r>
          </w:p>
        </w:tc>
      </w:tr>
      <w:tr w:rsidR="00B063F1" w:rsidRPr="00F9348B" w14:paraId="2295C8BA" w14:textId="77777777" w:rsidTr="00B06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34" w:type="pct"/>
            <w:gridSpan w:val="2"/>
            <w:tcBorders>
              <w:top w:val="single" w:sz="4" w:space="0" w:color="auto"/>
              <w:left w:val="single" w:sz="4" w:space="0" w:color="auto"/>
              <w:bottom w:val="single" w:sz="4" w:space="0" w:color="auto"/>
              <w:right w:val="single" w:sz="4" w:space="0" w:color="auto"/>
            </w:tcBorders>
          </w:tcPr>
          <w:p w14:paraId="71C40143" w14:textId="77777777" w:rsidR="00B063F1" w:rsidRPr="00F9348B" w:rsidRDefault="00B063F1" w:rsidP="00B063F1">
            <w:pPr>
              <w:pStyle w:val="TableText0"/>
              <w:keepNext w:val="0"/>
              <w:rPr>
                <w:rFonts w:cs="Arial"/>
              </w:rPr>
            </w:pPr>
          </w:p>
        </w:tc>
        <w:tc>
          <w:tcPr>
            <w:tcW w:w="4266" w:type="pct"/>
            <w:gridSpan w:val="6"/>
            <w:tcBorders>
              <w:top w:val="single" w:sz="4" w:space="0" w:color="auto"/>
              <w:left w:val="single" w:sz="4" w:space="0" w:color="auto"/>
              <w:bottom w:val="single" w:sz="4" w:space="0" w:color="auto"/>
              <w:right w:val="single" w:sz="4" w:space="0" w:color="auto"/>
            </w:tcBorders>
          </w:tcPr>
          <w:p w14:paraId="077159FC" w14:textId="77777777" w:rsidR="00B063F1" w:rsidRPr="00F9348B" w:rsidRDefault="00B063F1" w:rsidP="00B063F1">
            <w:pPr>
              <w:pStyle w:val="TableText0"/>
              <w:keepNext w:val="0"/>
              <w:rPr>
                <w:rFonts w:cs="Arial"/>
                <w:b/>
                <w:bCs w:val="0"/>
              </w:rPr>
            </w:pPr>
            <w:r w:rsidRPr="00F9348B">
              <w:rPr>
                <w:rFonts w:cs="Arial"/>
                <w:b/>
                <w:bCs w:val="0"/>
              </w:rPr>
              <w:t>Treatment criteria:</w:t>
            </w:r>
          </w:p>
        </w:tc>
      </w:tr>
      <w:tr w:rsidR="00B063F1" w:rsidRPr="00F9348B" w14:paraId="6A531ECB" w14:textId="77777777" w:rsidTr="00B06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34" w:type="pct"/>
            <w:gridSpan w:val="2"/>
            <w:tcBorders>
              <w:top w:val="single" w:sz="4" w:space="0" w:color="auto"/>
              <w:left w:val="single" w:sz="4" w:space="0" w:color="auto"/>
              <w:bottom w:val="single" w:sz="4" w:space="0" w:color="auto"/>
              <w:right w:val="single" w:sz="4" w:space="0" w:color="auto"/>
            </w:tcBorders>
          </w:tcPr>
          <w:p w14:paraId="6742598A" w14:textId="77777777" w:rsidR="00B063F1" w:rsidRPr="00F9348B" w:rsidRDefault="00B063F1" w:rsidP="00B063F1">
            <w:pPr>
              <w:pStyle w:val="TableText0"/>
              <w:keepNext w:val="0"/>
              <w:rPr>
                <w:rFonts w:cs="Arial"/>
              </w:rPr>
            </w:pPr>
          </w:p>
        </w:tc>
        <w:tc>
          <w:tcPr>
            <w:tcW w:w="4266" w:type="pct"/>
            <w:gridSpan w:val="6"/>
            <w:tcBorders>
              <w:top w:val="single" w:sz="4" w:space="0" w:color="auto"/>
              <w:left w:val="single" w:sz="4" w:space="0" w:color="auto"/>
              <w:bottom w:val="single" w:sz="4" w:space="0" w:color="auto"/>
              <w:right w:val="single" w:sz="4" w:space="0" w:color="auto"/>
            </w:tcBorders>
          </w:tcPr>
          <w:p w14:paraId="7771F864" w14:textId="77777777" w:rsidR="00B063F1" w:rsidRPr="00F9348B" w:rsidRDefault="00B063F1" w:rsidP="00B063F1">
            <w:pPr>
              <w:pStyle w:val="TableText0"/>
              <w:keepNext w:val="0"/>
              <w:rPr>
                <w:rFonts w:cs="Arial"/>
              </w:rPr>
            </w:pPr>
            <w:r w:rsidRPr="00F9348B">
              <w:rPr>
                <w:rFonts w:cs="Arial"/>
              </w:rPr>
              <w:t>Must be treated by a medical practitioner identifying as either: (i) a Consultant Physician, (ii) a General Practitioner.</w:t>
            </w:r>
          </w:p>
        </w:tc>
      </w:tr>
      <w:tr w:rsidR="00B063F1" w:rsidRPr="00F9348B" w14:paraId="61C5CE09" w14:textId="77777777" w:rsidTr="00B06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8"/>
            <w:tcBorders>
              <w:top w:val="single" w:sz="4" w:space="0" w:color="auto"/>
              <w:left w:val="single" w:sz="4" w:space="0" w:color="auto"/>
              <w:bottom w:val="single" w:sz="4" w:space="0" w:color="auto"/>
              <w:right w:val="single" w:sz="4" w:space="0" w:color="auto"/>
            </w:tcBorders>
          </w:tcPr>
          <w:p w14:paraId="11D1455D" w14:textId="77777777" w:rsidR="00B063F1" w:rsidRPr="00F9348B" w:rsidRDefault="00B063F1" w:rsidP="00B063F1">
            <w:pPr>
              <w:pStyle w:val="TableText0"/>
              <w:keepNext w:val="0"/>
              <w:rPr>
                <w:rFonts w:cs="Arial"/>
              </w:rPr>
            </w:pPr>
          </w:p>
          <w:p w14:paraId="245EBEAE" w14:textId="77777777" w:rsidR="00B063F1" w:rsidRPr="00F9348B" w:rsidRDefault="00B063F1" w:rsidP="00B063F1">
            <w:pPr>
              <w:pStyle w:val="TableText0"/>
              <w:keepNext w:val="0"/>
              <w:rPr>
                <w:rFonts w:cs="Arial"/>
              </w:rPr>
            </w:pPr>
          </w:p>
        </w:tc>
      </w:tr>
      <w:tr w:rsidR="00B063F1" w:rsidRPr="00F9348B" w14:paraId="0A83A519" w14:textId="77777777" w:rsidTr="00B063F1">
        <w:tblPrEx>
          <w:tblCellMar>
            <w:top w:w="15" w:type="dxa"/>
            <w:bottom w:w="15" w:type="dxa"/>
          </w:tblCellMar>
          <w:tblLook w:val="04A0" w:firstRow="1" w:lastRow="0" w:firstColumn="1" w:lastColumn="0" w:noHBand="0" w:noVBand="1"/>
        </w:tblPrEx>
        <w:trPr>
          <w:cantSplit/>
          <w:trHeight w:val="20"/>
        </w:trPr>
        <w:tc>
          <w:tcPr>
            <w:tcW w:w="5000" w:type="pct"/>
            <w:gridSpan w:val="8"/>
          </w:tcPr>
          <w:p w14:paraId="7C7E0B47" w14:textId="77777777" w:rsidR="00B063F1" w:rsidRPr="00F9348B" w:rsidRDefault="00B063F1" w:rsidP="00B063F1">
            <w:pPr>
              <w:pStyle w:val="COMTabletext"/>
              <w:keepNext w:val="0"/>
              <w:rPr>
                <w:b/>
                <w:bCs w:val="0"/>
              </w:rPr>
            </w:pPr>
            <w:r w:rsidRPr="00F9348B">
              <w:rPr>
                <w:b/>
                <w:szCs w:val="20"/>
              </w:rPr>
              <w:t>Restriction Summary [new] / Treatment of concept [new]</w:t>
            </w:r>
          </w:p>
        </w:tc>
      </w:tr>
      <w:tr w:rsidR="00B063F1" w:rsidRPr="00F9348B" w14:paraId="30AA983C"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vMerge w:val="restart"/>
          </w:tcPr>
          <w:p w14:paraId="77615EC2" w14:textId="77777777" w:rsidR="00B063F1" w:rsidRPr="00F9348B" w:rsidRDefault="00B063F1" w:rsidP="00B063F1">
            <w:pPr>
              <w:pStyle w:val="COMTabletext"/>
              <w:keepNext w:val="0"/>
              <w:rPr>
                <w:b/>
                <w:bCs w:val="0"/>
                <w:szCs w:val="20"/>
              </w:rPr>
            </w:pPr>
            <w:r w:rsidRPr="00F9348B">
              <w:rPr>
                <w:b/>
                <w:bCs w:val="0"/>
                <w:szCs w:val="20"/>
              </w:rPr>
              <w:t>Concept ID</w:t>
            </w:r>
          </w:p>
          <w:p w14:paraId="6D7D3EE5" w14:textId="77777777" w:rsidR="00B063F1" w:rsidRPr="00F9348B" w:rsidRDefault="00B063F1" w:rsidP="00B063F1">
            <w:pPr>
              <w:pStyle w:val="COMTabletext"/>
              <w:keepNext w:val="0"/>
              <w:rPr>
                <w:b/>
                <w:bCs w:val="0"/>
              </w:rPr>
            </w:pPr>
            <w:r w:rsidRPr="00F9348B">
              <w:rPr>
                <w:szCs w:val="20"/>
              </w:rPr>
              <w:t>(for internal Dept. use)</w:t>
            </w:r>
          </w:p>
        </w:tc>
        <w:tc>
          <w:tcPr>
            <w:tcW w:w="4266" w:type="pct"/>
            <w:gridSpan w:val="6"/>
            <w:vAlign w:val="center"/>
          </w:tcPr>
          <w:p w14:paraId="78E2D24C" w14:textId="77777777" w:rsidR="00B063F1" w:rsidRPr="00F9348B" w:rsidRDefault="00B063F1" w:rsidP="00B063F1">
            <w:pPr>
              <w:pStyle w:val="COMTabletext"/>
              <w:keepNext w:val="0"/>
              <w:rPr>
                <w:b/>
                <w:bCs w:val="0"/>
              </w:rPr>
            </w:pPr>
            <w:r w:rsidRPr="00F9348B">
              <w:rPr>
                <w:b/>
                <w:szCs w:val="20"/>
              </w:rPr>
              <w:t xml:space="preserve">Category / Program:   </w:t>
            </w:r>
            <w:r w:rsidRPr="00F9348B">
              <w:rPr>
                <w:szCs w:val="20"/>
              </w:rPr>
              <w:t>GENERAL – General Schedule (Code GE)</w:t>
            </w:r>
          </w:p>
        </w:tc>
      </w:tr>
      <w:tr w:rsidR="00B063F1" w:rsidRPr="00F9348B" w14:paraId="5C295028"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vMerge/>
          </w:tcPr>
          <w:p w14:paraId="1B9EFB8F" w14:textId="77777777" w:rsidR="00B063F1" w:rsidRPr="00F9348B" w:rsidRDefault="00B063F1" w:rsidP="00B063F1">
            <w:pPr>
              <w:pStyle w:val="COMTabletext"/>
              <w:keepNext w:val="0"/>
              <w:rPr>
                <w:b/>
                <w:bCs w:val="0"/>
              </w:rPr>
            </w:pPr>
          </w:p>
        </w:tc>
        <w:tc>
          <w:tcPr>
            <w:tcW w:w="4266" w:type="pct"/>
            <w:gridSpan w:val="6"/>
            <w:vAlign w:val="center"/>
          </w:tcPr>
          <w:p w14:paraId="3D25548C" w14:textId="77777777" w:rsidR="00B063F1" w:rsidRPr="00F9348B" w:rsidRDefault="00B063F1" w:rsidP="00B063F1">
            <w:pPr>
              <w:pStyle w:val="COMTabletext"/>
              <w:keepNext w:val="0"/>
              <w:rPr>
                <w:b/>
                <w:bCs w:val="0"/>
              </w:rPr>
            </w:pPr>
            <w:r w:rsidRPr="00F9348B">
              <w:rPr>
                <w:b/>
                <w:szCs w:val="20"/>
              </w:rPr>
              <w:t xml:space="preserve">Prescriber type:   </w:t>
            </w:r>
            <w:r w:rsidRPr="00F9348B">
              <w:rPr>
                <w:szCs w:val="20"/>
              </w:rPr>
              <w:fldChar w:fldCharType="begin" w:fldLock="1">
                <w:ffData>
                  <w:name w:val=""/>
                  <w:enabled/>
                  <w:calcOnExit w:val="0"/>
                  <w:checkBox>
                    <w:sizeAuto/>
                    <w:default w:val="1"/>
                  </w:checkBox>
                </w:ffData>
              </w:fldChar>
            </w:r>
            <w:r w:rsidRPr="00F9348B">
              <w:rPr>
                <w:szCs w:val="20"/>
              </w:rPr>
              <w:instrText xml:space="preserve"> FORMCHECKBOX </w:instrText>
            </w:r>
            <w:r w:rsidR="00D16346">
              <w:rPr>
                <w:szCs w:val="20"/>
              </w:rPr>
            </w:r>
            <w:r w:rsidR="00D16346">
              <w:rPr>
                <w:szCs w:val="20"/>
              </w:rPr>
              <w:fldChar w:fldCharType="separate"/>
            </w:r>
            <w:r w:rsidRPr="00F9348B">
              <w:rPr>
                <w:szCs w:val="20"/>
              </w:rPr>
              <w:fldChar w:fldCharType="end"/>
            </w:r>
            <w:r w:rsidRPr="00F9348B">
              <w:rPr>
                <w:szCs w:val="20"/>
              </w:rPr>
              <w:t>Medical Practitioners</w:t>
            </w:r>
          </w:p>
        </w:tc>
      </w:tr>
      <w:tr w:rsidR="00B063F1" w:rsidRPr="00F9348B" w14:paraId="77D517FA"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vMerge/>
          </w:tcPr>
          <w:p w14:paraId="37F4EB71" w14:textId="77777777" w:rsidR="00B063F1" w:rsidRPr="00F9348B" w:rsidRDefault="00B063F1" w:rsidP="00B063F1">
            <w:pPr>
              <w:pStyle w:val="COMTabletext"/>
              <w:keepNext w:val="0"/>
              <w:rPr>
                <w:b/>
                <w:bCs w:val="0"/>
              </w:rPr>
            </w:pPr>
          </w:p>
        </w:tc>
        <w:tc>
          <w:tcPr>
            <w:tcW w:w="4266" w:type="pct"/>
            <w:gridSpan w:val="6"/>
          </w:tcPr>
          <w:p w14:paraId="49F930E2" w14:textId="77777777" w:rsidR="00B063F1" w:rsidRPr="00F9348B" w:rsidRDefault="00B063F1" w:rsidP="00B063F1">
            <w:pPr>
              <w:pStyle w:val="COMTabletext"/>
              <w:keepNext w:val="0"/>
              <w:rPr>
                <w:b/>
                <w:bCs w:val="0"/>
              </w:rPr>
            </w:pPr>
            <w:r w:rsidRPr="00F9348B">
              <w:rPr>
                <w:b/>
                <w:szCs w:val="20"/>
              </w:rPr>
              <w:t xml:space="preserve">Restriction type: </w:t>
            </w:r>
            <w:r w:rsidRPr="00F9348B">
              <w:rPr>
                <w:rFonts w:eastAsia="Times New Roman"/>
                <w:szCs w:val="20"/>
              </w:rPr>
              <w:fldChar w:fldCharType="begin" w:fldLock="1">
                <w:ffData>
                  <w:name w:val="Check3"/>
                  <w:enabled/>
                  <w:calcOnExit w:val="0"/>
                  <w:checkBox>
                    <w:sizeAuto/>
                    <w:default w:val="1"/>
                  </w:checkBox>
                </w:ffData>
              </w:fldChar>
            </w:r>
            <w:r w:rsidRPr="00F9348B">
              <w:rPr>
                <w:rFonts w:eastAsia="Times New Roman"/>
                <w:szCs w:val="20"/>
              </w:rPr>
              <w:instrText xml:space="preserve"> FORMCHECKBOX </w:instrText>
            </w:r>
            <w:r w:rsidR="00D16346">
              <w:rPr>
                <w:rFonts w:eastAsia="Times New Roman"/>
                <w:szCs w:val="20"/>
              </w:rPr>
            </w:r>
            <w:r w:rsidR="00D16346">
              <w:rPr>
                <w:rFonts w:eastAsia="Times New Roman"/>
                <w:szCs w:val="20"/>
              </w:rPr>
              <w:fldChar w:fldCharType="separate"/>
            </w:r>
            <w:r w:rsidRPr="00F9348B">
              <w:rPr>
                <w:rFonts w:eastAsia="Times New Roman"/>
                <w:szCs w:val="20"/>
              </w:rPr>
              <w:fldChar w:fldCharType="end"/>
            </w:r>
            <w:r w:rsidRPr="00F9348B">
              <w:rPr>
                <w:rFonts w:eastAsia="Times New Roman"/>
                <w:szCs w:val="20"/>
              </w:rPr>
              <w:t xml:space="preserve"> </w:t>
            </w:r>
            <w:r w:rsidRPr="00F9348B">
              <w:t>Authority Required – Telephone, Electronic</w:t>
            </w:r>
          </w:p>
        </w:tc>
      </w:tr>
      <w:tr w:rsidR="00B063F1" w:rsidRPr="00F9348B" w14:paraId="2DB26FFD"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4505D5C5" w14:textId="77777777" w:rsidR="00B063F1" w:rsidRPr="00F9348B" w:rsidRDefault="00B063F1" w:rsidP="00B063F1">
            <w:pPr>
              <w:pStyle w:val="COMTabletext"/>
              <w:keepNext w:val="0"/>
              <w:rPr>
                <w:b/>
                <w:bCs w:val="0"/>
              </w:rPr>
            </w:pPr>
          </w:p>
        </w:tc>
        <w:tc>
          <w:tcPr>
            <w:tcW w:w="4266" w:type="pct"/>
            <w:gridSpan w:val="6"/>
          </w:tcPr>
          <w:p w14:paraId="0BE6BB77" w14:textId="77777777" w:rsidR="00B063F1" w:rsidRPr="00F9348B" w:rsidRDefault="00B063F1" w:rsidP="00B063F1">
            <w:pPr>
              <w:pStyle w:val="COMTabletext"/>
              <w:keepNext w:val="0"/>
            </w:pPr>
            <w:r w:rsidRPr="00F9348B">
              <w:rPr>
                <w:rFonts w:cs="Arial"/>
                <w:b/>
                <w:bCs w:val="0"/>
              </w:rPr>
              <w:t xml:space="preserve">Treatment Phase: </w:t>
            </w:r>
            <w:r w:rsidRPr="00F9348B">
              <w:rPr>
                <w:rFonts w:cs="Arial"/>
              </w:rPr>
              <w:t>Grandfathered</w:t>
            </w:r>
          </w:p>
        </w:tc>
      </w:tr>
      <w:tr w:rsidR="00B063F1" w:rsidRPr="00F9348B" w14:paraId="7AA9B53F"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317F19BF" w14:textId="77777777" w:rsidR="00B063F1" w:rsidRPr="00F9348B" w:rsidRDefault="00B063F1" w:rsidP="00B063F1">
            <w:pPr>
              <w:pStyle w:val="COMTabletext"/>
              <w:keepNext w:val="0"/>
              <w:rPr>
                <w:b/>
              </w:rPr>
            </w:pPr>
          </w:p>
        </w:tc>
        <w:tc>
          <w:tcPr>
            <w:tcW w:w="4266" w:type="pct"/>
            <w:gridSpan w:val="6"/>
            <w:vAlign w:val="center"/>
            <w:hideMark/>
          </w:tcPr>
          <w:p w14:paraId="740B903F" w14:textId="77777777" w:rsidR="00B063F1" w:rsidRPr="00F9348B" w:rsidRDefault="00B063F1" w:rsidP="00B063F1">
            <w:pPr>
              <w:pStyle w:val="COMTabletext"/>
              <w:keepNext w:val="0"/>
            </w:pPr>
            <w:r w:rsidRPr="00F9348B">
              <w:rPr>
                <w:b/>
              </w:rPr>
              <w:t>Clinical criteria:</w:t>
            </w:r>
          </w:p>
        </w:tc>
      </w:tr>
      <w:tr w:rsidR="00B063F1" w:rsidRPr="00F9348B" w14:paraId="797CC2C5"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5B9B3589" w14:textId="77777777" w:rsidR="00B063F1" w:rsidRPr="00F9348B" w:rsidRDefault="00B063F1" w:rsidP="00B063F1">
            <w:pPr>
              <w:pStyle w:val="COMTabletext"/>
              <w:keepNext w:val="0"/>
              <w:rPr>
                <w:bCs w:val="0"/>
              </w:rPr>
            </w:pPr>
          </w:p>
        </w:tc>
        <w:tc>
          <w:tcPr>
            <w:tcW w:w="4266" w:type="pct"/>
            <w:gridSpan w:val="6"/>
            <w:vAlign w:val="center"/>
          </w:tcPr>
          <w:p w14:paraId="6C61A827" w14:textId="77777777" w:rsidR="00B063F1" w:rsidRPr="00F9348B" w:rsidRDefault="00B063F1" w:rsidP="00B063F1">
            <w:pPr>
              <w:pStyle w:val="COMTabletext"/>
              <w:keepNext w:val="0"/>
              <w:rPr>
                <w:bCs w:val="0"/>
              </w:rPr>
            </w:pPr>
            <w:r w:rsidRPr="00F9348B">
              <w:rPr>
                <w:bCs w:val="0"/>
              </w:rPr>
              <w:t>Patient must have received non-PBS subsidised treatment with this drug for this PBS indication prior to [insert listing date];</w:t>
            </w:r>
          </w:p>
        </w:tc>
      </w:tr>
      <w:tr w:rsidR="00B063F1" w:rsidRPr="00F9348B" w14:paraId="1077F53D"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42490144" w14:textId="77777777" w:rsidR="00B063F1" w:rsidRPr="00F9348B" w:rsidRDefault="00B063F1" w:rsidP="00B063F1">
            <w:pPr>
              <w:pStyle w:val="COMTabletext"/>
              <w:keepNext w:val="0"/>
              <w:rPr>
                <w:b/>
              </w:rPr>
            </w:pPr>
          </w:p>
        </w:tc>
        <w:tc>
          <w:tcPr>
            <w:tcW w:w="4266" w:type="pct"/>
            <w:gridSpan w:val="6"/>
            <w:vAlign w:val="center"/>
          </w:tcPr>
          <w:p w14:paraId="05C277BB" w14:textId="77777777" w:rsidR="00B063F1" w:rsidRPr="00F9348B" w:rsidRDefault="00B063F1" w:rsidP="00B063F1">
            <w:pPr>
              <w:pStyle w:val="COMTabletext"/>
              <w:keepNext w:val="0"/>
              <w:rPr>
                <w:b/>
              </w:rPr>
            </w:pPr>
            <w:r w:rsidRPr="00F9348B">
              <w:rPr>
                <w:b/>
              </w:rPr>
              <w:t>AND</w:t>
            </w:r>
          </w:p>
        </w:tc>
      </w:tr>
      <w:tr w:rsidR="00B063F1" w:rsidRPr="00F9348B" w14:paraId="62497BE1"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Borders>
              <w:top w:val="single" w:sz="4" w:space="0" w:color="auto"/>
              <w:left w:val="single" w:sz="4" w:space="0" w:color="auto"/>
              <w:bottom w:val="single" w:sz="4" w:space="0" w:color="auto"/>
              <w:right w:val="single" w:sz="4" w:space="0" w:color="auto"/>
            </w:tcBorders>
          </w:tcPr>
          <w:p w14:paraId="6507D064" w14:textId="77777777" w:rsidR="00B063F1" w:rsidRPr="00F9348B" w:rsidRDefault="00B063F1" w:rsidP="00B063F1">
            <w:pPr>
              <w:pStyle w:val="COMTabletext"/>
              <w:keepNext w:val="0"/>
              <w:rPr>
                <w:bCs w:val="0"/>
              </w:rPr>
            </w:pPr>
          </w:p>
        </w:tc>
        <w:tc>
          <w:tcPr>
            <w:tcW w:w="4266" w:type="pct"/>
            <w:gridSpan w:val="6"/>
            <w:tcBorders>
              <w:top w:val="single" w:sz="4" w:space="0" w:color="auto"/>
              <w:left w:val="single" w:sz="4" w:space="0" w:color="auto"/>
              <w:bottom w:val="single" w:sz="4" w:space="0" w:color="auto"/>
              <w:right w:val="single" w:sz="4" w:space="0" w:color="auto"/>
            </w:tcBorders>
            <w:vAlign w:val="center"/>
          </w:tcPr>
          <w:p w14:paraId="77D2851C" w14:textId="77777777" w:rsidR="00B063F1" w:rsidRPr="00F9348B" w:rsidRDefault="00B063F1" w:rsidP="00B063F1">
            <w:pPr>
              <w:pStyle w:val="COMTabletext"/>
              <w:keepNext w:val="0"/>
              <w:rPr>
                <w:b/>
              </w:rPr>
            </w:pPr>
            <w:r w:rsidRPr="00F9348B">
              <w:rPr>
                <w:b/>
              </w:rPr>
              <w:t>Clinical criteria:</w:t>
            </w:r>
          </w:p>
        </w:tc>
      </w:tr>
      <w:tr w:rsidR="00B063F1" w:rsidRPr="00F9348B" w14:paraId="1CD6E217"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Borders>
              <w:top w:val="single" w:sz="4" w:space="0" w:color="auto"/>
              <w:left w:val="single" w:sz="4" w:space="0" w:color="auto"/>
              <w:bottom w:val="single" w:sz="4" w:space="0" w:color="auto"/>
              <w:right w:val="single" w:sz="4" w:space="0" w:color="auto"/>
            </w:tcBorders>
          </w:tcPr>
          <w:p w14:paraId="3822588E" w14:textId="77777777" w:rsidR="00B063F1" w:rsidRPr="00F9348B" w:rsidRDefault="00B063F1" w:rsidP="00B063F1">
            <w:pPr>
              <w:pStyle w:val="COMTabletext"/>
              <w:keepNext w:val="0"/>
              <w:rPr>
                <w:bCs w:val="0"/>
              </w:rPr>
            </w:pPr>
          </w:p>
        </w:tc>
        <w:tc>
          <w:tcPr>
            <w:tcW w:w="4266" w:type="pct"/>
            <w:gridSpan w:val="6"/>
            <w:tcBorders>
              <w:top w:val="single" w:sz="4" w:space="0" w:color="auto"/>
              <w:left w:val="single" w:sz="4" w:space="0" w:color="auto"/>
              <w:bottom w:val="single" w:sz="4" w:space="0" w:color="auto"/>
              <w:right w:val="single" w:sz="4" w:space="0" w:color="auto"/>
            </w:tcBorders>
            <w:vAlign w:val="center"/>
          </w:tcPr>
          <w:p w14:paraId="18AC160E" w14:textId="77777777" w:rsidR="00B063F1" w:rsidRPr="00F9348B" w:rsidRDefault="00B063F1" w:rsidP="00B063F1">
            <w:pPr>
              <w:pStyle w:val="COMTabletext"/>
              <w:keepNext w:val="0"/>
              <w:rPr>
                <w:bCs w:val="0"/>
              </w:rPr>
            </w:pPr>
            <w:r w:rsidRPr="00F9348B">
              <w:rPr>
                <w:bCs w:val="0"/>
                <w:szCs w:val="20"/>
              </w:rPr>
              <w:t xml:space="preserve">Patient must not have received PBS-subsidised treatment with any of the following prior </w:t>
            </w:r>
            <w:r w:rsidRPr="00F9348B">
              <w:rPr>
                <w:bCs w:val="0"/>
              </w:rPr>
              <w:t>to initiating non-PBS-subsidised treatment with this drug for this condition</w:t>
            </w:r>
            <w:r w:rsidRPr="00F9348B">
              <w:rPr>
                <w:bCs w:val="0"/>
                <w:szCs w:val="20"/>
              </w:rPr>
              <w:t>: (i) anti-resorptive therapy, (ii) teriparatide, (iii) romosozumab;</w:t>
            </w:r>
          </w:p>
        </w:tc>
      </w:tr>
      <w:tr w:rsidR="00B063F1" w:rsidRPr="00F9348B" w14:paraId="74EA1027"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Borders>
              <w:top w:val="single" w:sz="4" w:space="0" w:color="auto"/>
              <w:left w:val="single" w:sz="4" w:space="0" w:color="auto"/>
              <w:bottom w:val="single" w:sz="4" w:space="0" w:color="auto"/>
              <w:right w:val="single" w:sz="4" w:space="0" w:color="auto"/>
            </w:tcBorders>
          </w:tcPr>
          <w:p w14:paraId="7AAC5F5F" w14:textId="77777777" w:rsidR="00B063F1" w:rsidRPr="00F9348B" w:rsidRDefault="00B063F1" w:rsidP="00B063F1">
            <w:pPr>
              <w:pStyle w:val="COMTabletext"/>
              <w:keepNext w:val="0"/>
              <w:rPr>
                <w:bCs w:val="0"/>
              </w:rPr>
            </w:pPr>
          </w:p>
        </w:tc>
        <w:tc>
          <w:tcPr>
            <w:tcW w:w="4266" w:type="pct"/>
            <w:gridSpan w:val="6"/>
            <w:tcBorders>
              <w:top w:val="single" w:sz="4" w:space="0" w:color="auto"/>
              <w:left w:val="single" w:sz="4" w:space="0" w:color="auto"/>
              <w:bottom w:val="single" w:sz="4" w:space="0" w:color="auto"/>
              <w:right w:val="single" w:sz="4" w:space="0" w:color="auto"/>
            </w:tcBorders>
            <w:vAlign w:val="center"/>
          </w:tcPr>
          <w:p w14:paraId="41D3C99B" w14:textId="77777777" w:rsidR="00B063F1" w:rsidRPr="00F9348B" w:rsidRDefault="00B063F1" w:rsidP="00B063F1">
            <w:pPr>
              <w:pStyle w:val="COMTabletext"/>
              <w:keepNext w:val="0"/>
              <w:rPr>
                <w:bCs w:val="0"/>
              </w:rPr>
            </w:pPr>
            <w:r w:rsidRPr="00F9348B">
              <w:rPr>
                <w:b/>
              </w:rPr>
              <w:t>AND</w:t>
            </w:r>
          </w:p>
        </w:tc>
      </w:tr>
      <w:tr w:rsidR="00B063F1" w:rsidRPr="00F9348B" w14:paraId="78F790C0"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527AA7FF" w14:textId="77777777" w:rsidR="00B063F1" w:rsidRPr="00F9348B" w:rsidRDefault="00B063F1" w:rsidP="00B063F1">
            <w:pPr>
              <w:pStyle w:val="COMTabletext"/>
              <w:keepNext w:val="0"/>
              <w:rPr>
                <w:b/>
                <w:szCs w:val="20"/>
              </w:rPr>
            </w:pPr>
          </w:p>
        </w:tc>
        <w:tc>
          <w:tcPr>
            <w:tcW w:w="4266" w:type="pct"/>
            <w:gridSpan w:val="6"/>
            <w:vAlign w:val="center"/>
            <w:hideMark/>
          </w:tcPr>
          <w:p w14:paraId="468BB6FB" w14:textId="77777777" w:rsidR="00B063F1" w:rsidRPr="00F9348B" w:rsidRDefault="00B063F1" w:rsidP="00B063F1">
            <w:pPr>
              <w:pStyle w:val="COMTabletext"/>
              <w:keepNext w:val="0"/>
              <w:rPr>
                <w:szCs w:val="20"/>
              </w:rPr>
            </w:pPr>
            <w:r w:rsidRPr="00F9348B">
              <w:rPr>
                <w:b/>
                <w:szCs w:val="20"/>
              </w:rPr>
              <w:t>Clinical criteria:</w:t>
            </w:r>
          </w:p>
        </w:tc>
      </w:tr>
      <w:tr w:rsidR="00B063F1" w:rsidRPr="00F9348B" w14:paraId="7F66D907"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4C790039" w14:textId="77777777" w:rsidR="00B063F1" w:rsidRPr="00F9348B" w:rsidRDefault="00B063F1" w:rsidP="00B063F1">
            <w:pPr>
              <w:pStyle w:val="COMTabletext"/>
              <w:keepNext w:val="0"/>
            </w:pPr>
          </w:p>
        </w:tc>
        <w:tc>
          <w:tcPr>
            <w:tcW w:w="4266" w:type="pct"/>
            <w:gridSpan w:val="6"/>
            <w:vAlign w:val="center"/>
            <w:hideMark/>
          </w:tcPr>
          <w:p w14:paraId="590A68E4" w14:textId="77777777" w:rsidR="00B063F1" w:rsidRPr="00F9348B" w:rsidRDefault="00B063F1" w:rsidP="00B063F1">
            <w:pPr>
              <w:pStyle w:val="COMTabletext"/>
              <w:keepNext w:val="0"/>
            </w:pPr>
            <w:r w:rsidRPr="00F9348B">
              <w:t>Patient must be at a very high risk of fracture;</w:t>
            </w:r>
          </w:p>
        </w:tc>
      </w:tr>
      <w:tr w:rsidR="00B063F1" w:rsidRPr="00F9348B" w14:paraId="78386444"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27A0D875" w14:textId="77777777" w:rsidR="00B063F1" w:rsidRPr="00F9348B" w:rsidRDefault="00B063F1" w:rsidP="00B063F1">
            <w:pPr>
              <w:pStyle w:val="COMTabletext"/>
              <w:keepNext w:val="0"/>
              <w:rPr>
                <w:b/>
              </w:rPr>
            </w:pPr>
          </w:p>
        </w:tc>
        <w:tc>
          <w:tcPr>
            <w:tcW w:w="4266" w:type="pct"/>
            <w:gridSpan w:val="6"/>
            <w:vAlign w:val="center"/>
            <w:hideMark/>
          </w:tcPr>
          <w:p w14:paraId="609CBE2B" w14:textId="77777777" w:rsidR="00B063F1" w:rsidRPr="00F9348B" w:rsidRDefault="00B063F1" w:rsidP="00B063F1">
            <w:pPr>
              <w:pStyle w:val="COMTabletext"/>
              <w:keepNext w:val="0"/>
            </w:pPr>
            <w:r w:rsidRPr="00F9348B">
              <w:rPr>
                <w:b/>
              </w:rPr>
              <w:t>AND</w:t>
            </w:r>
          </w:p>
        </w:tc>
      </w:tr>
      <w:tr w:rsidR="00B063F1" w:rsidRPr="00F9348B" w14:paraId="170285AC"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266B6D15" w14:textId="77777777" w:rsidR="00B063F1" w:rsidRPr="00F9348B" w:rsidRDefault="00B063F1" w:rsidP="00B063F1">
            <w:pPr>
              <w:pStyle w:val="COMTabletext"/>
              <w:keepNext w:val="0"/>
              <w:rPr>
                <w:b/>
                <w:szCs w:val="20"/>
              </w:rPr>
            </w:pPr>
          </w:p>
        </w:tc>
        <w:tc>
          <w:tcPr>
            <w:tcW w:w="4266" w:type="pct"/>
            <w:gridSpan w:val="6"/>
            <w:vAlign w:val="center"/>
            <w:hideMark/>
          </w:tcPr>
          <w:p w14:paraId="02447328" w14:textId="77777777" w:rsidR="00B063F1" w:rsidRPr="00F9348B" w:rsidRDefault="00B063F1" w:rsidP="00B063F1">
            <w:pPr>
              <w:pStyle w:val="COMTabletext"/>
              <w:keepNext w:val="0"/>
              <w:rPr>
                <w:szCs w:val="20"/>
              </w:rPr>
            </w:pPr>
            <w:r w:rsidRPr="00F9348B">
              <w:rPr>
                <w:b/>
                <w:szCs w:val="20"/>
              </w:rPr>
              <w:t>Clinical criteria:</w:t>
            </w:r>
          </w:p>
        </w:tc>
      </w:tr>
      <w:tr w:rsidR="00B063F1" w:rsidRPr="00F9348B" w14:paraId="3D3C9334"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56CEDD8B" w14:textId="77777777" w:rsidR="00B063F1" w:rsidRPr="00F9348B" w:rsidRDefault="00B063F1" w:rsidP="00B063F1">
            <w:pPr>
              <w:pStyle w:val="COMTabletext"/>
              <w:keepNext w:val="0"/>
              <w:rPr>
                <w:bCs w:val="0"/>
              </w:rPr>
            </w:pPr>
          </w:p>
        </w:tc>
        <w:tc>
          <w:tcPr>
            <w:tcW w:w="4266" w:type="pct"/>
            <w:gridSpan w:val="6"/>
            <w:vAlign w:val="center"/>
          </w:tcPr>
          <w:p w14:paraId="591607F8" w14:textId="77777777" w:rsidR="00B063F1" w:rsidRPr="00F9348B" w:rsidRDefault="00B063F1" w:rsidP="00B063F1">
            <w:pPr>
              <w:pStyle w:val="COMTabletext"/>
              <w:keepNext w:val="0"/>
              <w:rPr>
                <w:bCs w:val="0"/>
              </w:rPr>
            </w:pPr>
            <w:r w:rsidRPr="00F9348B">
              <w:rPr>
                <w:bCs w:val="0"/>
              </w:rPr>
              <w:t>Patient must have had</w:t>
            </w:r>
            <w:r w:rsidRPr="00F9348B">
              <w:rPr>
                <w:bCs w:val="0"/>
                <w:i/>
                <w:iCs/>
              </w:rPr>
              <w:t xml:space="preserve"> </w:t>
            </w:r>
            <w:r w:rsidRPr="00F9348B">
              <w:rPr>
                <w:bCs w:val="0"/>
              </w:rPr>
              <w:t>a bone mineral density (BMD) T-score of -2.5 or less prior to starting non-PBS-subsidised treatment with this drug for this condition;</w:t>
            </w:r>
          </w:p>
        </w:tc>
      </w:tr>
      <w:tr w:rsidR="00B063F1" w:rsidRPr="00F9348B" w14:paraId="170199D4"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57E81120" w14:textId="77777777" w:rsidR="00B063F1" w:rsidRPr="00F9348B" w:rsidRDefault="00B063F1" w:rsidP="00B063F1">
            <w:pPr>
              <w:pStyle w:val="COMTabletext"/>
              <w:keepNext w:val="0"/>
              <w:rPr>
                <w:b/>
              </w:rPr>
            </w:pPr>
          </w:p>
        </w:tc>
        <w:tc>
          <w:tcPr>
            <w:tcW w:w="4266" w:type="pct"/>
            <w:gridSpan w:val="6"/>
            <w:vAlign w:val="center"/>
          </w:tcPr>
          <w:p w14:paraId="7CE5CD4A" w14:textId="77777777" w:rsidR="00B063F1" w:rsidRPr="00F9348B" w:rsidRDefault="00B063F1" w:rsidP="00B063F1">
            <w:pPr>
              <w:pStyle w:val="COMTabletext"/>
              <w:keepNext w:val="0"/>
              <w:rPr>
                <w:b/>
              </w:rPr>
            </w:pPr>
            <w:r w:rsidRPr="00F9348B">
              <w:rPr>
                <w:b/>
              </w:rPr>
              <w:t>AND</w:t>
            </w:r>
          </w:p>
        </w:tc>
      </w:tr>
      <w:tr w:rsidR="00B063F1" w:rsidRPr="00F9348B" w14:paraId="66EF6047"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33771CED" w14:textId="77777777" w:rsidR="00B063F1" w:rsidRPr="00F9348B" w:rsidRDefault="00B063F1" w:rsidP="00B063F1">
            <w:pPr>
              <w:pStyle w:val="COMTabletext"/>
              <w:keepNext w:val="0"/>
              <w:rPr>
                <w:b/>
                <w:szCs w:val="20"/>
              </w:rPr>
            </w:pPr>
          </w:p>
        </w:tc>
        <w:tc>
          <w:tcPr>
            <w:tcW w:w="4266" w:type="pct"/>
            <w:gridSpan w:val="6"/>
            <w:vAlign w:val="center"/>
            <w:hideMark/>
          </w:tcPr>
          <w:p w14:paraId="7B9D91CD" w14:textId="77777777" w:rsidR="00B063F1" w:rsidRPr="00F9348B" w:rsidRDefault="00B063F1" w:rsidP="00B063F1">
            <w:pPr>
              <w:pStyle w:val="COMTabletext"/>
              <w:keepNext w:val="0"/>
              <w:rPr>
                <w:szCs w:val="20"/>
              </w:rPr>
            </w:pPr>
            <w:r w:rsidRPr="00F9348B">
              <w:rPr>
                <w:b/>
                <w:szCs w:val="20"/>
              </w:rPr>
              <w:t>Clinical criteria:</w:t>
            </w:r>
          </w:p>
        </w:tc>
      </w:tr>
      <w:tr w:rsidR="00B063F1" w:rsidRPr="00F9348B" w14:paraId="4AB03B45"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084D78E9" w14:textId="77777777" w:rsidR="00B063F1" w:rsidRPr="00F9348B" w:rsidRDefault="00B063F1" w:rsidP="00B063F1">
            <w:pPr>
              <w:pStyle w:val="COMTabletext"/>
              <w:keepNext w:val="0"/>
              <w:rPr>
                <w:bCs w:val="0"/>
              </w:rPr>
            </w:pPr>
          </w:p>
        </w:tc>
        <w:tc>
          <w:tcPr>
            <w:tcW w:w="4266" w:type="pct"/>
            <w:gridSpan w:val="6"/>
            <w:vAlign w:val="center"/>
          </w:tcPr>
          <w:p w14:paraId="1F243273" w14:textId="77777777" w:rsidR="00B063F1" w:rsidRPr="00F9348B" w:rsidRDefault="00B063F1" w:rsidP="00B063F1">
            <w:pPr>
              <w:pStyle w:val="COMTabletext"/>
              <w:keepNext w:val="0"/>
              <w:rPr>
                <w:bCs w:val="0"/>
              </w:rPr>
            </w:pPr>
            <w:r w:rsidRPr="00F9348B">
              <w:rPr>
                <w:bCs w:val="0"/>
              </w:rPr>
              <w:t>Patient must have had a symptomatic fracture due to minimal trauma prior to starting non-PBS-subsidised treatment with this drug for this condition;</w:t>
            </w:r>
          </w:p>
        </w:tc>
      </w:tr>
      <w:tr w:rsidR="00B063F1" w:rsidRPr="00F9348B" w14:paraId="1541BDEE"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65DEA992" w14:textId="77777777" w:rsidR="00B063F1" w:rsidRPr="00F9348B" w:rsidRDefault="00B063F1" w:rsidP="00B063F1">
            <w:pPr>
              <w:pStyle w:val="COMTabletext"/>
              <w:keepNext w:val="0"/>
              <w:rPr>
                <w:b/>
              </w:rPr>
            </w:pPr>
          </w:p>
        </w:tc>
        <w:tc>
          <w:tcPr>
            <w:tcW w:w="4266" w:type="pct"/>
            <w:gridSpan w:val="6"/>
            <w:vAlign w:val="center"/>
          </w:tcPr>
          <w:p w14:paraId="2A1C2846" w14:textId="77777777" w:rsidR="00B063F1" w:rsidRPr="00F9348B" w:rsidRDefault="00B063F1" w:rsidP="00B063F1">
            <w:pPr>
              <w:pStyle w:val="COMTabletext"/>
              <w:keepNext w:val="0"/>
              <w:rPr>
                <w:b/>
              </w:rPr>
            </w:pPr>
            <w:r w:rsidRPr="00F9348B">
              <w:rPr>
                <w:b/>
              </w:rPr>
              <w:t>AND</w:t>
            </w:r>
          </w:p>
        </w:tc>
      </w:tr>
      <w:tr w:rsidR="00B063F1" w:rsidRPr="00F9348B" w14:paraId="3D1C15B8"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1620054B" w14:textId="77777777" w:rsidR="00B063F1" w:rsidRPr="00F9348B" w:rsidRDefault="00B063F1" w:rsidP="00B063F1">
            <w:pPr>
              <w:pStyle w:val="COMTabletext"/>
              <w:keepNext w:val="0"/>
              <w:rPr>
                <w:b/>
                <w:szCs w:val="20"/>
              </w:rPr>
            </w:pPr>
          </w:p>
        </w:tc>
        <w:tc>
          <w:tcPr>
            <w:tcW w:w="4266" w:type="pct"/>
            <w:gridSpan w:val="6"/>
            <w:vAlign w:val="center"/>
            <w:hideMark/>
          </w:tcPr>
          <w:p w14:paraId="6577B9B4" w14:textId="77777777" w:rsidR="00B063F1" w:rsidRPr="00F9348B" w:rsidRDefault="00B063F1" w:rsidP="00B063F1">
            <w:pPr>
              <w:pStyle w:val="COMTabletext"/>
              <w:keepNext w:val="0"/>
              <w:rPr>
                <w:szCs w:val="20"/>
              </w:rPr>
            </w:pPr>
            <w:r w:rsidRPr="00F9348B">
              <w:rPr>
                <w:b/>
                <w:szCs w:val="20"/>
              </w:rPr>
              <w:t>Clinical criteria:</w:t>
            </w:r>
          </w:p>
        </w:tc>
      </w:tr>
      <w:tr w:rsidR="00B063F1" w:rsidRPr="00F9348B" w14:paraId="4C70E153"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7979F9D3" w14:textId="77777777" w:rsidR="00B063F1" w:rsidRPr="00F9348B" w:rsidRDefault="00B063F1" w:rsidP="00B063F1">
            <w:pPr>
              <w:pStyle w:val="COMTabletext"/>
              <w:keepNext w:val="0"/>
              <w:rPr>
                <w:bCs w:val="0"/>
              </w:rPr>
            </w:pPr>
          </w:p>
        </w:tc>
        <w:tc>
          <w:tcPr>
            <w:tcW w:w="4266" w:type="pct"/>
            <w:gridSpan w:val="6"/>
            <w:vAlign w:val="center"/>
          </w:tcPr>
          <w:p w14:paraId="57720684" w14:textId="77777777" w:rsidR="00B063F1" w:rsidRPr="00F9348B" w:rsidRDefault="00B063F1" w:rsidP="00B063F1">
            <w:pPr>
              <w:pStyle w:val="COMTabletext"/>
              <w:keepNext w:val="0"/>
              <w:rPr>
                <w:bCs w:val="0"/>
                <w:highlight w:val="green"/>
              </w:rPr>
            </w:pPr>
            <w:r w:rsidRPr="00F9348B">
              <w:rPr>
                <w:bCs w:val="0"/>
              </w:rPr>
              <w:t>Patient must have had at least 1 hip or symptomatic vertebral fracture in the 24 months prior to starting non-PBS-subsidised treatment with this drug for this condition, OR</w:t>
            </w:r>
          </w:p>
        </w:tc>
      </w:tr>
      <w:tr w:rsidR="00B063F1" w:rsidRPr="00F9348B" w14:paraId="42CA3203"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21811228" w14:textId="77777777" w:rsidR="00B063F1" w:rsidRPr="00F9348B" w:rsidRDefault="00B063F1" w:rsidP="00B063F1">
            <w:pPr>
              <w:pStyle w:val="COMTabletext"/>
              <w:keepNext w:val="0"/>
              <w:rPr>
                <w:bCs w:val="0"/>
              </w:rPr>
            </w:pPr>
          </w:p>
        </w:tc>
        <w:tc>
          <w:tcPr>
            <w:tcW w:w="4266" w:type="pct"/>
            <w:gridSpan w:val="6"/>
            <w:vAlign w:val="center"/>
          </w:tcPr>
          <w:p w14:paraId="6FA25CAC" w14:textId="77777777" w:rsidR="00B063F1" w:rsidRPr="00F9348B" w:rsidRDefault="00B063F1" w:rsidP="00B063F1">
            <w:pPr>
              <w:pStyle w:val="COMTabletext"/>
              <w:keepNext w:val="0"/>
              <w:rPr>
                <w:bCs w:val="0"/>
                <w:highlight w:val="green"/>
              </w:rPr>
            </w:pPr>
            <w:r w:rsidRPr="00F9348B">
              <w:rPr>
                <w:bCs w:val="0"/>
              </w:rPr>
              <w:t>Patient must have had at least 2 fractures including 1 symptomatic new fracture in the 24 months prior to starting non-PBS-subsidised treatment with this drug for this condition;</w:t>
            </w:r>
          </w:p>
        </w:tc>
      </w:tr>
      <w:tr w:rsidR="00B063F1" w:rsidRPr="00F9348B" w14:paraId="61A7BAFE"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61ED7CEC" w14:textId="77777777" w:rsidR="00B063F1" w:rsidRPr="00F9348B" w:rsidRDefault="00B063F1" w:rsidP="00B063F1">
            <w:pPr>
              <w:pStyle w:val="COMTabletext"/>
              <w:keepNext w:val="0"/>
              <w:rPr>
                <w:b/>
              </w:rPr>
            </w:pPr>
          </w:p>
        </w:tc>
        <w:tc>
          <w:tcPr>
            <w:tcW w:w="4266" w:type="pct"/>
            <w:gridSpan w:val="6"/>
            <w:vAlign w:val="center"/>
          </w:tcPr>
          <w:p w14:paraId="6EDE4FC9" w14:textId="77777777" w:rsidR="00B063F1" w:rsidRPr="00F9348B" w:rsidRDefault="00B063F1" w:rsidP="00B063F1">
            <w:pPr>
              <w:pStyle w:val="COMTabletext"/>
              <w:keepNext w:val="0"/>
              <w:rPr>
                <w:b/>
              </w:rPr>
            </w:pPr>
            <w:r w:rsidRPr="00F9348B">
              <w:rPr>
                <w:b/>
              </w:rPr>
              <w:t>AND</w:t>
            </w:r>
          </w:p>
        </w:tc>
      </w:tr>
      <w:tr w:rsidR="00B063F1" w:rsidRPr="00F9348B" w14:paraId="3B8929BF"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7ABD8E8B" w14:textId="77777777" w:rsidR="00B063F1" w:rsidRPr="00F9348B" w:rsidRDefault="00B063F1" w:rsidP="00B063F1">
            <w:pPr>
              <w:pStyle w:val="COMTabletext"/>
              <w:keepNext w:val="0"/>
              <w:rPr>
                <w:b/>
                <w:szCs w:val="20"/>
              </w:rPr>
            </w:pPr>
          </w:p>
        </w:tc>
        <w:tc>
          <w:tcPr>
            <w:tcW w:w="4266" w:type="pct"/>
            <w:gridSpan w:val="6"/>
            <w:vAlign w:val="center"/>
            <w:hideMark/>
          </w:tcPr>
          <w:p w14:paraId="55125664" w14:textId="77777777" w:rsidR="00B063F1" w:rsidRPr="00F9348B" w:rsidRDefault="00B063F1" w:rsidP="00B063F1">
            <w:pPr>
              <w:pStyle w:val="COMTabletext"/>
              <w:keepNext w:val="0"/>
              <w:rPr>
                <w:szCs w:val="20"/>
              </w:rPr>
            </w:pPr>
            <w:r w:rsidRPr="00F9348B">
              <w:rPr>
                <w:b/>
                <w:szCs w:val="20"/>
              </w:rPr>
              <w:t>Clinical criteria:</w:t>
            </w:r>
          </w:p>
        </w:tc>
      </w:tr>
      <w:tr w:rsidR="00B063F1" w:rsidRPr="00F9348B" w14:paraId="70E772D6"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1813620D" w14:textId="77777777" w:rsidR="00B063F1" w:rsidRPr="00F9348B" w:rsidRDefault="00B063F1" w:rsidP="00B063F1">
            <w:pPr>
              <w:pStyle w:val="COMTabletext"/>
              <w:keepNext w:val="0"/>
              <w:rPr>
                <w:bCs w:val="0"/>
              </w:rPr>
            </w:pPr>
          </w:p>
        </w:tc>
        <w:tc>
          <w:tcPr>
            <w:tcW w:w="4266" w:type="pct"/>
            <w:gridSpan w:val="6"/>
            <w:vAlign w:val="center"/>
          </w:tcPr>
          <w:p w14:paraId="3AA54226" w14:textId="77777777" w:rsidR="00B063F1" w:rsidRPr="00F9348B" w:rsidRDefault="00B063F1" w:rsidP="00B063F1">
            <w:pPr>
              <w:pStyle w:val="COMTabletext"/>
              <w:keepNext w:val="0"/>
              <w:rPr>
                <w:bCs w:val="0"/>
              </w:rPr>
            </w:pPr>
            <w:r w:rsidRPr="00F9348B">
              <w:rPr>
                <w:bCs w:val="0"/>
              </w:rPr>
              <w:t>The treatment must be the sole PBS-subsidised therapy for this condition;</w:t>
            </w:r>
          </w:p>
        </w:tc>
      </w:tr>
      <w:tr w:rsidR="00B063F1" w:rsidRPr="00F9348B" w14:paraId="124AFCE1"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7A2D5D12" w14:textId="77777777" w:rsidR="00B063F1" w:rsidRPr="00F9348B" w:rsidRDefault="00B063F1" w:rsidP="00B063F1">
            <w:pPr>
              <w:pStyle w:val="COMTabletext"/>
              <w:keepNext w:val="0"/>
              <w:rPr>
                <w:b/>
              </w:rPr>
            </w:pPr>
          </w:p>
        </w:tc>
        <w:tc>
          <w:tcPr>
            <w:tcW w:w="4266" w:type="pct"/>
            <w:gridSpan w:val="6"/>
            <w:vAlign w:val="center"/>
          </w:tcPr>
          <w:p w14:paraId="395879F2" w14:textId="77777777" w:rsidR="00B063F1" w:rsidRPr="00F9348B" w:rsidRDefault="00B063F1" w:rsidP="00B063F1">
            <w:pPr>
              <w:pStyle w:val="COMTabletext"/>
              <w:keepNext w:val="0"/>
              <w:rPr>
                <w:b/>
              </w:rPr>
            </w:pPr>
            <w:r w:rsidRPr="00F9348B">
              <w:rPr>
                <w:b/>
              </w:rPr>
              <w:t>AND</w:t>
            </w:r>
          </w:p>
        </w:tc>
      </w:tr>
      <w:tr w:rsidR="00B063F1" w:rsidRPr="00F9348B" w14:paraId="1652E62A"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61D3ED8C" w14:textId="77777777" w:rsidR="00B063F1" w:rsidRPr="00F9348B" w:rsidRDefault="00B063F1" w:rsidP="00B063F1">
            <w:pPr>
              <w:pStyle w:val="COMTabletext"/>
              <w:keepNext w:val="0"/>
              <w:rPr>
                <w:b/>
                <w:szCs w:val="20"/>
              </w:rPr>
            </w:pPr>
          </w:p>
        </w:tc>
        <w:tc>
          <w:tcPr>
            <w:tcW w:w="4266" w:type="pct"/>
            <w:gridSpan w:val="6"/>
            <w:vAlign w:val="center"/>
            <w:hideMark/>
          </w:tcPr>
          <w:p w14:paraId="1A4CFB57" w14:textId="77777777" w:rsidR="00B063F1" w:rsidRPr="00F9348B" w:rsidRDefault="00B063F1" w:rsidP="00B063F1">
            <w:pPr>
              <w:pStyle w:val="COMTabletext"/>
              <w:keepNext w:val="0"/>
              <w:rPr>
                <w:szCs w:val="20"/>
              </w:rPr>
            </w:pPr>
            <w:r w:rsidRPr="00F9348B">
              <w:rPr>
                <w:b/>
                <w:szCs w:val="20"/>
              </w:rPr>
              <w:t>Clinical criteria:</w:t>
            </w:r>
          </w:p>
        </w:tc>
      </w:tr>
      <w:tr w:rsidR="00B063F1" w:rsidRPr="00F9348B" w14:paraId="1AFE7FFF"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05549D85" w14:textId="77777777" w:rsidR="00B063F1" w:rsidRPr="00F9348B" w:rsidRDefault="00B063F1" w:rsidP="00B063F1">
            <w:pPr>
              <w:pStyle w:val="COMTabletext"/>
              <w:keepNext w:val="0"/>
              <w:rPr>
                <w:bCs w:val="0"/>
              </w:rPr>
            </w:pPr>
          </w:p>
        </w:tc>
        <w:tc>
          <w:tcPr>
            <w:tcW w:w="4266" w:type="pct"/>
            <w:gridSpan w:val="6"/>
            <w:vAlign w:val="center"/>
          </w:tcPr>
          <w:p w14:paraId="1A2BBD01" w14:textId="77777777" w:rsidR="00B063F1" w:rsidRPr="00F9348B" w:rsidRDefault="00B063F1" w:rsidP="00B063F1">
            <w:pPr>
              <w:pStyle w:val="COMTabletext"/>
              <w:keepNext w:val="0"/>
              <w:rPr>
                <w:bCs w:val="0"/>
              </w:rPr>
            </w:pPr>
            <w:r w:rsidRPr="00F9348B">
              <w:rPr>
                <w:bCs w:val="0"/>
              </w:rPr>
              <w:t xml:space="preserve">The treatment must not exceed a lifetime maximum of 12 months of </w:t>
            </w:r>
            <w:r w:rsidRPr="00F9348B">
              <w:rPr>
                <w:bCs w:val="0"/>
                <w:szCs w:val="20"/>
              </w:rPr>
              <w:t>PBS</w:t>
            </w:r>
            <w:r w:rsidRPr="00F9348B">
              <w:rPr>
                <w:bCs w:val="0"/>
                <w:i/>
                <w:iCs/>
                <w:szCs w:val="20"/>
              </w:rPr>
              <w:t xml:space="preserve"> </w:t>
            </w:r>
            <w:r w:rsidRPr="00F9348B">
              <w:rPr>
                <w:bCs w:val="0"/>
                <w:szCs w:val="20"/>
              </w:rPr>
              <w:t>and non</w:t>
            </w:r>
            <w:r w:rsidRPr="00F9348B">
              <w:rPr>
                <w:bCs w:val="0"/>
                <w:i/>
                <w:iCs/>
                <w:szCs w:val="20"/>
              </w:rPr>
              <w:t>-</w:t>
            </w:r>
            <w:r w:rsidRPr="00F9348B">
              <w:rPr>
                <w:bCs w:val="0"/>
                <w:szCs w:val="20"/>
              </w:rPr>
              <w:t>PBS-subsidised therapy</w:t>
            </w:r>
            <w:r w:rsidRPr="00F9348B">
              <w:rPr>
                <w:bCs w:val="0"/>
              </w:rPr>
              <w:t>;</w:t>
            </w:r>
          </w:p>
        </w:tc>
      </w:tr>
      <w:tr w:rsidR="00B063F1" w:rsidRPr="00F9348B" w14:paraId="213EDA19"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308108B1" w14:textId="77777777" w:rsidR="00B063F1" w:rsidRPr="00F9348B" w:rsidRDefault="00B063F1" w:rsidP="00B063F1">
            <w:pPr>
              <w:pStyle w:val="COMTabletext"/>
              <w:keepNext w:val="0"/>
              <w:rPr>
                <w:bCs w:val="0"/>
              </w:rPr>
            </w:pPr>
          </w:p>
        </w:tc>
        <w:tc>
          <w:tcPr>
            <w:tcW w:w="4266" w:type="pct"/>
            <w:gridSpan w:val="6"/>
            <w:vAlign w:val="center"/>
            <w:hideMark/>
          </w:tcPr>
          <w:p w14:paraId="61374AD6" w14:textId="77777777" w:rsidR="00B063F1" w:rsidRPr="00F9348B" w:rsidRDefault="00B063F1" w:rsidP="00B063F1">
            <w:pPr>
              <w:pStyle w:val="COMTabletext"/>
              <w:keepNext w:val="0"/>
            </w:pPr>
            <w:r w:rsidRPr="00F9348B">
              <w:rPr>
                <w:b/>
              </w:rPr>
              <w:t>Treatment criteria:</w:t>
            </w:r>
          </w:p>
        </w:tc>
      </w:tr>
      <w:tr w:rsidR="00B063F1" w:rsidRPr="00F9348B" w14:paraId="219AF960"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Pr>
          <w:p w14:paraId="0341A935" w14:textId="77777777" w:rsidR="00B063F1" w:rsidRPr="00F9348B" w:rsidRDefault="00B063F1" w:rsidP="00B063F1">
            <w:pPr>
              <w:pStyle w:val="COMTabletext"/>
              <w:keepNext w:val="0"/>
            </w:pPr>
          </w:p>
        </w:tc>
        <w:tc>
          <w:tcPr>
            <w:tcW w:w="4266" w:type="pct"/>
            <w:gridSpan w:val="6"/>
            <w:vAlign w:val="center"/>
            <w:hideMark/>
          </w:tcPr>
          <w:p w14:paraId="09050B9B" w14:textId="77777777" w:rsidR="00B063F1" w:rsidRPr="00F9348B" w:rsidRDefault="00B063F1" w:rsidP="00B063F1">
            <w:pPr>
              <w:pStyle w:val="COMTabletext"/>
              <w:keepNext w:val="0"/>
              <w:rPr>
                <w:i/>
                <w:iCs/>
              </w:rPr>
            </w:pPr>
            <w:r w:rsidRPr="00F9348B">
              <w:t>Must be treated by a consultant physician</w:t>
            </w:r>
          </w:p>
        </w:tc>
      </w:tr>
      <w:tr w:rsidR="00B063F1" w:rsidRPr="00F9348B" w14:paraId="779910CE"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Borders>
              <w:top w:val="single" w:sz="4" w:space="0" w:color="auto"/>
              <w:left w:val="single" w:sz="4" w:space="0" w:color="auto"/>
              <w:bottom w:val="single" w:sz="4" w:space="0" w:color="auto"/>
              <w:right w:val="single" w:sz="4" w:space="0" w:color="auto"/>
            </w:tcBorders>
          </w:tcPr>
          <w:p w14:paraId="515DADF5" w14:textId="77777777" w:rsidR="00B063F1" w:rsidRPr="00F9348B" w:rsidRDefault="00B063F1" w:rsidP="00B063F1">
            <w:pPr>
              <w:rPr>
                <w:rFonts w:ascii="Arial Narrow" w:hAnsi="Arial Narrow"/>
                <w:bCs/>
                <w:sz w:val="20"/>
                <w:szCs w:val="20"/>
              </w:rPr>
            </w:pPr>
          </w:p>
        </w:tc>
        <w:tc>
          <w:tcPr>
            <w:tcW w:w="4266" w:type="pct"/>
            <w:gridSpan w:val="6"/>
            <w:tcBorders>
              <w:top w:val="single" w:sz="4" w:space="0" w:color="auto"/>
              <w:left w:val="single" w:sz="4" w:space="0" w:color="auto"/>
              <w:bottom w:val="single" w:sz="4" w:space="0" w:color="auto"/>
              <w:right w:val="single" w:sz="4" w:space="0" w:color="auto"/>
            </w:tcBorders>
            <w:vAlign w:val="center"/>
            <w:hideMark/>
          </w:tcPr>
          <w:p w14:paraId="11E775A6" w14:textId="77777777" w:rsidR="00B063F1" w:rsidRPr="00F9348B" w:rsidRDefault="00B063F1" w:rsidP="00B063F1">
            <w:pPr>
              <w:rPr>
                <w:rFonts w:ascii="Arial Narrow" w:hAnsi="Arial Narrow"/>
                <w:b/>
                <w:sz w:val="20"/>
                <w:szCs w:val="20"/>
              </w:rPr>
            </w:pPr>
            <w:r w:rsidRPr="00F9348B">
              <w:rPr>
                <w:rFonts w:ascii="Arial Narrow" w:hAnsi="Arial Narrow"/>
                <w:b/>
                <w:sz w:val="20"/>
                <w:szCs w:val="20"/>
              </w:rPr>
              <w:t xml:space="preserve">Prescribing Instructions: </w:t>
            </w:r>
            <w:r w:rsidRPr="00F9348B">
              <w:rPr>
                <w:rFonts w:ascii="Arial Narrow" w:hAnsi="Arial Narrow"/>
                <w:bCs/>
                <w:sz w:val="20"/>
                <w:szCs w:val="20"/>
              </w:rPr>
              <w:t>Details of fracture history including the date(s), site(s), the symptoms associated with the fracture(s) and the score of the qualifying BMD measurement must be provided at the time of application.</w:t>
            </w:r>
          </w:p>
        </w:tc>
      </w:tr>
      <w:tr w:rsidR="00B063F1" w:rsidRPr="00F9348B" w14:paraId="167528A2"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Borders>
              <w:top w:val="single" w:sz="4" w:space="0" w:color="auto"/>
              <w:left w:val="single" w:sz="4" w:space="0" w:color="auto"/>
              <w:bottom w:val="single" w:sz="4" w:space="0" w:color="auto"/>
              <w:right w:val="single" w:sz="4" w:space="0" w:color="auto"/>
            </w:tcBorders>
          </w:tcPr>
          <w:p w14:paraId="4626B52F" w14:textId="77777777" w:rsidR="00B063F1" w:rsidRPr="00F9348B" w:rsidRDefault="00B063F1" w:rsidP="00B063F1">
            <w:pPr>
              <w:rPr>
                <w:rFonts w:ascii="Arial Narrow" w:hAnsi="Arial Narrow"/>
                <w:bCs/>
                <w:sz w:val="20"/>
                <w:szCs w:val="20"/>
              </w:rPr>
            </w:pPr>
          </w:p>
        </w:tc>
        <w:tc>
          <w:tcPr>
            <w:tcW w:w="4266" w:type="pct"/>
            <w:gridSpan w:val="6"/>
            <w:tcBorders>
              <w:top w:val="single" w:sz="4" w:space="0" w:color="auto"/>
              <w:left w:val="single" w:sz="4" w:space="0" w:color="auto"/>
              <w:bottom w:val="single" w:sz="4" w:space="0" w:color="auto"/>
              <w:right w:val="single" w:sz="4" w:space="0" w:color="auto"/>
            </w:tcBorders>
            <w:vAlign w:val="center"/>
            <w:hideMark/>
          </w:tcPr>
          <w:p w14:paraId="560199C6" w14:textId="77777777" w:rsidR="00B063F1" w:rsidRPr="00F9348B" w:rsidRDefault="00B063F1" w:rsidP="00B063F1">
            <w:pPr>
              <w:rPr>
                <w:rFonts w:ascii="Arial Narrow" w:hAnsi="Arial Narrow"/>
                <w:b/>
                <w:sz w:val="20"/>
                <w:szCs w:val="20"/>
              </w:rPr>
            </w:pPr>
            <w:r w:rsidRPr="00F9348B">
              <w:rPr>
                <w:rFonts w:ascii="Arial Narrow" w:hAnsi="Arial Narrow"/>
                <w:b/>
                <w:sz w:val="20"/>
                <w:szCs w:val="20"/>
              </w:rPr>
              <w:t xml:space="preserve">Prescribing Instructions: </w:t>
            </w:r>
            <w:r w:rsidRPr="00F9348B">
              <w:rPr>
                <w:rFonts w:ascii="Arial Narrow" w:hAnsi="Arial Narrow"/>
                <w:bCs/>
                <w:sz w:val="20"/>
                <w:szCs w:val="20"/>
              </w:rP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tc>
      </w:tr>
      <w:tr w:rsidR="00B063F1" w:rsidRPr="00F9348B" w14:paraId="71E59EF5"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Borders>
              <w:top w:val="single" w:sz="4" w:space="0" w:color="auto"/>
              <w:left w:val="single" w:sz="4" w:space="0" w:color="auto"/>
              <w:bottom w:val="single" w:sz="4" w:space="0" w:color="auto"/>
              <w:right w:val="single" w:sz="4" w:space="0" w:color="auto"/>
            </w:tcBorders>
          </w:tcPr>
          <w:p w14:paraId="27A49151" w14:textId="77777777" w:rsidR="00B063F1" w:rsidRPr="00F9348B" w:rsidRDefault="00B063F1" w:rsidP="00B063F1">
            <w:pPr>
              <w:rPr>
                <w:rFonts w:ascii="Arial Narrow" w:hAnsi="Arial Narrow"/>
                <w:bCs/>
                <w:sz w:val="20"/>
                <w:szCs w:val="20"/>
              </w:rPr>
            </w:pPr>
          </w:p>
        </w:tc>
        <w:tc>
          <w:tcPr>
            <w:tcW w:w="4266" w:type="pct"/>
            <w:gridSpan w:val="6"/>
            <w:tcBorders>
              <w:top w:val="single" w:sz="4" w:space="0" w:color="auto"/>
              <w:left w:val="single" w:sz="4" w:space="0" w:color="auto"/>
              <w:bottom w:val="single" w:sz="4" w:space="0" w:color="auto"/>
              <w:right w:val="single" w:sz="4" w:space="0" w:color="auto"/>
            </w:tcBorders>
            <w:vAlign w:val="center"/>
          </w:tcPr>
          <w:p w14:paraId="6F678852" w14:textId="77777777" w:rsidR="00B063F1" w:rsidRPr="00F9348B" w:rsidRDefault="00B063F1" w:rsidP="00B063F1">
            <w:pPr>
              <w:rPr>
                <w:rFonts w:ascii="Arial Narrow" w:hAnsi="Arial Narrow"/>
                <w:b/>
                <w:sz w:val="20"/>
                <w:szCs w:val="20"/>
              </w:rPr>
            </w:pPr>
            <w:r w:rsidRPr="00F9348B">
              <w:rPr>
                <w:rFonts w:ascii="Arial Narrow" w:hAnsi="Arial Narrow"/>
                <w:b/>
                <w:sz w:val="20"/>
                <w:szCs w:val="20"/>
              </w:rPr>
              <w:t xml:space="preserve">Prescribing Instructions: </w:t>
            </w:r>
            <w:r w:rsidRPr="00F9348B">
              <w:rPr>
                <w:rFonts w:ascii="Arial Narrow" w:hAnsi="Arial Narrow"/>
                <w:bCs/>
                <w:sz w:val="20"/>
                <w:szCs w:val="20"/>
              </w:rPr>
              <w:t xml:space="preserve">Anti-resorptive therapies for osteoporosis include alendronate sodium, risedronate sodium, raloxifene hydrochloride, denosumab and zoledronic acid.  </w:t>
            </w:r>
          </w:p>
        </w:tc>
      </w:tr>
      <w:tr w:rsidR="00B063F1" w:rsidRPr="00F9348B" w14:paraId="47A3DBD2"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Borders>
              <w:top w:val="single" w:sz="4" w:space="0" w:color="auto"/>
              <w:left w:val="single" w:sz="4" w:space="0" w:color="auto"/>
              <w:bottom w:val="single" w:sz="4" w:space="0" w:color="auto"/>
              <w:right w:val="single" w:sz="4" w:space="0" w:color="auto"/>
            </w:tcBorders>
          </w:tcPr>
          <w:p w14:paraId="11100FDF" w14:textId="77777777" w:rsidR="00B063F1" w:rsidRPr="00F9348B" w:rsidRDefault="00B063F1" w:rsidP="00B063F1">
            <w:pPr>
              <w:rPr>
                <w:rFonts w:ascii="Arial Narrow" w:hAnsi="Arial Narrow"/>
                <w:bCs/>
                <w:sz w:val="20"/>
                <w:szCs w:val="20"/>
              </w:rPr>
            </w:pPr>
          </w:p>
        </w:tc>
        <w:tc>
          <w:tcPr>
            <w:tcW w:w="4266" w:type="pct"/>
            <w:gridSpan w:val="6"/>
            <w:tcBorders>
              <w:top w:val="single" w:sz="4" w:space="0" w:color="auto"/>
              <w:left w:val="single" w:sz="4" w:space="0" w:color="auto"/>
              <w:bottom w:val="single" w:sz="4" w:space="0" w:color="auto"/>
              <w:right w:val="single" w:sz="4" w:space="0" w:color="auto"/>
            </w:tcBorders>
            <w:vAlign w:val="center"/>
            <w:hideMark/>
          </w:tcPr>
          <w:p w14:paraId="303DA306" w14:textId="77777777" w:rsidR="00B063F1" w:rsidRPr="00F9348B" w:rsidRDefault="00B063F1" w:rsidP="00B063F1">
            <w:pPr>
              <w:rPr>
                <w:rFonts w:ascii="Arial Narrow" w:hAnsi="Arial Narrow"/>
                <w:b/>
                <w:sz w:val="20"/>
                <w:szCs w:val="20"/>
              </w:rPr>
            </w:pPr>
            <w:r w:rsidRPr="00F9348B">
              <w:rPr>
                <w:rFonts w:ascii="Arial Narrow" w:hAnsi="Arial Narrow"/>
                <w:b/>
                <w:sz w:val="20"/>
                <w:szCs w:val="20"/>
              </w:rPr>
              <w:t xml:space="preserve">Administrative advice: </w:t>
            </w:r>
            <w:r w:rsidRPr="00F9348B">
              <w:rPr>
                <w:rFonts w:ascii="Arial Narrow" w:hAnsi="Arial Narrow"/>
                <w:bCs/>
                <w:sz w:val="20"/>
                <w:szCs w:val="20"/>
              </w:rPr>
              <w:t>Patients may qualify for PBS-subsidised treatment under this restriction once only. For continuing PBS-subsidised treatment, a 'Grandfathered' patient must qualify under the 'Continuing treatment' criteria.</w:t>
            </w:r>
          </w:p>
        </w:tc>
      </w:tr>
      <w:tr w:rsidR="00B063F1" w:rsidRPr="00F9348B" w14:paraId="7D463D3D" w14:textId="77777777" w:rsidTr="00B063F1">
        <w:tblPrEx>
          <w:tblCellMar>
            <w:top w:w="15" w:type="dxa"/>
            <w:bottom w:w="15" w:type="dxa"/>
          </w:tblCellMar>
          <w:tblLook w:val="04A0" w:firstRow="1" w:lastRow="0" w:firstColumn="1" w:lastColumn="0" w:noHBand="0" w:noVBand="1"/>
        </w:tblPrEx>
        <w:trPr>
          <w:cantSplit/>
          <w:trHeight w:val="20"/>
        </w:trPr>
        <w:tc>
          <w:tcPr>
            <w:tcW w:w="734" w:type="pct"/>
            <w:gridSpan w:val="2"/>
            <w:tcBorders>
              <w:top w:val="single" w:sz="4" w:space="0" w:color="auto"/>
              <w:left w:val="single" w:sz="4" w:space="0" w:color="auto"/>
              <w:bottom w:val="single" w:sz="4" w:space="0" w:color="auto"/>
              <w:right w:val="single" w:sz="4" w:space="0" w:color="auto"/>
            </w:tcBorders>
          </w:tcPr>
          <w:p w14:paraId="7434DB6E" w14:textId="77777777" w:rsidR="00B063F1" w:rsidRPr="00F9348B" w:rsidRDefault="00B063F1" w:rsidP="00B063F1">
            <w:pPr>
              <w:rPr>
                <w:rFonts w:ascii="Arial Narrow" w:hAnsi="Arial Narrow"/>
                <w:bCs/>
                <w:sz w:val="20"/>
                <w:szCs w:val="20"/>
              </w:rPr>
            </w:pPr>
          </w:p>
        </w:tc>
        <w:tc>
          <w:tcPr>
            <w:tcW w:w="4266" w:type="pct"/>
            <w:gridSpan w:val="6"/>
            <w:tcBorders>
              <w:top w:val="single" w:sz="4" w:space="0" w:color="auto"/>
              <w:left w:val="single" w:sz="4" w:space="0" w:color="auto"/>
              <w:bottom w:val="single" w:sz="4" w:space="0" w:color="auto"/>
              <w:right w:val="single" w:sz="4" w:space="0" w:color="auto"/>
            </w:tcBorders>
            <w:vAlign w:val="center"/>
            <w:hideMark/>
          </w:tcPr>
          <w:p w14:paraId="2AD30A7E" w14:textId="77777777" w:rsidR="00B063F1" w:rsidRPr="00F9348B" w:rsidRDefault="00B063F1" w:rsidP="00B063F1">
            <w:pPr>
              <w:rPr>
                <w:rFonts w:ascii="Arial Narrow" w:hAnsi="Arial Narrow"/>
                <w:b/>
                <w:sz w:val="20"/>
                <w:szCs w:val="20"/>
              </w:rPr>
            </w:pPr>
            <w:r w:rsidRPr="00F9348B">
              <w:rPr>
                <w:rFonts w:ascii="Arial Narrow" w:hAnsi="Arial Narrow"/>
                <w:b/>
                <w:sz w:val="20"/>
                <w:szCs w:val="20"/>
              </w:rPr>
              <w:t xml:space="preserve">Administrative advice: </w:t>
            </w:r>
            <w:r w:rsidRPr="00F9348B">
              <w:rPr>
                <w:rFonts w:ascii="Arial Narrow" w:hAnsi="Arial Narrow"/>
                <w:bCs/>
                <w:sz w:val="20"/>
                <w:szCs w:val="20"/>
              </w:rPr>
              <w:t>This grandfather restriction will cease to operate from 12 months after the date specified in the clinical criteria.</w:t>
            </w:r>
          </w:p>
        </w:tc>
      </w:tr>
      <w:bookmarkEnd w:id="68"/>
    </w:tbl>
    <w:p w14:paraId="5C0363EA" w14:textId="77777777" w:rsidR="00B063F1" w:rsidRDefault="00B063F1" w:rsidP="00761F31">
      <w:pPr>
        <w:widowControl w:val="0"/>
        <w:spacing w:after="120"/>
        <w:rPr>
          <w:rFonts w:asciiTheme="minorHAnsi" w:hAnsiTheme="minorHAnsi"/>
          <w:b/>
          <w:i/>
        </w:rPr>
      </w:pPr>
    </w:p>
    <w:p w14:paraId="3BD45F2E" w14:textId="1DB24B67" w:rsidR="00761F31" w:rsidRPr="008F731F" w:rsidRDefault="00761F31" w:rsidP="00761F31">
      <w:pPr>
        <w:widowControl w:val="0"/>
        <w:spacing w:after="120"/>
        <w:rPr>
          <w:rFonts w:asciiTheme="minorHAnsi" w:hAnsiTheme="minorHAnsi"/>
        </w:rPr>
      </w:pPr>
      <w:r w:rsidRPr="00936FC8">
        <w:rPr>
          <w:rFonts w:asciiTheme="minorHAnsi" w:hAnsiTheme="minorHAnsi"/>
          <w:b/>
          <w:i/>
        </w:rPr>
        <w:t xml:space="preserve">This restriction may be subject to further review. Should there be any changes made to the </w:t>
      </w:r>
      <w:r w:rsidRPr="00936FC8">
        <w:rPr>
          <w:rFonts w:asciiTheme="minorHAnsi" w:hAnsiTheme="minorHAnsi"/>
          <w:b/>
          <w:i/>
        </w:rPr>
        <w:lastRenderedPageBreak/>
        <w:t xml:space="preserve">restriction the Sponsor will be informed. </w:t>
      </w:r>
    </w:p>
    <w:p w14:paraId="0203FA90" w14:textId="77777777" w:rsidR="00F85A23" w:rsidRPr="00936A7A" w:rsidRDefault="00F85A23" w:rsidP="00F85A23">
      <w:pPr>
        <w:pStyle w:val="2-SectionHeading"/>
        <w:numPr>
          <w:ilvl w:val="0"/>
          <w:numId w:val="4"/>
        </w:numPr>
      </w:pPr>
      <w:r w:rsidRPr="00936A7A">
        <w:t>Context for Decision</w:t>
      </w:r>
    </w:p>
    <w:p w14:paraId="6DB02181" w14:textId="77777777" w:rsidR="00F85A23" w:rsidRDefault="00F85A23" w:rsidP="00F85A23">
      <w:pPr>
        <w:spacing w:after="120"/>
        <w:ind w:left="720"/>
        <w:rPr>
          <w:rFonts w:asciiTheme="minorHAnsi" w:hAnsiTheme="minorHAnsi"/>
          <w:bCs/>
          <w:lang w:val="en-GB"/>
        </w:rPr>
      </w:pPr>
      <w:r w:rsidRPr="00303E9C">
        <w:rPr>
          <w:rFonts w:asciiTheme="minorHAnsi" w:hAnsiTheme="minorHAnsi"/>
          <w:snapToGrid w:val="0"/>
        </w:rPr>
        <w:t>The PBAC helps</w:t>
      </w:r>
      <w:r w:rsidRPr="007129F2">
        <w:rPr>
          <w:rFonts w:asciiTheme="minorHAnsi" w:hAnsiTheme="minorHAnsi"/>
          <w:bCs/>
          <w:lang w:val="en-GB"/>
        </w:rPr>
        <w:t xml:space="preserve">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r>
        <w:rPr>
          <w:rFonts w:asciiTheme="minorHAnsi" w:hAnsiTheme="minorHAnsi"/>
          <w:bCs/>
          <w:lang w:val="en-GB"/>
        </w:rPr>
        <w:t xml:space="preserve"> </w:t>
      </w:r>
    </w:p>
    <w:p w14:paraId="19023EBD" w14:textId="77777777" w:rsidR="00F85A23" w:rsidRPr="00936A7A" w:rsidRDefault="00F85A23" w:rsidP="00F85A23">
      <w:pPr>
        <w:pStyle w:val="2-SectionHeading"/>
        <w:numPr>
          <w:ilvl w:val="0"/>
          <w:numId w:val="4"/>
        </w:numPr>
      </w:pPr>
      <w:r w:rsidRPr="00936A7A">
        <w:t>Sponsor’s Comment</w:t>
      </w:r>
    </w:p>
    <w:p w14:paraId="694D8A54" w14:textId="6EB49195" w:rsidR="00F44976" w:rsidRPr="00B063F1" w:rsidRDefault="009932F9" w:rsidP="00B063F1">
      <w:pPr>
        <w:ind w:left="720"/>
      </w:pPr>
      <w:bookmarkStart w:id="74" w:name="_Hlk135828591"/>
      <w:r w:rsidRPr="005603B1">
        <w:rPr>
          <w:rFonts w:cstheme="minorHAnsi"/>
          <w:lang w:val="en-US"/>
        </w:rPr>
        <w:t>Amgen is pleased that t</w:t>
      </w:r>
      <w:r w:rsidR="00897100" w:rsidRPr="005603B1">
        <w:rPr>
          <w:rFonts w:cstheme="minorHAnsi"/>
          <w:lang w:val="en-US"/>
        </w:rPr>
        <w:t>he PBAC recogni</w:t>
      </w:r>
      <w:r w:rsidRPr="005603B1">
        <w:rPr>
          <w:rFonts w:cstheme="minorHAnsi"/>
          <w:lang w:val="en-US"/>
        </w:rPr>
        <w:t>s</w:t>
      </w:r>
      <w:r w:rsidR="00897100" w:rsidRPr="005603B1">
        <w:rPr>
          <w:rFonts w:cstheme="minorHAnsi"/>
          <w:lang w:val="en-US"/>
        </w:rPr>
        <w:t>e</w:t>
      </w:r>
      <w:r w:rsidR="004571F5" w:rsidRPr="005603B1">
        <w:rPr>
          <w:rFonts w:cstheme="minorHAnsi"/>
          <w:lang w:val="en-US"/>
        </w:rPr>
        <w:t>s</w:t>
      </w:r>
      <w:r w:rsidR="00897100" w:rsidRPr="005603B1">
        <w:rPr>
          <w:rFonts w:cstheme="minorHAnsi"/>
          <w:lang w:val="en-US"/>
        </w:rPr>
        <w:t xml:space="preserve"> the clinical need for </w:t>
      </w:r>
      <w:r w:rsidRPr="005603B1">
        <w:rPr>
          <w:rFonts w:cstheme="minorHAnsi"/>
          <w:lang w:val="en-US"/>
        </w:rPr>
        <w:t>romosozumab</w:t>
      </w:r>
      <w:r w:rsidR="00897100" w:rsidRPr="005603B1">
        <w:rPr>
          <w:rFonts w:cstheme="minorHAnsi"/>
          <w:lang w:val="en-US"/>
        </w:rPr>
        <w:t xml:space="preserve"> and has recommended the first</w:t>
      </w:r>
      <w:r w:rsidR="002D14A7" w:rsidRPr="005603B1">
        <w:rPr>
          <w:rFonts w:cstheme="minorHAnsi"/>
          <w:lang w:val="en-US"/>
        </w:rPr>
        <w:t>-</w:t>
      </w:r>
      <w:r w:rsidR="00897100" w:rsidRPr="005603B1">
        <w:rPr>
          <w:rFonts w:cstheme="minorHAnsi"/>
          <w:lang w:val="en-US"/>
        </w:rPr>
        <w:t xml:space="preserve">line listing as proposed </w:t>
      </w:r>
      <w:r w:rsidRPr="005603B1">
        <w:rPr>
          <w:rFonts w:cstheme="minorHAnsi"/>
          <w:lang w:val="en-US"/>
        </w:rPr>
        <w:t>in the submission</w:t>
      </w:r>
      <w:r w:rsidR="00897100" w:rsidRPr="005603B1">
        <w:rPr>
          <w:rFonts w:cstheme="minorHAnsi"/>
          <w:lang w:val="en-US"/>
        </w:rPr>
        <w:t>.</w:t>
      </w:r>
      <w:r w:rsidR="0064624B">
        <w:rPr>
          <w:rFonts w:cstheme="minorHAnsi"/>
          <w:lang w:val="en-US"/>
        </w:rPr>
        <w:t xml:space="preserve"> </w:t>
      </w:r>
      <w:r w:rsidR="00897100" w:rsidRPr="005603B1">
        <w:rPr>
          <w:rFonts w:cstheme="minorHAnsi"/>
          <w:lang w:val="en-US"/>
        </w:rPr>
        <w:t>However, the</w:t>
      </w:r>
      <w:r w:rsidRPr="005603B1">
        <w:rPr>
          <w:rFonts w:cstheme="minorHAnsi"/>
          <w:lang w:val="en-US"/>
        </w:rPr>
        <w:t xml:space="preserve"> PBAC’s</w:t>
      </w:r>
      <w:r w:rsidR="00897100" w:rsidRPr="005603B1">
        <w:rPr>
          <w:rFonts w:cstheme="minorHAnsi"/>
          <w:lang w:val="en-US"/>
        </w:rPr>
        <w:t xml:space="preserve"> </w:t>
      </w:r>
      <w:r w:rsidR="005C656D" w:rsidRPr="005603B1">
        <w:rPr>
          <w:rFonts w:cstheme="minorHAnsi"/>
          <w:lang w:val="en-US"/>
        </w:rPr>
        <w:t xml:space="preserve">condition on the </w:t>
      </w:r>
      <w:r w:rsidR="004A01A7" w:rsidRPr="005603B1">
        <w:rPr>
          <w:rFonts w:cstheme="minorHAnsi"/>
          <w:lang w:val="en-US"/>
        </w:rPr>
        <w:t xml:space="preserve">ICER </w:t>
      </w:r>
      <w:r w:rsidR="005C656D" w:rsidRPr="005603B1">
        <w:rPr>
          <w:rFonts w:cstheme="minorHAnsi"/>
          <w:lang w:val="en-US"/>
        </w:rPr>
        <w:t>required for</w:t>
      </w:r>
      <w:r w:rsidR="00897100" w:rsidRPr="005603B1">
        <w:rPr>
          <w:rFonts w:cstheme="minorHAnsi"/>
          <w:lang w:val="en-US"/>
        </w:rPr>
        <w:t xml:space="preserve"> </w:t>
      </w:r>
      <w:r w:rsidRPr="005603B1">
        <w:rPr>
          <w:rFonts w:cstheme="minorHAnsi"/>
          <w:lang w:val="en-US"/>
        </w:rPr>
        <w:t>romosozumab results in a price that</w:t>
      </w:r>
      <w:r w:rsidR="00897100" w:rsidRPr="005603B1">
        <w:rPr>
          <w:rFonts w:cstheme="minorHAnsi"/>
          <w:lang w:val="en-US"/>
        </w:rPr>
        <w:t xml:space="preserve"> is below the cost Amgen can supply the medicine in Australia</w:t>
      </w:r>
      <w:r w:rsidR="009F7410" w:rsidRPr="005603B1">
        <w:rPr>
          <w:rFonts w:cstheme="minorHAnsi"/>
          <w:lang w:val="en-US"/>
        </w:rPr>
        <w:t>,</w:t>
      </w:r>
      <w:r w:rsidR="00897100" w:rsidRPr="005603B1">
        <w:rPr>
          <w:rFonts w:cstheme="minorHAnsi"/>
          <w:lang w:val="en-US"/>
        </w:rPr>
        <w:t xml:space="preserve"> which </w:t>
      </w:r>
      <w:r w:rsidR="00DA7EE1" w:rsidRPr="005603B1">
        <w:rPr>
          <w:rFonts w:cstheme="minorHAnsi"/>
          <w:lang w:val="en-US"/>
        </w:rPr>
        <w:t xml:space="preserve">would make </w:t>
      </w:r>
      <w:r w:rsidR="00897100" w:rsidRPr="005603B1">
        <w:rPr>
          <w:rFonts w:cstheme="minorHAnsi"/>
          <w:lang w:val="en-US"/>
        </w:rPr>
        <w:t xml:space="preserve">the listing commercially </w:t>
      </w:r>
      <w:r w:rsidR="00897100" w:rsidRPr="002E1153">
        <w:rPr>
          <w:rFonts w:cstheme="minorHAnsi"/>
          <w:lang w:val="en-US"/>
        </w:rPr>
        <w:t>unviable.</w:t>
      </w:r>
      <w:r w:rsidR="002E1153">
        <w:rPr>
          <w:rFonts w:cstheme="minorHAnsi"/>
          <w:lang w:val="en-US"/>
        </w:rPr>
        <w:t xml:space="preserve"> </w:t>
      </w:r>
      <w:r w:rsidR="009464CD" w:rsidRPr="002E1153">
        <w:t>Now</w:t>
      </w:r>
      <w:r w:rsidR="009464CD" w:rsidRPr="00BE555C">
        <w:t xml:space="preserve"> that the PBAC has recommended the listing, Amgen hopes that a path forward</w:t>
      </w:r>
      <w:r w:rsidR="002809B7" w:rsidRPr="00BE555C">
        <w:t xml:space="preserve"> can be found</w:t>
      </w:r>
      <w:r w:rsidR="00936549" w:rsidRPr="00BE555C">
        <w:t xml:space="preserve"> to provide equitable access to </w:t>
      </w:r>
      <w:r w:rsidR="00FF27FC" w:rsidRPr="00BE555C">
        <w:t>romosozumab</w:t>
      </w:r>
      <w:r w:rsidR="009464CD" w:rsidRPr="00BE555C">
        <w:t>.</w:t>
      </w:r>
      <w:r w:rsidR="00425E43" w:rsidRPr="00BE555C">
        <w:t xml:space="preserve">  </w:t>
      </w:r>
      <w:r w:rsidR="00425E43" w:rsidRPr="005603B1">
        <w:t>Amgen would like to thank all of the healthcare professionals, professional societies, patient organisations and consumers for their support of the romosozumab submission.</w:t>
      </w:r>
      <w:bookmarkEnd w:id="74"/>
    </w:p>
    <w:sectPr w:rsidR="00F44976" w:rsidRPr="00B063F1" w:rsidSect="00A57C9A">
      <w:type w:val="continuous"/>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D9F18" w14:textId="77777777" w:rsidR="00972CDD" w:rsidRDefault="00972CDD" w:rsidP="00124A51">
      <w:r>
        <w:separator/>
      </w:r>
    </w:p>
    <w:p w14:paraId="5F3D45AB" w14:textId="77777777" w:rsidR="00972CDD" w:rsidRDefault="00972CDD"/>
    <w:p w14:paraId="4CA69BD2" w14:textId="77777777" w:rsidR="00972CDD" w:rsidRDefault="00972CDD"/>
  </w:endnote>
  <w:endnote w:type="continuationSeparator" w:id="0">
    <w:p w14:paraId="609C576B" w14:textId="77777777" w:rsidR="00972CDD" w:rsidRDefault="00972CDD" w:rsidP="00124A51">
      <w:r>
        <w:continuationSeparator/>
      </w:r>
    </w:p>
    <w:p w14:paraId="68D2A006" w14:textId="77777777" w:rsidR="00972CDD" w:rsidRDefault="00972CDD"/>
    <w:p w14:paraId="7352058E" w14:textId="77777777" w:rsidR="00972CDD" w:rsidRDefault="00972CDD"/>
  </w:endnote>
  <w:endnote w:type="continuationNotice" w:id="1">
    <w:p w14:paraId="60095D18" w14:textId="77777777" w:rsidR="00972CDD" w:rsidRDefault="00972C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67DAD566" w:rsidR="00D843F2" w:rsidRDefault="00D843F2" w:rsidP="00753B29">
    <w:pPr>
      <w:jc w:val="center"/>
    </w:pPr>
  </w:p>
  <w:p w14:paraId="37484CD3" w14:textId="597F5609" w:rsidR="00D843F2" w:rsidRPr="007C1CD9" w:rsidRDefault="00D16346" w:rsidP="00753B29">
    <w:pPr>
      <w:jc w:val="center"/>
    </w:pPr>
    <w:sdt>
      <w:sdtPr>
        <w:id w:val="1036156457"/>
        <w:docPartObj>
          <w:docPartGallery w:val="Page Numbers (Bottom of Page)"/>
          <w:docPartUnique/>
        </w:docPartObj>
      </w:sdtPr>
      <w:sdtEndPr>
        <w:rPr>
          <w:noProof/>
        </w:rPr>
      </w:sdtEndPr>
      <w:sdtContent>
        <w:r w:rsidR="00D843F2" w:rsidRPr="00810C1E">
          <w:rPr>
            <w:b/>
            <w:bCs/>
          </w:rPr>
          <w:fldChar w:fldCharType="begin"/>
        </w:r>
        <w:r w:rsidR="00D843F2" w:rsidRPr="00810C1E">
          <w:rPr>
            <w:b/>
            <w:bCs/>
          </w:rPr>
          <w:instrText xml:space="preserve"> PAGE   \* MERGEFORMAT </w:instrText>
        </w:r>
        <w:r w:rsidR="00D843F2" w:rsidRPr="00810C1E">
          <w:rPr>
            <w:b/>
            <w:bCs/>
          </w:rPr>
          <w:fldChar w:fldCharType="separate"/>
        </w:r>
        <w:r w:rsidR="00D843F2" w:rsidRPr="00810C1E">
          <w:rPr>
            <w:b/>
            <w:bCs/>
            <w:noProof/>
          </w:rPr>
          <w:t>2</w:t>
        </w:r>
        <w:r w:rsidR="00D843F2" w:rsidRPr="00810C1E">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F1528" w14:textId="77777777" w:rsidR="00972CDD" w:rsidRDefault="00972CDD" w:rsidP="00124A51">
      <w:r>
        <w:separator/>
      </w:r>
    </w:p>
    <w:p w14:paraId="210B83F0" w14:textId="77777777" w:rsidR="00972CDD" w:rsidRDefault="00972CDD"/>
    <w:p w14:paraId="51D150F3" w14:textId="77777777" w:rsidR="00972CDD" w:rsidRDefault="00972CDD"/>
  </w:footnote>
  <w:footnote w:type="continuationSeparator" w:id="0">
    <w:p w14:paraId="408DFF0C" w14:textId="77777777" w:rsidR="00972CDD" w:rsidRDefault="00972CDD" w:rsidP="00124A51">
      <w:r>
        <w:continuationSeparator/>
      </w:r>
    </w:p>
    <w:p w14:paraId="227E3D49" w14:textId="77777777" w:rsidR="00972CDD" w:rsidRDefault="00972CDD"/>
    <w:p w14:paraId="6001EFC3" w14:textId="77777777" w:rsidR="00972CDD" w:rsidRDefault="00972CDD"/>
  </w:footnote>
  <w:footnote w:type="continuationNotice" w:id="1">
    <w:p w14:paraId="5877B15B" w14:textId="77777777" w:rsidR="00972CDD" w:rsidRDefault="00972C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E204" w14:textId="7C30A2AD" w:rsidR="00D843F2" w:rsidRPr="00195452" w:rsidRDefault="00F85A23" w:rsidP="003C2DE2">
    <w:pPr>
      <w:jc w:val="center"/>
      <w:rPr>
        <w:rFonts w:asciiTheme="minorHAnsi" w:hAnsiTheme="minorHAnsi"/>
        <w:i/>
        <w:color w:val="808080"/>
      </w:rPr>
    </w:pPr>
    <w:r>
      <w:rPr>
        <w:rFonts w:asciiTheme="minorHAnsi" w:hAnsiTheme="minorHAnsi"/>
        <w:i/>
        <w:color w:val="808080"/>
      </w:rPr>
      <w:t>Public Summary Document</w:t>
    </w:r>
    <w:r w:rsidRPr="00056684">
      <w:rPr>
        <w:rFonts w:asciiTheme="minorHAnsi" w:hAnsiTheme="minorHAnsi"/>
        <w:i/>
        <w:color w:val="808080"/>
      </w:rPr>
      <w:t xml:space="preserve"> </w:t>
    </w:r>
    <w:r w:rsidR="00810C1E">
      <w:rPr>
        <w:rFonts w:asciiTheme="minorHAnsi" w:hAnsiTheme="minorHAnsi"/>
        <w:i/>
        <w:color w:val="808080"/>
      </w:rPr>
      <w:t xml:space="preserve">- </w:t>
    </w:r>
    <w:r w:rsidR="00D843F2">
      <w:rPr>
        <w:rFonts w:asciiTheme="minorHAnsi" w:hAnsiTheme="minorHAnsi"/>
        <w:i/>
        <w:color w:val="808080"/>
      </w:rPr>
      <w:t>M</w:t>
    </w:r>
    <w:r w:rsidR="0054409A">
      <w:rPr>
        <w:rFonts w:asciiTheme="minorHAnsi" w:hAnsiTheme="minorHAnsi"/>
        <w:i/>
        <w:color w:val="808080"/>
      </w:rPr>
      <w:t>arch</w:t>
    </w:r>
    <w:r w:rsidR="00D843F2">
      <w:rPr>
        <w:rFonts w:asciiTheme="minorHAnsi" w:hAnsiTheme="minorHAnsi"/>
        <w:i/>
        <w:color w:val="808080"/>
      </w:rPr>
      <w:t xml:space="preserve"> 202</w:t>
    </w:r>
    <w:r w:rsidR="0054409A">
      <w:rPr>
        <w:rFonts w:asciiTheme="minorHAnsi" w:hAnsiTheme="minorHAnsi"/>
        <w:i/>
        <w:color w:val="808080"/>
      </w:rPr>
      <w:t>3</w:t>
    </w:r>
    <w:r w:rsidR="00D843F2">
      <w:rPr>
        <w:rFonts w:asciiTheme="minorHAnsi" w:hAnsiTheme="minorHAnsi"/>
        <w:i/>
        <w:color w:val="808080"/>
      </w:rPr>
      <w:t xml:space="preserve"> </w:t>
    </w:r>
    <w:r w:rsidR="00D843F2" w:rsidRPr="00195452">
      <w:rPr>
        <w:rFonts w:asciiTheme="minorHAnsi" w:hAnsiTheme="minorHAnsi"/>
        <w:i/>
        <w:color w:val="808080"/>
      </w:rPr>
      <w:t>PBAC Meeting</w:t>
    </w:r>
  </w:p>
  <w:p w14:paraId="03AF943B" w14:textId="77777777" w:rsidR="00D843F2" w:rsidRPr="008C7ECB" w:rsidRDefault="00D843F2" w:rsidP="00F85A2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73EC6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5563A2"/>
    <w:multiLevelType w:val="hybridMultilevel"/>
    <w:tmpl w:val="21342F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2B01FD8"/>
    <w:multiLevelType w:val="hybridMultilevel"/>
    <w:tmpl w:val="95508E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FB219F8"/>
    <w:multiLevelType w:val="hybridMultilevel"/>
    <w:tmpl w:val="6CA0CEB4"/>
    <w:lvl w:ilvl="0" w:tplc="4F38898A">
      <w:start w:val="1"/>
      <w:numFmt w:val="bullet"/>
      <w:pStyle w:val="COMexecsummmainissue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5A2E6B"/>
    <w:multiLevelType w:val="hybridMultilevel"/>
    <w:tmpl w:val="569C1A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0C81C84"/>
    <w:multiLevelType w:val="hybridMultilevel"/>
    <w:tmpl w:val="369C827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3D7060A"/>
    <w:multiLevelType w:val="hybridMultilevel"/>
    <w:tmpl w:val="A01494B2"/>
    <w:lvl w:ilvl="0" w:tplc="D7C8CD7C">
      <w:start w:val="1"/>
      <w:numFmt w:val="bullet"/>
      <w:lvlText w:val="-"/>
      <w:lvlJc w:val="left"/>
      <w:pPr>
        <w:tabs>
          <w:tab w:val="num" w:pos="360"/>
        </w:tabs>
        <w:ind w:left="360" w:hanging="360"/>
      </w:pPr>
      <w:rPr>
        <w:rFonts w:ascii="Times New Roman" w:hAnsi="Times New Roman" w:hint="default"/>
      </w:rPr>
    </w:lvl>
    <w:lvl w:ilvl="1" w:tplc="913E66E4">
      <w:numFmt w:val="bullet"/>
      <w:lvlText w:val="-"/>
      <w:lvlJc w:val="left"/>
      <w:pPr>
        <w:tabs>
          <w:tab w:val="num" w:pos="1080"/>
        </w:tabs>
        <w:ind w:left="1080" w:hanging="360"/>
      </w:pPr>
      <w:rPr>
        <w:rFonts w:ascii="Times New Roman" w:hAnsi="Times New Roman" w:hint="default"/>
      </w:rPr>
    </w:lvl>
    <w:lvl w:ilvl="2" w:tplc="CB32EF46">
      <w:numFmt w:val="bullet"/>
      <w:lvlText w:val="-"/>
      <w:lvlJc w:val="left"/>
      <w:pPr>
        <w:tabs>
          <w:tab w:val="num" w:pos="1800"/>
        </w:tabs>
        <w:ind w:left="1800" w:hanging="360"/>
      </w:pPr>
      <w:rPr>
        <w:rFonts w:ascii="Times New Roman" w:hAnsi="Times New Roman" w:hint="default"/>
      </w:rPr>
    </w:lvl>
    <w:lvl w:ilvl="3" w:tplc="FEDA9EC6" w:tentative="1">
      <w:start w:val="1"/>
      <w:numFmt w:val="bullet"/>
      <w:lvlText w:val="-"/>
      <w:lvlJc w:val="left"/>
      <w:pPr>
        <w:tabs>
          <w:tab w:val="num" w:pos="2520"/>
        </w:tabs>
        <w:ind w:left="2520" w:hanging="360"/>
      </w:pPr>
      <w:rPr>
        <w:rFonts w:ascii="Times New Roman" w:hAnsi="Times New Roman" w:hint="default"/>
      </w:rPr>
    </w:lvl>
    <w:lvl w:ilvl="4" w:tplc="B13E485E" w:tentative="1">
      <w:start w:val="1"/>
      <w:numFmt w:val="bullet"/>
      <w:lvlText w:val="-"/>
      <w:lvlJc w:val="left"/>
      <w:pPr>
        <w:tabs>
          <w:tab w:val="num" w:pos="3240"/>
        </w:tabs>
        <w:ind w:left="3240" w:hanging="360"/>
      </w:pPr>
      <w:rPr>
        <w:rFonts w:ascii="Times New Roman" w:hAnsi="Times New Roman" w:hint="default"/>
      </w:rPr>
    </w:lvl>
    <w:lvl w:ilvl="5" w:tplc="90D82FEA" w:tentative="1">
      <w:start w:val="1"/>
      <w:numFmt w:val="bullet"/>
      <w:lvlText w:val="-"/>
      <w:lvlJc w:val="left"/>
      <w:pPr>
        <w:tabs>
          <w:tab w:val="num" w:pos="3960"/>
        </w:tabs>
        <w:ind w:left="3960" w:hanging="360"/>
      </w:pPr>
      <w:rPr>
        <w:rFonts w:ascii="Times New Roman" w:hAnsi="Times New Roman" w:hint="default"/>
      </w:rPr>
    </w:lvl>
    <w:lvl w:ilvl="6" w:tplc="A8BE14BA" w:tentative="1">
      <w:start w:val="1"/>
      <w:numFmt w:val="bullet"/>
      <w:lvlText w:val="-"/>
      <w:lvlJc w:val="left"/>
      <w:pPr>
        <w:tabs>
          <w:tab w:val="num" w:pos="4680"/>
        </w:tabs>
        <w:ind w:left="4680" w:hanging="360"/>
      </w:pPr>
      <w:rPr>
        <w:rFonts w:ascii="Times New Roman" w:hAnsi="Times New Roman" w:hint="default"/>
      </w:rPr>
    </w:lvl>
    <w:lvl w:ilvl="7" w:tplc="759ED472" w:tentative="1">
      <w:start w:val="1"/>
      <w:numFmt w:val="bullet"/>
      <w:lvlText w:val="-"/>
      <w:lvlJc w:val="left"/>
      <w:pPr>
        <w:tabs>
          <w:tab w:val="num" w:pos="5400"/>
        </w:tabs>
        <w:ind w:left="5400" w:hanging="360"/>
      </w:pPr>
      <w:rPr>
        <w:rFonts w:ascii="Times New Roman" w:hAnsi="Times New Roman" w:hint="default"/>
      </w:rPr>
    </w:lvl>
    <w:lvl w:ilvl="8" w:tplc="991A271E" w:tentative="1">
      <w:start w:val="1"/>
      <w:numFmt w:val="bullet"/>
      <w:lvlText w:val="-"/>
      <w:lvlJc w:val="left"/>
      <w:pPr>
        <w:tabs>
          <w:tab w:val="num" w:pos="6120"/>
        </w:tabs>
        <w:ind w:left="6120" w:hanging="360"/>
      </w:pPr>
      <w:rPr>
        <w:rFonts w:ascii="Times New Roman" w:hAnsi="Times New Roman" w:hint="default"/>
      </w:rPr>
    </w:lvl>
  </w:abstractNum>
  <w:abstractNum w:abstractNumId="7" w15:restartNumberingAfterBreak="0">
    <w:nsid w:val="44442297"/>
    <w:multiLevelType w:val="hybridMultilevel"/>
    <w:tmpl w:val="E6FE4E00"/>
    <w:lvl w:ilvl="0" w:tplc="C324F4FC">
      <w:start w:val="1"/>
      <w:numFmt w:val="bullet"/>
      <w:pStyle w:val="zz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8D67A6"/>
    <w:multiLevelType w:val="hybridMultilevel"/>
    <w:tmpl w:val="FAB8EED8"/>
    <w:lvl w:ilvl="0" w:tplc="8708BEC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2F57C9"/>
    <w:multiLevelType w:val="hybridMultilevel"/>
    <w:tmpl w:val="3C12C7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5A76300F"/>
    <w:multiLevelType w:val="hybridMultilevel"/>
    <w:tmpl w:val="66D45F42"/>
    <w:lvl w:ilvl="0" w:tplc="0246780A">
      <w:start w:val="1"/>
      <w:numFmt w:val="bullet"/>
      <w:lvlText w:val=""/>
      <w:lvlJc w:val="left"/>
      <w:pPr>
        <w:tabs>
          <w:tab w:val="num" w:pos="35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pStyle w:val="ListBulletlvl3"/>
      <w:lvlText w:val=""/>
      <w:lvlJc w:val="left"/>
      <w:pPr>
        <w:ind w:left="2160" w:hanging="360"/>
      </w:pPr>
      <w:rPr>
        <w:rFonts w:ascii="Wingdings" w:hAnsi="Wingdings" w:hint="default"/>
      </w:rPr>
    </w:lvl>
    <w:lvl w:ilvl="3" w:tplc="04090001">
      <w:start w:val="1"/>
      <w:numFmt w:val="bullet"/>
      <w:pStyle w:val="ListBulletlvl4"/>
      <w:lvlText w:val=""/>
      <w:lvlJc w:val="left"/>
      <w:pPr>
        <w:ind w:left="2880" w:hanging="360"/>
      </w:pPr>
      <w:rPr>
        <w:rFonts w:ascii="Symbol" w:hAnsi="Symbol" w:hint="default"/>
      </w:rPr>
    </w:lvl>
    <w:lvl w:ilvl="4" w:tplc="04090003">
      <w:start w:val="1"/>
      <w:numFmt w:val="bullet"/>
      <w:pStyle w:val="ListBulletlvl5"/>
      <w:lvlText w:val="o"/>
      <w:lvlJc w:val="left"/>
      <w:pPr>
        <w:ind w:left="3600" w:hanging="360"/>
      </w:pPr>
      <w:rPr>
        <w:rFonts w:ascii="Courier New" w:hAnsi="Courier New" w:hint="default"/>
      </w:rPr>
    </w:lvl>
    <w:lvl w:ilvl="5" w:tplc="04090005">
      <w:start w:val="1"/>
      <w:numFmt w:val="bullet"/>
      <w:pStyle w:val="ListBulletlvl6"/>
      <w:lvlText w:val=""/>
      <w:lvlJc w:val="left"/>
      <w:pPr>
        <w:ind w:left="4320" w:hanging="360"/>
      </w:pPr>
      <w:rPr>
        <w:rFonts w:ascii="Wingdings" w:hAnsi="Wingdings" w:hint="default"/>
      </w:rPr>
    </w:lvl>
    <w:lvl w:ilvl="6" w:tplc="04090001">
      <w:start w:val="1"/>
      <w:numFmt w:val="bullet"/>
      <w:pStyle w:val="ListBulletlvl7"/>
      <w:lvlText w:val=""/>
      <w:lvlJc w:val="left"/>
      <w:pPr>
        <w:ind w:left="5040" w:hanging="360"/>
      </w:pPr>
      <w:rPr>
        <w:rFonts w:ascii="Symbol" w:hAnsi="Symbol" w:hint="default"/>
      </w:rPr>
    </w:lvl>
    <w:lvl w:ilvl="7" w:tplc="04090003">
      <w:start w:val="1"/>
      <w:numFmt w:val="bullet"/>
      <w:pStyle w:val="ListBulletlvl8"/>
      <w:lvlText w:val="o"/>
      <w:lvlJc w:val="left"/>
      <w:pPr>
        <w:ind w:left="5760" w:hanging="360"/>
      </w:pPr>
      <w:rPr>
        <w:rFonts w:ascii="Courier New" w:hAnsi="Courier New" w:hint="default"/>
      </w:rPr>
    </w:lvl>
    <w:lvl w:ilvl="8" w:tplc="04090005">
      <w:start w:val="1"/>
      <w:numFmt w:val="bullet"/>
      <w:pStyle w:val="ListBulletlvl9"/>
      <w:lvlText w:val=""/>
      <w:lvlJc w:val="left"/>
      <w:pPr>
        <w:ind w:left="6480" w:hanging="360"/>
      </w:pPr>
      <w:rPr>
        <w:rFonts w:ascii="Wingdings" w:hAnsi="Wingdings" w:hint="default"/>
      </w:rPr>
    </w:lvl>
  </w:abstractNum>
  <w:abstractNum w:abstractNumId="11"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4512095"/>
    <w:multiLevelType w:val="hybridMultilevel"/>
    <w:tmpl w:val="A678D6C6"/>
    <w:lvl w:ilvl="0" w:tplc="0C090001">
      <w:start w:val="1"/>
      <w:numFmt w:val="bullet"/>
      <w:lvlText w:val=""/>
      <w:lvlJc w:val="left"/>
      <w:pPr>
        <w:ind w:left="1110" w:hanging="360"/>
      </w:pPr>
      <w:rPr>
        <w:rFonts w:ascii="Symbol" w:hAnsi="Symbol" w:hint="default"/>
      </w:rPr>
    </w:lvl>
    <w:lvl w:ilvl="1" w:tplc="0C090003">
      <w:start w:val="1"/>
      <w:numFmt w:val="bullet"/>
      <w:lvlText w:val="o"/>
      <w:lvlJc w:val="left"/>
      <w:pPr>
        <w:ind w:left="1830" w:hanging="360"/>
      </w:pPr>
      <w:rPr>
        <w:rFonts w:ascii="Courier New" w:hAnsi="Courier New" w:cs="Courier New" w:hint="default"/>
      </w:rPr>
    </w:lvl>
    <w:lvl w:ilvl="2" w:tplc="0C090005">
      <w:start w:val="1"/>
      <w:numFmt w:val="bullet"/>
      <w:lvlText w:val=""/>
      <w:lvlJc w:val="left"/>
      <w:pPr>
        <w:ind w:left="2550" w:hanging="360"/>
      </w:pPr>
      <w:rPr>
        <w:rFonts w:ascii="Wingdings" w:hAnsi="Wingdings" w:hint="default"/>
      </w:rPr>
    </w:lvl>
    <w:lvl w:ilvl="3" w:tplc="0C090001">
      <w:start w:val="1"/>
      <w:numFmt w:val="bullet"/>
      <w:lvlText w:val=""/>
      <w:lvlJc w:val="left"/>
      <w:pPr>
        <w:ind w:left="3270" w:hanging="360"/>
      </w:pPr>
      <w:rPr>
        <w:rFonts w:ascii="Symbol" w:hAnsi="Symbol" w:hint="default"/>
      </w:rPr>
    </w:lvl>
    <w:lvl w:ilvl="4" w:tplc="0C090003" w:tentative="1">
      <w:start w:val="1"/>
      <w:numFmt w:val="bullet"/>
      <w:lvlText w:val="o"/>
      <w:lvlJc w:val="left"/>
      <w:pPr>
        <w:ind w:left="3990" w:hanging="360"/>
      </w:pPr>
      <w:rPr>
        <w:rFonts w:ascii="Courier New" w:hAnsi="Courier New" w:cs="Courier New" w:hint="default"/>
      </w:rPr>
    </w:lvl>
    <w:lvl w:ilvl="5" w:tplc="0C090005" w:tentative="1">
      <w:start w:val="1"/>
      <w:numFmt w:val="bullet"/>
      <w:lvlText w:val=""/>
      <w:lvlJc w:val="left"/>
      <w:pPr>
        <w:ind w:left="4710" w:hanging="360"/>
      </w:pPr>
      <w:rPr>
        <w:rFonts w:ascii="Wingdings" w:hAnsi="Wingdings" w:hint="default"/>
      </w:rPr>
    </w:lvl>
    <w:lvl w:ilvl="6" w:tplc="0C090001" w:tentative="1">
      <w:start w:val="1"/>
      <w:numFmt w:val="bullet"/>
      <w:lvlText w:val=""/>
      <w:lvlJc w:val="left"/>
      <w:pPr>
        <w:ind w:left="5430" w:hanging="360"/>
      </w:pPr>
      <w:rPr>
        <w:rFonts w:ascii="Symbol" w:hAnsi="Symbol" w:hint="default"/>
      </w:rPr>
    </w:lvl>
    <w:lvl w:ilvl="7" w:tplc="0C090003" w:tentative="1">
      <w:start w:val="1"/>
      <w:numFmt w:val="bullet"/>
      <w:lvlText w:val="o"/>
      <w:lvlJc w:val="left"/>
      <w:pPr>
        <w:ind w:left="6150" w:hanging="360"/>
      </w:pPr>
      <w:rPr>
        <w:rFonts w:ascii="Courier New" w:hAnsi="Courier New" w:cs="Courier New" w:hint="default"/>
      </w:rPr>
    </w:lvl>
    <w:lvl w:ilvl="8" w:tplc="0C090005" w:tentative="1">
      <w:start w:val="1"/>
      <w:numFmt w:val="bullet"/>
      <w:lvlText w:val=""/>
      <w:lvlJc w:val="left"/>
      <w:pPr>
        <w:ind w:left="6870" w:hanging="360"/>
      </w:pPr>
      <w:rPr>
        <w:rFonts w:ascii="Wingdings" w:hAnsi="Wingdings" w:hint="default"/>
      </w:rPr>
    </w:lvl>
  </w:abstractNum>
  <w:abstractNum w:abstractNumId="13" w15:restartNumberingAfterBreak="0">
    <w:nsid w:val="784D033C"/>
    <w:multiLevelType w:val="multilevel"/>
    <w:tmpl w:val="85AED71A"/>
    <w:lvl w:ilvl="0">
      <w:start w:val="1"/>
      <w:numFmt w:val="decimal"/>
      <w:pStyle w:val="COMH1numbered"/>
      <w:lvlText w:val="%1"/>
      <w:lvlJc w:val="left"/>
      <w:pPr>
        <w:ind w:left="720" w:hanging="720"/>
      </w:pPr>
      <w:rPr>
        <w:rFonts w:hint="default"/>
        <w:b/>
      </w:rPr>
    </w:lvl>
    <w:lvl w:ilvl="1">
      <w:start w:val="1"/>
      <w:numFmt w:val="decimal"/>
      <w:pStyle w:val="COMexecsumnumberedpara"/>
      <w:lvlText w:val="%1.%2"/>
      <w:lvlJc w:val="left"/>
      <w:pPr>
        <w:ind w:left="720" w:hanging="720"/>
      </w:pPr>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8"/>
  </w:num>
  <w:num w:numId="3">
    <w:abstractNumId w:val="0"/>
  </w:num>
  <w:num w:numId="4">
    <w:abstractNumId w:val="13"/>
  </w:num>
  <w:num w:numId="5">
    <w:abstractNumId w:val="3"/>
  </w:num>
  <w:num w:numId="6">
    <w:abstractNumId w:val="10"/>
  </w:num>
  <w:num w:numId="7">
    <w:abstractNumId w:val="12"/>
  </w:num>
  <w:num w:numId="8">
    <w:abstractNumId w:val="1"/>
  </w:num>
  <w:num w:numId="9">
    <w:abstractNumId w:val="4"/>
  </w:num>
  <w:num w:numId="10">
    <w:abstractNumId w:val="5"/>
  </w:num>
  <w:num w:numId="11">
    <w:abstractNumId w:val="9"/>
  </w:num>
  <w:num w:numId="12">
    <w:abstractNumId w:val="11"/>
  </w:num>
  <w:num w:numId="13">
    <w:abstractNumId w:val="8"/>
  </w:num>
  <w:num w:numId="14">
    <w:abstractNumId w:val="1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3"/>
  </w:num>
  <w:num w:numId="17">
    <w:abstractNumId w:val="6"/>
  </w:num>
  <w:num w:numId="18">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79"/>
    <w:rsid w:val="00000790"/>
    <w:rsid w:val="0000110B"/>
    <w:rsid w:val="000011A4"/>
    <w:rsid w:val="000014D9"/>
    <w:rsid w:val="00002394"/>
    <w:rsid w:val="00003499"/>
    <w:rsid w:val="000039B7"/>
    <w:rsid w:val="00003FC3"/>
    <w:rsid w:val="0000467D"/>
    <w:rsid w:val="00005623"/>
    <w:rsid w:val="000056B9"/>
    <w:rsid w:val="00005DA0"/>
    <w:rsid w:val="00005E08"/>
    <w:rsid w:val="000061B3"/>
    <w:rsid w:val="0000639A"/>
    <w:rsid w:val="00007360"/>
    <w:rsid w:val="0000751B"/>
    <w:rsid w:val="00007767"/>
    <w:rsid w:val="00010E88"/>
    <w:rsid w:val="00011348"/>
    <w:rsid w:val="00011B80"/>
    <w:rsid w:val="000125E0"/>
    <w:rsid w:val="00013247"/>
    <w:rsid w:val="0001418C"/>
    <w:rsid w:val="00014862"/>
    <w:rsid w:val="000149CE"/>
    <w:rsid w:val="00015181"/>
    <w:rsid w:val="0001538E"/>
    <w:rsid w:val="000153E5"/>
    <w:rsid w:val="00015886"/>
    <w:rsid w:val="00015BFD"/>
    <w:rsid w:val="000162EF"/>
    <w:rsid w:val="0001717A"/>
    <w:rsid w:val="000172E1"/>
    <w:rsid w:val="000207C9"/>
    <w:rsid w:val="000210EF"/>
    <w:rsid w:val="00021152"/>
    <w:rsid w:val="0002192C"/>
    <w:rsid w:val="00021CE4"/>
    <w:rsid w:val="0002225F"/>
    <w:rsid w:val="00022B02"/>
    <w:rsid w:val="00023763"/>
    <w:rsid w:val="00023AB6"/>
    <w:rsid w:val="00024669"/>
    <w:rsid w:val="00024EA9"/>
    <w:rsid w:val="00024EB5"/>
    <w:rsid w:val="000263D1"/>
    <w:rsid w:val="000263E2"/>
    <w:rsid w:val="00026990"/>
    <w:rsid w:val="000274B8"/>
    <w:rsid w:val="000306A8"/>
    <w:rsid w:val="00031BF5"/>
    <w:rsid w:val="00031FE8"/>
    <w:rsid w:val="00032221"/>
    <w:rsid w:val="000326D6"/>
    <w:rsid w:val="00032C4F"/>
    <w:rsid w:val="00033863"/>
    <w:rsid w:val="00035010"/>
    <w:rsid w:val="000359BC"/>
    <w:rsid w:val="000359C8"/>
    <w:rsid w:val="00035DC0"/>
    <w:rsid w:val="00035F76"/>
    <w:rsid w:val="00036829"/>
    <w:rsid w:val="000371D0"/>
    <w:rsid w:val="000375BF"/>
    <w:rsid w:val="00037EC7"/>
    <w:rsid w:val="000401C7"/>
    <w:rsid w:val="00040895"/>
    <w:rsid w:val="00040A7A"/>
    <w:rsid w:val="00040D09"/>
    <w:rsid w:val="000410A0"/>
    <w:rsid w:val="00041182"/>
    <w:rsid w:val="000416B6"/>
    <w:rsid w:val="00041751"/>
    <w:rsid w:val="00041777"/>
    <w:rsid w:val="00042200"/>
    <w:rsid w:val="0004253A"/>
    <w:rsid w:val="00042DD3"/>
    <w:rsid w:val="00043080"/>
    <w:rsid w:val="0004344E"/>
    <w:rsid w:val="000435EE"/>
    <w:rsid w:val="00043C37"/>
    <w:rsid w:val="00045017"/>
    <w:rsid w:val="0004505C"/>
    <w:rsid w:val="000452E5"/>
    <w:rsid w:val="00045A2B"/>
    <w:rsid w:val="0004698F"/>
    <w:rsid w:val="00046D64"/>
    <w:rsid w:val="000508C2"/>
    <w:rsid w:val="00051192"/>
    <w:rsid w:val="00051EA7"/>
    <w:rsid w:val="00051F99"/>
    <w:rsid w:val="00052D92"/>
    <w:rsid w:val="00052F26"/>
    <w:rsid w:val="00053480"/>
    <w:rsid w:val="000536FF"/>
    <w:rsid w:val="000539D0"/>
    <w:rsid w:val="00053C5A"/>
    <w:rsid w:val="000540BB"/>
    <w:rsid w:val="000542F0"/>
    <w:rsid w:val="00054621"/>
    <w:rsid w:val="000546D7"/>
    <w:rsid w:val="00054A8D"/>
    <w:rsid w:val="00054E21"/>
    <w:rsid w:val="000551B8"/>
    <w:rsid w:val="0005562B"/>
    <w:rsid w:val="000564D6"/>
    <w:rsid w:val="00056A6A"/>
    <w:rsid w:val="00056ECF"/>
    <w:rsid w:val="00057327"/>
    <w:rsid w:val="00057E9A"/>
    <w:rsid w:val="00060063"/>
    <w:rsid w:val="000604DF"/>
    <w:rsid w:val="000609B7"/>
    <w:rsid w:val="00060E98"/>
    <w:rsid w:val="0006190C"/>
    <w:rsid w:val="00061E21"/>
    <w:rsid w:val="00062232"/>
    <w:rsid w:val="00062324"/>
    <w:rsid w:val="00062360"/>
    <w:rsid w:val="00062592"/>
    <w:rsid w:val="000628E9"/>
    <w:rsid w:val="00063716"/>
    <w:rsid w:val="0006428E"/>
    <w:rsid w:val="000653B5"/>
    <w:rsid w:val="00066360"/>
    <w:rsid w:val="00066AF8"/>
    <w:rsid w:val="00067572"/>
    <w:rsid w:val="0006790D"/>
    <w:rsid w:val="00067E30"/>
    <w:rsid w:val="00070BE6"/>
    <w:rsid w:val="00071248"/>
    <w:rsid w:val="000720B9"/>
    <w:rsid w:val="000727F3"/>
    <w:rsid w:val="00072D75"/>
    <w:rsid w:val="00072D96"/>
    <w:rsid w:val="00072E24"/>
    <w:rsid w:val="000734F8"/>
    <w:rsid w:val="00073747"/>
    <w:rsid w:val="000737F7"/>
    <w:rsid w:val="000740DD"/>
    <w:rsid w:val="00074FCE"/>
    <w:rsid w:val="00075E57"/>
    <w:rsid w:val="0007672F"/>
    <w:rsid w:val="00076B54"/>
    <w:rsid w:val="000774F0"/>
    <w:rsid w:val="000775F1"/>
    <w:rsid w:val="000806E9"/>
    <w:rsid w:val="00080859"/>
    <w:rsid w:val="00080909"/>
    <w:rsid w:val="000812CA"/>
    <w:rsid w:val="00081E63"/>
    <w:rsid w:val="0008258D"/>
    <w:rsid w:val="000826E6"/>
    <w:rsid w:val="000827F7"/>
    <w:rsid w:val="0008293D"/>
    <w:rsid w:val="00083E99"/>
    <w:rsid w:val="00083FFE"/>
    <w:rsid w:val="00084FA8"/>
    <w:rsid w:val="00085105"/>
    <w:rsid w:val="000856C5"/>
    <w:rsid w:val="00085BF3"/>
    <w:rsid w:val="00085C31"/>
    <w:rsid w:val="0008610B"/>
    <w:rsid w:val="00086280"/>
    <w:rsid w:val="00086AD6"/>
    <w:rsid w:val="00087057"/>
    <w:rsid w:val="0008752F"/>
    <w:rsid w:val="00087A34"/>
    <w:rsid w:val="00090095"/>
    <w:rsid w:val="00090296"/>
    <w:rsid w:val="000902D9"/>
    <w:rsid w:val="00090C7E"/>
    <w:rsid w:val="00091196"/>
    <w:rsid w:val="000911AC"/>
    <w:rsid w:val="0009128A"/>
    <w:rsid w:val="00092600"/>
    <w:rsid w:val="0009262B"/>
    <w:rsid w:val="00093310"/>
    <w:rsid w:val="00093432"/>
    <w:rsid w:val="00093979"/>
    <w:rsid w:val="0009445C"/>
    <w:rsid w:val="00095200"/>
    <w:rsid w:val="00095777"/>
    <w:rsid w:val="00095FE5"/>
    <w:rsid w:val="00096284"/>
    <w:rsid w:val="0009647B"/>
    <w:rsid w:val="0009670E"/>
    <w:rsid w:val="00096942"/>
    <w:rsid w:val="00096B4A"/>
    <w:rsid w:val="00097B8E"/>
    <w:rsid w:val="000A00A4"/>
    <w:rsid w:val="000A107B"/>
    <w:rsid w:val="000A17E5"/>
    <w:rsid w:val="000A1BC0"/>
    <w:rsid w:val="000A1FFD"/>
    <w:rsid w:val="000A27C3"/>
    <w:rsid w:val="000A2F9E"/>
    <w:rsid w:val="000A3B67"/>
    <w:rsid w:val="000A3E47"/>
    <w:rsid w:val="000A3ECF"/>
    <w:rsid w:val="000A522B"/>
    <w:rsid w:val="000A5EEC"/>
    <w:rsid w:val="000A6039"/>
    <w:rsid w:val="000A6F1C"/>
    <w:rsid w:val="000A7278"/>
    <w:rsid w:val="000A72C5"/>
    <w:rsid w:val="000A7453"/>
    <w:rsid w:val="000A7D08"/>
    <w:rsid w:val="000B0121"/>
    <w:rsid w:val="000B0431"/>
    <w:rsid w:val="000B0670"/>
    <w:rsid w:val="000B0D97"/>
    <w:rsid w:val="000B0E75"/>
    <w:rsid w:val="000B2DCB"/>
    <w:rsid w:val="000B3A17"/>
    <w:rsid w:val="000B42AC"/>
    <w:rsid w:val="000B45AA"/>
    <w:rsid w:val="000B5CE0"/>
    <w:rsid w:val="000B5CF5"/>
    <w:rsid w:val="000B6CAC"/>
    <w:rsid w:val="000B720E"/>
    <w:rsid w:val="000B7612"/>
    <w:rsid w:val="000B78AE"/>
    <w:rsid w:val="000C0F4A"/>
    <w:rsid w:val="000C1CE0"/>
    <w:rsid w:val="000C21B5"/>
    <w:rsid w:val="000C306E"/>
    <w:rsid w:val="000C3CAD"/>
    <w:rsid w:val="000C3DF9"/>
    <w:rsid w:val="000C4741"/>
    <w:rsid w:val="000C499B"/>
    <w:rsid w:val="000C4CF2"/>
    <w:rsid w:val="000C50A5"/>
    <w:rsid w:val="000C6713"/>
    <w:rsid w:val="000C713A"/>
    <w:rsid w:val="000D0435"/>
    <w:rsid w:val="000D0687"/>
    <w:rsid w:val="000D0D98"/>
    <w:rsid w:val="000D0E9F"/>
    <w:rsid w:val="000D0F34"/>
    <w:rsid w:val="000D1815"/>
    <w:rsid w:val="000D1BFC"/>
    <w:rsid w:val="000D1D5D"/>
    <w:rsid w:val="000D258A"/>
    <w:rsid w:val="000D281A"/>
    <w:rsid w:val="000D2848"/>
    <w:rsid w:val="000D2918"/>
    <w:rsid w:val="000D326A"/>
    <w:rsid w:val="000D3A30"/>
    <w:rsid w:val="000D3BC7"/>
    <w:rsid w:val="000D4596"/>
    <w:rsid w:val="000D51FB"/>
    <w:rsid w:val="000D67B4"/>
    <w:rsid w:val="000D6B6A"/>
    <w:rsid w:val="000D70FB"/>
    <w:rsid w:val="000D7749"/>
    <w:rsid w:val="000D792D"/>
    <w:rsid w:val="000D7F56"/>
    <w:rsid w:val="000E0640"/>
    <w:rsid w:val="000E0BE6"/>
    <w:rsid w:val="000E0EDB"/>
    <w:rsid w:val="000E135D"/>
    <w:rsid w:val="000E1FF6"/>
    <w:rsid w:val="000E2FA4"/>
    <w:rsid w:val="000E3C4E"/>
    <w:rsid w:val="000E3D1F"/>
    <w:rsid w:val="000E42E5"/>
    <w:rsid w:val="000E4378"/>
    <w:rsid w:val="000E4836"/>
    <w:rsid w:val="000E64DF"/>
    <w:rsid w:val="000E6D07"/>
    <w:rsid w:val="000E7870"/>
    <w:rsid w:val="000E7A5B"/>
    <w:rsid w:val="000F00BA"/>
    <w:rsid w:val="000F03A4"/>
    <w:rsid w:val="000F11B3"/>
    <w:rsid w:val="000F14A6"/>
    <w:rsid w:val="000F1C7B"/>
    <w:rsid w:val="000F27B2"/>
    <w:rsid w:val="000F2F6D"/>
    <w:rsid w:val="000F316A"/>
    <w:rsid w:val="000F375C"/>
    <w:rsid w:val="000F3C74"/>
    <w:rsid w:val="000F3F2E"/>
    <w:rsid w:val="000F4BB8"/>
    <w:rsid w:val="000F4FA9"/>
    <w:rsid w:val="000F504E"/>
    <w:rsid w:val="000F53FB"/>
    <w:rsid w:val="000F5905"/>
    <w:rsid w:val="000F5A0E"/>
    <w:rsid w:val="000F5B8F"/>
    <w:rsid w:val="000F60D8"/>
    <w:rsid w:val="000F6105"/>
    <w:rsid w:val="000F68F6"/>
    <w:rsid w:val="000F6921"/>
    <w:rsid w:val="000F7127"/>
    <w:rsid w:val="000F7B54"/>
    <w:rsid w:val="001000B3"/>
    <w:rsid w:val="00100F8A"/>
    <w:rsid w:val="00103332"/>
    <w:rsid w:val="0010374C"/>
    <w:rsid w:val="0010452E"/>
    <w:rsid w:val="00105800"/>
    <w:rsid w:val="00105AE2"/>
    <w:rsid w:val="00105E88"/>
    <w:rsid w:val="001060C6"/>
    <w:rsid w:val="00106B80"/>
    <w:rsid w:val="00106BA0"/>
    <w:rsid w:val="00106D7D"/>
    <w:rsid w:val="001076B8"/>
    <w:rsid w:val="00107794"/>
    <w:rsid w:val="00107820"/>
    <w:rsid w:val="0011032E"/>
    <w:rsid w:val="00110EB4"/>
    <w:rsid w:val="0011135F"/>
    <w:rsid w:val="00111A20"/>
    <w:rsid w:val="0011285F"/>
    <w:rsid w:val="00112F6E"/>
    <w:rsid w:val="0011348B"/>
    <w:rsid w:val="0011393A"/>
    <w:rsid w:val="00113D04"/>
    <w:rsid w:val="001149A8"/>
    <w:rsid w:val="00114B4D"/>
    <w:rsid w:val="00114C90"/>
    <w:rsid w:val="00115802"/>
    <w:rsid w:val="00115902"/>
    <w:rsid w:val="00115982"/>
    <w:rsid w:val="00115988"/>
    <w:rsid w:val="001163B4"/>
    <w:rsid w:val="00116C53"/>
    <w:rsid w:val="00117021"/>
    <w:rsid w:val="001170A8"/>
    <w:rsid w:val="0011732C"/>
    <w:rsid w:val="00117984"/>
    <w:rsid w:val="001179C5"/>
    <w:rsid w:val="00121799"/>
    <w:rsid w:val="001222FC"/>
    <w:rsid w:val="001225F6"/>
    <w:rsid w:val="0012383A"/>
    <w:rsid w:val="00123902"/>
    <w:rsid w:val="00124A29"/>
    <w:rsid w:val="00124A51"/>
    <w:rsid w:val="00124B21"/>
    <w:rsid w:val="00126621"/>
    <w:rsid w:val="00126965"/>
    <w:rsid w:val="00126B1D"/>
    <w:rsid w:val="00127718"/>
    <w:rsid w:val="00127FE9"/>
    <w:rsid w:val="001301E9"/>
    <w:rsid w:val="00130236"/>
    <w:rsid w:val="00130446"/>
    <w:rsid w:val="0013096F"/>
    <w:rsid w:val="00131687"/>
    <w:rsid w:val="00131D82"/>
    <w:rsid w:val="00132B22"/>
    <w:rsid w:val="00132F88"/>
    <w:rsid w:val="00133CA8"/>
    <w:rsid w:val="00133D36"/>
    <w:rsid w:val="00133E88"/>
    <w:rsid w:val="001342C4"/>
    <w:rsid w:val="0013584E"/>
    <w:rsid w:val="00136AF5"/>
    <w:rsid w:val="00137063"/>
    <w:rsid w:val="0013717C"/>
    <w:rsid w:val="0013732E"/>
    <w:rsid w:val="00137547"/>
    <w:rsid w:val="00137645"/>
    <w:rsid w:val="0014015A"/>
    <w:rsid w:val="00140575"/>
    <w:rsid w:val="00140E99"/>
    <w:rsid w:val="0014198C"/>
    <w:rsid w:val="00142B41"/>
    <w:rsid w:val="00143732"/>
    <w:rsid w:val="00143F67"/>
    <w:rsid w:val="00144FF5"/>
    <w:rsid w:val="00145234"/>
    <w:rsid w:val="00145540"/>
    <w:rsid w:val="001456B0"/>
    <w:rsid w:val="00146C48"/>
    <w:rsid w:val="0014749D"/>
    <w:rsid w:val="00150A0C"/>
    <w:rsid w:val="00150C53"/>
    <w:rsid w:val="001515B1"/>
    <w:rsid w:val="00151DE3"/>
    <w:rsid w:val="00152016"/>
    <w:rsid w:val="00152729"/>
    <w:rsid w:val="00152CBE"/>
    <w:rsid w:val="00153491"/>
    <w:rsid w:val="00153AC4"/>
    <w:rsid w:val="00153DB0"/>
    <w:rsid w:val="00153F7E"/>
    <w:rsid w:val="0015432D"/>
    <w:rsid w:val="001547AB"/>
    <w:rsid w:val="00155844"/>
    <w:rsid w:val="00155ABA"/>
    <w:rsid w:val="00156725"/>
    <w:rsid w:val="001569EB"/>
    <w:rsid w:val="00156F8F"/>
    <w:rsid w:val="00157130"/>
    <w:rsid w:val="00157430"/>
    <w:rsid w:val="001576B1"/>
    <w:rsid w:val="00157B01"/>
    <w:rsid w:val="00157DFC"/>
    <w:rsid w:val="0016047B"/>
    <w:rsid w:val="00160665"/>
    <w:rsid w:val="00160A4C"/>
    <w:rsid w:val="00160B44"/>
    <w:rsid w:val="00160E40"/>
    <w:rsid w:val="00162913"/>
    <w:rsid w:val="00162BF2"/>
    <w:rsid w:val="00162F82"/>
    <w:rsid w:val="00163E81"/>
    <w:rsid w:val="00163EFF"/>
    <w:rsid w:val="00163F66"/>
    <w:rsid w:val="0016478E"/>
    <w:rsid w:val="00164C4D"/>
    <w:rsid w:val="00164DD5"/>
    <w:rsid w:val="001656C7"/>
    <w:rsid w:val="00165803"/>
    <w:rsid w:val="00165AF9"/>
    <w:rsid w:val="00165EC4"/>
    <w:rsid w:val="00165FA5"/>
    <w:rsid w:val="001661FB"/>
    <w:rsid w:val="00166719"/>
    <w:rsid w:val="0016718B"/>
    <w:rsid w:val="001671A0"/>
    <w:rsid w:val="0016767F"/>
    <w:rsid w:val="00170117"/>
    <w:rsid w:val="001701BE"/>
    <w:rsid w:val="001702A1"/>
    <w:rsid w:val="00170569"/>
    <w:rsid w:val="0017155F"/>
    <w:rsid w:val="00172A03"/>
    <w:rsid w:val="00172B61"/>
    <w:rsid w:val="00173565"/>
    <w:rsid w:val="00173862"/>
    <w:rsid w:val="00173B07"/>
    <w:rsid w:val="00173EE6"/>
    <w:rsid w:val="001751FA"/>
    <w:rsid w:val="001765C1"/>
    <w:rsid w:val="00176A8B"/>
    <w:rsid w:val="00176E33"/>
    <w:rsid w:val="0017789B"/>
    <w:rsid w:val="00177910"/>
    <w:rsid w:val="0018052A"/>
    <w:rsid w:val="00181C10"/>
    <w:rsid w:val="00181D9C"/>
    <w:rsid w:val="0018234C"/>
    <w:rsid w:val="00182463"/>
    <w:rsid w:val="00182B33"/>
    <w:rsid w:val="001835F4"/>
    <w:rsid w:val="001837FF"/>
    <w:rsid w:val="00183A3B"/>
    <w:rsid w:val="00183B86"/>
    <w:rsid w:val="00184390"/>
    <w:rsid w:val="00184691"/>
    <w:rsid w:val="001846CA"/>
    <w:rsid w:val="00184B0E"/>
    <w:rsid w:val="001853DD"/>
    <w:rsid w:val="00185E9E"/>
    <w:rsid w:val="00186437"/>
    <w:rsid w:val="0018752F"/>
    <w:rsid w:val="001879ED"/>
    <w:rsid w:val="00187DCB"/>
    <w:rsid w:val="0019000D"/>
    <w:rsid w:val="00190A05"/>
    <w:rsid w:val="00191151"/>
    <w:rsid w:val="001914AE"/>
    <w:rsid w:val="00191CB0"/>
    <w:rsid w:val="00192347"/>
    <w:rsid w:val="001929EE"/>
    <w:rsid w:val="00193569"/>
    <w:rsid w:val="00193838"/>
    <w:rsid w:val="00193CE6"/>
    <w:rsid w:val="0019420D"/>
    <w:rsid w:val="001946F1"/>
    <w:rsid w:val="00194AD8"/>
    <w:rsid w:val="00194B4C"/>
    <w:rsid w:val="00195222"/>
    <w:rsid w:val="00195452"/>
    <w:rsid w:val="00195C86"/>
    <w:rsid w:val="00196F75"/>
    <w:rsid w:val="001975D8"/>
    <w:rsid w:val="00197820"/>
    <w:rsid w:val="00197A5A"/>
    <w:rsid w:val="001A059B"/>
    <w:rsid w:val="001A0923"/>
    <w:rsid w:val="001A0AA2"/>
    <w:rsid w:val="001A0DAA"/>
    <w:rsid w:val="001A178E"/>
    <w:rsid w:val="001A23A4"/>
    <w:rsid w:val="001A2439"/>
    <w:rsid w:val="001A2EC9"/>
    <w:rsid w:val="001A39B3"/>
    <w:rsid w:val="001A43FA"/>
    <w:rsid w:val="001A44D7"/>
    <w:rsid w:val="001A45E0"/>
    <w:rsid w:val="001A47C5"/>
    <w:rsid w:val="001A59FB"/>
    <w:rsid w:val="001A5E9E"/>
    <w:rsid w:val="001A6354"/>
    <w:rsid w:val="001A6366"/>
    <w:rsid w:val="001A6A19"/>
    <w:rsid w:val="001A6C40"/>
    <w:rsid w:val="001A7233"/>
    <w:rsid w:val="001A783F"/>
    <w:rsid w:val="001A7AE8"/>
    <w:rsid w:val="001B0A69"/>
    <w:rsid w:val="001B0B7D"/>
    <w:rsid w:val="001B1DAF"/>
    <w:rsid w:val="001B1ECD"/>
    <w:rsid w:val="001B204E"/>
    <w:rsid w:val="001B22A6"/>
    <w:rsid w:val="001B2372"/>
    <w:rsid w:val="001B3443"/>
    <w:rsid w:val="001B4770"/>
    <w:rsid w:val="001B4D20"/>
    <w:rsid w:val="001B50C4"/>
    <w:rsid w:val="001B513B"/>
    <w:rsid w:val="001B5B2A"/>
    <w:rsid w:val="001B6560"/>
    <w:rsid w:val="001B67B0"/>
    <w:rsid w:val="001B685D"/>
    <w:rsid w:val="001B7647"/>
    <w:rsid w:val="001B7F84"/>
    <w:rsid w:val="001C0067"/>
    <w:rsid w:val="001C07E5"/>
    <w:rsid w:val="001C0FDA"/>
    <w:rsid w:val="001C128A"/>
    <w:rsid w:val="001C2295"/>
    <w:rsid w:val="001C2A30"/>
    <w:rsid w:val="001C2A9B"/>
    <w:rsid w:val="001C2DF1"/>
    <w:rsid w:val="001C329D"/>
    <w:rsid w:val="001C32B3"/>
    <w:rsid w:val="001C361C"/>
    <w:rsid w:val="001C3DD6"/>
    <w:rsid w:val="001C4299"/>
    <w:rsid w:val="001C4874"/>
    <w:rsid w:val="001C5945"/>
    <w:rsid w:val="001C5F94"/>
    <w:rsid w:val="001C679C"/>
    <w:rsid w:val="001C6E66"/>
    <w:rsid w:val="001C76D8"/>
    <w:rsid w:val="001C7721"/>
    <w:rsid w:val="001D0775"/>
    <w:rsid w:val="001D0E59"/>
    <w:rsid w:val="001D1100"/>
    <w:rsid w:val="001D1391"/>
    <w:rsid w:val="001D182E"/>
    <w:rsid w:val="001D1832"/>
    <w:rsid w:val="001D1985"/>
    <w:rsid w:val="001D24AA"/>
    <w:rsid w:val="001D25D7"/>
    <w:rsid w:val="001D26EF"/>
    <w:rsid w:val="001D35FA"/>
    <w:rsid w:val="001D489C"/>
    <w:rsid w:val="001D4CA5"/>
    <w:rsid w:val="001D4FD6"/>
    <w:rsid w:val="001D50B2"/>
    <w:rsid w:val="001D50E9"/>
    <w:rsid w:val="001D5C11"/>
    <w:rsid w:val="001D64A1"/>
    <w:rsid w:val="001D672F"/>
    <w:rsid w:val="001D71F4"/>
    <w:rsid w:val="001D743F"/>
    <w:rsid w:val="001D7645"/>
    <w:rsid w:val="001E0000"/>
    <w:rsid w:val="001E0538"/>
    <w:rsid w:val="001E07B5"/>
    <w:rsid w:val="001E1A86"/>
    <w:rsid w:val="001E1C84"/>
    <w:rsid w:val="001E1E86"/>
    <w:rsid w:val="001E2318"/>
    <w:rsid w:val="001E238E"/>
    <w:rsid w:val="001E2483"/>
    <w:rsid w:val="001E28F1"/>
    <w:rsid w:val="001E2B1E"/>
    <w:rsid w:val="001E2B59"/>
    <w:rsid w:val="001E2CFF"/>
    <w:rsid w:val="001E2F24"/>
    <w:rsid w:val="001E30D4"/>
    <w:rsid w:val="001E34DF"/>
    <w:rsid w:val="001E3A1C"/>
    <w:rsid w:val="001E3F87"/>
    <w:rsid w:val="001E4262"/>
    <w:rsid w:val="001E4E09"/>
    <w:rsid w:val="001E4F6A"/>
    <w:rsid w:val="001E52EB"/>
    <w:rsid w:val="001E565C"/>
    <w:rsid w:val="001E5FCA"/>
    <w:rsid w:val="001E6174"/>
    <w:rsid w:val="001E61D2"/>
    <w:rsid w:val="001E632A"/>
    <w:rsid w:val="001E6D36"/>
    <w:rsid w:val="001E740C"/>
    <w:rsid w:val="001F0DB6"/>
    <w:rsid w:val="001F1235"/>
    <w:rsid w:val="001F1805"/>
    <w:rsid w:val="001F1CB3"/>
    <w:rsid w:val="001F28CE"/>
    <w:rsid w:val="001F3891"/>
    <w:rsid w:val="001F38B5"/>
    <w:rsid w:val="001F4081"/>
    <w:rsid w:val="001F447B"/>
    <w:rsid w:val="001F5753"/>
    <w:rsid w:val="001F5892"/>
    <w:rsid w:val="001F6418"/>
    <w:rsid w:val="001F6F44"/>
    <w:rsid w:val="001F7361"/>
    <w:rsid w:val="00200103"/>
    <w:rsid w:val="002001B4"/>
    <w:rsid w:val="00200328"/>
    <w:rsid w:val="00200CB3"/>
    <w:rsid w:val="002011B0"/>
    <w:rsid w:val="002026FC"/>
    <w:rsid w:val="00202863"/>
    <w:rsid w:val="00202AA9"/>
    <w:rsid w:val="00203181"/>
    <w:rsid w:val="002031DF"/>
    <w:rsid w:val="00203783"/>
    <w:rsid w:val="0020385F"/>
    <w:rsid w:val="00203A9F"/>
    <w:rsid w:val="00204280"/>
    <w:rsid w:val="0020457D"/>
    <w:rsid w:val="002056DB"/>
    <w:rsid w:val="00205802"/>
    <w:rsid w:val="002068A0"/>
    <w:rsid w:val="002069D7"/>
    <w:rsid w:val="00207021"/>
    <w:rsid w:val="002071E7"/>
    <w:rsid w:val="0020732F"/>
    <w:rsid w:val="00207B5F"/>
    <w:rsid w:val="00207D00"/>
    <w:rsid w:val="00207D01"/>
    <w:rsid w:val="002105C1"/>
    <w:rsid w:val="002116FD"/>
    <w:rsid w:val="002118AA"/>
    <w:rsid w:val="00211CD1"/>
    <w:rsid w:val="00212734"/>
    <w:rsid w:val="00212E1B"/>
    <w:rsid w:val="00213EF5"/>
    <w:rsid w:val="00214692"/>
    <w:rsid w:val="002168F3"/>
    <w:rsid w:val="00216BF5"/>
    <w:rsid w:val="00220101"/>
    <w:rsid w:val="00221593"/>
    <w:rsid w:val="00221AB1"/>
    <w:rsid w:val="0022357C"/>
    <w:rsid w:val="00223ABA"/>
    <w:rsid w:val="00223B49"/>
    <w:rsid w:val="00223D5A"/>
    <w:rsid w:val="00223E6D"/>
    <w:rsid w:val="00224D7A"/>
    <w:rsid w:val="00224DD4"/>
    <w:rsid w:val="00224ED5"/>
    <w:rsid w:val="002250BF"/>
    <w:rsid w:val="002251F0"/>
    <w:rsid w:val="00225487"/>
    <w:rsid w:val="00225787"/>
    <w:rsid w:val="002278A0"/>
    <w:rsid w:val="00227CE0"/>
    <w:rsid w:val="00227F13"/>
    <w:rsid w:val="00230490"/>
    <w:rsid w:val="00230940"/>
    <w:rsid w:val="002309CC"/>
    <w:rsid w:val="00230C3D"/>
    <w:rsid w:val="00231B7D"/>
    <w:rsid w:val="00231BA9"/>
    <w:rsid w:val="0023209F"/>
    <w:rsid w:val="00233204"/>
    <w:rsid w:val="00233A2B"/>
    <w:rsid w:val="00233C01"/>
    <w:rsid w:val="0023413C"/>
    <w:rsid w:val="002346F0"/>
    <w:rsid w:val="00234C07"/>
    <w:rsid w:val="002350DB"/>
    <w:rsid w:val="0023526C"/>
    <w:rsid w:val="0023556B"/>
    <w:rsid w:val="0023629D"/>
    <w:rsid w:val="00236555"/>
    <w:rsid w:val="002368A1"/>
    <w:rsid w:val="00236F08"/>
    <w:rsid w:val="00236F19"/>
    <w:rsid w:val="00237255"/>
    <w:rsid w:val="00237884"/>
    <w:rsid w:val="0023797D"/>
    <w:rsid w:val="00237B3F"/>
    <w:rsid w:val="00240161"/>
    <w:rsid w:val="00240B8C"/>
    <w:rsid w:val="00241DFE"/>
    <w:rsid w:val="002424AF"/>
    <w:rsid w:val="00242D90"/>
    <w:rsid w:val="002439DC"/>
    <w:rsid w:val="002441D2"/>
    <w:rsid w:val="0024434F"/>
    <w:rsid w:val="002444CB"/>
    <w:rsid w:val="00244A41"/>
    <w:rsid w:val="00244DC8"/>
    <w:rsid w:val="002458BA"/>
    <w:rsid w:val="00245CE9"/>
    <w:rsid w:val="0024636C"/>
    <w:rsid w:val="00246409"/>
    <w:rsid w:val="0024760A"/>
    <w:rsid w:val="002476D9"/>
    <w:rsid w:val="00247925"/>
    <w:rsid w:val="00247934"/>
    <w:rsid w:val="00250E13"/>
    <w:rsid w:val="00250F17"/>
    <w:rsid w:val="00251006"/>
    <w:rsid w:val="0025118A"/>
    <w:rsid w:val="0025192E"/>
    <w:rsid w:val="00251CA7"/>
    <w:rsid w:val="00251E20"/>
    <w:rsid w:val="002520F9"/>
    <w:rsid w:val="002524D5"/>
    <w:rsid w:val="00253672"/>
    <w:rsid w:val="00253B1D"/>
    <w:rsid w:val="00253FC1"/>
    <w:rsid w:val="00254203"/>
    <w:rsid w:val="00254589"/>
    <w:rsid w:val="00254DCF"/>
    <w:rsid w:val="00255325"/>
    <w:rsid w:val="0025534B"/>
    <w:rsid w:val="00255516"/>
    <w:rsid w:val="00255A1F"/>
    <w:rsid w:val="00255BB7"/>
    <w:rsid w:val="00257541"/>
    <w:rsid w:val="00257A39"/>
    <w:rsid w:val="00257AC4"/>
    <w:rsid w:val="00257BBE"/>
    <w:rsid w:val="00257DDD"/>
    <w:rsid w:val="0026063A"/>
    <w:rsid w:val="00260661"/>
    <w:rsid w:val="00261EEF"/>
    <w:rsid w:val="0026203E"/>
    <w:rsid w:val="00262931"/>
    <w:rsid w:val="00262A1A"/>
    <w:rsid w:val="00262A87"/>
    <w:rsid w:val="00263CCE"/>
    <w:rsid w:val="002643BD"/>
    <w:rsid w:val="002648AC"/>
    <w:rsid w:val="00264D26"/>
    <w:rsid w:val="00264D38"/>
    <w:rsid w:val="00265BE4"/>
    <w:rsid w:val="002663F8"/>
    <w:rsid w:val="002664F2"/>
    <w:rsid w:val="00266C8E"/>
    <w:rsid w:val="0026722D"/>
    <w:rsid w:val="002672F6"/>
    <w:rsid w:val="00267642"/>
    <w:rsid w:val="002678DB"/>
    <w:rsid w:val="00267A8C"/>
    <w:rsid w:val="00267AEA"/>
    <w:rsid w:val="00267FEA"/>
    <w:rsid w:val="00270002"/>
    <w:rsid w:val="002700E6"/>
    <w:rsid w:val="00271162"/>
    <w:rsid w:val="00271405"/>
    <w:rsid w:val="00271727"/>
    <w:rsid w:val="002718D2"/>
    <w:rsid w:val="00271A9A"/>
    <w:rsid w:val="002728F5"/>
    <w:rsid w:val="0027294B"/>
    <w:rsid w:val="00273077"/>
    <w:rsid w:val="0027346F"/>
    <w:rsid w:val="00273EB4"/>
    <w:rsid w:val="00273ECA"/>
    <w:rsid w:val="0027400D"/>
    <w:rsid w:val="002742B8"/>
    <w:rsid w:val="00274329"/>
    <w:rsid w:val="00274682"/>
    <w:rsid w:val="00275158"/>
    <w:rsid w:val="00275C5A"/>
    <w:rsid w:val="002762DB"/>
    <w:rsid w:val="0027694D"/>
    <w:rsid w:val="002779BB"/>
    <w:rsid w:val="00277B4B"/>
    <w:rsid w:val="002809B7"/>
    <w:rsid w:val="00280B3E"/>
    <w:rsid w:val="00280F7B"/>
    <w:rsid w:val="00281014"/>
    <w:rsid w:val="002810EC"/>
    <w:rsid w:val="00281297"/>
    <w:rsid w:val="002814DF"/>
    <w:rsid w:val="00281987"/>
    <w:rsid w:val="0028234A"/>
    <w:rsid w:val="00282841"/>
    <w:rsid w:val="00282BE4"/>
    <w:rsid w:val="00283D63"/>
    <w:rsid w:val="00283FE6"/>
    <w:rsid w:val="002844E6"/>
    <w:rsid w:val="002848C7"/>
    <w:rsid w:val="00285593"/>
    <w:rsid w:val="00285BCE"/>
    <w:rsid w:val="0028625B"/>
    <w:rsid w:val="0028665D"/>
    <w:rsid w:val="00286F88"/>
    <w:rsid w:val="002878A7"/>
    <w:rsid w:val="00287B33"/>
    <w:rsid w:val="002906E5"/>
    <w:rsid w:val="00290A19"/>
    <w:rsid w:val="00291BA4"/>
    <w:rsid w:val="00291F01"/>
    <w:rsid w:val="00293273"/>
    <w:rsid w:val="00294D74"/>
    <w:rsid w:val="002953CD"/>
    <w:rsid w:val="00295E00"/>
    <w:rsid w:val="00296559"/>
    <w:rsid w:val="0029675B"/>
    <w:rsid w:val="00296A87"/>
    <w:rsid w:val="0029747C"/>
    <w:rsid w:val="002975A3"/>
    <w:rsid w:val="002A0311"/>
    <w:rsid w:val="002A14AB"/>
    <w:rsid w:val="002A14E6"/>
    <w:rsid w:val="002A1F14"/>
    <w:rsid w:val="002A299F"/>
    <w:rsid w:val="002A2ADE"/>
    <w:rsid w:val="002A2F50"/>
    <w:rsid w:val="002A3533"/>
    <w:rsid w:val="002A39A8"/>
    <w:rsid w:val="002A3E4F"/>
    <w:rsid w:val="002A6967"/>
    <w:rsid w:val="002A6C49"/>
    <w:rsid w:val="002A6D97"/>
    <w:rsid w:val="002A70BE"/>
    <w:rsid w:val="002A71C2"/>
    <w:rsid w:val="002A7769"/>
    <w:rsid w:val="002A7943"/>
    <w:rsid w:val="002A7FE2"/>
    <w:rsid w:val="002B05A1"/>
    <w:rsid w:val="002B09A4"/>
    <w:rsid w:val="002B1C1F"/>
    <w:rsid w:val="002B28F6"/>
    <w:rsid w:val="002B3C48"/>
    <w:rsid w:val="002B432F"/>
    <w:rsid w:val="002B4B11"/>
    <w:rsid w:val="002B4B7B"/>
    <w:rsid w:val="002B62B3"/>
    <w:rsid w:val="002B6754"/>
    <w:rsid w:val="002B6A6A"/>
    <w:rsid w:val="002B6CCE"/>
    <w:rsid w:val="002B7170"/>
    <w:rsid w:val="002B7711"/>
    <w:rsid w:val="002B7BD1"/>
    <w:rsid w:val="002B7E14"/>
    <w:rsid w:val="002B7E89"/>
    <w:rsid w:val="002C0AC3"/>
    <w:rsid w:val="002C0DF2"/>
    <w:rsid w:val="002C10E6"/>
    <w:rsid w:val="002C114D"/>
    <w:rsid w:val="002C11F4"/>
    <w:rsid w:val="002C22BB"/>
    <w:rsid w:val="002C2510"/>
    <w:rsid w:val="002C2775"/>
    <w:rsid w:val="002C27C1"/>
    <w:rsid w:val="002C36E3"/>
    <w:rsid w:val="002C3870"/>
    <w:rsid w:val="002C4607"/>
    <w:rsid w:val="002C4D10"/>
    <w:rsid w:val="002C5099"/>
    <w:rsid w:val="002C5889"/>
    <w:rsid w:val="002C5DDE"/>
    <w:rsid w:val="002C71CE"/>
    <w:rsid w:val="002D0240"/>
    <w:rsid w:val="002D08F8"/>
    <w:rsid w:val="002D1305"/>
    <w:rsid w:val="002D14A7"/>
    <w:rsid w:val="002D299A"/>
    <w:rsid w:val="002D30FF"/>
    <w:rsid w:val="002D55FF"/>
    <w:rsid w:val="002D577C"/>
    <w:rsid w:val="002D57DE"/>
    <w:rsid w:val="002D6905"/>
    <w:rsid w:val="002D6CB6"/>
    <w:rsid w:val="002D6F4B"/>
    <w:rsid w:val="002D7832"/>
    <w:rsid w:val="002E1071"/>
    <w:rsid w:val="002E1153"/>
    <w:rsid w:val="002E126C"/>
    <w:rsid w:val="002E127E"/>
    <w:rsid w:val="002E152E"/>
    <w:rsid w:val="002E15B9"/>
    <w:rsid w:val="002E173F"/>
    <w:rsid w:val="002E2158"/>
    <w:rsid w:val="002E3F17"/>
    <w:rsid w:val="002E417C"/>
    <w:rsid w:val="002E41DD"/>
    <w:rsid w:val="002E4F02"/>
    <w:rsid w:val="002E5013"/>
    <w:rsid w:val="002E52EB"/>
    <w:rsid w:val="002E5FC9"/>
    <w:rsid w:val="002E61D5"/>
    <w:rsid w:val="002E72DC"/>
    <w:rsid w:val="002E7722"/>
    <w:rsid w:val="002F07BA"/>
    <w:rsid w:val="002F0D46"/>
    <w:rsid w:val="002F0DA9"/>
    <w:rsid w:val="002F1014"/>
    <w:rsid w:val="002F16F6"/>
    <w:rsid w:val="002F17F4"/>
    <w:rsid w:val="002F18E4"/>
    <w:rsid w:val="002F1E3B"/>
    <w:rsid w:val="002F20D0"/>
    <w:rsid w:val="002F2320"/>
    <w:rsid w:val="002F4531"/>
    <w:rsid w:val="002F498F"/>
    <w:rsid w:val="002F5882"/>
    <w:rsid w:val="002F6341"/>
    <w:rsid w:val="002F643C"/>
    <w:rsid w:val="002F71C0"/>
    <w:rsid w:val="002F74A9"/>
    <w:rsid w:val="002F74F1"/>
    <w:rsid w:val="00300665"/>
    <w:rsid w:val="0030096F"/>
    <w:rsid w:val="00300ED7"/>
    <w:rsid w:val="00301017"/>
    <w:rsid w:val="003013CC"/>
    <w:rsid w:val="0030155F"/>
    <w:rsid w:val="00302467"/>
    <w:rsid w:val="0030259B"/>
    <w:rsid w:val="0030273D"/>
    <w:rsid w:val="0030286A"/>
    <w:rsid w:val="00302997"/>
    <w:rsid w:val="003037A4"/>
    <w:rsid w:val="00304652"/>
    <w:rsid w:val="003054F4"/>
    <w:rsid w:val="0030587B"/>
    <w:rsid w:val="003059F0"/>
    <w:rsid w:val="00306228"/>
    <w:rsid w:val="00306D98"/>
    <w:rsid w:val="00307413"/>
    <w:rsid w:val="003074AF"/>
    <w:rsid w:val="0030786C"/>
    <w:rsid w:val="00310040"/>
    <w:rsid w:val="0031031A"/>
    <w:rsid w:val="00310981"/>
    <w:rsid w:val="0031098A"/>
    <w:rsid w:val="0031107C"/>
    <w:rsid w:val="00311479"/>
    <w:rsid w:val="00311D9B"/>
    <w:rsid w:val="00312229"/>
    <w:rsid w:val="00312352"/>
    <w:rsid w:val="003124D9"/>
    <w:rsid w:val="00312594"/>
    <w:rsid w:val="00312F10"/>
    <w:rsid w:val="00313309"/>
    <w:rsid w:val="00313813"/>
    <w:rsid w:val="003138A6"/>
    <w:rsid w:val="00313A96"/>
    <w:rsid w:val="00313E06"/>
    <w:rsid w:val="0031484A"/>
    <w:rsid w:val="00314925"/>
    <w:rsid w:val="00314EC7"/>
    <w:rsid w:val="00315498"/>
    <w:rsid w:val="003154E9"/>
    <w:rsid w:val="00315765"/>
    <w:rsid w:val="00316474"/>
    <w:rsid w:val="003165B8"/>
    <w:rsid w:val="0031758C"/>
    <w:rsid w:val="00320168"/>
    <w:rsid w:val="003201C0"/>
    <w:rsid w:val="00320712"/>
    <w:rsid w:val="00320C4B"/>
    <w:rsid w:val="00320D93"/>
    <w:rsid w:val="003211E9"/>
    <w:rsid w:val="00321768"/>
    <w:rsid w:val="003218B0"/>
    <w:rsid w:val="00322107"/>
    <w:rsid w:val="00322355"/>
    <w:rsid w:val="0032238F"/>
    <w:rsid w:val="003225DD"/>
    <w:rsid w:val="00322846"/>
    <w:rsid w:val="00322BD4"/>
    <w:rsid w:val="00323207"/>
    <w:rsid w:val="00323B3A"/>
    <w:rsid w:val="00323E95"/>
    <w:rsid w:val="00324078"/>
    <w:rsid w:val="0032516B"/>
    <w:rsid w:val="00325C87"/>
    <w:rsid w:val="00325CE6"/>
    <w:rsid w:val="003267FE"/>
    <w:rsid w:val="003268E3"/>
    <w:rsid w:val="00326D48"/>
    <w:rsid w:val="00326DA7"/>
    <w:rsid w:val="003270E4"/>
    <w:rsid w:val="003274F7"/>
    <w:rsid w:val="00327527"/>
    <w:rsid w:val="003277D4"/>
    <w:rsid w:val="003278DD"/>
    <w:rsid w:val="00327FB6"/>
    <w:rsid w:val="003302CA"/>
    <w:rsid w:val="00330CE9"/>
    <w:rsid w:val="00330DAA"/>
    <w:rsid w:val="00330F5C"/>
    <w:rsid w:val="00330FB5"/>
    <w:rsid w:val="003314EE"/>
    <w:rsid w:val="003316B0"/>
    <w:rsid w:val="0033315C"/>
    <w:rsid w:val="00333BCF"/>
    <w:rsid w:val="00333F10"/>
    <w:rsid w:val="00334F8D"/>
    <w:rsid w:val="003354CC"/>
    <w:rsid w:val="00336564"/>
    <w:rsid w:val="003366C9"/>
    <w:rsid w:val="00336C63"/>
    <w:rsid w:val="00336D39"/>
    <w:rsid w:val="003371B0"/>
    <w:rsid w:val="00337640"/>
    <w:rsid w:val="00337D1B"/>
    <w:rsid w:val="003403FC"/>
    <w:rsid w:val="00340DF1"/>
    <w:rsid w:val="003415E6"/>
    <w:rsid w:val="00341828"/>
    <w:rsid w:val="0034226A"/>
    <w:rsid w:val="00344B96"/>
    <w:rsid w:val="00344E2C"/>
    <w:rsid w:val="00345A89"/>
    <w:rsid w:val="003476DE"/>
    <w:rsid w:val="00350575"/>
    <w:rsid w:val="00350B4B"/>
    <w:rsid w:val="00350D98"/>
    <w:rsid w:val="003517F9"/>
    <w:rsid w:val="003518EB"/>
    <w:rsid w:val="00351BA9"/>
    <w:rsid w:val="003529A5"/>
    <w:rsid w:val="00352EF2"/>
    <w:rsid w:val="0035337D"/>
    <w:rsid w:val="00353C10"/>
    <w:rsid w:val="00354F64"/>
    <w:rsid w:val="00355654"/>
    <w:rsid w:val="003556CD"/>
    <w:rsid w:val="0035620E"/>
    <w:rsid w:val="003569D8"/>
    <w:rsid w:val="00356EB0"/>
    <w:rsid w:val="003575BE"/>
    <w:rsid w:val="003576E7"/>
    <w:rsid w:val="00360345"/>
    <w:rsid w:val="00360B8D"/>
    <w:rsid w:val="00361824"/>
    <w:rsid w:val="00361A05"/>
    <w:rsid w:val="003624C4"/>
    <w:rsid w:val="0036282E"/>
    <w:rsid w:val="00363B00"/>
    <w:rsid w:val="0036415A"/>
    <w:rsid w:val="003647C5"/>
    <w:rsid w:val="003654AC"/>
    <w:rsid w:val="00365ADE"/>
    <w:rsid w:val="00366BAB"/>
    <w:rsid w:val="00366ED7"/>
    <w:rsid w:val="00366F2B"/>
    <w:rsid w:val="003670C1"/>
    <w:rsid w:val="003671A9"/>
    <w:rsid w:val="00370887"/>
    <w:rsid w:val="00370CB4"/>
    <w:rsid w:val="003710CF"/>
    <w:rsid w:val="00371837"/>
    <w:rsid w:val="00371D4C"/>
    <w:rsid w:val="003728C7"/>
    <w:rsid w:val="0037293B"/>
    <w:rsid w:val="0037358A"/>
    <w:rsid w:val="00373DCD"/>
    <w:rsid w:val="00373EAA"/>
    <w:rsid w:val="00374A5E"/>
    <w:rsid w:val="00374F8D"/>
    <w:rsid w:val="003750F6"/>
    <w:rsid w:val="003757C0"/>
    <w:rsid w:val="00375BF7"/>
    <w:rsid w:val="00375DFC"/>
    <w:rsid w:val="003760FC"/>
    <w:rsid w:val="00376B7A"/>
    <w:rsid w:val="003775B8"/>
    <w:rsid w:val="003800EF"/>
    <w:rsid w:val="00380430"/>
    <w:rsid w:val="00380527"/>
    <w:rsid w:val="00380A3A"/>
    <w:rsid w:val="003813A1"/>
    <w:rsid w:val="00381F3A"/>
    <w:rsid w:val="003825A2"/>
    <w:rsid w:val="0038264E"/>
    <w:rsid w:val="00382827"/>
    <w:rsid w:val="003832F0"/>
    <w:rsid w:val="0038365C"/>
    <w:rsid w:val="0038369B"/>
    <w:rsid w:val="00383B78"/>
    <w:rsid w:val="003840E7"/>
    <w:rsid w:val="00384C26"/>
    <w:rsid w:val="00384EEF"/>
    <w:rsid w:val="00385A9D"/>
    <w:rsid w:val="00386495"/>
    <w:rsid w:val="00387121"/>
    <w:rsid w:val="003879B8"/>
    <w:rsid w:val="003902B1"/>
    <w:rsid w:val="0039177C"/>
    <w:rsid w:val="0039179C"/>
    <w:rsid w:val="0039190C"/>
    <w:rsid w:val="0039199C"/>
    <w:rsid w:val="00393567"/>
    <w:rsid w:val="00393839"/>
    <w:rsid w:val="0039464C"/>
    <w:rsid w:val="00394BCF"/>
    <w:rsid w:val="00394C31"/>
    <w:rsid w:val="00394F43"/>
    <w:rsid w:val="00396096"/>
    <w:rsid w:val="003963DB"/>
    <w:rsid w:val="003966F2"/>
    <w:rsid w:val="00396738"/>
    <w:rsid w:val="00396896"/>
    <w:rsid w:val="00396F34"/>
    <w:rsid w:val="00396FD0"/>
    <w:rsid w:val="00397C1F"/>
    <w:rsid w:val="00397C29"/>
    <w:rsid w:val="003A195D"/>
    <w:rsid w:val="003A1A7A"/>
    <w:rsid w:val="003A1B98"/>
    <w:rsid w:val="003A1E91"/>
    <w:rsid w:val="003A2194"/>
    <w:rsid w:val="003A231B"/>
    <w:rsid w:val="003A2392"/>
    <w:rsid w:val="003A282C"/>
    <w:rsid w:val="003A2831"/>
    <w:rsid w:val="003A2EB3"/>
    <w:rsid w:val="003A3CB6"/>
    <w:rsid w:val="003A3ED1"/>
    <w:rsid w:val="003A44DB"/>
    <w:rsid w:val="003A4C14"/>
    <w:rsid w:val="003A5150"/>
    <w:rsid w:val="003A63EE"/>
    <w:rsid w:val="003A755B"/>
    <w:rsid w:val="003A75C3"/>
    <w:rsid w:val="003B0B1E"/>
    <w:rsid w:val="003B0C0E"/>
    <w:rsid w:val="003B109D"/>
    <w:rsid w:val="003B1B4F"/>
    <w:rsid w:val="003B3971"/>
    <w:rsid w:val="003B3F57"/>
    <w:rsid w:val="003B427E"/>
    <w:rsid w:val="003B4E62"/>
    <w:rsid w:val="003B5235"/>
    <w:rsid w:val="003B55D1"/>
    <w:rsid w:val="003B59E8"/>
    <w:rsid w:val="003B5B61"/>
    <w:rsid w:val="003B600D"/>
    <w:rsid w:val="003B7505"/>
    <w:rsid w:val="003B75D9"/>
    <w:rsid w:val="003B75DE"/>
    <w:rsid w:val="003B7A4B"/>
    <w:rsid w:val="003B7D92"/>
    <w:rsid w:val="003C10BB"/>
    <w:rsid w:val="003C1654"/>
    <w:rsid w:val="003C190B"/>
    <w:rsid w:val="003C1D22"/>
    <w:rsid w:val="003C251C"/>
    <w:rsid w:val="003C288B"/>
    <w:rsid w:val="003C2DE2"/>
    <w:rsid w:val="003C314F"/>
    <w:rsid w:val="003C3B11"/>
    <w:rsid w:val="003C45D9"/>
    <w:rsid w:val="003C5542"/>
    <w:rsid w:val="003C5663"/>
    <w:rsid w:val="003C63AF"/>
    <w:rsid w:val="003C63DF"/>
    <w:rsid w:val="003C67FF"/>
    <w:rsid w:val="003C6941"/>
    <w:rsid w:val="003C7C15"/>
    <w:rsid w:val="003C7D19"/>
    <w:rsid w:val="003C7D2F"/>
    <w:rsid w:val="003D0890"/>
    <w:rsid w:val="003D0C5A"/>
    <w:rsid w:val="003D15C8"/>
    <w:rsid w:val="003D1828"/>
    <w:rsid w:val="003D1DE4"/>
    <w:rsid w:val="003D1E9A"/>
    <w:rsid w:val="003D2422"/>
    <w:rsid w:val="003D24AC"/>
    <w:rsid w:val="003D2AC0"/>
    <w:rsid w:val="003D2E91"/>
    <w:rsid w:val="003D39A1"/>
    <w:rsid w:val="003D3F45"/>
    <w:rsid w:val="003D3FBF"/>
    <w:rsid w:val="003D4044"/>
    <w:rsid w:val="003D49D7"/>
    <w:rsid w:val="003D4A30"/>
    <w:rsid w:val="003D5482"/>
    <w:rsid w:val="003D69AC"/>
    <w:rsid w:val="003D7321"/>
    <w:rsid w:val="003D7452"/>
    <w:rsid w:val="003D79BB"/>
    <w:rsid w:val="003D7C98"/>
    <w:rsid w:val="003D7D9D"/>
    <w:rsid w:val="003E0513"/>
    <w:rsid w:val="003E0543"/>
    <w:rsid w:val="003E139C"/>
    <w:rsid w:val="003E1C7C"/>
    <w:rsid w:val="003E1CDD"/>
    <w:rsid w:val="003E2E79"/>
    <w:rsid w:val="003E344E"/>
    <w:rsid w:val="003E36B8"/>
    <w:rsid w:val="003E5390"/>
    <w:rsid w:val="003E5603"/>
    <w:rsid w:val="003E5644"/>
    <w:rsid w:val="003E6C19"/>
    <w:rsid w:val="003E702A"/>
    <w:rsid w:val="003E749E"/>
    <w:rsid w:val="003F010E"/>
    <w:rsid w:val="003F1E86"/>
    <w:rsid w:val="003F3877"/>
    <w:rsid w:val="003F3A56"/>
    <w:rsid w:val="003F4156"/>
    <w:rsid w:val="003F4CD5"/>
    <w:rsid w:val="003F5235"/>
    <w:rsid w:val="003F548A"/>
    <w:rsid w:val="003F5ADF"/>
    <w:rsid w:val="003F5AE6"/>
    <w:rsid w:val="003F6136"/>
    <w:rsid w:val="003F653E"/>
    <w:rsid w:val="003F6593"/>
    <w:rsid w:val="003F715D"/>
    <w:rsid w:val="00400542"/>
    <w:rsid w:val="00400B29"/>
    <w:rsid w:val="00400B50"/>
    <w:rsid w:val="00401639"/>
    <w:rsid w:val="00401835"/>
    <w:rsid w:val="00401B00"/>
    <w:rsid w:val="00401D23"/>
    <w:rsid w:val="0040235E"/>
    <w:rsid w:val="00402812"/>
    <w:rsid w:val="00403517"/>
    <w:rsid w:val="004036C2"/>
    <w:rsid w:val="00403B7F"/>
    <w:rsid w:val="00403E3D"/>
    <w:rsid w:val="00404B89"/>
    <w:rsid w:val="00404FD3"/>
    <w:rsid w:val="0040504B"/>
    <w:rsid w:val="0040521F"/>
    <w:rsid w:val="0040598C"/>
    <w:rsid w:val="004059F4"/>
    <w:rsid w:val="00406E09"/>
    <w:rsid w:val="00407E9B"/>
    <w:rsid w:val="00407FE5"/>
    <w:rsid w:val="00407FE9"/>
    <w:rsid w:val="004101B0"/>
    <w:rsid w:val="00410326"/>
    <w:rsid w:val="00410708"/>
    <w:rsid w:val="004107B2"/>
    <w:rsid w:val="00410EC7"/>
    <w:rsid w:val="00411231"/>
    <w:rsid w:val="00411456"/>
    <w:rsid w:val="00411B39"/>
    <w:rsid w:val="0041227F"/>
    <w:rsid w:val="004127A7"/>
    <w:rsid w:val="0041371D"/>
    <w:rsid w:val="00413A1E"/>
    <w:rsid w:val="00414476"/>
    <w:rsid w:val="004149F6"/>
    <w:rsid w:val="00414A95"/>
    <w:rsid w:val="00414C2E"/>
    <w:rsid w:val="004151CF"/>
    <w:rsid w:val="00415A57"/>
    <w:rsid w:val="00415E60"/>
    <w:rsid w:val="00416364"/>
    <w:rsid w:val="004168C2"/>
    <w:rsid w:val="00416C6E"/>
    <w:rsid w:val="00416DBA"/>
    <w:rsid w:val="00417E88"/>
    <w:rsid w:val="00420268"/>
    <w:rsid w:val="0042047F"/>
    <w:rsid w:val="00420AA6"/>
    <w:rsid w:val="00420B9F"/>
    <w:rsid w:val="00420F6A"/>
    <w:rsid w:val="004217AD"/>
    <w:rsid w:val="00421853"/>
    <w:rsid w:val="0042192C"/>
    <w:rsid w:val="00421F8A"/>
    <w:rsid w:val="00422260"/>
    <w:rsid w:val="00422350"/>
    <w:rsid w:val="00422756"/>
    <w:rsid w:val="00423327"/>
    <w:rsid w:val="0042413F"/>
    <w:rsid w:val="004241A4"/>
    <w:rsid w:val="00425012"/>
    <w:rsid w:val="004254BF"/>
    <w:rsid w:val="00425D39"/>
    <w:rsid w:val="00425E43"/>
    <w:rsid w:val="00426541"/>
    <w:rsid w:val="00426BE1"/>
    <w:rsid w:val="00426E83"/>
    <w:rsid w:val="00427270"/>
    <w:rsid w:val="004319F8"/>
    <w:rsid w:val="00431E55"/>
    <w:rsid w:val="004321F6"/>
    <w:rsid w:val="00432B84"/>
    <w:rsid w:val="00432F6F"/>
    <w:rsid w:val="00433044"/>
    <w:rsid w:val="00433850"/>
    <w:rsid w:val="00433A5C"/>
    <w:rsid w:val="00434088"/>
    <w:rsid w:val="0043436B"/>
    <w:rsid w:val="00434C74"/>
    <w:rsid w:val="00434F03"/>
    <w:rsid w:val="00435193"/>
    <w:rsid w:val="00435666"/>
    <w:rsid w:val="00435860"/>
    <w:rsid w:val="004364FC"/>
    <w:rsid w:val="00436FD7"/>
    <w:rsid w:val="0043724F"/>
    <w:rsid w:val="004375B9"/>
    <w:rsid w:val="00437729"/>
    <w:rsid w:val="00437849"/>
    <w:rsid w:val="00440AB8"/>
    <w:rsid w:val="0044120E"/>
    <w:rsid w:val="004415AB"/>
    <w:rsid w:val="004427AA"/>
    <w:rsid w:val="004428D0"/>
    <w:rsid w:val="004430BC"/>
    <w:rsid w:val="004439D0"/>
    <w:rsid w:val="00444185"/>
    <w:rsid w:val="004443A7"/>
    <w:rsid w:val="0044442C"/>
    <w:rsid w:val="00445907"/>
    <w:rsid w:val="00445941"/>
    <w:rsid w:val="00445945"/>
    <w:rsid w:val="00445B0C"/>
    <w:rsid w:val="004464EB"/>
    <w:rsid w:val="00446E43"/>
    <w:rsid w:val="00447D26"/>
    <w:rsid w:val="00447DFC"/>
    <w:rsid w:val="004500DF"/>
    <w:rsid w:val="004517EE"/>
    <w:rsid w:val="00451A65"/>
    <w:rsid w:val="00451F63"/>
    <w:rsid w:val="004523B1"/>
    <w:rsid w:val="00452E21"/>
    <w:rsid w:val="00453B8C"/>
    <w:rsid w:val="00454447"/>
    <w:rsid w:val="00454467"/>
    <w:rsid w:val="00454DAF"/>
    <w:rsid w:val="00454F92"/>
    <w:rsid w:val="00455490"/>
    <w:rsid w:val="00455D18"/>
    <w:rsid w:val="00455D45"/>
    <w:rsid w:val="00456B0E"/>
    <w:rsid w:val="0045707B"/>
    <w:rsid w:val="004571F5"/>
    <w:rsid w:val="00457243"/>
    <w:rsid w:val="0046001E"/>
    <w:rsid w:val="00460194"/>
    <w:rsid w:val="004604EE"/>
    <w:rsid w:val="004610F4"/>
    <w:rsid w:val="00461194"/>
    <w:rsid w:val="00461555"/>
    <w:rsid w:val="00461AD8"/>
    <w:rsid w:val="0046269D"/>
    <w:rsid w:val="004627C2"/>
    <w:rsid w:val="00462F0A"/>
    <w:rsid w:val="0046383E"/>
    <w:rsid w:val="00464595"/>
    <w:rsid w:val="00464743"/>
    <w:rsid w:val="004658B5"/>
    <w:rsid w:val="00465E16"/>
    <w:rsid w:val="00466616"/>
    <w:rsid w:val="004667D0"/>
    <w:rsid w:val="00466DDD"/>
    <w:rsid w:val="0046708A"/>
    <w:rsid w:val="00467F5E"/>
    <w:rsid w:val="004700C3"/>
    <w:rsid w:val="00470707"/>
    <w:rsid w:val="00471D12"/>
    <w:rsid w:val="00471EA5"/>
    <w:rsid w:val="004722A3"/>
    <w:rsid w:val="004722EC"/>
    <w:rsid w:val="004723A7"/>
    <w:rsid w:val="00472778"/>
    <w:rsid w:val="00472A79"/>
    <w:rsid w:val="00472CE0"/>
    <w:rsid w:val="00473F19"/>
    <w:rsid w:val="004741B9"/>
    <w:rsid w:val="00474C79"/>
    <w:rsid w:val="004750A6"/>
    <w:rsid w:val="00475A73"/>
    <w:rsid w:val="00475E22"/>
    <w:rsid w:val="004767C7"/>
    <w:rsid w:val="00476BF2"/>
    <w:rsid w:val="00477494"/>
    <w:rsid w:val="0047787B"/>
    <w:rsid w:val="00477B76"/>
    <w:rsid w:val="0048088E"/>
    <w:rsid w:val="00480F2B"/>
    <w:rsid w:val="004810F5"/>
    <w:rsid w:val="004813CC"/>
    <w:rsid w:val="00482720"/>
    <w:rsid w:val="004835E7"/>
    <w:rsid w:val="00483AFC"/>
    <w:rsid w:val="00484F67"/>
    <w:rsid w:val="0048522A"/>
    <w:rsid w:val="004857C0"/>
    <w:rsid w:val="004859E1"/>
    <w:rsid w:val="004867E2"/>
    <w:rsid w:val="0048730B"/>
    <w:rsid w:val="004874DA"/>
    <w:rsid w:val="00490B17"/>
    <w:rsid w:val="004917AA"/>
    <w:rsid w:val="00491B3A"/>
    <w:rsid w:val="00492435"/>
    <w:rsid w:val="00492CFD"/>
    <w:rsid w:val="00492F4B"/>
    <w:rsid w:val="0049327F"/>
    <w:rsid w:val="00493564"/>
    <w:rsid w:val="00493A5E"/>
    <w:rsid w:val="00493CDC"/>
    <w:rsid w:val="00494207"/>
    <w:rsid w:val="004942A4"/>
    <w:rsid w:val="00494DD5"/>
    <w:rsid w:val="004958C4"/>
    <w:rsid w:val="004962D2"/>
    <w:rsid w:val="0049720C"/>
    <w:rsid w:val="00497B67"/>
    <w:rsid w:val="00497F32"/>
    <w:rsid w:val="004A01A7"/>
    <w:rsid w:val="004A0756"/>
    <w:rsid w:val="004A0DA1"/>
    <w:rsid w:val="004A13D6"/>
    <w:rsid w:val="004A1AF8"/>
    <w:rsid w:val="004A24C2"/>
    <w:rsid w:val="004A329D"/>
    <w:rsid w:val="004A42C2"/>
    <w:rsid w:val="004A4DDD"/>
    <w:rsid w:val="004A52E9"/>
    <w:rsid w:val="004A54CF"/>
    <w:rsid w:val="004A5689"/>
    <w:rsid w:val="004A5882"/>
    <w:rsid w:val="004A5EB9"/>
    <w:rsid w:val="004A6040"/>
    <w:rsid w:val="004A6342"/>
    <w:rsid w:val="004A64B7"/>
    <w:rsid w:val="004A6597"/>
    <w:rsid w:val="004A7848"/>
    <w:rsid w:val="004A793B"/>
    <w:rsid w:val="004A7991"/>
    <w:rsid w:val="004B072C"/>
    <w:rsid w:val="004B07ED"/>
    <w:rsid w:val="004B0F06"/>
    <w:rsid w:val="004B1571"/>
    <w:rsid w:val="004B15F1"/>
    <w:rsid w:val="004B1A54"/>
    <w:rsid w:val="004B1CB4"/>
    <w:rsid w:val="004B2F18"/>
    <w:rsid w:val="004B338A"/>
    <w:rsid w:val="004B3DDB"/>
    <w:rsid w:val="004B430D"/>
    <w:rsid w:val="004B44FD"/>
    <w:rsid w:val="004B49E3"/>
    <w:rsid w:val="004B4C68"/>
    <w:rsid w:val="004B5CFC"/>
    <w:rsid w:val="004B6B0D"/>
    <w:rsid w:val="004B6BA5"/>
    <w:rsid w:val="004B6F79"/>
    <w:rsid w:val="004B774D"/>
    <w:rsid w:val="004B77C4"/>
    <w:rsid w:val="004B790B"/>
    <w:rsid w:val="004C0786"/>
    <w:rsid w:val="004C0A8B"/>
    <w:rsid w:val="004C2AC2"/>
    <w:rsid w:val="004C4141"/>
    <w:rsid w:val="004C4AED"/>
    <w:rsid w:val="004C5D60"/>
    <w:rsid w:val="004C60EC"/>
    <w:rsid w:val="004C6AAC"/>
    <w:rsid w:val="004C6EC4"/>
    <w:rsid w:val="004C752E"/>
    <w:rsid w:val="004D00EE"/>
    <w:rsid w:val="004D0FCB"/>
    <w:rsid w:val="004D157B"/>
    <w:rsid w:val="004D2C2D"/>
    <w:rsid w:val="004D33C2"/>
    <w:rsid w:val="004D3510"/>
    <w:rsid w:val="004D3D33"/>
    <w:rsid w:val="004D6916"/>
    <w:rsid w:val="004D69B5"/>
    <w:rsid w:val="004D7093"/>
    <w:rsid w:val="004D7227"/>
    <w:rsid w:val="004D7A5B"/>
    <w:rsid w:val="004D7B5E"/>
    <w:rsid w:val="004D7FD0"/>
    <w:rsid w:val="004E09BF"/>
    <w:rsid w:val="004E0E7F"/>
    <w:rsid w:val="004E0EB8"/>
    <w:rsid w:val="004E1120"/>
    <w:rsid w:val="004E16A0"/>
    <w:rsid w:val="004E18E9"/>
    <w:rsid w:val="004E23D1"/>
    <w:rsid w:val="004E25BD"/>
    <w:rsid w:val="004E2A94"/>
    <w:rsid w:val="004E2ADC"/>
    <w:rsid w:val="004E2D24"/>
    <w:rsid w:val="004E3787"/>
    <w:rsid w:val="004E3C23"/>
    <w:rsid w:val="004E43B2"/>
    <w:rsid w:val="004E4475"/>
    <w:rsid w:val="004E48E8"/>
    <w:rsid w:val="004E4944"/>
    <w:rsid w:val="004E4A12"/>
    <w:rsid w:val="004E4CFA"/>
    <w:rsid w:val="004E5E8B"/>
    <w:rsid w:val="004E5FBB"/>
    <w:rsid w:val="004E5FD6"/>
    <w:rsid w:val="004E6040"/>
    <w:rsid w:val="004E68E6"/>
    <w:rsid w:val="004E72A1"/>
    <w:rsid w:val="004E7573"/>
    <w:rsid w:val="004F1BFC"/>
    <w:rsid w:val="004F1D02"/>
    <w:rsid w:val="004F2679"/>
    <w:rsid w:val="004F27A2"/>
    <w:rsid w:val="004F2F21"/>
    <w:rsid w:val="004F319F"/>
    <w:rsid w:val="004F327A"/>
    <w:rsid w:val="004F3DE5"/>
    <w:rsid w:val="004F4A9B"/>
    <w:rsid w:val="004F505B"/>
    <w:rsid w:val="004F50DE"/>
    <w:rsid w:val="004F5F4A"/>
    <w:rsid w:val="004F6913"/>
    <w:rsid w:val="004F6971"/>
    <w:rsid w:val="004F6AB5"/>
    <w:rsid w:val="004F73B0"/>
    <w:rsid w:val="004F7711"/>
    <w:rsid w:val="004F7865"/>
    <w:rsid w:val="005001F7"/>
    <w:rsid w:val="00500BDE"/>
    <w:rsid w:val="0050174E"/>
    <w:rsid w:val="00501840"/>
    <w:rsid w:val="00501854"/>
    <w:rsid w:val="00501917"/>
    <w:rsid w:val="00501D43"/>
    <w:rsid w:val="0050219B"/>
    <w:rsid w:val="00502650"/>
    <w:rsid w:val="0050342B"/>
    <w:rsid w:val="00503636"/>
    <w:rsid w:val="00503F17"/>
    <w:rsid w:val="00503F3A"/>
    <w:rsid w:val="0050455D"/>
    <w:rsid w:val="00504871"/>
    <w:rsid w:val="00504E13"/>
    <w:rsid w:val="0050518B"/>
    <w:rsid w:val="00505F23"/>
    <w:rsid w:val="00506928"/>
    <w:rsid w:val="00506BD6"/>
    <w:rsid w:val="00506D8F"/>
    <w:rsid w:val="00507028"/>
    <w:rsid w:val="005077EF"/>
    <w:rsid w:val="00507ED9"/>
    <w:rsid w:val="005101C0"/>
    <w:rsid w:val="0051059A"/>
    <w:rsid w:val="00510682"/>
    <w:rsid w:val="00511AD5"/>
    <w:rsid w:val="00511DC7"/>
    <w:rsid w:val="0051238D"/>
    <w:rsid w:val="005123A2"/>
    <w:rsid w:val="005137E7"/>
    <w:rsid w:val="005142C5"/>
    <w:rsid w:val="0051501B"/>
    <w:rsid w:val="005152B5"/>
    <w:rsid w:val="0051556A"/>
    <w:rsid w:val="005155EF"/>
    <w:rsid w:val="00515886"/>
    <w:rsid w:val="00515C91"/>
    <w:rsid w:val="005165A1"/>
    <w:rsid w:val="005169F4"/>
    <w:rsid w:val="005174F9"/>
    <w:rsid w:val="0051764B"/>
    <w:rsid w:val="00517DC1"/>
    <w:rsid w:val="00520396"/>
    <w:rsid w:val="0052123C"/>
    <w:rsid w:val="005212CB"/>
    <w:rsid w:val="00521319"/>
    <w:rsid w:val="0052146B"/>
    <w:rsid w:val="005214FA"/>
    <w:rsid w:val="0052278F"/>
    <w:rsid w:val="00522BC8"/>
    <w:rsid w:val="0052319E"/>
    <w:rsid w:val="00523C28"/>
    <w:rsid w:val="00524C00"/>
    <w:rsid w:val="00525B2B"/>
    <w:rsid w:val="00525BC2"/>
    <w:rsid w:val="00525D45"/>
    <w:rsid w:val="00525DC8"/>
    <w:rsid w:val="005261C6"/>
    <w:rsid w:val="00526699"/>
    <w:rsid w:val="00526EF2"/>
    <w:rsid w:val="00527DA6"/>
    <w:rsid w:val="005301F6"/>
    <w:rsid w:val="0053086E"/>
    <w:rsid w:val="00530A5F"/>
    <w:rsid w:val="00530BE7"/>
    <w:rsid w:val="00530FE1"/>
    <w:rsid w:val="0053176B"/>
    <w:rsid w:val="00531ACE"/>
    <w:rsid w:val="00531B27"/>
    <w:rsid w:val="00531BC0"/>
    <w:rsid w:val="00532C20"/>
    <w:rsid w:val="00533A91"/>
    <w:rsid w:val="00533F1D"/>
    <w:rsid w:val="005341B3"/>
    <w:rsid w:val="00534998"/>
    <w:rsid w:val="00534BE2"/>
    <w:rsid w:val="00534DF3"/>
    <w:rsid w:val="0053531D"/>
    <w:rsid w:val="00536078"/>
    <w:rsid w:val="005364BB"/>
    <w:rsid w:val="005366C1"/>
    <w:rsid w:val="00536C50"/>
    <w:rsid w:val="00536C74"/>
    <w:rsid w:val="00536F42"/>
    <w:rsid w:val="00537182"/>
    <w:rsid w:val="005405F1"/>
    <w:rsid w:val="0054070C"/>
    <w:rsid w:val="00541192"/>
    <w:rsid w:val="00541442"/>
    <w:rsid w:val="005417CB"/>
    <w:rsid w:val="00541EDD"/>
    <w:rsid w:val="00542743"/>
    <w:rsid w:val="00542C2D"/>
    <w:rsid w:val="00542E8F"/>
    <w:rsid w:val="00542F87"/>
    <w:rsid w:val="00543E30"/>
    <w:rsid w:val="00543EC2"/>
    <w:rsid w:val="0054409A"/>
    <w:rsid w:val="005443A6"/>
    <w:rsid w:val="00545116"/>
    <w:rsid w:val="00545391"/>
    <w:rsid w:val="00545583"/>
    <w:rsid w:val="0054575B"/>
    <w:rsid w:val="00545CEA"/>
    <w:rsid w:val="00546A84"/>
    <w:rsid w:val="0054714A"/>
    <w:rsid w:val="00547841"/>
    <w:rsid w:val="005478BD"/>
    <w:rsid w:val="005479E3"/>
    <w:rsid w:val="005504B3"/>
    <w:rsid w:val="005506AD"/>
    <w:rsid w:val="00550A71"/>
    <w:rsid w:val="00550D99"/>
    <w:rsid w:val="00550E63"/>
    <w:rsid w:val="005510E7"/>
    <w:rsid w:val="005518DB"/>
    <w:rsid w:val="00551985"/>
    <w:rsid w:val="00551A9C"/>
    <w:rsid w:val="00551B03"/>
    <w:rsid w:val="00552BD3"/>
    <w:rsid w:val="005532A0"/>
    <w:rsid w:val="00554183"/>
    <w:rsid w:val="0055490C"/>
    <w:rsid w:val="00554A4B"/>
    <w:rsid w:val="00554ED0"/>
    <w:rsid w:val="00555109"/>
    <w:rsid w:val="0055557F"/>
    <w:rsid w:val="00555EF5"/>
    <w:rsid w:val="0055619A"/>
    <w:rsid w:val="00556A52"/>
    <w:rsid w:val="00556B35"/>
    <w:rsid w:val="00556FC6"/>
    <w:rsid w:val="005573C7"/>
    <w:rsid w:val="0055741A"/>
    <w:rsid w:val="00557E86"/>
    <w:rsid w:val="005603B1"/>
    <w:rsid w:val="00560BC9"/>
    <w:rsid w:val="00560D9E"/>
    <w:rsid w:val="00561005"/>
    <w:rsid w:val="005611B7"/>
    <w:rsid w:val="005618D4"/>
    <w:rsid w:val="005624F0"/>
    <w:rsid w:val="0056287C"/>
    <w:rsid w:val="00564867"/>
    <w:rsid w:val="00564EEE"/>
    <w:rsid w:val="0056503F"/>
    <w:rsid w:val="005652CF"/>
    <w:rsid w:val="00565C79"/>
    <w:rsid w:val="00565DF0"/>
    <w:rsid w:val="00565DF8"/>
    <w:rsid w:val="005667A7"/>
    <w:rsid w:val="0056696F"/>
    <w:rsid w:val="00566D18"/>
    <w:rsid w:val="00567C2E"/>
    <w:rsid w:val="00567F97"/>
    <w:rsid w:val="005712F4"/>
    <w:rsid w:val="00571C64"/>
    <w:rsid w:val="00572269"/>
    <w:rsid w:val="0057244A"/>
    <w:rsid w:val="0057288A"/>
    <w:rsid w:val="00572F26"/>
    <w:rsid w:val="005734E0"/>
    <w:rsid w:val="00573CB7"/>
    <w:rsid w:val="0057401D"/>
    <w:rsid w:val="00574F76"/>
    <w:rsid w:val="005750C5"/>
    <w:rsid w:val="005752DE"/>
    <w:rsid w:val="00575D60"/>
    <w:rsid w:val="00575D8D"/>
    <w:rsid w:val="0057621B"/>
    <w:rsid w:val="00576514"/>
    <w:rsid w:val="00576972"/>
    <w:rsid w:val="00577248"/>
    <w:rsid w:val="00577C29"/>
    <w:rsid w:val="00577D0D"/>
    <w:rsid w:val="00581930"/>
    <w:rsid w:val="00581E96"/>
    <w:rsid w:val="00582B71"/>
    <w:rsid w:val="00583699"/>
    <w:rsid w:val="00583785"/>
    <w:rsid w:val="0058429D"/>
    <w:rsid w:val="0058462E"/>
    <w:rsid w:val="00585CDD"/>
    <w:rsid w:val="0058664A"/>
    <w:rsid w:val="00586AAD"/>
    <w:rsid w:val="00587058"/>
    <w:rsid w:val="00587451"/>
    <w:rsid w:val="005913D3"/>
    <w:rsid w:val="005914F9"/>
    <w:rsid w:val="00591957"/>
    <w:rsid w:val="00591ED3"/>
    <w:rsid w:val="0059356D"/>
    <w:rsid w:val="00594887"/>
    <w:rsid w:val="0059491E"/>
    <w:rsid w:val="00594BE9"/>
    <w:rsid w:val="00594F1C"/>
    <w:rsid w:val="0059518E"/>
    <w:rsid w:val="0059553A"/>
    <w:rsid w:val="00595BD3"/>
    <w:rsid w:val="005960B7"/>
    <w:rsid w:val="00596E22"/>
    <w:rsid w:val="00597BF9"/>
    <w:rsid w:val="005A0234"/>
    <w:rsid w:val="005A0C11"/>
    <w:rsid w:val="005A13D2"/>
    <w:rsid w:val="005A20DF"/>
    <w:rsid w:val="005A309A"/>
    <w:rsid w:val="005A373D"/>
    <w:rsid w:val="005A37EE"/>
    <w:rsid w:val="005A459D"/>
    <w:rsid w:val="005A4B35"/>
    <w:rsid w:val="005A5E0A"/>
    <w:rsid w:val="005A6203"/>
    <w:rsid w:val="005A6C86"/>
    <w:rsid w:val="005A6CCC"/>
    <w:rsid w:val="005A72D0"/>
    <w:rsid w:val="005A780F"/>
    <w:rsid w:val="005A7E96"/>
    <w:rsid w:val="005B0B58"/>
    <w:rsid w:val="005B0EE0"/>
    <w:rsid w:val="005B101D"/>
    <w:rsid w:val="005B1066"/>
    <w:rsid w:val="005B1465"/>
    <w:rsid w:val="005B1F5E"/>
    <w:rsid w:val="005B2369"/>
    <w:rsid w:val="005B2966"/>
    <w:rsid w:val="005B2C4D"/>
    <w:rsid w:val="005B35FE"/>
    <w:rsid w:val="005B3787"/>
    <w:rsid w:val="005B3DFA"/>
    <w:rsid w:val="005B4261"/>
    <w:rsid w:val="005B4E53"/>
    <w:rsid w:val="005B5844"/>
    <w:rsid w:val="005B5857"/>
    <w:rsid w:val="005B5FAA"/>
    <w:rsid w:val="005B65EC"/>
    <w:rsid w:val="005B6C63"/>
    <w:rsid w:val="005B754A"/>
    <w:rsid w:val="005B7620"/>
    <w:rsid w:val="005C04F7"/>
    <w:rsid w:val="005C0BAF"/>
    <w:rsid w:val="005C15EC"/>
    <w:rsid w:val="005C18CB"/>
    <w:rsid w:val="005C19C4"/>
    <w:rsid w:val="005C1B83"/>
    <w:rsid w:val="005C1D02"/>
    <w:rsid w:val="005C1EA5"/>
    <w:rsid w:val="005C2556"/>
    <w:rsid w:val="005C25FF"/>
    <w:rsid w:val="005C2D55"/>
    <w:rsid w:val="005C336D"/>
    <w:rsid w:val="005C343E"/>
    <w:rsid w:val="005C346B"/>
    <w:rsid w:val="005C4DFF"/>
    <w:rsid w:val="005C5241"/>
    <w:rsid w:val="005C5ABC"/>
    <w:rsid w:val="005C61EF"/>
    <w:rsid w:val="005C656D"/>
    <w:rsid w:val="005C6625"/>
    <w:rsid w:val="005C68B9"/>
    <w:rsid w:val="005C712C"/>
    <w:rsid w:val="005D0006"/>
    <w:rsid w:val="005D044D"/>
    <w:rsid w:val="005D0954"/>
    <w:rsid w:val="005D0ABD"/>
    <w:rsid w:val="005D18AD"/>
    <w:rsid w:val="005D1E88"/>
    <w:rsid w:val="005D26B4"/>
    <w:rsid w:val="005D27DD"/>
    <w:rsid w:val="005D30AF"/>
    <w:rsid w:val="005D3579"/>
    <w:rsid w:val="005D368D"/>
    <w:rsid w:val="005D3B3D"/>
    <w:rsid w:val="005D3ED8"/>
    <w:rsid w:val="005D443D"/>
    <w:rsid w:val="005D48C4"/>
    <w:rsid w:val="005D4BBD"/>
    <w:rsid w:val="005D5309"/>
    <w:rsid w:val="005D559E"/>
    <w:rsid w:val="005D5622"/>
    <w:rsid w:val="005D6809"/>
    <w:rsid w:val="005D7CD0"/>
    <w:rsid w:val="005E1995"/>
    <w:rsid w:val="005E19C5"/>
    <w:rsid w:val="005E2030"/>
    <w:rsid w:val="005E238C"/>
    <w:rsid w:val="005E2DE2"/>
    <w:rsid w:val="005E2E8A"/>
    <w:rsid w:val="005E3662"/>
    <w:rsid w:val="005E3B0A"/>
    <w:rsid w:val="005E3FC2"/>
    <w:rsid w:val="005E4187"/>
    <w:rsid w:val="005E511D"/>
    <w:rsid w:val="005E5E24"/>
    <w:rsid w:val="005E5F2D"/>
    <w:rsid w:val="005E5F55"/>
    <w:rsid w:val="005E66C3"/>
    <w:rsid w:val="005E6BF0"/>
    <w:rsid w:val="005E6CBC"/>
    <w:rsid w:val="005E72FF"/>
    <w:rsid w:val="005E73C0"/>
    <w:rsid w:val="005E7B1D"/>
    <w:rsid w:val="005F0347"/>
    <w:rsid w:val="005F07ED"/>
    <w:rsid w:val="005F1113"/>
    <w:rsid w:val="005F1631"/>
    <w:rsid w:val="005F1EE4"/>
    <w:rsid w:val="005F251B"/>
    <w:rsid w:val="005F2550"/>
    <w:rsid w:val="005F2706"/>
    <w:rsid w:val="005F276B"/>
    <w:rsid w:val="005F3556"/>
    <w:rsid w:val="005F4096"/>
    <w:rsid w:val="005F4166"/>
    <w:rsid w:val="005F4412"/>
    <w:rsid w:val="005F5550"/>
    <w:rsid w:val="005F5DE5"/>
    <w:rsid w:val="005F6A8F"/>
    <w:rsid w:val="005F6BB7"/>
    <w:rsid w:val="005F6DDA"/>
    <w:rsid w:val="005F6E7C"/>
    <w:rsid w:val="005F7588"/>
    <w:rsid w:val="006003D1"/>
    <w:rsid w:val="00600874"/>
    <w:rsid w:val="00600CB7"/>
    <w:rsid w:val="00601276"/>
    <w:rsid w:val="006013F6"/>
    <w:rsid w:val="006017EB"/>
    <w:rsid w:val="00601D40"/>
    <w:rsid w:val="006029CC"/>
    <w:rsid w:val="006029F8"/>
    <w:rsid w:val="00602CA3"/>
    <w:rsid w:val="006030C4"/>
    <w:rsid w:val="00603248"/>
    <w:rsid w:val="006036E7"/>
    <w:rsid w:val="00603B57"/>
    <w:rsid w:val="00603DB9"/>
    <w:rsid w:val="00604143"/>
    <w:rsid w:val="006042B8"/>
    <w:rsid w:val="00605499"/>
    <w:rsid w:val="00605CB9"/>
    <w:rsid w:val="00606901"/>
    <w:rsid w:val="00606A00"/>
    <w:rsid w:val="00606FBA"/>
    <w:rsid w:val="00606FDD"/>
    <w:rsid w:val="00607669"/>
    <w:rsid w:val="006076F4"/>
    <w:rsid w:val="00607798"/>
    <w:rsid w:val="00607845"/>
    <w:rsid w:val="00607AFD"/>
    <w:rsid w:val="00610D39"/>
    <w:rsid w:val="00611959"/>
    <w:rsid w:val="00611B12"/>
    <w:rsid w:val="006123C5"/>
    <w:rsid w:val="00612DEC"/>
    <w:rsid w:val="00612F97"/>
    <w:rsid w:val="00613013"/>
    <w:rsid w:val="0061345D"/>
    <w:rsid w:val="0061352C"/>
    <w:rsid w:val="0061359F"/>
    <w:rsid w:val="00613A78"/>
    <w:rsid w:val="0061456D"/>
    <w:rsid w:val="0061549B"/>
    <w:rsid w:val="00615C80"/>
    <w:rsid w:val="00615EBB"/>
    <w:rsid w:val="00616802"/>
    <w:rsid w:val="00616AF1"/>
    <w:rsid w:val="00617BF4"/>
    <w:rsid w:val="00617E12"/>
    <w:rsid w:val="00620220"/>
    <w:rsid w:val="00620B21"/>
    <w:rsid w:val="00620C25"/>
    <w:rsid w:val="00621053"/>
    <w:rsid w:val="00621477"/>
    <w:rsid w:val="00621ADA"/>
    <w:rsid w:val="00622CBB"/>
    <w:rsid w:val="00623F7B"/>
    <w:rsid w:val="00624B86"/>
    <w:rsid w:val="00624BD4"/>
    <w:rsid w:val="006261D2"/>
    <w:rsid w:val="00626343"/>
    <w:rsid w:val="00626656"/>
    <w:rsid w:val="0062667B"/>
    <w:rsid w:val="00626A13"/>
    <w:rsid w:val="00627EB8"/>
    <w:rsid w:val="006300DD"/>
    <w:rsid w:val="00630267"/>
    <w:rsid w:val="00630555"/>
    <w:rsid w:val="0063158F"/>
    <w:rsid w:val="00631D6B"/>
    <w:rsid w:val="00632183"/>
    <w:rsid w:val="00632ED0"/>
    <w:rsid w:val="006330A1"/>
    <w:rsid w:val="006339E2"/>
    <w:rsid w:val="00633D13"/>
    <w:rsid w:val="00633DED"/>
    <w:rsid w:val="0063479F"/>
    <w:rsid w:val="00634B1C"/>
    <w:rsid w:val="006350CF"/>
    <w:rsid w:val="006353F0"/>
    <w:rsid w:val="006354AA"/>
    <w:rsid w:val="006357B5"/>
    <w:rsid w:val="0063631F"/>
    <w:rsid w:val="006364A1"/>
    <w:rsid w:val="0063678E"/>
    <w:rsid w:val="00636B07"/>
    <w:rsid w:val="0063717D"/>
    <w:rsid w:val="00637275"/>
    <w:rsid w:val="00637BFD"/>
    <w:rsid w:val="00637C5C"/>
    <w:rsid w:val="0064120E"/>
    <w:rsid w:val="00641BCB"/>
    <w:rsid w:val="00641C4E"/>
    <w:rsid w:val="00641FB3"/>
    <w:rsid w:val="00643F28"/>
    <w:rsid w:val="0064434C"/>
    <w:rsid w:val="00645235"/>
    <w:rsid w:val="0064624B"/>
    <w:rsid w:val="006463DA"/>
    <w:rsid w:val="006471CC"/>
    <w:rsid w:val="006472FE"/>
    <w:rsid w:val="00647A29"/>
    <w:rsid w:val="0065079F"/>
    <w:rsid w:val="00651F6E"/>
    <w:rsid w:val="0065282D"/>
    <w:rsid w:val="00652A28"/>
    <w:rsid w:val="00652A7F"/>
    <w:rsid w:val="0065379F"/>
    <w:rsid w:val="00656188"/>
    <w:rsid w:val="00656B18"/>
    <w:rsid w:val="00656DF7"/>
    <w:rsid w:val="0065715A"/>
    <w:rsid w:val="006573C3"/>
    <w:rsid w:val="006579AC"/>
    <w:rsid w:val="00657EF8"/>
    <w:rsid w:val="0066011A"/>
    <w:rsid w:val="0066077F"/>
    <w:rsid w:val="006610F1"/>
    <w:rsid w:val="00661612"/>
    <w:rsid w:val="006617DC"/>
    <w:rsid w:val="00661C6B"/>
    <w:rsid w:val="006623BD"/>
    <w:rsid w:val="006625A1"/>
    <w:rsid w:val="00662D3E"/>
    <w:rsid w:val="00663E90"/>
    <w:rsid w:val="00664379"/>
    <w:rsid w:val="006656BB"/>
    <w:rsid w:val="00665F05"/>
    <w:rsid w:val="006664CD"/>
    <w:rsid w:val="00667167"/>
    <w:rsid w:val="00667BE3"/>
    <w:rsid w:val="00671004"/>
    <w:rsid w:val="0067116B"/>
    <w:rsid w:val="006724AB"/>
    <w:rsid w:val="00672646"/>
    <w:rsid w:val="00672A57"/>
    <w:rsid w:val="0067311F"/>
    <w:rsid w:val="0067380E"/>
    <w:rsid w:val="00673960"/>
    <w:rsid w:val="00674216"/>
    <w:rsid w:val="00674E42"/>
    <w:rsid w:val="00674ED9"/>
    <w:rsid w:val="006755F6"/>
    <w:rsid w:val="00675839"/>
    <w:rsid w:val="00676563"/>
    <w:rsid w:val="00676B97"/>
    <w:rsid w:val="00676BCD"/>
    <w:rsid w:val="00676EA9"/>
    <w:rsid w:val="00677586"/>
    <w:rsid w:val="006777EA"/>
    <w:rsid w:val="00677D79"/>
    <w:rsid w:val="00677D8F"/>
    <w:rsid w:val="006813F8"/>
    <w:rsid w:val="00681D7B"/>
    <w:rsid w:val="00682112"/>
    <w:rsid w:val="00682140"/>
    <w:rsid w:val="00682356"/>
    <w:rsid w:val="006826F8"/>
    <w:rsid w:val="00682A0D"/>
    <w:rsid w:val="00682BA6"/>
    <w:rsid w:val="0068314E"/>
    <w:rsid w:val="006834B3"/>
    <w:rsid w:val="006835D2"/>
    <w:rsid w:val="00683815"/>
    <w:rsid w:val="00683BE9"/>
    <w:rsid w:val="00683C47"/>
    <w:rsid w:val="006840D6"/>
    <w:rsid w:val="0068473D"/>
    <w:rsid w:val="00685D7E"/>
    <w:rsid w:val="00686089"/>
    <w:rsid w:val="00686506"/>
    <w:rsid w:val="00686957"/>
    <w:rsid w:val="0068722B"/>
    <w:rsid w:val="006872BA"/>
    <w:rsid w:val="00687923"/>
    <w:rsid w:val="00690795"/>
    <w:rsid w:val="00690802"/>
    <w:rsid w:val="00690BDC"/>
    <w:rsid w:val="00691648"/>
    <w:rsid w:val="006916AE"/>
    <w:rsid w:val="006917D7"/>
    <w:rsid w:val="006920ED"/>
    <w:rsid w:val="006927E4"/>
    <w:rsid w:val="00693101"/>
    <w:rsid w:val="006936E4"/>
    <w:rsid w:val="00693F2E"/>
    <w:rsid w:val="0069434C"/>
    <w:rsid w:val="006947F2"/>
    <w:rsid w:val="00694F44"/>
    <w:rsid w:val="0069542A"/>
    <w:rsid w:val="00696C18"/>
    <w:rsid w:val="00696C3F"/>
    <w:rsid w:val="00696DFF"/>
    <w:rsid w:val="00696EF9"/>
    <w:rsid w:val="00696F51"/>
    <w:rsid w:val="006975BA"/>
    <w:rsid w:val="006979A5"/>
    <w:rsid w:val="00697AD8"/>
    <w:rsid w:val="00697FE5"/>
    <w:rsid w:val="006A016F"/>
    <w:rsid w:val="006A01C2"/>
    <w:rsid w:val="006A03A9"/>
    <w:rsid w:val="006A0DF7"/>
    <w:rsid w:val="006A0EC0"/>
    <w:rsid w:val="006A185F"/>
    <w:rsid w:val="006A1E39"/>
    <w:rsid w:val="006A1F4A"/>
    <w:rsid w:val="006A234B"/>
    <w:rsid w:val="006A2CC2"/>
    <w:rsid w:val="006A3799"/>
    <w:rsid w:val="006A4321"/>
    <w:rsid w:val="006A43D9"/>
    <w:rsid w:val="006A44F7"/>
    <w:rsid w:val="006A46BA"/>
    <w:rsid w:val="006A4ABF"/>
    <w:rsid w:val="006A548A"/>
    <w:rsid w:val="006A6B99"/>
    <w:rsid w:val="006A7144"/>
    <w:rsid w:val="006A715F"/>
    <w:rsid w:val="006A74CB"/>
    <w:rsid w:val="006A7664"/>
    <w:rsid w:val="006A7BDD"/>
    <w:rsid w:val="006A7E5F"/>
    <w:rsid w:val="006A7F69"/>
    <w:rsid w:val="006B033E"/>
    <w:rsid w:val="006B03DF"/>
    <w:rsid w:val="006B1146"/>
    <w:rsid w:val="006B150F"/>
    <w:rsid w:val="006B215C"/>
    <w:rsid w:val="006B261B"/>
    <w:rsid w:val="006B288A"/>
    <w:rsid w:val="006B2C90"/>
    <w:rsid w:val="006B2D76"/>
    <w:rsid w:val="006B3560"/>
    <w:rsid w:val="006B35E6"/>
    <w:rsid w:val="006B42A8"/>
    <w:rsid w:val="006B465A"/>
    <w:rsid w:val="006B4A12"/>
    <w:rsid w:val="006B4A4C"/>
    <w:rsid w:val="006B50CF"/>
    <w:rsid w:val="006B5C99"/>
    <w:rsid w:val="006B5FDF"/>
    <w:rsid w:val="006B6872"/>
    <w:rsid w:val="006B6DD0"/>
    <w:rsid w:val="006B77AB"/>
    <w:rsid w:val="006B7DDA"/>
    <w:rsid w:val="006C0399"/>
    <w:rsid w:val="006C04F5"/>
    <w:rsid w:val="006C0FA2"/>
    <w:rsid w:val="006C16F3"/>
    <w:rsid w:val="006C2A8E"/>
    <w:rsid w:val="006C3089"/>
    <w:rsid w:val="006C3255"/>
    <w:rsid w:val="006C34DE"/>
    <w:rsid w:val="006C3F26"/>
    <w:rsid w:val="006C41DA"/>
    <w:rsid w:val="006C4B0D"/>
    <w:rsid w:val="006C547C"/>
    <w:rsid w:val="006C5CD4"/>
    <w:rsid w:val="006C5EF9"/>
    <w:rsid w:val="006D0106"/>
    <w:rsid w:val="006D0408"/>
    <w:rsid w:val="006D06AF"/>
    <w:rsid w:val="006D0D17"/>
    <w:rsid w:val="006D254B"/>
    <w:rsid w:val="006D36C4"/>
    <w:rsid w:val="006D3C7D"/>
    <w:rsid w:val="006D3F68"/>
    <w:rsid w:val="006D41B8"/>
    <w:rsid w:val="006D4659"/>
    <w:rsid w:val="006D4AF9"/>
    <w:rsid w:val="006D55C3"/>
    <w:rsid w:val="006D5661"/>
    <w:rsid w:val="006D5D5F"/>
    <w:rsid w:val="006D641D"/>
    <w:rsid w:val="006D654F"/>
    <w:rsid w:val="006D68FB"/>
    <w:rsid w:val="006D6CB1"/>
    <w:rsid w:val="006D729E"/>
    <w:rsid w:val="006D78B0"/>
    <w:rsid w:val="006D79D4"/>
    <w:rsid w:val="006E0C3B"/>
    <w:rsid w:val="006E0E04"/>
    <w:rsid w:val="006E0E22"/>
    <w:rsid w:val="006E2868"/>
    <w:rsid w:val="006E2DA1"/>
    <w:rsid w:val="006E2E49"/>
    <w:rsid w:val="006E4813"/>
    <w:rsid w:val="006E4883"/>
    <w:rsid w:val="006E686E"/>
    <w:rsid w:val="006E71C7"/>
    <w:rsid w:val="006E779A"/>
    <w:rsid w:val="006E7941"/>
    <w:rsid w:val="006F0AE3"/>
    <w:rsid w:val="006F196F"/>
    <w:rsid w:val="006F27CF"/>
    <w:rsid w:val="006F306C"/>
    <w:rsid w:val="006F3CB4"/>
    <w:rsid w:val="006F44BA"/>
    <w:rsid w:val="006F570D"/>
    <w:rsid w:val="006F6319"/>
    <w:rsid w:val="006F63A5"/>
    <w:rsid w:val="006F6A6B"/>
    <w:rsid w:val="006F6FC7"/>
    <w:rsid w:val="006F70C4"/>
    <w:rsid w:val="006F75E1"/>
    <w:rsid w:val="006F76AE"/>
    <w:rsid w:val="006F7F7C"/>
    <w:rsid w:val="00700074"/>
    <w:rsid w:val="007008F3"/>
    <w:rsid w:val="0070142B"/>
    <w:rsid w:val="00701743"/>
    <w:rsid w:val="0070276E"/>
    <w:rsid w:val="00702C98"/>
    <w:rsid w:val="00702F8F"/>
    <w:rsid w:val="00703B3D"/>
    <w:rsid w:val="00704206"/>
    <w:rsid w:val="00704335"/>
    <w:rsid w:val="007047F8"/>
    <w:rsid w:val="00705261"/>
    <w:rsid w:val="007055C2"/>
    <w:rsid w:val="007069A4"/>
    <w:rsid w:val="007079FC"/>
    <w:rsid w:val="00707EEF"/>
    <w:rsid w:val="00710DBE"/>
    <w:rsid w:val="00710E82"/>
    <w:rsid w:val="0071111C"/>
    <w:rsid w:val="00711A36"/>
    <w:rsid w:val="007125D3"/>
    <w:rsid w:val="00712DA0"/>
    <w:rsid w:val="007142F4"/>
    <w:rsid w:val="00714C26"/>
    <w:rsid w:val="00714ECC"/>
    <w:rsid w:val="0071528E"/>
    <w:rsid w:val="0071529C"/>
    <w:rsid w:val="007157DB"/>
    <w:rsid w:val="0071594E"/>
    <w:rsid w:val="00715DDA"/>
    <w:rsid w:val="007162F8"/>
    <w:rsid w:val="007170DA"/>
    <w:rsid w:val="007172AD"/>
    <w:rsid w:val="007172DE"/>
    <w:rsid w:val="00717546"/>
    <w:rsid w:val="00717D88"/>
    <w:rsid w:val="0072074D"/>
    <w:rsid w:val="00720801"/>
    <w:rsid w:val="00720B77"/>
    <w:rsid w:val="00720B88"/>
    <w:rsid w:val="00720CCF"/>
    <w:rsid w:val="00721569"/>
    <w:rsid w:val="00721EA3"/>
    <w:rsid w:val="00722169"/>
    <w:rsid w:val="00722B1B"/>
    <w:rsid w:val="00722B84"/>
    <w:rsid w:val="00722F88"/>
    <w:rsid w:val="00723EFA"/>
    <w:rsid w:val="0072416F"/>
    <w:rsid w:val="007244D5"/>
    <w:rsid w:val="00724646"/>
    <w:rsid w:val="00724B02"/>
    <w:rsid w:val="007255B1"/>
    <w:rsid w:val="00725A23"/>
    <w:rsid w:val="00725C60"/>
    <w:rsid w:val="00726CFB"/>
    <w:rsid w:val="00726E1F"/>
    <w:rsid w:val="00726FF6"/>
    <w:rsid w:val="0072726B"/>
    <w:rsid w:val="0072759A"/>
    <w:rsid w:val="00727C94"/>
    <w:rsid w:val="00730581"/>
    <w:rsid w:val="00730D98"/>
    <w:rsid w:val="00731352"/>
    <w:rsid w:val="00731B0A"/>
    <w:rsid w:val="00731EAE"/>
    <w:rsid w:val="00731F7C"/>
    <w:rsid w:val="007321BC"/>
    <w:rsid w:val="0073231D"/>
    <w:rsid w:val="007326BA"/>
    <w:rsid w:val="00732758"/>
    <w:rsid w:val="00732956"/>
    <w:rsid w:val="00732BAB"/>
    <w:rsid w:val="00732E3A"/>
    <w:rsid w:val="00733073"/>
    <w:rsid w:val="0073347E"/>
    <w:rsid w:val="0073434C"/>
    <w:rsid w:val="007344F3"/>
    <w:rsid w:val="00735033"/>
    <w:rsid w:val="007352D9"/>
    <w:rsid w:val="00735328"/>
    <w:rsid w:val="0073607B"/>
    <w:rsid w:val="00736452"/>
    <w:rsid w:val="0073685B"/>
    <w:rsid w:val="007371B5"/>
    <w:rsid w:val="007378F3"/>
    <w:rsid w:val="00737AAC"/>
    <w:rsid w:val="00740B8B"/>
    <w:rsid w:val="00740D27"/>
    <w:rsid w:val="00742869"/>
    <w:rsid w:val="00743D27"/>
    <w:rsid w:val="007449BF"/>
    <w:rsid w:val="00745268"/>
    <w:rsid w:val="00745669"/>
    <w:rsid w:val="00745D0B"/>
    <w:rsid w:val="007463FE"/>
    <w:rsid w:val="00746BC0"/>
    <w:rsid w:val="00747594"/>
    <w:rsid w:val="00747778"/>
    <w:rsid w:val="00747AAD"/>
    <w:rsid w:val="00747AF4"/>
    <w:rsid w:val="00747CE5"/>
    <w:rsid w:val="00747D64"/>
    <w:rsid w:val="007510B4"/>
    <w:rsid w:val="0075145A"/>
    <w:rsid w:val="007518CF"/>
    <w:rsid w:val="00752142"/>
    <w:rsid w:val="007523AD"/>
    <w:rsid w:val="007523F9"/>
    <w:rsid w:val="00752827"/>
    <w:rsid w:val="0075292E"/>
    <w:rsid w:val="0075357E"/>
    <w:rsid w:val="007536F5"/>
    <w:rsid w:val="00753A78"/>
    <w:rsid w:val="00753B29"/>
    <w:rsid w:val="00753DE6"/>
    <w:rsid w:val="00754304"/>
    <w:rsid w:val="00754AF0"/>
    <w:rsid w:val="00754D2E"/>
    <w:rsid w:val="0075579F"/>
    <w:rsid w:val="00756F2B"/>
    <w:rsid w:val="007573E8"/>
    <w:rsid w:val="007575B7"/>
    <w:rsid w:val="0076089B"/>
    <w:rsid w:val="00760C4E"/>
    <w:rsid w:val="00760D3D"/>
    <w:rsid w:val="00760F44"/>
    <w:rsid w:val="00760F9E"/>
    <w:rsid w:val="007616E6"/>
    <w:rsid w:val="00761F31"/>
    <w:rsid w:val="007627BE"/>
    <w:rsid w:val="00762B22"/>
    <w:rsid w:val="00762C23"/>
    <w:rsid w:val="0076320A"/>
    <w:rsid w:val="0076388A"/>
    <w:rsid w:val="0076393D"/>
    <w:rsid w:val="00763E42"/>
    <w:rsid w:val="00764A44"/>
    <w:rsid w:val="00764A75"/>
    <w:rsid w:val="00764F03"/>
    <w:rsid w:val="00765715"/>
    <w:rsid w:val="00765B1A"/>
    <w:rsid w:val="00765DC1"/>
    <w:rsid w:val="00765FD6"/>
    <w:rsid w:val="0076609B"/>
    <w:rsid w:val="00766FA9"/>
    <w:rsid w:val="00767D7C"/>
    <w:rsid w:val="00770646"/>
    <w:rsid w:val="007708F2"/>
    <w:rsid w:val="00770CDC"/>
    <w:rsid w:val="00771784"/>
    <w:rsid w:val="00771E0D"/>
    <w:rsid w:val="007721F2"/>
    <w:rsid w:val="00772269"/>
    <w:rsid w:val="007732AE"/>
    <w:rsid w:val="00773374"/>
    <w:rsid w:val="00773567"/>
    <w:rsid w:val="0077361A"/>
    <w:rsid w:val="007738E1"/>
    <w:rsid w:val="00773F1F"/>
    <w:rsid w:val="00774773"/>
    <w:rsid w:val="00774A16"/>
    <w:rsid w:val="00776855"/>
    <w:rsid w:val="00776DCF"/>
    <w:rsid w:val="00777335"/>
    <w:rsid w:val="007775AE"/>
    <w:rsid w:val="00780C02"/>
    <w:rsid w:val="00781288"/>
    <w:rsid w:val="00781FA2"/>
    <w:rsid w:val="00783188"/>
    <w:rsid w:val="00783A6C"/>
    <w:rsid w:val="007843F2"/>
    <w:rsid w:val="007846FA"/>
    <w:rsid w:val="0078493A"/>
    <w:rsid w:val="00784A87"/>
    <w:rsid w:val="007853F3"/>
    <w:rsid w:val="00785A9F"/>
    <w:rsid w:val="007863D5"/>
    <w:rsid w:val="00790924"/>
    <w:rsid w:val="00791F46"/>
    <w:rsid w:val="00792415"/>
    <w:rsid w:val="007925DF"/>
    <w:rsid w:val="007928C0"/>
    <w:rsid w:val="00793446"/>
    <w:rsid w:val="00793B54"/>
    <w:rsid w:val="00793F5D"/>
    <w:rsid w:val="00794492"/>
    <w:rsid w:val="00794585"/>
    <w:rsid w:val="00794599"/>
    <w:rsid w:val="0079607F"/>
    <w:rsid w:val="0079615C"/>
    <w:rsid w:val="00796272"/>
    <w:rsid w:val="007974BF"/>
    <w:rsid w:val="00797713"/>
    <w:rsid w:val="007A008A"/>
    <w:rsid w:val="007A0514"/>
    <w:rsid w:val="007A08AA"/>
    <w:rsid w:val="007A0967"/>
    <w:rsid w:val="007A0A12"/>
    <w:rsid w:val="007A132D"/>
    <w:rsid w:val="007A1345"/>
    <w:rsid w:val="007A21F1"/>
    <w:rsid w:val="007A2BC6"/>
    <w:rsid w:val="007A2DDB"/>
    <w:rsid w:val="007A2EF4"/>
    <w:rsid w:val="007A2F48"/>
    <w:rsid w:val="007A348A"/>
    <w:rsid w:val="007A5539"/>
    <w:rsid w:val="007A6935"/>
    <w:rsid w:val="007A70BA"/>
    <w:rsid w:val="007A70E3"/>
    <w:rsid w:val="007A76DF"/>
    <w:rsid w:val="007A7885"/>
    <w:rsid w:val="007B016C"/>
    <w:rsid w:val="007B0250"/>
    <w:rsid w:val="007B03FF"/>
    <w:rsid w:val="007B0B70"/>
    <w:rsid w:val="007B0D4F"/>
    <w:rsid w:val="007B0D68"/>
    <w:rsid w:val="007B17EE"/>
    <w:rsid w:val="007B1D11"/>
    <w:rsid w:val="007B251D"/>
    <w:rsid w:val="007B2D38"/>
    <w:rsid w:val="007B3533"/>
    <w:rsid w:val="007B3665"/>
    <w:rsid w:val="007B4005"/>
    <w:rsid w:val="007B462F"/>
    <w:rsid w:val="007B4ECC"/>
    <w:rsid w:val="007B4F58"/>
    <w:rsid w:val="007B528D"/>
    <w:rsid w:val="007B529D"/>
    <w:rsid w:val="007B63CA"/>
    <w:rsid w:val="007B657A"/>
    <w:rsid w:val="007B7014"/>
    <w:rsid w:val="007B77D1"/>
    <w:rsid w:val="007C07C7"/>
    <w:rsid w:val="007C1695"/>
    <w:rsid w:val="007C1CC1"/>
    <w:rsid w:val="007C1CD9"/>
    <w:rsid w:val="007C2141"/>
    <w:rsid w:val="007C28FA"/>
    <w:rsid w:val="007C32EF"/>
    <w:rsid w:val="007C34FD"/>
    <w:rsid w:val="007C361D"/>
    <w:rsid w:val="007C4449"/>
    <w:rsid w:val="007C4735"/>
    <w:rsid w:val="007C4A9B"/>
    <w:rsid w:val="007C4B84"/>
    <w:rsid w:val="007C4C0E"/>
    <w:rsid w:val="007C5C8E"/>
    <w:rsid w:val="007C6EB5"/>
    <w:rsid w:val="007C70FF"/>
    <w:rsid w:val="007C793B"/>
    <w:rsid w:val="007C7C25"/>
    <w:rsid w:val="007D004F"/>
    <w:rsid w:val="007D035F"/>
    <w:rsid w:val="007D06B2"/>
    <w:rsid w:val="007D0B38"/>
    <w:rsid w:val="007D1805"/>
    <w:rsid w:val="007D239A"/>
    <w:rsid w:val="007D267B"/>
    <w:rsid w:val="007D2FC3"/>
    <w:rsid w:val="007D300E"/>
    <w:rsid w:val="007D33AA"/>
    <w:rsid w:val="007D33E6"/>
    <w:rsid w:val="007D3796"/>
    <w:rsid w:val="007D4C87"/>
    <w:rsid w:val="007D51A7"/>
    <w:rsid w:val="007D5274"/>
    <w:rsid w:val="007D5440"/>
    <w:rsid w:val="007D5B99"/>
    <w:rsid w:val="007D6137"/>
    <w:rsid w:val="007D621A"/>
    <w:rsid w:val="007D69EB"/>
    <w:rsid w:val="007D7FF5"/>
    <w:rsid w:val="007E062D"/>
    <w:rsid w:val="007E0BFB"/>
    <w:rsid w:val="007E0EF5"/>
    <w:rsid w:val="007E0F7E"/>
    <w:rsid w:val="007E128F"/>
    <w:rsid w:val="007E1F77"/>
    <w:rsid w:val="007E277F"/>
    <w:rsid w:val="007E2C0E"/>
    <w:rsid w:val="007E2DC5"/>
    <w:rsid w:val="007E3604"/>
    <w:rsid w:val="007E3BF3"/>
    <w:rsid w:val="007E4F95"/>
    <w:rsid w:val="007E50B0"/>
    <w:rsid w:val="007E5A8A"/>
    <w:rsid w:val="007E5EA9"/>
    <w:rsid w:val="007E6244"/>
    <w:rsid w:val="007E690B"/>
    <w:rsid w:val="007E6ADD"/>
    <w:rsid w:val="007F01AA"/>
    <w:rsid w:val="007F0684"/>
    <w:rsid w:val="007F1017"/>
    <w:rsid w:val="007F2A7B"/>
    <w:rsid w:val="007F336A"/>
    <w:rsid w:val="007F3F3F"/>
    <w:rsid w:val="007F4A3F"/>
    <w:rsid w:val="007F4A61"/>
    <w:rsid w:val="007F5255"/>
    <w:rsid w:val="007F5269"/>
    <w:rsid w:val="007F56CC"/>
    <w:rsid w:val="007F5AE4"/>
    <w:rsid w:val="007F61C2"/>
    <w:rsid w:val="007F6BC8"/>
    <w:rsid w:val="007F6F18"/>
    <w:rsid w:val="007F7B8C"/>
    <w:rsid w:val="007F7D9A"/>
    <w:rsid w:val="0080031F"/>
    <w:rsid w:val="008006CE"/>
    <w:rsid w:val="00800F69"/>
    <w:rsid w:val="00801721"/>
    <w:rsid w:val="00802920"/>
    <w:rsid w:val="00802B0E"/>
    <w:rsid w:val="00802C71"/>
    <w:rsid w:val="00802DAE"/>
    <w:rsid w:val="008038D6"/>
    <w:rsid w:val="00803FB1"/>
    <w:rsid w:val="00804A75"/>
    <w:rsid w:val="008050A8"/>
    <w:rsid w:val="00805142"/>
    <w:rsid w:val="00805FCE"/>
    <w:rsid w:val="00806E58"/>
    <w:rsid w:val="008072F0"/>
    <w:rsid w:val="00807A8B"/>
    <w:rsid w:val="0081073D"/>
    <w:rsid w:val="00810C1E"/>
    <w:rsid w:val="0081107F"/>
    <w:rsid w:val="00811383"/>
    <w:rsid w:val="00811DAF"/>
    <w:rsid w:val="00812008"/>
    <w:rsid w:val="00812149"/>
    <w:rsid w:val="008122E6"/>
    <w:rsid w:val="008124DA"/>
    <w:rsid w:val="008127C9"/>
    <w:rsid w:val="00812CAC"/>
    <w:rsid w:val="008138D1"/>
    <w:rsid w:val="00813DBA"/>
    <w:rsid w:val="0081527D"/>
    <w:rsid w:val="00816361"/>
    <w:rsid w:val="008166EF"/>
    <w:rsid w:val="00816FEF"/>
    <w:rsid w:val="00817158"/>
    <w:rsid w:val="0081733D"/>
    <w:rsid w:val="00817722"/>
    <w:rsid w:val="008177E5"/>
    <w:rsid w:val="008178D8"/>
    <w:rsid w:val="0082085E"/>
    <w:rsid w:val="00820A8C"/>
    <w:rsid w:val="00821596"/>
    <w:rsid w:val="008215FB"/>
    <w:rsid w:val="008217E3"/>
    <w:rsid w:val="00821A84"/>
    <w:rsid w:val="008220CC"/>
    <w:rsid w:val="00822A25"/>
    <w:rsid w:val="00823174"/>
    <w:rsid w:val="0082372F"/>
    <w:rsid w:val="00823CA9"/>
    <w:rsid w:val="00825115"/>
    <w:rsid w:val="00825751"/>
    <w:rsid w:val="008257C2"/>
    <w:rsid w:val="008264EB"/>
    <w:rsid w:val="008268CE"/>
    <w:rsid w:val="00826AC0"/>
    <w:rsid w:val="00827C23"/>
    <w:rsid w:val="00830107"/>
    <w:rsid w:val="008307F7"/>
    <w:rsid w:val="00830FCF"/>
    <w:rsid w:val="008317A2"/>
    <w:rsid w:val="00831CE5"/>
    <w:rsid w:val="00831E9B"/>
    <w:rsid w:val="0083200F"/>
    <w:rsid w:val="00832425"/>
    <w:rsid w:val="00832C17"/>
    <w:rsid w:val="008336B4"/>
    <w:rsid w:val="00833759"/>
    <w:rsid w:val="00833B05"/>
    <w:rsid w:val="00834552"/>
    <w:rsid w:val="008362B4"/>
    <w:rsid w:val="00840088"/>
    <w:rsid w:val="0084079B"/>
    <w:rsid w:val="00840C51"/>
    <w:rsid w:val="00840CA2"/>
    <w:rsid w:val="00841DCE"/>
    <w:rsid w:val="008426C4"/>
    <w:rsid w:val="00842D0E"/>
    <w:rsid w:val="0084374F"/>
    <w:rsid w:val="008440BA"/>
    <w:rsid w:val="00844A22"/>
    <w:rsid w:val="00844CC0"/>
    <w:rsid w:val="00844D2C"/>
    <w:rsid w:val="00844F61"/>
    <w:rsid w:val="008455AF"/>
    <w:rsid w:val="00845916"/>
    <w:rsid w:val="0084623E"/>
    <w:rsid w:val="008465A8"/>
    <w:rsid w:val="00846C30"/>
    <w:rsid w:val="00846C6C"/>
    <w:rsid w:val="008473F6"/>
    <w:rsid w:val="00847703"/>
    <w:rsid w:val="008479F8"/>
    <w:rsid w:val="00847BAA"/>
    <w:rsid w:val="00847CDF"/>
    <w:rsid w:val="00847DF5"/>
    <w:rsid w:val="00847F04"/>
    <w:rsid w:val="00850157"/>
    <w:rsid w:val="008507AD"/>
    <w:rsid w:val="008507AF"/>
    <w:rsid w:val="00850EEA"/>
    <w:rsid w:val="0085204C"/>
    <w:rsid w:val="0085309D"/>
    <w:rsid w:val="008531E6"/>
    <w:rsid w:val="00853B44"/>
    <w:rsid w:val="00855830"/>
    <w:rsid w:val="00856897"/>
    <w:rsid w:val="00856C48"/>
    <w:rsid w:val="00856E9A"/>
    <w:rsid w:val="00856FA8"/>
    <w:rsid w:val="008604AB"/>
    <w:rsid w:val="0086075D"/>
    <w:rsid w:val="00860F4D"/>
    <w:rsid w:val="008610C5"/>
    <w:rsid w:val="00861436"/>
    <w:rsid w:val="00862014"/>
    <w:rsid w:val="00862502"/>
    <w:rsid w:val="00862CC1"/>
    <w:rsid w:val="008642A7"/>
    <w:rsid w:val="00865498"/>
    <w:rsid w:val="008660D4"/>
    <w:rsid w:val="008668D5"/>
    <w:rsid w:val="0087056C"/>
    <w:rsid w:val="008708BA"/>
    <w:rsid w:val="00871183"/>
    <w:rsid w:val="0087121F"/>
    <w:rsid w:val="0087179F"/>
    <w:rsid w:val="008718E9"/>
    <w:rsid w:val="00871B45"/>
    <w:rsid w:val="00871FA9"/>
    <w:rsid w:val="0087264A"/>
    <w:rsid w:val="008728E9"/>
    <w:rsid w:val="00873E5B"/>
    <w:rsid w:val="00874088"/>
    <w:rsid w:val="008743F7"/>
    <w:rsid w:val="00874957"/>
    <w:rsid w:val="0087512D"/>
    <w:rsid w:val="0087580E"/>
    <w:rsid w:val="00875F28"/>
    <w:rsid w:val="00876DD4"/>
    <w:rsid w:val="00876FC2"/>
    <w:rsid w:val="008773D2"/>
    <w:rsid w:val="00877DEA"/>
    <w:rsid w:val="0088014B"/>
    <w:rsid w:val="0088096D"/>
    <w:rsid w:val="00880D9A"/>
    <w:rsid w:val="008812AA"/>
    <w:rsid w:val="00882874"/>
    <w:rsid w:val="00882E3C"/>
    <w:rsid w:val="0088308A"/>
    <w:rsid w:val="00883787"/>
    <w:rsid w:val="00884EDF"/>
    <w:rsid w:val="008855E4"/>
    <w:rsid w:val="008866CD"/>
    <w:rsid w:val="00886CD2"/>
    <w:rsid w:val="00887733"/>
    <w:rsid w:val="0088798A"/>
    <w:rsid w:val="008907CC"/>
    <w:rsid w:val="0089087A"/>
    <w:rsid w:val="00890995"/>
    <w:rsid w:val="00890FC8"/>
    <w:rsid w:val="008916BF"/>
    <w:rsid w:val="00891C03"/>
    <w:rsid w:val="00891E6F"/>
    <w:rsid w:val="008922B8"/>
    <w:rsid w:val="0089275D"/>
    <w:rsid w:val="00892A36"/>
    <w:rsid w:val="00893239"/>
    <w:rsid w:val="0089344E"/>
    <w:rsid w:val="00893512"/>
    <w:rsid w:val="0089352C"/>
    <w:rsid w:val="00894085"/>
    <w:rsid w:val="00894489"/>
    <w:rsid w:val="00894775"/>
    <w:rsid w:val="00894919"/>
    <w:rsid w:val="00894CD6"/>
    <w:rsid w:val="00894E87"/>
    <w:rsid w:val="00895678"/>
    <w:rsid w:val="008963A5"/>
    <w:rsid w:val="00896D5D"/>
    <w:rsid w:val="00896EDD"/>
    <w:rsid w:val="00897100"/>
    <w:rsid w:val="008A0002"/>
    <w:rsid w:val="008A005D"/>
    <w:rsid w:val="008A0141"/>
    <w:rsid w:val="008A017E"/>
    <w:rsid w:val="008A02F5"/>
    <w:rsid w:val="008A0A94"/>
    <w:rsid w:val="008A1D61"/>
    <w:rsid w:val="008A24BF"/>
    <w:rsid w:val="008A3158"/>
    <w:rsid w:val="008A3363"/>
    <w:rsid w:val="008A3371"/>
    <w:rsid w:val="008A3743"/>
    <w:rsid w:val="008A3C3E"/>
    <w:rsid w:val="008A51AA"/>
    <w:rsid w:val="008A5364"/>
    <w:rsid w:val="008A53AE"/>
    <w:rsid w:val="008A5E04"/>
    <w:rsid w:val="008A62CF"/>
    <w:rsid w:val="008A6575"/>
    <w:rsid w:val="008A65C0"/>
    <w:rsid w:val="008A7492"/>
    <w:rsid w:val="008A7908"/>
    <w:rsid w:val="008A79DE"/>
    <w:rsid w:val="008A7F1B"/>
    <w:rsid w:val="008B0637"/>
    <w:rsid w:val="008B13B8"/>
    <w:rsid w:val="008B1456"/>
    <w:rsid w:val="008B1757"/>
    <w:rsid w:val="008B1B66"/>
    <w:rsid w:val="008B1C33"/>
    <w:rsid w:val="008B297D"/>
    <w:rsid w:val="008B4163"/>
    <w:rsid w:val="008B4B6F"/>
    <w:rsid w:val="008B5312"/>
    <w:rsid w:val="008B572C"/>
    <w:rsid w:val="008B60F4"/>
    <w:rsid w:val="008B66FE"/>
    <w:rsid w:val="008B68F4"/>
    <w:rsid w:val="008B6902"/>
    <w:rsid w:val="008B6A33"/>
    <w:rsid w:val="008B6EFD"/>
    <w:rsid w:val="008B7992"/>
    <w:rsid w:val="008B7D7E"/>
    <w:rsid w:val="008C2D6A"/>
    <w:rsid w:val="008C2EEB"/>
    <w:rsid w:val="008C337D"/>
    <w:rsid w:val="008C3D1F"/>
    <w:rsid w:val="008C43DC"/>
    <w:rsid w:val="008C43F2"/>
    <w:rsid w:val="008C5610"/>
    <w:rsid w:val="008C5739"/>
    <w:rsid w:val="008C61CE"/>
    <w:rsid w:val="008C6DF4"/>
    <w:rsid w:val="008C7282"/>
    <w:rsid w:val="008C73D8"/>
    <w:rsid w:val="008C7623"/>
    <w:rsid w:val="008C7A11"/>
    <w:rsid w:val="008C7ECB"/>
    <w:rsid w:val="008C7EEC"/>
    <w:rsid w:val="008D0173"/>
    <w:rsid w:val="008D0961"/>
    <w:rsid w:val="008D0E60"/>
    <w:rsid w:val="008D25BD"/>
    <w:rsid w:val="008D2BA0"/>
    <w:rsid w:val="008D2CEB"/>
    <w:rsid w:val="008D36AC"/>
    <w:rsid w:val="008D3B86"/>
    <w:rsid w:val="008D43FD"/>
    <w:rsid w:val="008D4755"/>
    <w:rsid w:val="008D4B55"/>
    <w:rsid w:val="008D4C3D"/>
    <w:rsid w:val="008D56AA"/>
    <w:rsid w:val="008D58E8"/>
    <w:rsid w:val="008D66A5"/>
    <w:rsid w:val="008D7202"/>
    <w:rsid w:val="008D743C"/>
    <w:rsid w:val="008E01A5"/>
    <w:rsid w:val="008E09E3"/>
    <w:rsid w:val="008E0D3C"/>
    <w:rsid w:val="008E161F"/>
    <w:rsid w:val="008E1B9E"/>
    <w:rsid w:val="008E2821"/>
    <w:rsid w:val="008E3386"/>
    <w:rsid w:val="008E39FD"/>
    <w:rsid w:val="008E4DFA"/>
    <w:rsid w:val="008E4EC0"/>
    <w:rsid w:val="008E55AB"/>
    <w:rsid w:val="008E6296"/>
    <w:rsid w:val="008E7011"/>
    <w:rsid w:val="008E712A"/>
    <w:rsid w:val="008F120A"/>
    <w:rsid w:val="008F15C2"/>
    <w:rsid w:val="008F1862"/>
    <w:rsid w:val="008F189D"/>
    <w:rsid w:val="008F1A48"/>
    <w:rsid w:val="008F1B98"/>
    <w:rsid w:val="008F22F6"/>
    <w:rsid w:val="008F26D9"/>
    <w:rsid w:val="008F27E0"/>
    <w:rsid w:val="008F2E07"/>
    <w:rsid w:val="008F3D2A"/>
    <w:rsid w:val="008F47CE"/>
    <w:rsid w:val="008F48EB"/>
    <w:rsid w:val="008F4A8E"/>
    <w:rsid w:val="008F4F0B"/>
    <w:rsid w:val="008F4F0E"/>
    <w:rsid w:val="008F59CD"/>
    <w:rsid w:val="008F5AF5"/>
    <w:rsid w:val="008F66E2"/>
    <w:rsid w:val="008F6E3F"/>
    <w:rsid w:val="008F796A"/>
    <w:rsid w:val="00900246"/>
    <w:rsid w:val="00900D1F"/>
    <w:rsid w:val="009010F2"/>
    <w:rsid w:val="009021E3"/>
    <w:rsid w:val="009023D3"/>
    <w:rsid w:val="0090252A"/>
    <w:rsid w:val="00903154"/>
    <w:rsid w:val="0090352A"/>
    <w:rsid w:val="00904043"/>
    <w:rsid w:val="0090423F"/>
    <w:rsid w:val="009046C4"/>
    <w:rsid w:val="00904741"/>
    <w:rsid w:val="00905E9E"/>
    <w:rsid w:val="00905F73"/>
    <w:rsid w:val="009062A5"/>
    <w:rsid w:val="00907699"/>
    <w:rsid w:val="00907BC7"/>
    <w:rsid w:val="00910A03"/>
    <w:rsid w:val="00910C1B"/>
    <w:rsid w:val="00910CFD"/>
    <w:rsid w:val="00910FA7"/>
    <w:rsid w:val="00911272"/>
    <w:rsid w:val="00911339"/>
    <w:rsid w:val="00911DBE"/>
    <w:rsid w:val="0091208D"/>
    <w:rsid w:val="009120F0"/>
    <w:rsid w:val="009135D6"/>
    <w:rsid w:val="00913687"/>
    <w:rsid w:val="00914855"/>
    <w:rsid w:val="009148C9"/>
    <w:rsid w:val="00914C77"/>
    <w:rsid w:val="009153CC"/>
    <w:rsid w:val="00915840"/>
    <w:rsid w:val="009159C3"/>
    <w:rsid w:val="00915C39"/>
    <w:rsid w:val="00916499"/>
    <w:rsid w:val="009171AC"/>
    <w:rsid w:val="0091774B"/>
    <w:rsid w:val="009178D7"/>
    <w:rsid w:val="00917A99"/>
    <w:rsid w:val="00917D55"/>
    <w:rsid w:val="00917F6F"/>
    <w:rsid w:val="00920F40"/>
    <w:rsid w:val="00921ACB"/>
    <w:rsid w:val="00921F14"/>
    <w:rsid w:val="0092369B"/>
    <w:rsid w:val="009242EC"/>
    <w:rsid w:val="00926107"/>
    <w:rsid w:val="00926345"/>
    <w:rsid w:val="00927734"/>
    <w:rsid w:val="00927D7A"/>
    <w:rsid w:val="0093098C"/>
    <w:rsid w:val="00930E35"/>
    <w:rsid w:val="00931349"/>
    <w:rsid w:val="009326D2"/>
    <w:rsid w:val="00934988"/>
    <w:rsid w:val="009353A6"/>
    <w:rsid w:val="00935ABB"/>
    <w:rsid w:val="00936549"/>
    <w:rsid w:val="00936789"/>
    <w:rsid w:val="00937089"/>
    <w:rsid w:val="009379E6"/>
    <w:rsid w:val="00937D34"/>
    <w:rsid w:val="00942C86"/>
    <w:rsid w:val="0094363D"/>
    <w:rsid w:val="00943D5D"/>
    <w:rsid w:val="009440BF"/>
    <w:rsid w:val="00944F8A"/>
    <w:rsid w:val="00945688"/>
    <w:rsid w:val="009464CD"/>
    <w:rsid w:val="00946812"/>
    <w:rsid w:val="009473D3"/>
    <w:rsid w:val="00947681"/>
    <w:rsid w:val="0094773B"/>
    <w:rsid w:val="0095011C"/>
    <w:rsid w:val="00950813"/>
    <w:rsid w:val="00950ACF"/>
    <w:rsid w:val="009510A2"/>
    <w:rsid w:val="00951337"/>
    <w:rsid w:val="00953257"/>
    <w:rsid w:val="00953DF1"/>
    <w:rsid w:val="0095474C"/>
    <w:rsid w:val="009549FE"/>
    <w:rsid w:val="00954A3B"/>
    <w:rsid w:val="00954AD1"/>
    <w:rsid w:val="009550D0"/>
    <w:rsid w:val="00955F30"/>
    <w:rsid w:val="009566B3"/>
    <w:rsid w:val="00956A60"/>
    <w:rsid w:val="00957BC6"/>
    <w:rsid w:val="00957C09"/>
    <w:rsid w:val="00957D92"/>
    <w:rsid w:val="00960D75"/>
    <w:rsid w:val="0096227A"/>
    <w:rsid w:val="00962CB9"/>
    <w:rsid w:val="00963948"/>
    <w:rsid w:val="00963A60"/>
    <w:rsid w:val="00963DFA"/>
    <w:rsid w:val="00964312"/>
    <w:rsid w:val="00964E21"/>
    <w:rsid w:val="00965B8A"/>
    <w:rsid w:val="009661E4"/>
    <w:rsid w:val="00966DFF"/>
    <w:rsid w:val="00967334"/>
    <w:rsid w:val="009678F2"/>
    <w:rsid w:val="0096791F"/>
    <w:rsid w:val="0097027E"/>
    <w:rsid w:val="0097071F"/>
    <w:rsid w:val="009710B6"/>
    <w:rsid w:val="009717AC"/>
    <w:rsid w:val="00972716"/>
    <w:rsid w:val="00972CDD"/>
    <w:rsid w:val="00972EFD"/>
    <w:rsid w:val="00973927"/>
    <w:rsid w:val="009751BE"/>
    <w:rsid w:val="009751C1"/>
    <w:rsid w:val="0097582D"/>
    <w:rsid w:val="00975A39"/>
    <w:rsid w:val="00975AD8"/>
    <w:rsid w:val="009777E2"/>
    <w:rsid w:val="009810B6"/>
    <w:rsid w:val="009811F1"/>
    <w:rsid w:val="00981B2A"/>
    <w:rsid w:val="00981DF1"/>
    <w:rsid w:val="00982C11"/>
    <w:rsid w:val="00982E9F"/>
    <w:rsid w:val="00983E57"/>
    <w:rsid w:val="009840F2"/>
    <w:rsid w:val="00984119"/>
    <w:rsid w:val="00984EBF"/>
    <w:rsid w:val="00984FF1"/>
    <w:rsid w:val="00985466"/>
    <w:rsid w:val="00985B0A"/>
    <w:rsid w:val="00985DE2"/>
    <w:rsid w:val="0098675D"/>
    <w:rsid w:val="00987614"/>
    <w:rsid w:val="00987BA4"/>
    <w:rsid w:val="00987BC6"/>
    <w:rsid w:val="009900BB"/>
    <w:rsid w:val="00990E41"/>
    <w:rsid w:val="00991C07"/>
    <w:rsid w:val="0099220D"/>
    <w:rsid w:val="009926E0"/>
    <w:rsid w:val="009928FA"/>
    <w:rsid w:val="009932F9"/>
    <w:rsid w:val="0099344B"/>
    <w:rsid w:val="009936A9"/>
    <w:rsid w:val="009938EC"/>
    <w:rsid w:val="00993AFF"/>
    <w:rsid w:val="00994273"/>
    <w:rsid w:val="009944F5"/>
    <w:rsid w:val="0099451E"/>
    <w:rsid w:val="009945A7"/>
    <w:rsid w:val="009945B2"/>
    <w:rsid w:val="00994D56"/>
    <w:rsid w:val="009951A2"/>
    <w:rsid w:val="00996B1A"/>
    <w:rsid w:val="00996D5A"/>
    <w:rsid w:val="00996EAA"/>
    <w:rsid w:val="009A0265"/>
    <w:rsid w:val="009A052E"/>
    <w:rsid w:val="009A115C"/>
    <w:rsid w:val="009A18F6"/>
    <w:rsid w:val="009A2DCC"/>
    <w:rsid w:val="009A2FB8"/>
    <w:rsid w:val="009A33C0"/>
    <w:rsid w:val="009A3811"/>
    <w:rsid w:val="009A3DA5"/>
    <w:rsid w:val="009A4040"/>
    <w:rsid w:val="009A4125"/>
    <w:rsid w:val="009A43DD"/>
    <w:rsid w:val="009A4513"/>
    <w:rsid w:val="009A45B9"/>
    <w:rsid w:val="009A4F80"/>
    <w:rsid w:val="009A59B0"/>
    <w:rsid w:val="009A5ABC"/>
    <w:rsid w:val="009A5C72"/>
    <w:rsid w:val="009A68E4"/>
    <w:rsid w:val="009A7F10"/>
    <w:rsid w:val="009B016E"/>
    <w:rsid w:val="009B04E1"/>
    <w:rsid w:val="009B0DFA"/>
    <w:rsid w:val="009B0F7A"/>
    <w:rsid w:val="009B137A"/>
    <w:rsid w:val="009B13A0"/>
    <w:rsid w:val="009B14DA"/>
    <w:rsid w:val="009B1603"/>
    <w:rsid w:val="009B18AD"/>
    <w:rsid w:val="009B2432"/>
    <w:rsid w:val="009B2D98"/>
    <w:rsid w:val="009B2FAB"/>
    <w:rsid w:val="009B3153"/>
    <w:rsid w:val="009B3CC1"/>
    <w:rsid w:val="009B3E26"/>
    <w:rsid w:val="009B420B"/>
    <w:rsid w:val="009C00FF"/>
    <w:rsid w:val="009C0B20"/>
    <w:rsid w:val="009C1271"/>
    <w:rsid w:val="009C15A5"/>
    <w:rsid w:val="009C174C"/>
    <w:rsid w:val="009C1E59"/>
    <w:rsid w:val="009C3234"/>
    <w:rsid w:val="009C3706"/>
    <w:rsid w:val="009C376F"/>
    <w:rsid w:val="009C3984"/>
    <w:rsid w:val="009C3A3A"/>
    <w:rsid w:val="009C4567"/>
    <w:rsid w:val="009C58AC"/>
    <w:rsid w:val="009C5F05"/>
    <w:rsid w:val="009C6ACA"/>
    <w:rsid w:val="009C6C8F"/>
    <w:rsid w:val="009C6CEA"/>
    <w:rsid w:val="009C7B85"/>
    <w:rsid w:val="009D0231"/>
    <w:rsid w:val="009D0254"/>
    <w:rsid w:val="009D09D5"/>
    <w:rsid w:val="009D137B"/>
    <w:rsid w:val="009D149F"/>
    <w:rsid w:val="009D14A4"/>
    <w:rsid w:val="009D19E6"/>
    <w:rsid w:val="009D1A64"/>
    <w:rsid w:val="009D441E"/>
    <w:rsid w:val="009D4FFB"/>
    <w:rsid w:val="009D5049"/>
    <w:rsid w:val="009D5AEB"/>
    <w:rsid w:val="009D5B91"/>
    <w:rsid w:val="009D63DF"/>
    <w:rsid w:val="009D6FEC"/>
    <w:rsid w:val="009D70B5"/>
    <w:rsid w:val="009D7391"/>
    <w:rsid w:val="009D792E"/>
    <w:rsid w:val="009E0870"/>
    <w:rsid w:val="009E0A0B"/>
    <w:rsid w:val="009E0A0F"/>
    <w:rsid w:val="009E0DFE"/>
    <w:rsid w:val="009E13A8"/>
    <w:rsid w:val="009E1802"/>
    <w:rsid w:val="009E1919"/>
    <w:rsid w:val="009E31F6"/>
    <w:rsid w:val="009E37C8"/>
    <w:rsid w:val="009E3815"/>
    <w:rsid w:val="009E3D21"/>
    <w:rsid w:val="009E4C07"/>
    <w:rsid w:val="009E52BF"/>
    <w:rsid w:val="009E59AA"/>
    <w:rsid w:val="009E6883"/>
    <w:rsid w:val="009E6D39"/>
    <w:rsid w:val="009E719A"/>
    <w:rsid w:val="009E777F"/>
    <w:rsid w:val="009E7C21"/>
    <w:rsid w:val="009F1643"/>
    <w:rsid w:val="009F19C5"/>
    <w:rsid w:val="009F1A7D"/>
    <w:rsid w:val="009F20B4"/>
    <w:rsid w:val="009F251F"/>
    <w:rsid w:val="009F263C"/>
    <w:rsid w:val="009F37EC"/>
    <w:rsid w:val="009F38C3"/>
    <w:rsid w:val="009F395D"/>
    <w:rsid w:val="009F3CC5"/>
    <w:rsid w:val="009F3F38"/>
    <w:rsid w:val="009F42A9"/>
    <w:rsid w:val="009F5659"/>
    <w:rsid w:val="009F6120"/>
    <w:rsid w:val="009F6308"/>
    <w:rsid w:val="009F668B"/>
    <w:rsid w:val="009F7410"/>
    <w:rsid w:val="009F7936"/>
    <w:rsid w:val="00A00C30"/>
    <w:rsid w:val="00A00CC9"/>
    <w:rsid w:val="00A00D76"/>
    <w:rsid w:val="00A01184"/>
    <w:rsid w:val="00A01449"/>
    <w:rsid w:val="00A0169E"/>
    <w:rsid w:val="00A01B3C"/>
    <w:rsid w:val="00A02035"/>
    <w:rsid w:val="00A022D2"/>
    <w:rsid w:val="00A02437"/>
    <w:rsid w:val="00A0278D"/>
    <w:rsid w:val="00A02C4A"/>
    <w:rsid w:val="00A03636"/>
    <w:rsid w:val="00A037C2"/>
    <w:rsid w:val="00A03D43"/>
    <w:rsid w:val="00A03D5D"/>
    <w:rsid w:val="00A03DE9"/>
    <w:rsid w:val="00A0416F"/>
    <w:rsid w:val="00A04380"/>
    <w:rsid w:val="00A04786"/>
    <w:rsid w:val="00A048D8"/>
    <w:rsid w:val="00A04BB3"/>
    <w:rsid w:val="00A050DB"/>
    <w:rsid w:val="00A05472"/>
    <w:rsid w:val="00A05C32"/>
    <w:rsid w:val="00A05D39"/>
    <w:rsid w:val="00A0653F"/>
    <w:rsid w:val="00A067B7"/>
    <w:rsid w:val="00A06898"/>
    <w:rsid w:val="00A0703A"/>
    <w:rsid w:val="00A07DED"/>
    <w:rsid w:val="00A07DF5"/>
    <w:rsid w:val="00A10218"/>
    <w:rsid w:val="00A11078"/>
    <w:rsid w:val="00A11333"/>
    <w:rsid w:val="00A11AE0"/>
    <w:rsid w:val="00A11CD0"/>
    <w:rsid w:val="00A11CFB"/>
    <w:rsid w:val="00A12A70"/>
    <w:rsid w:val="00A12E21"/>
    <w:rsid w:val="00A12E87"/>
    <w:rsid w:val="00A12F18"/>
    <w:rsid w:val="00A1325B"/>
    <w:rsid w:val="00A13948"/>
    <w:rsid w:val="00A13E5A"/>
    <w:rsid w:val="00A14258"/>
    <w:rsid w:val="00A14410"/>
    <w:rsid w:val="00A1555B"/>
    <w:rsid w:val="00A155C5"/>
    <w:rsid w:val="00A15D12"/>
    <w:rsid w:val="00A160D9"/>
    <w:rsid w:val="00A169BA"/>
    <w:rsid w:val="00A16AD8"/>
    <w:rsid w:val="00A17E27"/>
    <w:rsid w:val="00A2021E"/>
    <w:rsid w:val="00A214CA"/>
    <w:rsid w:val="00A21C95"/>
    <w:rsid w:val="00A21CF3"/>
    <w:rsid w:val="00A22754"/>
    <w:rsid w:val="00A246A3"/>
    <w:rsid w:val="00A24813"/>
    <w:rsid w:val="00A24A6D"/>
    <w:rsid w:val="00A24BCB"/>
    <w:rsid w:val="00A252A9"/>
    <w:rsid w:val="00A25EBF"/>
    <w:rsid w:val="00A26DDB"/>
    <w:rsid w:val="00A27AEC"/>
    <w:rsid w:val="00A27C4D"/>
    <w:rsid w:val="00A30186"/>
    <w:rsid w:val="00A303BD"/>
    <w:rsid w:val="00A31D09"/>
    <w:rsid w:val="00A320DB"/>
    <w:rsid w:val="00A32474"/>
    <w:rsid w:val="00A325E2"/>
    <w:rsid w:val="00A341B4"/>
    <w:rsid w:val="00A343E3"/>
    <w:rsid w:val="00A357C6"/>
    <w:rsid w:val="00A35B64"/>
    <w:rsid w:val="00A35C8D"/>
    <w:rsid w:val="00A35D16"/>
    <w:rsid w:val="00A36A4D"/>
    <w:rsid w:val="00A36AEE"/>
    <w:rsid w:val="00A37BCD"/>
    <w:rsid w:val="00A37D8E"/>
    <w:rsid w:val="00A40B5E"/>
    <w:rsid w:val="00A4129C"/>
    <w:rsid w:val="00A41689"/>
    <w:rsid w:val="00A41D0A"/>
    <w:rsid w:val="00A42592"/>
    <w:rsid w:val="00A42F98"/>
    <w:rsid w:val="00A43C59"/>
    <w:rsid w:val="00A43E4B"/>
    <w:rsid w:val="00A444ED"/>
    <w:rsid w:val="00A449B3"/>
    <w:rsid w:val="00A451D7"/>
    <w:rsid w:val="00A4631C"/>
    <w:rsid w:val="00A46658"/>
    <w:rsid w:val="00A46728"/>
    <w:rsid w:val="00A4700D"/>
    <w:rsid w:val="00A50ECD"/>
    <w:rsid w:val="00A518F3"/>
    <w:rsid w:val="00A51C89"/>
    <w:rsid w:val="00A5244C"/>
    <w:rsid w:val="00A52729"/>
    <w:rsid w:val="00A53341"/>
    <w:rsid w:val="00A53675"/>
    <w:rsid w:val="00A54524"/>
    <w:rsid w:val="00A54582"/>
    <w:rsid w:val="00A54B1B"/>
    <w:rsid w:val="00A55AF3"/>
    <w:rsid w:val="00A55EF6"/>
    <w:rsid w:val="00A55F74"/>
    <w:rsid w:val="00A564C5"/>
    <w:rsid w:val="00A564D7"/>
    <w:rsid w:val="00A56B6A"/>
    <w:rsid w:val="00A570F8"/>
    <w:rsid w:val="00A578DC"/>
    <w:rsid w:val="00A57C57"/>
    <w:rsid w:val="00A57C9A"/>
    <w:rsid w:val="00A60330"/>
    <w:rsid w:val="00A6087C"/>
    <w:rsid w:val="00A6090E"/>
    <w:rsid w:val="00A60F30"/>
    <w:rsid w:val="00A6138E"/>
    <w:rsid w:val="00A61452"/>
    <w:rsid w:val="00A61D61"/>
    <w:rsid w:val="00A61D9F"/>
    <w:rsid w:val="00A61F42"/>
    <w:rsid w:val="00A6222E"/>
    <w:rsid w:val="00A62669"/>
    <w:rsid w:val="00A62EA1"/>
    <w:rsid w:val="00A6366E"/>
    <w:rsid w:val="00A640E2"/>
    <w:rsid w:val="00A64332"/>
    <w:rsid w:val="00A646C2"/>
    <w:rsid w:val="00A64D65"/>
    <w:rsid w:val="00A660BA"/>
    <w:rsid w:val="00A6725B"/>
    <w:rsid w:val="00A67334"/>
    <w:rsid w:val="00A67A5A"/>
    <w:rsid w:val="00A70605"/>
    <w:rsid w:val="00A70F6B"/>
    <w:rsid w:val="00A71371"/>
    <w:rsid w:val="00A713FF"/>
    <w:rsid w:val="00A71428"/>
    <w:rsid w:val="00A71EA5"/>
    <w:rsid w:val="00A73134"/>
    <w:rsid w:val="00A7365A"/>
    <w:rsid w:val="00A73CC4"/>
    <w:rsid w:val="00A73DDB"/>
    <w:rsid w:val="00A74050"/>
    <w:rsid w:val="00A7452F"/>
    <w:rsid w:val="00A745E6"/>
    <w:rsid w:val="00A75CD0"/>
    <w:rsid w:val="00A75E01"/>
    <w:rsid w:val="00A76001"/>
    <w:rsid w:val="00A769EB"/>
    <w:rsid w:val="00A777B2"/>
    <w:rsid w:val="00A80795"/>
    <w:rsid w:val="00A809AE"/>
    <w:rsid w:val="00A80BC6"/>
    <w:rsid w:val="00A822D6"/>
    <w:rsid w:val="00A825D4"/>
    <w:rsid w:val="00A8262C"/>
    <w:rsid w:val="00A8280D"/>
    <w:rsid w:val="00A828F6"/>
    <w:rsid w:val="00A82B73"/>
    <w:rsid w:val="00A82E17"/>
    <w:rsid w:val="00A83EF6"/>
    <w:rsid w:val="00A85341"/>
    <w:rsid w:val="00A85605"/>
    <w:rsid w:val="00A8617E"/>
    <w:rsid w:val="00A86290"/>
    <w:rsid w:val="00A86E8B"/>
    <w:rsid w:val="00A87164"/>
    <w:rsid w:val="00A871A9"/>
    <w:rsid w:val="00A87B18"/>
    <w:rsid w:val="00A90729"/>
    <w:rsid w:val="00A9097A"/>
    <w:rsid w:val="00A91D81"/>
    <w:rsid w:val="00A926BE"/>
    <w:rsid w:val="00A928C1"/>
    <w:rsid w:val="00A92B8D"/>
    <w:rsid w:val="00A93072"/>
    <w:rsid w:val="00A93153"/>
    <w:rsid w:val="00A93577"/>
    <w:rsid w:val="00A9364C"/>
    <w:rsid w:val="00A938BD"/>
    <w:rsid w:val="00A93953"/>
    <w:rsid w:val="00A9452B"/>
    <w:rsid w:val="00A9464C"/>
    <w:rsid w:val="00A95931"/>
    <w:rsid w:val="00A9595F"/>
    <w:rsid w:val="00A959D8"/>
    <w:rsid w:val="00A979F6"/>
    <w:rsid w:val="00AA113D"/>
    <w:rsid w:val="00AA33B3"/>
    <w:rsid w:val="00AA38C3"/>
    <w:rsid w:val="00AA44FB"/>
    <w:rsid w:val="00AA6715"/>
    <w:rsid w:val="00AA6BD5"/>
    <w:rsid w:val="00AA6BD8"/>
    <w:rsid w:val="00AA6C7D"/>
    <w:rsid w:val="00AA7FD6"/>
    <w:rsid w:val="00AB042A"/>
    <w:rsid w:val="00AB0E42"/>
    <w:rsid w:val="00AB11AD"/>
    <w:rsid w:val="00AB138F"/>
    <w:rsid w:val="00AB1954"/>
    <w:rsid w:val="00AB19EF"/>
    <w:rsid w:val="00AB2495"/>
    <w:rsid w:val="00AB2D34"/>
    <w:rsid w:val="00AB2E9B"/>
    <w:rsid w:val="00AB30C1"/>
    <w:rsid w:val="00AB32C8"/>
    <w:rsid w:val="00AB32DA"/>
    <w:rsid w:val="00AB3430"/>
    <w:rsid w:val="00AB3709"/>
    <w:rsid w:val="00AB37B9"/>
    <w:rsid w:val="00AB4603"/>
    <w:rsid w:val="00AB4AD1"/>
    <w:rsid w:val="00AB5BA3"/>
    <w:rsid w:val="00AB5E07"/>
    <w:rsid w:val="00AB671B"/>
    <w:rsid w:val="00AB6C4F"/>
    <w:rsid w:val="00AB7CFA"/>
    <w:rsid w:val="00AC023F"/>
    <w:rsid w:val="00AC0406"/>
    <w:rsid w:val="00AC0992"/>
    <w:rsid w:val="00AC0C4E"/>
    <w:rsid w:val="00AC1163"/>
    <w:rsid w:val="00AC276D"/>
    <w:rsid w:val="00AC28B1"/>
    <w:rsid w:val="00AC29D1"/>
    <w:rsid w:val="00AC37AD"/>
    <w:rsid w:val="00AC3955"/>
    <w:rsid w:val="00AC4B9B"/>
    <w:rsid w:val="00AC5B42"/>
    <w:rsid w:val="00AC5B48"/>
    <w:rsid w:val="00AC7BB5"/>
    <w:rsid w:val="00AC7F51"/>
    <w:rsid w:val="00AD0665"/>
    <w:rsid w:val="00AD0990"/>
    <w:rsid w:val="00AD1450"/>
    <w:rsid w:val="00AD15E8"/>
    <w:rsid w:val="00AD1699"/>
    <w:rsid w:val="00AD17E8"/>
    <w:rsid w:val="00AD23C0"/>
    <w:rsid w:val="00AD3098"/>
    <w:rsid w:val="00AD352D"/>
    <w:rsid w:val="00AD356D"/>
    <w:rsid w:val="00AD36DF"/>
    <w:rsid w:val="00AD3CC7"/>
    <w:rsid w:val="00AD3F7A"/>
    <w:rsid w:val="00AD4151"/>
    <w:rsid w:val="00AD4A1D"/>
    <w:rsid w:val="00AD4F5F"/>
    <w:rsid w:val="00AD6502"/>
    <w:rsid w:val="00AD650F"/>
    <w:rsid w:val="00AD6712"/>
    <w:rsid w:val="00AD690B"/>
    <w:rsid w:val="00AD73D5"/>
    <w:rsid w:val="00AD7D94"/>
    <w:rsid w:val="00AD7F2E"/>
    <w:rsid w:val="00AE0146"/>
    <w:rsid w:val="00AE0695"/>
    <w:rsid w:val="00AE0D10"/>
    <w:rsid w:val="00AE1649"/>
    <w:rsid w:val="00AE2B02"/>
    <w:rsid w:val="00AE3188"/>
    <w:rsid w:val="00AE3E7E"/>
    <w:rsid w:val="00AE3F15"/>
    <w:rsid w:val="00AE4022"/>
    <w:rsid w:val="00AE44A4"/>
    <w:rsid w:val="00AE5419"/>
    <w:rsid w:val="00AE5B7E"/>
    <w:rsid w:val="00AE6544"/>
    <w:rsid w:val="00AE6C26"/>
    <w:rsid w:val="00AE75CE"/>
    <w:rsid w:val="00AE7E53"/>
    <w:rsid w:val="00AF10DE"/>
    <w:rsid w:val="00AF1315"/>
    <w:rsid w:val="00AF13A6"/>
    <w:rsid w:val="00AF194C"/>
    <w:rsid w:val="00AF19BF"/>
    <w:rsid w:val="00AF2DC3"/>
    <w:rsid w:val="00AF2DF2"/>
    <w:rsid w:val="00AF330D"/>
    <w:rsid w:val="00AF3867"/>
    <w:rsid w:val="00AF388C"/>
    <w:rsid w:val="00AF420A"/>
    <w:rsid w:val="00AF458A"/>
    <w:rsid w:val="00AF4EE7"/>
    <w:rsid w:val="00AF511F"/>
    <w:rsid w:val="00AF6422"/>
    <w:rsid w:val="00AF69B6"/>
    <w:rsid w:val="00AF6A0E"/>
    <w:rsid w:val="00AF6E31"/>
    <w:rsid w:val="00AF701F"/>
    <w:rsid w:val="00B001B5"/>
    <w:rsid w:val="00B006B3"/>
    <w:rsid w:val="00B00954"/>
    <w:rsid w:val="00B0177D"/>
    <w:rsid w:val="00B017C0"/>
    <w:rsid w:val="00B0242E"/>
    <w:rsid w:val="00B0319E"/>
    <w:rsid w:val="00B033E5"/>
    <w:rsid w:val="00B03A63"/>
    <w:rsid w:val="00B04C21"/>
    <w:rsid w:val="00B0581F"/>
    <w:rsid w:val="00B0604B"/>
    <w:rsid w:val="00B0624F"/>
    <w:rsid w:val="00B063F1"/>
    <w:rsid w:val="00B06AC5"/>
    <w:rsid w:val="00B103F2"/>
    <w:rsid w:val="00B1164E"/>
    <w:rsid w:val="00B11B10"/>
    <w:rsid w:val="00B11E35"/>
    <w:rsid w:val="00B12954"/>
    <w:rsid w:val="00B129A4"/>
    <w:rsid w:val="00B12D42"/>
    <w:rsid w:val="00B13F70"/>
    <w:rsid w:val="00B14197"/>
    <w:rsid w:val="00B141A8"/>
    <w:rsid w:val="00B1452A"/>
    <w:rsid w:val="00B14BB2"/>
    <w:rsid w:val="00B164E2"/>
    <w:rsid w:val="00B168A0"/>
    <w:rsid w:val="00B16CAB"/>
    <w:rsid w:val="00B170D3"/>
    <w:rsid w:val="00B1731C"/>
    <w:rsid w:val="00B173D5"/>
    <w:rsid w:val="00B201A4"/>
    <w:rsid w:val="00B201D1"/>
    <w:rsid w:val="00B20911"/>
    <w:rsid w:val="00B20BD0"/>
    <w:rsid w:val="00B210AA"/>
    <w:rsid w:val="00B21224"/>
    <w:rsid w:val="00B213A6"/>
    <w:rsid w:val="00B2167F"/>
    <w:rsid w:val="00B224F6"/>
    <w:rsid w:val="00B235B0"/>
    <w:rsid w:val="00B237D9"/>
    <w:rsid w:val="00B24A5C"/>
    <w:rsid w:val="00B24DF6"/>
    <w:rsid w:val="00B24EB5"/>
    <w:rsid w:val="00B27A61"/>
    <w:rsid w:val="00B27F97"/>
    <w:rsid w:val="00B3147E"/>
    <w:rsid w:val="00B32572"/>
    <w:rsid w:val="00B32C52"/>
    <w:rsid w:val="00B334D1"/>
    <w:rsid w:val="00B33566"/>
    <w:rsid w:val="00B33794"/>
    <w:rsid w:val="00B3494F"/>
    <w:rsid w:val="00B34FE2"/>
    <w:rsid w:val="00B350D7"/>
    <w:rsid w:val="00B35166"/>
    <w:rsid w:val="00B3552E"/>
    <w:rsid w:val="00B357D8"/>
    <w:rsid w:val="00B360F4"/>
    <w:rsid w:val="00B36A00"/>
    <w:rsid w:val="00B36DDC"/>
    <w:rsid w:val="00B3792B"/>
    <w:rsid w:val="00B37BFC"/>
    <w:rsid w:val="00B401D2"/>
    <w:rsid w:val="00B40358"/>
    <w:rsid w:val="00B40A2C"/>
    <w:rsid w:val="00B40C6B"/>
    <w:rsid w:val="00B40F78"/>
    <w:rsid w:val="00B41614"/>
    <w:rsid w:val="00B41AAD"/>
    <w:rsid w:val="00B42661"/>
    <w:rsid w:val="00B426BC"/>
    <w:rsid w:val="00B42851"/>
    <w:rsid w:val="00B42F80"/>
    <w:rsid w:val="00B43147"/>
    <w:rsid w:val="00B432D7"/>
    <w:rsid w:val="00B435CB"/>
    <w:rsid w:val="00B438C7"/>
    <w:rsid w:val="00B43A2C"/>
    <w:rsid w:val="00B43C75"/>
    <w:rsid w:val="00B450F5"/>
    <w:rsid w:val="00B4514D"/>
    <w:rsid w:val="00B45405"/>
    <w:rsid w:val="00B465EC"/>
    <w:rsid w:val="00B46DF8"/>
    <w:rsid w:val="00B47483"/>
    <w:rsid w:val="00B47AB1"/>
    <w:rsid w:val="00B47AB3"/>
    <w:rsid w:val="00B505C8"/>
    <w:rsid w:val="00B506A2"/>
    <w:rsid w:val="00B50796"/>
    <w:rsid w:val="00B50DB8"/>
    <w:rsid w:val="00B52A4C"/>
    <w:rsid w:val="00B5301F"/>
    <w:rsid w:val="00B53409"/>
    <w:rsid w:val="00B53654"/>
    <w:rsid w:val="00B5370E"/>
    <w:rsid w:val="00B53905"/>
    <w:rsid w:val="00B53B26"/>
    <w:rsid w:val="00B546DB"/>
    <w:rsid w:val="00B54A54"/>
    <w:rsid w:val="00B54B5B"/>
    <w:rsid w:val="00B55069"/>
    <w:rsid w:val="00B55442"/>
    <w:rsid w:val="00B5562E"/>
    <w:rsid w:val="00B55862"/>
    <w:rsid w:val="00B55D65"/>
    <w:rsid w:val="00B56305"/>
    <w:rsid w:val="00B56DCF"/>
    <w:rsid w:val="00B57000"/>
    <w:rsid w:val="00B5718E"/>
    <w:rsid w:val="00B57946"/>
    <w:rsid w:val="00B605DC"/>
    <w:rsid w:val="00B60658"/>
    <w:rsid w:val="00B606AA"/>
    <w:rsid w:val="00B60939"/>
    <w:rsid w:val="00B60AFD"/>
    <w:rsid w:val="00B61C0B"/>
    <w:rsid w:val="00B62715"/>
    <w:rsid w:val="00B63170"/>
    <w:rsid w:val="00B6329E"/>
    <w:rsid w:val="00B6436C"/>
    <w:rsid w:val="00B64E79"/>
    <w:rsid w:val="00B65611"/>
    <w:rsid w:val="00B65EAF"/>
    <w:rsid w:val="00B664CD"/>
    <w:rsid w:val="00B6676A"/>
    <w:rsid w:val="00B66FB6"/>
    <w:rsid w:val="00B67677"/>
    <w:rsid w:val="00B678C6"/>
    <w:rsid w:val="00B70030"/>
    <w:rsid w:val="00B70E8E"/>
    <w:rsid w:val="00B72014"/>
    <w:rsid w:val="00B728A3"/>
    <w:rsid w:val="00B74088"/>
    <w:rsid w:val="00B749F3"/>
    <w:rsid w:val="00B75C0B"/>
    <w:rsid w:val="00B7606A"/>
    <w:rsid w:val="00B76C92"/>
    <w:rsid w:val="00B771EF"/>
    <w:rsid w:val="00B775F0"/>
    <w:rsid w:val="00B77E80"/>
    <w:rsid w:val="00B8021D"/>
    <w:rsid w:val="00B80571"/>
    <w:rsid w:val="00B80EFD"/>
    <w:rsid w:val="00B818A4"/>
    <w:rsid w:val="00B83739"/>
    <w:rsid w:val="00B83C30"/>
    <w:rsid w:val="00B84117"/>
    <w:rsid w:val="00B84E35"/>
    <w:rsid w:val="00B85807"/>
    <w:rsid w:val="00B858F0"/>
    <w:rsid w:val="00B859DF"/>
    <w:rsid w:val="00B85AA2"/>
    <w:rsid w:val="00B8649C"/>
    <w:rsid w:val="00B867D8"/>
    <w:rsid w:val="00B8695D"/>
    <w:rsid w:val="00B87F0A"/>
    <w:rsid w:val="00B91390"/>
    <w:rsid w:val="00B914A4"/>
    <w:rsid w:val="00B91A1F"/>
    <w:rsid w:val="00B92671"/>
    <w:rsid w:val="00B92C78"/>
    <w:rsid w:val="00B92D0B"/>
    <w:rsid w:val="00B931CF"/>
    <w:rsid w:val="00B93EC1"/>
    <w:rsid w:val="00B93ED9"/>
    <w:rsid w:val="00B94014"/>
    <w:rsid w:val="00B94945"/>
    <w:rsid w:val="00B94DD6"/>
    <w:rsid w:val="00B95579"/>
    <w:rsid w:val="00B961E0"/>
    <w:rsid w:val="00B96ADC"/>
    <w:rsid w:val="00B979E7"/>
    <w:rsid w:val="00BA0B79"/>
    <w:rsid w:val="00BA0D3C"/>
    <w:rsid w:val="00BA322D"/>
    <w:rsid w:val="00BA3BB0"/>
    <w:rsid w:val="00BA3E70"/>
    <w:rsid w:val="00BA47CF"/>
    <w:rsid w:val="00BA54E5"/>
    <w:rsid w:val="00BA5705"/>
    <w:rsid w:val="00BA5C49"/>
    <w:rsid w:val="00BA6191"/>
    <w:rsid w:val="00BA63FA"/>
    <w:rsid w:val="00BA64B0"/>
    <w:rsid w:val="00BA7013"/>
    <w:rsid w:val="00BA7F67"/>
    <w:rsid w:val="00BA7FC6"/>
    <w:rsid w:val="00BB00B3"/>
    <w:rsid w:val="00BB0193"/>
    <w:rsid w:val="00BB0BDD"/>
    <w:rsid w:val="00BB176C"/>
    <w:rsid w:val="00BB2A73"/>
    <w:rsid w:val="00BB2E59"/>
    <w:rsid w:val="00BB2FBD"/>
    <w:rsid w:val="00BB386E"/>
    <w:rsid w:val="00BB39BD"/>
    <w:rsid w:val="00BB3A45"/>
    <w:rsid w:val="00BB3C96"/>
    <w:rsid w:val="00BB4065"/>
    <w:rsid w:val="00BB4ACC"/>
    <w:rsid w:val="00BB4B29"/>
    <w:rsid w:val="00BB50B7"/>
    <w:rsid w:val="00BB5864"/>
    <w:rsid w:val="00BB5DE1"/>
    <w:rsid w:val="00BB5EF6"/>
    <w:rsid w:val="00BB65EC"/>
    <w:rsid w:val="00BB666A"/>
    <w:rsid w:val="00BB6D0C"/>
    <w:rsid w:val="00BB703E"/>
    <w:rsid w:val="00BB7192"/>
    <w:rsid w:val="00BB732D"/>
    <w:rsid w:val="00BB7405"/>
    <w:rsid w:val="00BC1145"/>
    <w:rsid w:val="00BC15FF"/>
    <w:rsid w:val="00BC20B3"/>
    <w:rsid w:val="00BC2721"/>
    <w:rsid w:val="00BC3631"/>
    <w:rsid w:val="00BC36AD"/>
    <w:rsid w:val="00BC46BD"/>
    <w:rsid w:val="00BC4A4D"/>
    <w:rsid w:val="00BC56D7"/>
    <w:rsid w:val="00BC591F"/>
    <w:rsid w:val="00BC5C21"/>
    <w:rsid w:val="00BC5D3E"/>
    <w:rsid w:val="00BC637E"/>
    <w:rsid w:val="00BC65E4"/>
    <w:rsid w:val="00BC710D"/>
    <w:rsid w:val="00BC7D6D"/>
    <w:rsid w:val="00BD0469"/>
    <w:rsid w:val="00BD07EE"/>
    <w:rsid w:val="00BD1845"/>
    <w:rsid w:val="00BD1B00"/>
    <w:rsid w:val="00BD1DB3"/>
    <w:rsid w:val="00BD2108"/>
    <w:rsid w:val="00BD373A"/>
    <w:rsid w:val="00BD3C1C"/>
    <w:rsid w:val="00BD3F99"/>
    <w:rsid w:val="00BD4E7E"/>
    <w:rsid w:val="00BD4ED4"/>
    <w:rsid w:val="00BD5657"/>
    <w:rsid w:val="00BD68A3"/>
    <w:rsid w:val="00BD6938"/>
    <w:rsid w:val="00BD6B44"/>
    <w:rsid w:val="00BD6CF3"/>
    <w:rsid w:val="00BD7CBD"/>
    <w:rsid w:val="00BD7F72"/>
    <w:rsid w:val="00BE08EF"/>
    <w:rsid w:val="00BE0A3D"/>
    <w:rsid w:val="00BE0ECA"/>
    <w:rsid w:val="00BE2180"/>
    <w:rsid w:val="00BE21F2"/>
    <w:rsid w:val="00BE2550"/>
    <w:rsid w:val="00BE28FE"/>
    <w:rsid w:val="00BE2F29"/>
    <w:rsid w:val="00BE3519"/>
    <w:rsid w:val="00BE3ED4"/>
    <w:rsid w:val="00BE4275"/>
    <w:rsid w:val="00BE466A"/>
    <w:rsid w:val="00BE4EF2"/>
    <w:rsid w:val="00BE555C"/>
    <w:rsid w:val="00BE7594"/>
    <w:rsid w:val="00BE7BBC"/>
    <w:rsid w:val="00BF0679"/>
    <w:rsid w:val="00BF06AE"/>
    <w:rsid w:val="00BF0F95"/>
    <w:rsid w:val="00BF185E"/>
    <w:rsid w:val="00BF2433"/>
    <w:rsid w:val="00BF2970"/>
    <w:rsid w:val="00BF2993"/>
    <w:rsid w:val="00BF2D4D"/>
    <w:rsid w:val="00BF2E1B"/>
    <w:rsid w:val="00BF2E6E"/>
    <w:rsid w:val="00BF2F34"/>
    <w:rsid w:val="00BF38E3"/>
    <w:rsid w:val="00BF4234"/>
    <w:rsid w:val="00BF4DC7"/>
    <w:rsid w:val="00BF4E0D"/>
    <w:rsid w:val="00BF4F88"/>
    <w:rsid w:val="00BF55BB"/>
    <w:rsid w:val="00BF608C"/>
    <w:rsid w:val="00BF61C9"/>
    <w:rsid w:val="00BF61D7"/>
    <w:rsid w:val="00BF6790"/>
    <w:rsid w:val="00BF6AD5"/>
    <w:rsid w:val="00BF6C94"/>
    <w:rsid w:val="00BF6FF7"/>
    <w:rsid w:val="00BF7938"/>
    <w:rsid w:val="00BF7AFC"/>
    <w:rsid w:val="00BF7B3E"/>
    <w:rsid w:val="00C002D1"/>
    <w:rsid w:val="00C002ED"/>
    <w:rsid w:val="00C00424"/>
    <w:rsid w:val="00C006FA"/>
    <w:rsid w:val="00C00BB0"/>
    <w:rsid w:val="00C01233"/>
    <w:rsid w:val="00C042D3"/>
    <w:rsid w:val="00C043B3"/>
    <w:rsid w:val="00C05908"/>
    <w:rsid w:val="00C063DE"/>
    <w:rsid w:val="00C0669F"/>
    <w:rsid w:val="00C10486"/>
    <w:rsid w:val="00C106C0"/>
    <w:rsid w:val="00C10C7E"/>
    <w:rsid w:val="00C10EB8"/>
    <w:rsid w:val="00C112DE"/>
    <w:rsid w:val="00C1144C"/>
    <w:rsid w:val="00C1179F"/>
    <w:rsid w:val="00C122C8"/>
    <w:rsid w:val="00C12400"/>
    <w:rsid w:val="00C127B9"/>
    <w:rsid w:val="00C128FA"/>
    <w:rsid w:val="00C12A71"/>
    <w:rsid w:val="00C12C14"/>
    <w:rsid w:val="00C130C9"/>
    <w:rsid w:val="00C131B7"/>
    <w:rsid w:val="00C14B82"/>
    <w:rsid w:val="00C156B2"/>
    <w:rsid w:val="00C15F04"/>
    <w:rsid w:val="00C1715F"/>
    <w:rsid w:val="00C176BF"/>
    <w:rsid w:val="00C179B3"/>
    <w:rsid w:val="00C17E3F"/>
    <w:rsid w:val="00C17E60"/>
    <w:rsid w:val="00C200AA"/>
    <w:rsid w:val="00C20186"/>
    <w:rsid w:val="00C2058B"/>
    <w:rsid w:val="00C20DC5"/>
    <w:rsid w:val="00C21B71"/>
    <w:rsid w:val="00C21C52"/>
    <w:rsid w:val="00C22770"/>
    <w:rsid w:val="00C22F08"/>
    <w:rsid w:val="00C23536"/>
    <w:rsid w:val="00C237ED"/>
    <w:rsid w:val="00C239E3"/>
    <w:rsid w:val="00C23EFA"/>
    <w:rsid w:val="00C24632"/>
    <w:rsid w:val="00C248FF"/>
    <w:rsid w:val="00C25418"/>
    <w:rsid w:val="00C25487"/>
    <w:rsid w:val="00C2595B"/>
    <w:rsid w:val="00C25D9C"/>
    <w:rsid w:val="00C26524"/>
    <w:rsid w:val="00C2778B"/>
    <w:rsid w:val="00C27F47"/>
    <w:rsid w:val="00C30F6E"/>
    <w:rsid w:val="00C31649"/>
    <w:rsid w:val="00C31B48"/>
    <w:rsid w:val="00C32660"/>
    <w:rsid w:val="00C330F7"/>
    <w:rsid w:val="00C332F9"/>
    <w:rsid w:val="00C33668"/>
    <w:rsid w:val="00C34300"/>
    <w:rsid w:val="00C3434C"/>
    <w:rsid w:val="00C34628"/>
    <w:rsid w:val="00C346F6"/>
    <w:rsid w:val="00C35463"/>
    <w:rsid w:val="00C35BFA"/>
    <w:rsid w:val="00C362B4"/>
    <w:rsid w:val="00C37423"/>
    <w:rsid w:val="00C3775A"/>
    <w:rsid w:val="00C40385"/>
    <w:rsid w:val="00C40E5C"/>
    <w:rsid w:val="00C41768"/>
    <w:rsid w:val="00C41906"/>
    <w:rsid w:val="00C42574"/>
    <w:rsid w:val="00C4270D"/>
    <w:rsid w:val="00C42EDA"/>
    <w:rsid w:val="00C434B5"/>
    <w:rsid w:val="00C45853"/>
    <w:rsid w:val="00C46566"/>
    <w:rsid w:val="00C467C7"/>
    <w:rsid w:val="00C46C48"/>
    <w:rsid w:val="00C475AA"/>
    <w:rsid w:val="00C475C1"/>
    <w:rsid w:val="00C47E41"/>
    <w:rsid w:val="00C50D9F"/>
    <w:rsid w:val="00C5168A"/>
    <w:rsid w:val="00C51EF6"/>
    <w:rsid w:val="00C525D7"/>
    <w:rsid w:val="00C527C7"/>
    <w:rsid w:val="00C53C98"/>
    <w:rsid w:val="00C5567B"/>
    <w:rsid w:val="00C559BE"/>
    <w:rsid w:val="00C560AA"/>
    <w:rsid w:val="00C564FC"/>
    <w:rsid w:val="00C56FCF"/>
    <w:rsid w:val="00C57230"/>
    <w:rsid w:val="00C57B6C"/>
    <w:rsid w:val="00C601DF"/>
    <w:rsid w:val="00C609F5"/>
    <w:rsid w:val="00C61A59"/>
    <w:rsid w:val="00C61C73"/>
    <w:rsid w:val="00C62427"/>
    <w:rsid w:val="00C628A6"/>
    <w:rsid w:val="00C6397E"/>
    <w:rsid w:val="00C63D75"/>
    <w:rsid w:val="00C64062"/>
    <w:rsid w:val="00C64344"/>
    <w:rsid w:val="00C643BB"/>
    <w:rsid w:val="00C64A4E"/>
    <w:rsid w:val="00C64A73"/>
    <w:rsid w:val="00C65108"/>
    <w:rsid w:val="00C65576"/>
    <w:rsid w:val="00C65DAC"/>
    <w:rsid w:val="00C66165"/>
    <w:rsid w:val="00C666C8"/>
    <w:rsid w:val="00C703F0"/>
    <w:rsid w:val="00C705A4"/>
    <w:rsid w:val="00C7060A"/>
    <w:rsid w:val="00C70665"/>
    <w:rsid w:val="00C70800"/>
    <w:rsid w:val="00C7151A"/>
    <w:rsid w:val="00C7153A"/>
    <w:rsid w:val="00C715DD"/>
    <w:rsid w:val="00C717C3"/>
    <w:rsid w:val="00C717E3"/>
    <w:rsid w:val="00C71DF1"/>
    <w:rsid w:val="00C71F60"/>
    <w:rsid w:val="00C72241"/>
    <w:rsid w:val="00C7281A"/>
    <w:rsid w:val="00C7285B"/>
    <w:rsid w:val="00C737A7"/>
    <w:rsid w:val="00C7395E"/>
    <w:rsid w:val="00C73BBF"/>
    <w:rsid w:val="00C742D1"/>
    <w:rsid w:val="00C7452F"/>
    <w:rsid w:val="00C74985"/>
    <w:rsid w:val="00C750C8"/>
    <w:rsid w:val="00C7560F"/>
    <w:rsid w:val="00C7674C"/>
    <w:rsid w:val="00C76AE1"/>
    <w:rsid w:val="00C778EF"/>
    <w:rsid w:val="00C803DD"/>
    <w:rsid w:val="00C804D3"/>
    <w:rsid w:val="00C80A0E"/>
    <w:rsid w:val="00C81E39"/>
    <w:rsid w:val="00C8213F"/>
    <w:rsid w:val="00C82175"/>
    <w:rsid w:val="00C82F07"/>
    <w:rsid w:val="00C8303F"/>
    <w:rsid w:val="00C83673"/>
    <w:rsid w:val="00C83A96"/>
    <w:rsid w:val="00C85154"/>
    <w:rsid w:val="00C852F2"/>
    <w:rsid w:val="00C85A70"/>
    <w:rsid w:val="00C86961"/>
    <w:rsid w:val="00C86C1E"/>
    <w:rsid w:val="00C86C82"/>
    <w:rsid w:val="00C86ECD"/>
    <w:rsid w:val="00C8797A"/>
    <w:rsid w:val="00C87A50"/>
    <w:rsid w:val="00C87B5D"/>
    <w:rsid w:val="00C900B8"/>
    <w:rsid w:val="00C90197"/>
    <w:rsid w:val="00C90C71"/>
    <w:rsid w:val="00C90E02"/>
    <w:rsid w:val="00C91718"/>
    <w:rsid w:val="00C91FD1"/>
    <w:rsid w:val="00C920B1"/>
    <w:rsid w:val="00C92183"/>
    <w:rsid w:val="00C926C4"/>
    <w:rsid w:val="00C92E39"/>
    <w:rsid w:val="00C931CF"/>
    <w:rsid w:val="00C938CF"/>
    <w:rsid w:val="00C94053"/>
    <w:rsid w:val="00C94CE9"/>
    <w:rsid w:val="00C94E64"/>
    <w:rsid w:val="00C94E7C"/>
    <w:rsid w:val="00C9624D"/>
    <w:rsid w:val="00C969DA"/>
    <w:rsid w:val="00C96C71"/>
    <w:rsid w:val="00C9701C"/>
    <w:rsid w:val="00CA05AC"/>
    <w:rsid w:val="00CA1023"/>
    <w:rsid w:val="00CA10FF"/>
    <w:rsid w:val="00CA1499"/>
    <w:rsid w:val="00CA161A"/>
    <w:rsid w:val="00CA2C77"/>
    <w:rsid w:val="00CA3509"/>
    <w:rsid w:val="00CA444F"/>
    <w:rsid w:val="00CA5055"/>
    <w:rsid w:val="00CA5245"/>
    <w:rsid w:val="00CA5B26"/>
    <w:rsid w:val="00CA5C64"/>
    <w:rsid w:val="00CA636B"/>
    <w:rsid w:val="00CA6831"/>
    <w:rsid w:val="00CA71F4"/>
    <w:rsid w:val="00CA73C9"/>
    <w:rsid w:val="00CA78A5"/>
    <w:rsid w:val="00CA7A3F"/>
    <w:rsid w:val="00CA7B09"/>
    <w:rsid w:val="00CA7CF3"/>
    <w:rsid w:val="00CB0885"/>
    <w:rsid w:val="00CB12A5"/>
    <w:rsid w:val="00CB1CAC"/>
    <w:rsid w:val="00CB20CC"/>
    <w:rsid w:val="00CB2175"/>
    <w:rsid w:val="00CB2F26"/>
    <w:rsid w:val="00CB2F2A"/>
    <w:rsid w:val="00CB4660"/>
    <w:rsid w:val="00CB5B1A"/>
    <w:rsid w:val="00CB610D"/>
    <w:rsid w:val="00CB62D9"/>
    <w:rsid w:val="00CB6600"/>
    <w:rsid w:val="00CB6B22"/>
    <w:rsid w:val="00CB6B3E"/>
    <w:rsid w:val="00CB7317"/>
    <w:rsid w:val="00CB798A"/>
    <w:rsid w:val="00CB7F5F"/>
    <w:rsid w:val="00CC03C7"/>
    <w:rsid w:val="00CC0E2B"/>
    <w:rsid w:val="00CC1347"/>
    <w:rsid w:val="00CC1B39"/>
    <w:rsid w:val="00CC1BFA"/>
    <w:rsid w:val="00CC1EC2"/>
    <w:rsid w:val="00CC2319"/>
    <w:rsid w:val="00CC2E9F"/>
    <w:rsid w:val="00CC35EA"/>
    <w:rsid w:val="00CC3848"/>
    <w:rsid w:val="00CC4811"/>
    <w:rsid w:val="00CC5318"/>
    <w:rsid w:val="00CC6455"/>
    <w:rsid w:val="00CC6D1B"/>
    <w:rsid w:val="00CC6D5E"/>
    <w:rsid w:val="00CD0200"/>
    <w:rsid w:val="00CD025D"/>
    <w:rsid w:val="00CD091A"/>
    <w:rsid w:val="00CD1611"/>
    <w:rsid w:val="00CD2306"/>
    <w:rsid w:val="00CD27CF"/>
    <w:rsid w:val="00CD3032"/>
    <w:rsid w:val="00CD3B1E"/>
    <w:rsid w:val="00CD3EBE"/>
    <w:rsid w:val="00CD3F77"/>
    <w:rsid w:val="00CD418C"/>
    <w:rsid w:val="00CD453D"/>
    <w:rsid w:val="00CD6ADC"/>
    <w:rsid w:val="00CD6E00"/>
    <w:rsid w:val="00CD7193"/>
    <w:rsid w:val="00CE142A"/>
    <w:rsid w:val="00CE2B2D"/>
    <w:rsid w:val="00CE38C8"/>
    <w:rsid w:val="00CE39CE"/>
    <w:rsid w:val="00CE41C9"/>
    <w:rsid w:val="00CE48F1"/>
    <w:rsid w:val="00CE4E3A"/>
    <w:rsid w:val="00CE524F"/>
    <w:rsid w:val="00CE58CC"/>
    <w:rsid w:val="00CE5DA7"/>
    <w:rsid w:val="00CE5F95"/>
    <w:rsid w:val="00CE6274"/>
    <w:rsid w:val="00CE65FA"/>
    <w:rsid w:val="00CE6A44"/>
    <w:rsid w:val="00CE77B6"/>
    <w:rsid w:val="00CE7871"/>
    <w:rsid w:val="00CF0531"/>
    <w:rsid w:val="00CF0E86"/>
    <w:rsid w:val="00CF170A"/>
    <w:rsid w:val="00CF2038"/>
    <w:rsid w:val="00CF241A"/>
    <w:rsid w:val="00CF2B8D"/>
    <w:rsid w:val="00CF3149"/>
    <w:rsid w:val="00CF3924"/>
    <w:rsid w:val="00CF3A1B"/>
    <w:rsid w:val="00CF456B"/>
    <w:rsid w:val="00CF4DA8"/>
    <w:rsid w:val="00CF516B"/>
    <w:rsid w:val="00CF5A22"/>
    <w:rsid w:val="00CF6AFC"/>
    <w:rsid w:val="00CF6B53"/>
    <w:rsid w:val="00CF6F5B"/>
    <w:rsid w:val="00CF70D0"/>
    <w:rsid w:val="00CF721B"/>
    <w:rsid w:val="00CF7CC6"/>
    <w:rsid w:val="00D0043D"/>
    <w:rsid w:val="00D007F2"/>
    <w:rsid w:val="00D00F0E"/>
    <w:rsid w:val="00D00F30"/>
    <w:rsid w:val="00D019FC"/>
    <w:rsid w:val="00D02137"/>
    <w:rsid w:val="00D02596"/>
    <w:rsid w:val="00D0262E"/>
    <w:rsid w:val="00D02F26"/>
    <w:rsid w:val="00D03600"/>
    <w:rsid w:val="00D03679"/>
    <w:rsid w:val="00D04B1E"/>
    <w:rsid w:val="00D04E81"/>
    <w:rsid w:val="00D050A6"/>
    <w:rsid w:val="00D054E0"/>
    <w:rsid w:val="00D059F5"/>
    <w:rsid w:val="00D05E3D"/>
    <w:rsid w:val="00D06139"/>
    <w:rsid w:val="00D06556"/>
    <w:rsid w:val="00D068D6"/>
    <w:rsid w:val="00D07256"/>
    <w:rsid w:val="00D0746A"/>
    <w:rsid w:val="00D0753E"/>
    <w:rsid w:val="00D07B82"/>
    <w:rsid w:val="00D1048C"/>
    <w:rsid w:val="00D10923"/>
    <w:rsid w:val="00D110BD"/>
    <w:rsid w:val="00D1190D"/>
    <w:rsid w:val="00D1329C"/>
    <w:rsid w:val="00D13675"/>
    <w:rsid w:val="00D13753"/>
    <w:rsid w:val="00D13B60"/>
    <w:rsid w:val="00D13FF7"/>
    <w:rsid w:val="00D141E1"/>
    <w:rsid w:val="00D145CF"/>
    <w:rsid w:val="00D14FD5"/>
    <w:rsid w:val="00D15156"/>
    <w:rsid w:val="00D15314"/>
    <w:rsid w:val="00D153A4"/>
    <w:rsid w:val="00D15889"/>
    <w:rsid w:val="00D15B48"/>
    <w:rsid w:val="00D15B52"/>
    <w:rsid w:val="00D16346"/>
    <w:rsid w:val="00D16724"/>
    <w:rsid w:val="00D16870"/>
    <w:rsid w:val="00D16D22"/>
    <w:rsid w:val="00D17532"/>
    <w:rsid w:val="00D17B3E"/>
    <w:rsid w:val="00D17D6C"/>
    <w:rsid w:val="00D20E74"/>
    <w:rsid w:val="00D21101"/>
    <w:rsid w:val="00D2155B"/>
    <w:rsid w:val="00D21835"/>
    <w:rsid w:val="00D22BCC"/>
    <w:rsid w:val="00D233E9"/>
    <w:rsid w:val="00D23D11"/>
    <w:rsid w:val="00D244B6"/>
    <w:rsid w:val="00D24CB3"/>
    <w:rsid w:val="00D25042"/>
    <w:rsid w:val="00D2661D"/>
    <w:rsid w:val="00D268BE"/>
    <w:rsid w:val="00D26EC8"/>
    <w:rsid w:val="00D27486"/>
    <w:rsid w:val="00D2754D"/>
    <w:rsid w:val="00D276BC"/>
    <w:rsid w:val="00D27B27"/>
    <w:rsid w:val="00D27BC2"/>
    <w:rsid w:val="00D27E54"/>
    <w:rsid w:val="00D3082E"/>
    <w:rsid w:val="00D30D5B"/>
    <w:rsid w:val="00D310E4"/>
    <w:rsid w:val="00D320B9"/>
    <w:rsid w:val="00D32265"/>
    <w:rsid w:val="00D32AB9"/>
    <w:rsid w:val="00D32CE8"/>
    <w:rsid w:val="00D337F6"/>
    <w:rsid w:val="00D33BE9"/>
    <w:rsid w:val="00D33F93"/>
    <w:rsid w:val="00D34BC3"/>
    <w:rsid w:val="00D34BD3"/>
    <w:rsid w:val="00D357FF"/>
    <w:rsid w:val="00D36BF7"/>
    <w:rsid w:val="00D37780"/>
    <w:rsid w:val="00D37AE6"/>
    <w:rsid w:val="00D37FE1"/>
    <w:rsid w:val="00D410E4"/>
    <w:rsid w:val="00D41258"/>
    <w:rsid w:val="00D424C7"/>
    <w:rsid w:val="00D4293C"/>
    <w:rsid w:val="00D436CC"/>
    <w:rsid w:val="00D43994"/>
    <w:rsid w:val="00D43B2A"/>
    <w:rsid w:val="00D43CF1"/>
    <w:rsid w:val="00D43D83"/>
    <w:rsid w:val="00D445BE"/>
    <w:rsid w:val="00D44C35"/>
    <w:rsid w:val="00D452A2"/>
    <w:rsid w:val="00D46105"/>
    <w:rsid w:val="00D47575"/>
    <w:rsid w:val="00D47CE5"/>
    <w:rsid w:val="00D47D9D"/>
    <w:rsid w:val="00D5137E"/>
    <w:rsid w:val="00D517D4"/>
    <w:rsid w:val="00D52040"/>
    <w:rsid w:val="00D52429"/>
    <w:rsid w:val="00D5243B"/>
    <w:rsid w:val="00D5265B"/>
    <w:rsid w:val="00D5280E"/>
    <w:rsid w:val="00D533EC"/>
    <w:rsid w:val="00D53F46"/>
    <w:rsid w:val="00D54080"/>
    <w:rsid w:val="00D54E5E"/>
    <w:rsid w:val="00D56031"/>
    <w:rsid w:val="00D565F3"/>
    <w:rsid w:val="00D56A95"/>
    <w:rsid w:val="00D56AD0"/>
    <w:rsid w:val="00D56C1A"/>
    <w:rsid w:val="00D575F1"/>
    <w:rsid w:val="00D6076E"/>
    <w:rsid w:val="00D61161"/>
    <w:rsid w:val="00D621C5"/>
    <w:rsid w:val="00D647C3"/>
    <w:rsid w:val="00D65DDC"/>
    <w:rsid w:val="00D677CE"/>
    <w:rsid w:val="00D70192"/>
    <w:rsid w:val="00D70F16"/>
    <w:rsid w:val="00D7203A"/>
    <w:rsid w:val="00D72147"/>
    <w:rsid w:val="00D72617"/>
    <w:rsid w:val="00D72971"/>
    <w:rsid w:val="00D72F57"/>
    <w:rsid w:val="00D73EBC"/>
    <w:rsid w:val="00D7472D"/>
    <w:rsid w:val="00D75919"/>
    <w:rsid w:val="00D75BD4"/>
    <w:rsid w:val="00D7606A"/>
    <w:rsid w:val="00D76A44"/>
    <w:rsid w:val="00D771A9"/>
    <w:rsid w:val="00D772A4"/>
    <w:rsid w:val="00D779EC"/>
    <w:rsid w:val="00D77BA7"/>
    <w:rsid w:val="00D800CC"/>
    <w:rsid w:val="00D8046E"/>
    <w:rsid w:val="00D80AEE"/>
    <w:rsid w:val="00D815EF"/>
    <w:rsid w:val="00D81949"/>
    <w:rsid w:val="00D81F26"/>
    <w:rsid w:val="00D822E2"/>
    <w:rsid w:val="00D824D2"/>
    <w:rsid w:val="00D83213"/>
    <w:rsid w:val="00D84127"/>
    <w:rsid w:val="00D843F2"/>
    <w:rsid w:val="00D8565D"/>
    <w:rsid w:val="00D8586E"/>
    <w:rsid w:val="00D85FA3"/>
    <w:rsid w:val="00D86231"/>
    <w:rsid w:val="00D8662B"/>
    <w:rsid w:val="00D86BB4"/>
    <w:rsid w:val="00D8707D"/>
    <w:rsid w:val="00D87419"/>
    <w:rsid w:val="00D87D3C"/>
    <w:rsid w:val="00D87DC8"/>
    <w:rsid w:val="00D90139"/>
    <w:rsid w:val="00D905B8"/>
    <w:rsid w:val="00D909F5"/>
    <w:rsid w:val="00D90B51"/>
    <w:rsid w:val="00D912AB"/>
    <w:rsid w:val="00D91923"/>
    <w:rsid w:val="00D91E88"/>
    <w:rsid w:val="00D92137"/>
    <w:rsid w:val="00D92169"/>
    <w:rsid w:val="00D92864"/>
    <w:rsid w:val="00D9294B"/>
    <w:rsid w:val="00D93221"/>
    <w:rsid w:val="00D93753"/>
    <w:rsid w:val="00D93ED9"/>
    <w:rsid w:val="00D94716"/>
    <w:rsid w:val="00D9511B"/>
    <w:rsid w:val="00D95496"/>
    <w:rsid w:val="00D969F2"/>
    <w:rsid w:val="00D9764D"/>
    <w:rsid w:val="00D97D6C"/>
    <w:rsid w:val="00DA1491"/>
    <w:rsid w:val="00DA184E"/>
    <w:rsid w:val="00DA242D"/>
    <w:rsid w:val="00DA28C5"/>
    <w:rsid w:val="00DA2F74"/>
    <w:rsid w:val="00DA3167"/>
    <w:rsid w:val="00DA3791"/>
    <w:rsid w:val="00DA3A0C"/>
    <w:rsid w:val="00DA3D27"/>
    <w:rsid w:val="00DA4BA4"/>
    <w:rsid w:val="00DA4C96"/>
    <w:rsid w:val="00DA4DC2"/>
    <w:rsid w:val="00DA4DC3"/>
    <w:rsid w:val="00DA5E5B"/>
    <w:rsid w:val="00DA60CA"/>
    <w:rsid w:val="00DA618A"/>
    <w:rsid w:val="00DA650E"/>
    <w:rsid w:val="00DA6874"/>
    <w:rsid w:val="00DA7086"/>
    <w:rsid w:val="00DA77A5"/>
    <w:rsid w:val="00DA7D48"/>
    <w:rsid w:val="00DA7EE1"/>
    <w:rsid w:val="00DB0020"/>
    <w:rsid w:val="00DB0149"/>
    <w:rsid w:val="00DB0554"/>
    <w:rsid w:val="00DB0E36"/>
    <w:rsid w:val="00DB2BD5"/>
    <w:rsid w:val="00DB3306"/>
    <w:rsid w:val="00DB374D"/>
    <w:rsid w:val="00DB38EB"/>
    <w:rsid w:val="00DB3DBF"/>
    <w:rsid w:val="00DB43C3"/>
    <w:rsid w:val="00DB484F"/>
    <w:rsid w:val="00DB4A8A"/>
    <w:rsid w:val="00DB4E0F"/>
    <w:rsid w:val="00DB5375"/>
    <w:rsid w:val="00DB6EEA"/>
    <w:rsid w:val="00DB72B6"/>
    <w:rsid w:val="00DB7BD0"/>
    <w:rsid w:val="00DC0394"/>
    <w:rsid w:val="00DC0408"/>
    <w:rsid w:val="00DC04F6"/>
    <w:rsid w:val="00DC0690"/>
    <w:rsid w:val="00DC16B8"/>
    <w:rsid w:val="00DC1B1D"/>
    <w:rsid w:val="00DC1D65"/>
    <w:rsid w:val="00DC2364"/>
    <w:rsid w:val="00DC2B32"/>
    <w:rsid w:val="00DC3901"/>
    <w:rsid w:val="00DC3C57"/>
    <w:rsid w:val="00DC48C5"/>
    <w:rsid w:val="00DC5501"/>
    <w:rsid w:val="00DC5630"/>
    <w:rsid w:val="00DC5B3E"/>
    <w:rsid w:val="00DC5DE4"/>
    <w:rsid w:val="00DC63CE"/>
    <w:rsid w:val="00DC6498"/>
    <w:rsid w:val="00DC6CB0"/>
    <w:rsid w:val="00DC7154"/>
    <w:rsid w:val="00DC78A9"/>
    <w:rsid w:val="00DC7E8A"/>
    <w:rsid w:val="00DD0779"/>
    <w:rsid w:val="00DD0D3A"/>
    <w:rsid w:val="00DD0F78"/>
    <w:rsid w:val="00DD2722"/>
    <w:rsid w:val="00DD273C"/>
    <w:rsid w:val="00DD301F"/>
    <w:rsid w:val="00DD3213"/>
    <w:rsid w:val="00DD3DD1"/>
    <w:rsid w:val="00DD3F28"/>
    <w:rsid w:val="00DD4446"/>
    <w:rsid w:val="00DD4537"/>
    <w:rsid w:val="00DD4980"/>
    <w:rsid w:val="00DD4B40"/>
    <w:rsid w:val="00DD4E15"/>
    <w:rsid w:val="00DD4E24"/>
    <w:rsid w:val="00DD5315"/>
    <w:rsid w:val="00DD589A"/>
    <w:rsid w:val="00DD6DE0"/>
    <w:rsid w:val="00DE07FC"/>
    <w:rsid w:val="00DE10A0"/>
    <w:rsid w:val="00DE1A14"/>
    <w:rsid w:val="00DE2304"/>
    <w:rsid w:val="00DE2798"/>
    <w:rsid w:val="00DE3138"/>
    <w:rsid w:val="00DE37F8"/>
    <w:rsid w:val="00DE3F14"/>
    <w:rsid w:val="00DE4273"/>
    <w:rsid w:val="00DE4B0F"/>
    <w:rsid w:val="00DE4FCB"/>
    <w:rsid w:val="00DE5034"/>
    <w:rsid w:val="00DE56F2"/>
    <w:rsid w:val="00DE5BAC"/>
    <w:rsid w:val="00DE5D07"/>
    <w:rsid w:val="00DE629F"/>
    <w:rsid w:val="00DE669D"/>
    <w:rsid w:val="00DE6E97"/>
    <w:rsid w:val="00DE7010"/>
    <w:rsid w:val="00DE70E6"/>
    <w:rsid w:val="00DE72A7"/>
    <w:rsid w:val="00DE7832"/>
    <w:rsid w:val="00DE79C8"/>
    <w:rsid w:val="00DE7A52"/>
    <w:rsid w:val="00DE7AA3"/>
    <w:rsid w:val="00DE7BA3"/>
    <w:rsid w:val="00DE7FF8"/>
    <w:rsid w:val="00DF1051"/>
    <w:rsid w:val="00DF18FC"/>
    <w:rsid w:val="00DF2B3E"/>
    <w:rsid w:val="00DF3689"/>
    <w:rsid w:val="00DF3695"/>
    <w:rsid w:val="00DF3B76"/>
    <w:rsid w:val="00DF44C5"/>
    <w:rsid w:val="00DF477B"/>
    <w:rsid w:val="00DF4C86"/>
    <w:rsid w:val="00DF4F5B"/>
    <w:rsid w:val="00DF5D2B"/>
    <w:rsid w:val="00DF6276"/>
    <w:rsid w:val="00DF6341"/>
    <w:rsid w:val="00DF6B8F"/>
    <w:rsid w:val="00DF6C73"/>
    <w:rsid w:val="00DF70FA"/>
    <w:rsid w:val="00DF73E0"/>
    <w:rsid w:val="00E00E0D"/>
    <w:rsid w:val="00E00E8E"/>
    <w:rsid w:val="00E0159E"/>
    <w:rsid w:val="00E017F9"/>
    <w:rsid w:val="00E01A65"/>
    <w:rsid w:val="00E041B1"/>
    <w:rsid w:val="00E04355"/>
    <w:rsid w:val="00E043E9"/>
    <w:rsid w:val="00E0476B"/>
    <w:rsid w:val="00E04F44"/>
    <w:rsid w:val="00E053C6"/>
    <w:rsid w:val="00E05630"/>
    <w:rsid w:val="00E05ABD"/>
    <w:rsid w:val="00E06669"/>
    <w:rsid w:val="00E06DBB"/>
    <w:rsid w:val="00E06E3F"/>
    <w:rsid w:val="00E10149"/>
    <w:rsid w:val="00E1078B"/>
    <w:rsid w:val="00E11340"/>
    <w:rsid w:val="00E122A1"/>
    <w:rsid w:val="00E12E97"/>
    <w:rsid w:val="00E14B93"/>
    <w:rsid w:val="00E150E2"/>
    <w:rsid w:val="00E15396"/>
    <w:rsid w:val="00E15EDA"/>
    <w:rsid w:val="00E16193"/>
    <w:rsid w:val="00E16372"/>
    <w:rsid w:val="00E16AD8"/>
    <w:rsid w:val="00E17882"/>
    <w:rsid w:val="00E17FFA"/>
    <w:rsid w:val="00E20E4D"/>
    <w:rsid w:val="00E20ED6"/>
    <w:rsid w:val="00E21358"/>
    <w:rsid w:val="00E21760"/>
    <w:rsid w:val="00E2249B"/>
    <w:rsid w:val="00E22A0D"/>
    <w:rsid w:val="00E244F6"/>
    <w:rsid w:val="00E25656"/>
    <w:rsid w:val="00E258DB"/>
    <w:rsid w:val="00E25BDA"/>
    <w:rsid w:val="00E2614C"/>
    <w:rsid w:val="00E26168"/>
    <w:rsid w:val="00E2624E"/>
    <w:rsid w:val="00E26873"/>
    <w:rsid w:val="00E2695A"/>
    <w:rsid w:val="00E26B30"/>
    <w:rsid w:val="00E2771E"/>
    <w:rsid w:val="00E27F56"/>
    <w:rsid w:val="00E302CF"/>
    <w:rsid w:val="00E30DE2"/>
    <w:rsid w:val="00E30E94"/>
    <w:rsid w:val="00E311EF"/>
    <w:rsid w:val="00E31A0B"/>
    <w:rsid w:val="00E32180"/>
    <w:rsid w:val="00E32525"/>
    <w:rsid w:val="00E32A3B"/>
    <w:rsid w:val="00E33B15"/>
    <w:rsid w:val="00E34297"/>
    <w:rsid w:val="00E34896"/>
    <w:rsid w:val="00E34948"/>
    <w:rsid w:val="00E35C50"/>
    <w:rsid w:val="00E36166"/>
    <w:rsid w:val="00E366F8"/>
    <w:rsid w:val="00E373F0"/>
    <w:rsid w:val="00E37539"/>
    <w:rsid w:val="00E37569"/>
    <w:rsid w:val="00E401B2"/>
    <w:rsid w:val="00E419CD"/>
    <w:rsid w:val="00E41E30"/>
    <w:rsid w:val="00E42933"/>
    <w:rsid w:val="00E42E57"/>
    <w:rsid w:val="00E42F73"/>
    <w:rsid w:val="00E4323C"/>
    <w:rsid w:val="00E43326"/>
    <w:rsid w:val="00E43D70"/>
    <w:rsid w:val="00E45194"/>
    <w:rsid w:val="00E45B2A"/>
    <w:rsid w:val="00E466F3"/>
    <w:rsid w:val="00E46937"/>
    <w:rsid w:val="00E47535"/>
    <w:rsid w:val="00E47561"/>
    <w:rsid w:val="00E47B2C"/>
    <w:rsid w:val="00E47FED"/>
    <w:rsid w:val="00E51560"/>
    <w:rsid w:val="00E51821"/>
    <w:rsid w:val="00E51C54"/>
    <w:rsid w:val="00E53FC8"/>
    <w:rsid w:val="00E54347"/>
    <w:rsid w:val="00E55185"/>
    <w:rsid w:val="00E55424"/>
    <w:rsid w:val="00E55513"/>
    <w:rsid w:val="00E558C3"/>
    <w:rsid w:val="00E55915"/>
    <w:rsid w:val="00E55AEB"/>
    <w:rsid w:val="00E55BB5"/>
    <w:rsid w:val="00E55D5B"/>
    <w:rsid w:val="00E562FF"/>
    <w:rsid w:val="00E56B9C"/>
    <w:rsid w:val="00E56EC8"/>
    <w:rsid w:val="00E6004C"/>
    <w:rsid w:val="00E60F34"/>
    <w:rsid w:val="00E611DF"/>
    <w:rsid w:val="00E6122B"/>
    <w:rsid w:val="00E617B3"/>
    <w:rsid w:val="00E62745"/>
    <w:rsid w:val="00E62836"/>
    <w:rsid w:val="00E62874"/>
    <w:rsid w:val="00E62D8E"/>
    <w:rsid w:val="00E6428F"/>
    <w:rsid w:val="00E64424"/>
    <w:rsid w:val="00E65CD0"/>
    <w:rsid w:val="00E65CF2"/>
    <w:rsid w:val="00E65E79"/>
    <w:rsid w:val="00E66716"/>
    <w:rsid w:val="00E66BA2"/>
    <w:rsid w:val="00E66C57"/>
    <w:rsid w:val="00E67023"/>
    <w:rsid w:val="00E67416"/>
    <w:rsid w:val="00E67C48"/>
    <w:rsid w:val="00E701F3"/>
    <w:rsid w:val="00E7062D"/>
    <w:rsid w:val="00E70B19"/>
    <w:rsid w:val="00E70C2E"/>
    <w:rsid w:val="00E71118"/>
    <w:rsid w:val="00E715DE"/>
    <w:rsid w:val="00E71861"/>
    <w:rsid w:val="00E718B6"/>
    <w:rsid w:val="00E71ABB"/>
    <w:rsid w:val="00E723BA"/>
    <w:rsid w:val="00E72440"/>
    <w:rsid w:val="00E726F9"/>
    <w:rsid w:val="00E72CC3"/>
    <w:rsid w:val="00E7312B"/>
    <w:rsid w:val="00E73581"/>
    <w:rsid w:val="00E73C1E"/>
    <w:rsid w:val="00E74434"/>
    <w:rsid w:val="00E74DC7"/>
    <w:rsid w:val="00E759E2"/>
    <w:rsid w:val="00E75E22"/>
    <w:rsid w:val="00E7611A"/>
    <w:rsid w:val="00E76CDE"/>
    <w:rsid w:val="00E7759F"/>
    <w:rsid w:val="00E80400"/>
    <w:rsid w:val="00E804B9"/>
    <w:rsid w:val="00E80E6B"/>
    <w:rsid w:val="00E81BF8"/>
    <w:rsid w:val="00E82904"/>
    <w:rsid w:val="00E829AE"/>
    <w:rsid w:val="00E82E84"/>
    <w:rsid w:val="00E833F7"/>
    <w:rsid w:val="00E8379A"/>
    <w:rsid w:val="00E8390C"/>
    <w:rsid w:val="00E83BDF"/>
    <w:rsid w:val="00E83C9B"/>
    <w:rsid w:val="00E84E7E"/>
    <w:rsid w:val="00E8599C"/>
    <w:rsid w:val="00E8656A"/>
    <w:rsid w:val="00E867B2"/>
    <w:rsid w:val="00E86ABE"/>
    <w:rsid w:val="00E86FCC"/>
    <w:rsid w:val="00E876BD"/>
    <w:rsid w:val="00E87A1D"/>
    <w:rsid w:val="00E87EA2"/>
    <w:rsid w:val="00E90578"/>
    <w:rsid w:val="00E9094A"/>
    <w:rsid w:val="00E91D35"/>
    <w:rsid w:val="00E91DC3"/>
    <w:rsid w:val="00E926A5"/>
    <w:rsid w:val="00E93E0F"/>
    <w:rsid w:val="00E94E38"/>
    <w:rsid w:val="00E954D7"/>
    <w:rsid w:val="00E962CC"/>
    <w:rsid w:val="00E9720A"/>
    <w:rsid w:val="00EA0530"/>
    <w:rsid w:val="00EA0A0C"/>
    <w:rsid w:val="00EA17C3"/>
    <w:rsid w:val="00EA1D0A"/>
    <w:rsid w:val="00EA2119"/>
    <w:rsid w:val="00EA2CAA"/>
    <w:rsid w:val="00EA30C0"/>
    <w:rsid w:val="00EA3864"/>
    <w:rsid w:val="00EA443E"/>
    <w:rsid w:val="00EA45FA"/>
    <w:rsid w:val="00EA48A9"/>
    <w:rsid w:val="00EA4D3B"/>
    <w:rsid w:val="00EA5B5B"/>
    <w:rsid w:val="00EA5BEC"/>
    <w:rsid w:val="00EA63BB"/>
    <w:rsid w:val="00EA65AC"/>
    <w:rsid w:val="00EA6C19"/>
    <w:rsid w:val="00EA7285"/>
    <w:rsid w:val="00EA7F1C"/>
    <w:rsid w:val="00EB0155"/>
    <w:rsid w:val="00EB0A2A"/>
    <w:rsid w:val="00EB0B24"/>
    <w:rsid w:val="00EB15B6"/>
    <w:rsid w:val="00EB1AC6"/>
    <w:rsid w:val="00EB1BAE"/>
    <w:rsid w:val="00EB1C70"/>
    <w:rsid w:val="00EB27C6"/>
    <w:rsid w:val="00EB34BD"/>
    <w:rsid w:val="00EB3D06"/>
    <w:rsid w:val="00EB4305"/>
    <w:rsid w:val="00EB4714"/>
    <w:rsid w:val="00EB4916"/>
    <w:rsid w:val="00EB4C12"/>
    <w:rsid w:val="00EB4C23"/>
    <w:rsid w:val="00EB5794"/>
    <w:rsid w:val="00EB5865"/>
    <w:rsid w:val="00EB676D"/>
    <w:rsid w:val="00EB67EE"/>
    <w:rsid w:val="00EB6849"/>
    <w:rsid w:val="00EB6F71"/>
    <w:rsid w:val="00EB7351"/>
    <w:rsid w:val="00EB786B"/>
    <w:rsid w:val="00EB78E0"/>
    <w:rsid w:val="00EC00C9"/>
    <w:rsid w:val="00EC054D"/>
    <w:rsid w:val="00EC0672"/>
    <w:rsid w:val="00EC0DD9"/>
    <w:rsid w:val="00EC0FFE"/>
    <w:rsid w:val="00EC2649"/>
    <w:rsid w:val="00EC296C"/>
    <w:rsid w:val="00EC31ED"/>
    <w:rsid w:val="00EC36D8"/>
    <w:rsid w:val="00EC37B6"/>
    <w:rsid w:val="00EC4623"/>
    <w:rsid w:val="00EC5212"/>
    <w:rsid w:val="00EC5550"/>
    <w:rsid w:val="00EC5836"/>
    <w:rsid w:val="00EC5A65"/>
    <w:rsid w:val="00EC6114"/>
    <w:rsid w:val="00EC688C"/>
    <w:rsid w:val="00EC6C0C"/>
    <w:rsid w:val="00EC7691"/>
    <w:rsid w:val="00EC77C4"/>
    <w:rsid w:val="00EC7FEF"/>
    <w:rsid w:val="00ED09AB"/>
    <w:rsid w:val="00ED12E3"/>
    <w:rsid w:val="00ED19FB"/>
    <w:rsid w:val="00ED304F"/>
    <w:rsid w:val="00ED37BF"/>
    <w:rsid w:val="00ED3A86"/>
    <w:rsid w:val="00ED430C"/>
    <w:rsid w:val="00ED4483"/>
    <w:rsid w:val="00ED4B04"/>
    <w:rsid w:val="00ED4B52"/>
    <w:rsid w:val="00ED4BBB"/>
    <w:rsid w:val="00ED4CB5"/>
    <w:rsid w:val="00ED4DDB"/>
    <w:rsid w:val="00ED503D"/>
    <w:rsid w:val="00ED57EA"/>
    <w:rsid w:val="00ED59B3"/>
    <w:rsid w:val="00ED5BD4"/>
    <w:rsid w:val="00EE0669"/>
    <w:rsid w:val="00EE07D3"/>
    <w:rsid w:val="00EE1982"/>
    <w:rsid w:val="00EE1996"/>
    <w:rsid w:val="00EE1ACE"/>
    <w:rsid w:val="00EE1C01"/>
    <w:rsid w:val="00EE22AF"/>
    <w:rsid w:val="00EE26AC"/>
    <w:rsid w:val="00EE2B4C"/>
    <w:rsid w:val="00EE3D97"/>
    <w:rsid w:val="00EE470A"/>
    <w:rsid w:val="00EE48E1"/>
    <w:rsid w:val="00EE515D"/>
    <w:rsid w:val="00EE51C6"/>
    <w:rsid w:val="00EE545E"/>
    <w:rsid w:val="00EE5B63"/>
    <w:rsid w:val="00EE5C32"/>
    <w:rsid w:val="00EF0171"/>
    <w:rsid w:val="00EF0D33"/>
    <w:rsid w:val="00EF1140"/>
    <w:rsid w:val="00EF13C6"/>
    <w:rsid w:val="00EF1713"/>
    <w:rsid w:val="00EF17DB"/>
    <w:rsid w:val="00EF1B25"/>
    <w:rsid w:val="00EF1DA0"/>
    <w:rsid w:val="00EF215D"/>
    <w:rsid w:val="00EF27E3"/>
    <w:rsid w:val="00EF3445"/>
    <w:rsid w:val="00EF4747"/>
    <w:rsid w:val="00EF48E7"/>
    <w:rsid w:val="00EF4BF8"/>
    <w:rsid w:val="00EF6513"/>
    <w:rsid w:val="00EF73AC"/>
    <w:rsid w:val="00F00A36"/>
    <w:rsid w:val="00F00FE8"/>
    <w:rsid w:val="00F011EB"/>
    <w:rsid w:val="00F02253"/>
    <w:rsid w:val="00F029A8"/>
    <w:rsid w:val="00F03585"/>
    <w:rsid w:val="00F03C2E"/>
    <w:rsid w:val="00F03FBC"/>
    <w:rsid w:val="00F0434D"/>
    <w:rsid w:val="00F04A66"/>
    <w:rsid w:val="00F04B4B"/>
    <w:rsid w:val="00F0516C"/>
    <w:rsid w:val="00F054AF"/>
    <w:rsid w:val="00F0575B"/>
    <w:rsid w:val="00F063C7"/>
    <w:rsid w:val="00F06437"/>
    <w:rsid w:val="00F0679B"/>
    <w:rsid w:val="00F067A2"/>
    <w:rsid w:val="00F071E6"/>
    <w:rsid w:val="00F073A4"/>
    <w:rsid w:val="00F075D0"/>
    <w:rsid w:val="00F07B9E"/>
    <w:rsid w:val="00F110C3"/>
    <w:rsid w:val="00F1116F"/>
    <w:rsid w:val="00F11336"/>
    <w:rsid w:val="00F11785"/>
    <w:rsid w:val="00F11EA2"/>
    <w:rsid w:val="00F121E9"/>
    <w:rsid w:val="00F1263A"/>
    <w:rsid w:val="00F127C8"/>
    <w:rsid w:val="00F12FE7"/>
    <w:rsid w:val="00F1315C"/>
    <w:rsid w:val="00F139C5"/>
    <w:rsid w:val="00F13A05"/>
    <w:rsid w:val="00F13B3D"/>
    <w:rsid w:val="00F15211"/>
    <w:rsid w:val="00F155AC"/>
    <w:rsid w:val="00F15977"/>
    <w:rsid w:val="00F15B77"/>
    <w:rsid w:val="00F15C8B"/>
    <w:rsid w:val="00F15D5B"/>
    <w:rsid w:val="00F15F93"/>
    <w:rsid w:val="00F17190"/>
    <w:rsid w:val="00F21134"/>
    <w:rsid w:val="00F21236"/>
    <w:rsid w:val="00F215B1"/>
    <w:rsid w:val="00F21709"/>
    <w:rsid w:val="00F21EDC"/>
    <w:rsid w:val="00F22C42"/>
    <w:rsid w:val="00F239DF"/>
    <w:rsid w:val="00F23F3B"/>
    <w:rsid w:val="00F2459B"/>
    <w:rsid w:val="00F24837"/>
    <w:rsid w:val="00F2575F"/>
    <w:rsid w:val="00F27565"/>
    <w:rsid w:val="00F27C0A"/>
    <w:rsid w:val="00F3090A"/>
    <w:rsid w:val="00F309E1"/>
    <w:rsid w:val="00F310D4"/>
    <w:rsid w:val="00F31D5A"/>
    <w:rsid w:val="00F32DAD"/>
    <w:rsid w:val="00F33910"/>
    <w:rsid w:val="00F33975"/>
    <w:rsid w:val="00F33DE9"/>
    <w:rsid w:val="00F34116"/>
    <w:rsid w:val="00F34D6C"/>
    <w:rsid w:val="00F34D83"/>
    <w:rsid w:val="00F35E6D"/>
    <w:rsid w:val="00F3619A"/>
    <w:rsid w:val="00F365BA"/>
    <w:rsid w:val="00F372FE"/>
    <w:rsid w:val="00F37DC9"/>
    <w:rsid w:val="00F40AAA"/>
    <w:rsid w:val="00F40BA7"/>
    <w:rsid w:val="00F40ECE"/>
    <w:rsid w:val="00F40EE6"/>
    <w:rsid w:val="00F40F9D"/>
    <w:rsid w:val="00F4102E"/>
    <w:rsid w:val="00F41284"/>
    <w:rsid w:val="00F41ACD"/>
    <w:rsid w:val="00F41F5E"/>
    <w:rsid w:val="00F420FA"/>
    <w:rsid w:val="00F420FB"/>
    <w:rsid w:val="00F42217"/>
    <w:rsid w:val="00F433E1"/>
    <w:rsid w:val="00F4495D"/>
    <w:rsid w:val="00F44976"/>
    <w:rsid w:val="00F44AD6"/>
    <w:rsid w:val="00F4531A"/>
    <w:rsid w:val="00F46530"/>
    <w:rsid w:val="00F46CB6"/>
    <w:rsid w:val="00F46E69"/>
    <w:rsid w:val="00F470ED"/>
    <w:rsid w:val="00F4756D"/>
    <w:rsid w:val="00F47766"/>
    <w:rsid w:val="00F47DE8"/>
    <w:rsid w:val="00F5035B"/>
    <w:rsid w:val="00F50473"/>
    <w:rsid w:val="00F504D8"/>
    <w:rsid w:val="00F504F2"/>
    <w:rsid w:val="00F50A6E"/>
    <w:rsid w:val="00F50E16"/>
    <w:rsid w:val="00F5100A"/>
    <w:rsid w:val="00F5343C"/>
    <w:rsid w:val="00F542C1"/>
    <w:rsid w:val="00F54CA1"/>
    <w:rsid w:val="00F54FF2"/>
    <w:rsid w:val="00F550E3"/>
    <w:rsid w:val="00F5518A"/>
    <w:rsid w:val="00F5573D"/>
    <w:rsid w:val="00F55E73"/>
    <w:rsid w:val="00F55EDA"/>
    <w:rsid w:val="00F56C80"/>
    <w:rsid w:val="00F577BE"/>
    <w:rsid w:val="00F60092"/>
    <w:rsid w:val="00F6061B"/>
    <w:rsid w:val="00F60E90"/>
    <w:rsid w:val="00F610BF"/>
    <w:rsid w:val="00F61C18"/>
    <w:rsid w:val="00F63B3C"/>
    <w:rsid w:val="00F6455E"/>
    <w:rsid w:val="00F64565"/>
    <w:rsid w:val="00F64F19"/>
    <w:rsid w:val="00F65A7D"/>
    <w:rsid w:val="00F65F4B"/>
    <w:rsid w:val="00F661C8"/>
    <w:rsid w:val="00F67A69"/>
    <w:rsid w:val="00F67CF8"/>
    <w:rsid w:val="00F67DB5"/>
    <w:rsid w:val="00F7038B"/>
    <w:rsid w:val="00F7049D"/>
    <w:rsid w:val="00F70BFF"/>
    <w:rsid w:val="00F70C9D"/>
    <w:rsid w:val="00F71D6B"/>
    <w:rsid w:val="00F720F8"/>
    <w:rsid w:val="00F73214"/>
    <w:rsid w:val="00F73808"/>
    <w:rsid w:val="00F73B62"/>
    <w:rsid w:val="00F73B9C"/>
    <w:rsid w:val="00F73BBB"/>
    <w:rsid w:val="00F73E08"/>
    <w:rsid w:val="00F74CD9"/>
    <w:rsid w:val="00F75195"/>
    <w:rsid w:val="00F75AAD"/>
    <w:rsid w:val="00F75E0C"/>
    <w:rsid w:val="00F75E61"/>
    <w:rsid w:val="00F761A8"/>
    <w:rsid w:val="00F80A7B"/>
    <w:rsid w:val="00F80E5D"/>
    <w:rsid w:val="00F8110D"/>
    <w:rsid w:val="00F816EA"/>
    <w:rsid w:val="00F81AAC"/>
    <w:rsid w:val="00F81E78"/>
    <w:rsid w:val="00F82606"/>
    <w:rsid w:val="00F83040"/>
    <w:rsid w:val="00F83519"/>
    <w:rsid w:val="00F83916"/>
    <w:rsid w:val="00F84193"/>
    <w:rsid w:val="00F84A90"/>
    <w:rsid w:val="00F851CE"/>
    <w:rsid w:val="00F85A23"/>
    <w:rsid w:val="00F87C9F"/>
    <w:rsid w:val="00F90090"/>
    <w:rsid w:val="00F90239"/>
    <w:rsid w:val="00F90A67"/>
    <w:rsid w:val="00F90B0E"/>
    <w:rsid w:val="00F90CC7"/>
    <w:rsid w:val="00F91219"/>
    <w:rsid w:val="00F917BF"/>
    <w:rsid w:val="00F91FB6"/>
    <w:rsid w:val="00F92444"/>
    <w:rsid w:val="00F9348B"/>
    <w:rsid w:val="00F9393E"/>
    <w:rsid w:val="00F93A6C"/>
    <w:rsid w:val="00F93B1A"/>
    <w:rsid w:val="00F95666"/>
    <w:rsid w:val="00F95DCD"/>
    <w:rsid w:val="00F96D12"/>
    <w:rsid w:val="00F96FD0"/>
    <w:rsid w:val="00F97031"/>
    <w:rsid w:val="00F97A78"/>
    <w:rsid w:val="00FA0A92"/>
    <w:rsid w:val="00FA0B20"/>
    <w:rsid w:val="00FA0D55"/>
    <w:rsid w:val="00FA1030"/>
    <w:rsid w:val="00FA182C"/>
    <w:rsid w:val="00FA1B3A"/>
    <w:rsid w:val="00FA20B4"/>
    <w:rsid w:val="00FA24E7"/>
    <w:rsid w:val="00FA2D08"/>
    <w:rsid w:val="00FA30E7"/>
    <w:rsid w:val="00FA3E09"/>
    <w:rsid w:val="00FA44E2"/>
    <w:rsid w:val="00FA47B4"/>
    <w:rsid w:val="00FA5DF5"/>
    <w:rsid w:val="00FA5EE6"/>
    <w:rsid w:val="00FA6175"/>
    <w:rsid w:val="00FA6F99"/>
    <w:rsid w:val="00FA70C6"/>
    <w:rsid w:val="00FA71EB"/>
    <w:rsid w:val="00FA7956"/>
    <w:rsid w:val="00FB0728"/>
    <w:rsid w:val="00FB0824"/>
    <w:rsid w:val="00FB154A"/>
    <w:rsid w:val="00FB155D"/>
    <w:rsid w:val="00FB1778"/>
    <w:rsid w:val="00FB2272"/>
    <w:rsid w:val="00FB2DC2"/>
    <w:rsid w:val="00FB2FCB"/>
    <w:rsid w:val="00FB36E0"/>
    <w:rsid w:val="00FB49BE"/>
    <w:rsid w:val="00FB4AFE"/>
    <w:rsid w:val="00FB4C9C"/>
    <w:rsid w:val="00FB50DC"/>
    <w:rsid w:val="00FB51CA"/>
    <w:rsid w:val="00FB562F"/>
    <w:rsid w:val="00FB6111"/>
    <w:rsid w:val="00FB6C86"/>
    <w:rsid w:val="00FB6EDE"/>
    <w:rsid w:val="00FB74E1"/>
    <w:rsid w:val="00FB7C55"/>
    <w:rsid w:val="00FB7D88"/>
    <w:rsid w:val="00FC0058"/>
    <w:rsid w:val="00FC007C"/>
    <w:rsid w:val="00FC0E0C"/>
    <w:rsid w:val="00FC0E38"/>
    <w:rsid w:val="00FC1074"/>
    <w:rsid w:val="00FC1884"/>
    <w:rsid w:val="00FC1E6B"/>
    <w:rsid w:val="00FC2901"/>
    <w:rsid w:val="00FC371D"/>
    <w:rsid w:val="00FC3CEC"/>
    <w:rsid w:val="00FC4539"/>
    <w:rsid w:val="00FC4A3B"/>
    <w:rsid w:val="00FC4DFC"/>
    <w:rsid w:val="00FC5245"/>
    <w:rsid w:val="00FC5F0B"/>
    <w:rsid w:val="00FC6147"/>
    <w:rsid w:val="00FC77C4"/>
    <w:rsid w:val="00FD08F7"/>
    <w:rsid w:val="00FD1740"/>
    <w:rsid w:val="00FD2100"/>
    <w:rsid w:val="00FD2A74"/>
    <w:rsid w:val="00FD2DAD"/>
    <w:rsid w:val="00FD4187"/>
    <w:rsid w:val="00FD436C"/>
    <w:rsid w:val="00FD446D"/>
    <w:rsid w:val="00FD4649"/>
    <w:rsid w:val="00FD4892"/>
    <w:rsid w:val="00FD4ED6"/>
    <w:rsid w:val="00FD4F2C"/>
    <w:rsid w:val="00FD6394"/>
    <w:rsid w:val="00FD680D"/>
    <w:rsid w:val="00FD6EE8"/>
    <w:rsid w:val="00FD7A62"/>
    <w:rsid w:val="00FE0AA0"/>
    <w:rsid w:val="00FE0E6C"/>
    <w:rsid w:val="00FE14DF"/>
    <w:rsid w:val="00FE1CDC"/>
    <w:rsid w:val="00FE27D9"/>
    <w:rsid w:val="00FE29C1"/>
    <w:rsid w:val="00FE34B1"/>
    <w:rsid w:val="00FE3B83"/>
    <w:rsid w:val="00FE481C"/>
    <w:rsid w:val="00FE4A01"/>
    <w:rsid w:val="00FE4D70"/>
    <w:rsid w:val="00FE4E26"/>
    <w:rsid w:val="00FE517B"/>
    <w:rsid w:val="00FE5207"/>
    <w:rsid w:val="00FE6401"/>
    <w:rsid w:val="00FE6A06"/>
    <w:rsid w:val="00FE70C3"/>
    <w:rsid w:val="00FE71DB"/>
    <w:rsid w:val="00FE758A"/>
    <w:rsid w:val="00FE7780"/>
    <w:rsid w:val="00FE7F6D"/>
    <w:rsid w:val="00FF1A8B"/>
    <w:rsid w:val="00FF1C62"/>
    <w:rsid w:val="00FF27FC"/>
    <w:rsid w:val="00FF2AD9"/>
    <w:rsid w:val="00FF2EC1"/>
    <w:rsid w:val="00FF347C"/>
    <w:rsid w:val="00FF359F"/>
    <w:rsid w:val="00FF35A2"/>
    <w:rsid w:val="00FF371A"/>
    <w:rsid w:val="00FF3DCF"/>
    <w:rsid w:val="00FF492C"/>
    <w:rsid w:val="00FF4956"/>
    <w:rsid w:val="00FF4A21"/>
    <w:rsid w:val="00FF5AA3"/>
    <w:rsid w:val="00FF5AD8"/>
    <w:rsid w:val="00FF6A87"/>
    <w:rsid w:val="00FF6F1B"/>
    <w:rsid w:val="00FF708A"/>
    <w:rsid w:val="00FF71A5"/>
    <w:rsid w:val="00FF71F0"/>
    <w:rsid w:val="00FF7E6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73D5"/>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next w:val="Normal"/>
    <w:link w:val="Heading2Char"/>
    <w:rsid w:val="00D410E4"/>
    <w:pPr>
      <w:outlineLvl w:val="1"/>
    </w:pPr>
    <w:rPr>
      <w:rFonts w:ascii="Calibri" w:hAnsi="Calibri" w:cs="Arial"/>
      <w:b/>
      <w:i/>
      <w:sz w:val="28"/>
      <w:szCs w:val="24"/>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410E4"/>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execsummbulletlist">
    <w:name w:val="COM exec summ bullet list"/>
    <w:basedOn w:val="ListParagraph"/>
    <w:link w:val="COMexecsummbulletlistChar"/>
    <w:qFormat/>
    <w:rsid w:val="00DB0020"/>
    <w:pPr>
      <w:ind w:left="1134"/>
    </w:pPr>
  </w:style>
  <w:style w:type="paragraph" w:customStyle="1" w:styleId="COMexecsummmainissuesbullets">
    <w:name w:val="COM exec summ main issues bullets"/>
    <w:basedOn w:val="ListParagraph"/>
    <w:link w:val="COMexecsummmainissuesbulletsChar"/>
    <w:qFormat/>
    <w:rsid w:val="00023AB6"/>
    <w:pPr>
      <w:numPr>
        <w:numId w:val="5"/>
      </w:numPr>
    </w:pPr>
    <w:rPr>
      <w:color w:val="0066FF"/>
    </w:rPr>
  </w:style>
  <w:style w:type="character" w:customStyle="1" w:styleId="COMexecsummbulletlistChar">
    <w:name w:val="COM exec summ bullet list Char"/>
    <w:basedOn w:val="ListParagraphChar"/>
    <w:link w:val="COMexecsummbulletlist"/>
    <w:rsid w:val="00DB0020"/>
    <w:rPr>
      <w:rFonts w:asciiTheme="minorHAnsi" w:hAnsiTheme="minorHAnsi" w:cs="Arial"/>
      <w:snapToGrid w:val="0"/>
      <w:sz w:val="24"/>
      <w:szCs w:val="24"/>
    </w:rPr>
  </w:style>
  <w:style w:type="paragraph" w:customStyle="1" w:styleId="COMH3">
    <w:name w:val="COM H3"/>
    <w:basedOn w:val="Normal"/>
    <w:next w:val="Normal"/>
    <w:link w:val="COMH3Char"/>
    <w:qFormat/>
    <w:rsid w:val="00996EAA"/>
    <w:pPr>
      <w:keepNext/>
      <w:spacing w:after="240"/>
      <w:outlineLvl w:val="2"/>
    </w:pPr>
    <w:rPr>
      <w:b/>
      <w:iCs/>
      <w:sz w:val="28"/>
    </w:rPr>
  </w:style>
  <w:style w:type="paragraph" w:styleId="ListParagraph">
    <w:name w:val="List Paragraph"/>
    <w:aliases w:val="Numbered para,BulletPoints,Body Text Bullet Points,List Paragraph1,Bullet point,List Paragraph11,Recommendation,Section heading,Footnote,bullet,FooterText,Bullet List,numbered,Paragraphe de liste1,Bulletr List Paragraph,????,????1,?????1"/>
    <w:next w:val="ListBullet"/>
    <w:link w:val="ListParagraphChar"/>
    <w:uiPriority w:val="34"/>
    <w:qFormat/>
    <w:rsid w:val="00BB00B3"/>
    <w:pPr>
      <w:numPr>
        <w:numId w:val="2"/>
      </w:numPr>
      <w:spacing w:after="120"/>
      <w:jc w:val="both"/>
    </w:pPr>
    <w:rPr>
      <w:rFonts w:asciiTheme="minorHAnsi" w:hAnsiTheme="minorHAnsi" w:cs="Arial"/>
      <w:snapToGrid w:val="0"/>
      <w:sz w:val="24"/>
      <w:szCs w:val="24"/>
    </w:rPr>
  </w:style>
  <w:style w:type="paragraph" w:styleId="ListBullet">
    <w:name w:val="List Bullet"/>
    <w:aliases w:val="zz List Bullet"/>
    <w:basedOn w:val="Normal"/>
    <w:link w:val="ListBulletChar"/>
    <w:unhideWhenUsed/>
    <w:rsid w:val="00EE1996"/>
    <w:pPr>
      <w:numPr>
        <w:numId w:val="3"/>
      </w:numPr>
      <w:contextualSpacing/>
    </w:pPr>
  </w:style>
  <w:style w:type="character" w:customStyle="1" w:styleId="ListParagraphChar">
    <w:name w:val="List Paragraph Char"/>
    <w:aliases w:val="Numbered para Char,BulletPoints Char,Body Text Bullet Points Char,List Paragraph1 Char,Bullet point Char,List Paragraph11 Char,Recommendation Char,Section heading Char,Footnote Char,bullet Char,FooterText Char,Bullet List Char"/>
    <w:basedOn w:val="DefaultParagraphFont"/>
    <w:link w:val="ListParagraph"/>
    <w:uiPriority w:val="34"/>
    <w:qFormat/>
    <w:locked/>
    <w:rsid w:val="00BB00B3"/>
    <w:rPr>
      <w:rFonts w:asciiTheme="minorHAnsi" w:hAnsiTheme="minorHAnsi" w:cs="Arial"/>
      <w:snapToGrid w:val="0"/>
      <w:sz w:val="24"/>
      <w:szCs w:val="24"/>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H2-numbered">
    <w:name w:val="COM H2 - numbered"/>
    <w:basedOn w:val="Heading2"/>
    <w:link w:val="COMH2-numberedChar"/>
    <w:qFormat/>
    <w:rsid w:val="00721EA3"/>
    <w:pPr>
      <w:keepNext/>
      <w:spacing w:after="240"/>
    </w:p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B3306"/>
    <w:pPr>
      <w:tabs>
        <w:tab w:val="left" w:pos="440"/>
        <w:tab w:val="right" w:leader="dot" w:pos="9016"/>
      </w:tabs>
      <w:spacing w:after="120"/>
      <w:jc w:val="left"/>
    </w:pPr>
    <w:rPr>
      <w:bCs/>
      <w:sz w:val="20"/>
    </w:rPr>
  </w:style>
  <w:style w:type="character" w:customStyle="1" w:styleId="COMexecsummmainissuesbulletsChar">
    <w:name w:val="COM exec summ main issues bullets Char"/>
    <w:basedOn w:val="ListParagraphChar"/>
    <w:link w:val="COMexecsummmainissuesbullets"/>
    <w:rsid w:val="00023AB6"/>
    <w:rPr>
      <w:rFonts w:asciiTheme="minorHAnsi" w:hAnsiTheme="minorHAnsi" w:cs="Arial"/>
      <w:snapToGrid w:val="0"/>
      <w:color w:val="0066FF"/>
      <w:sz w:val="24"/>
      <w:szCs w:val="24"/>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character" w:customStyle="1" w:styleId="COMH2-numberedChar">
    <w:name w:val="COM H2 - numbered Char"/>
    <w:basedOn w:val="Heading2Char"/>
    <w:link w:val="COMH2-numbered"/>
    <w:rsid w:val="00721EA3"/>
    <w:rPr>
      <w:rFonts w:ascii="Calibri" w:hAnsi="Calibri" w:cs="Arial"/>
      <w:b/>
      <w:i/>
      <w:sz w:val="28"/>
      <w:szCs w:val="24"/>
    </w:rPr>
  </w:style>
  <w:style w:type="paragraph" w:customStyle="1" w:styleId="COMH4">
    <w:name w:val="COM H4"/>
    <w:basedOn w:val="Normal"/>
    <w:link w:val="COMH4Char"/>
    <w:qFormat/>
    <w:rsid w:val="00C042D3"/>
    <w:pPr>
      <w:spacing w:after="120"/>
    </w:pPr>
    <w:rPr>
      <w:b/>
      <w:i/>
    </w:rPr>
  </w:style>
  <w:style w:type="character" w:customStyle="1" w:styleId="COMH3Char">
    <w:name w:val="COM H3 Char"/>
    <w:basedOn w:val="DefaultParagraphFont"/>
    <w:link w:val="COMH3"/>
    <w:rsid w:val="00996EAA"/>
    <w:rPr>
      <w:rFonts w:ascii="Calibri" w:hAnsi="Calibri" w:cs="Arial"/>
      <w:b/>
      <w:iCs/>
      <w:sz w:val="28"/>
      <w:szCs w:val="24"/>
    </w:rPr>
  </w:style>
  <w:style w:type="paragraph" w:customStyle="1" w:styleId="COMbodybulletlist">
    <w:name w:val="COM body bullet list"/>
    <w:basedOn w:val="ListBullet"/>
    <w:link w:val="COMbodybulletlistChar"/>
    <w:qFormat/>
    <w:rsid w:val="00894E87"/>
  </w:style>
  <w:style w:type="character" w:customStyle="1" w:styleId="COMH4Char">
    <w:name w:val="COM H4 Char"/>
    <w:basedOn w:val="DefaultParagraphFont"/>
    <w:link w:val="COMH4"/>
    <w:rsid w:val="00C042D3"/>
    <w:rPr>
      <w:rFonts w:ascii="Calibri" w:hAnsi="Calibri" w:cs="Arial"/>
      <w:b/>
      <w:i/>
      <w:sz w:val="24"/>
      <w:szCs w:val="24"/>
    </w:rPr>
  </w:style>
  <w:style w:type="paragraph" w:customStyle="1" w:styleId="zzBulletpoints">
    <w:name w:val="zz Bullet points"/>
    <w:basedOn w:val="ListParagraph"/>
    <w:rsid w:val="00B70E8E"/>
    <w:pPr>
      <w:numPr>
        <w:numId w:val="1"/>
      </w:numPr>
      <w:contextualSpacing/>
    </w:pPr>
  </w:style>
  <w:style w:type="paragraph" w:customStyle="1" w:styleId="COMBody">
    <w:name w:val="COM Body"/>
    <w:basedOn w:val="Normal"/>
    <w:link w:val="COMBodyChar"/>
    <w:qFormat/>
    <w:rsid w:val="00894E87"/>
  </w:style>
  <w:style w:type="character" w:customStyle="1" w:styleId="ListBulletChar">
    <w:name w:val="List Bullet Char"/>
    <w:aliases w:val="zz List Bullet Char"/>
    <w:basedOn w:val="DefaultParagraphFont"/>
    <w:link w:val="ListBullet"/>
    <w:rsid w:val="00894E87"/>
    <w:rPr>
      <w:rFonts w:ascii="Calibri" w:hAnsi="Calibri" w:cs="Arial"/>
      <w:sz w:val="24"/>
      <w:szCs w:val="24"/>
    </w:rPr>
  </w:style>
  <w:style w:type="paragraph" w:styleId="Revision">
    <w:name w:val="Revision"/>
    <w:hidden/>
    <w:uiPriority w:val="99"/>
    <w:semiHidden/>
    <w:rsid w:val="00043C37"/>
    <w:rPr>
      <w:rFonts w:ascii="Arial" w:hAnsi="Arial" w:cs="Arial"/>
      <w:snapToGrid w:val="0"/>
      <w:sz w:val="22"/>
      <w:lang w:eastAsia="en-US"/>
    </w:rPr>
  </w:style>
  <w:style w:type="character" w:customStyle="1" w:styleId="COMbodybulletlistChar">
    <w:name w:val="COM body bullet list Char"/>
    <w:basedOn w:val="ListBulletChar"/>
    <w:link w:val="COMbodybulletlist"/>
    <w:rsid w:val="00894E87"/>
    <w:rPr>
      <w:rFonts w:ascii="Calibri" w:hAnsi="Calibri" w:cs="Arial"/>
      <w:sz w:val="24"/>
      <w:szCs w:val="24"/>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character" w:customStyle="1" w:styleId="COMBodyChar">
    <w:name w:val="COM Body Char"/>
    <w:basedOn w:val="DefaultParagraphFont"/>
    <w:link w:val="COMBody"/>
    <w:rsid w:val="00894E87"/>
    <w:rPr>
      <w:rFonts w:ascii="Calibri" w:hAnsi="Calibri" w:cs="Arial"/>
      <w:sz w:val="24"/>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COMTabletext">
    <w:name w:val="COM Table text"/>
    <w:link w:val="COMTabletextChar"/>
    <w:qFormat/>
    <w:rsid w:val="00EE1996"/>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EE1996"/>
    <w:rPr>
      <w:rFonts w:ascii="Arial Narrow" w:eastAsiaTheme="majorEastAsia" w:hAnsi="Arial Narrow" w:cstheme="majorBidi"/>
      <w:bCs/>
      <w:szCs w:val="24"/>
    </w:rPr>
  </w:style>
  <w:style w:type="paragraph" w:customStyle="1" w:styleId="COMTableheadingrow">
    <w:name w:val="COM Table heading row"/>
    <w:qFormat/>
    <w:rsid w:val="00EE1996"/>
    <w:pPr>
      <w:keepNext/>
    </w:pPr>
    <w:rPr>
      <w:rFonts w:ascii="Arial Narrow" w:eastAsiaTheme="majorEastAsia" w:hAnsi="Arial Narrow"/>
      <w:b/>
      <w:szCs w:val="24"/>
      <w:lang w:val="en-US"/>
    </w:rPr>
  </w:style>
  <w:style w:type="paragraph" w:customStyle="1" w:styleId="COMH1numbered">
    <w:name w:val="COM H1 numbered"/>
    <w:next w:val="Normal"/>
    <w:link w:val="COMH1numberedChar"/>
    <w:qFormat/>
    <w:rsid w:val="00163E81"/>
    <w:pPr>
      <w:keepNext/>
      <w:numPr>
        <w:numId w:val="4"/>
      </w:numPr>
      <w:spacing w:before="240" w:after="120"/>
      <w:outlineLvl w:val="0"/>
    </w:pPr>
    <w:rPr>
      <w:rFonts w:asciiTheme="minorHAnsi" w:hAnsiTheme="minorHAnsi" w:cs="Arial"/>
      <w:b/>
      <w:snapToGrid w:val="0"/>
      <w:sz w:val="32"/>
      <w:szCs w:val="32"/>
    </w:rPr>
  </w:style>
  <w:style w:type="paragraph" w:customStyle="1" w:styleId="COMH1-non-numbered">
    <w:name w:val="COM H1 - non-numbered"/>
    <w:next w:val="Normal"/>
    <w:link w:val="COMH1-non-numberedChar"/>
    <w:qFormat/>
    <w:rsid w:val="00603248"/>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603248"/>
    <w:rPr>
      <w:rFonts w:asciiTheme="minorHAnsi" w:eastAsiaTheme="majorEastAsia" w:hAnsiTheme="minorHAnsi" w:cstheme="majorBidi"/>
      <w:b/>
      <w:spacing w:val="5"/>
      <w:kern w:val="28"/>
      <w:sz w:val="32"/>
      <w:szCs w:val="36"/>
    </w:rPr>
  </w:style>
  <w:style w:type="paragraph" w:customStyle="1" w:styleId="COMtablefigcaption">
    <w:name w:val="COM table/fig caption"/>
    <w:next w:val="COMTableheadingrow"/>
    <w:link w:val="COMtablefigcaptionChar"/>
    <w:qFormat/>
    <w:rsid w:val="005478BD"/>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5478BD"/>
    <w:rPr>
      <w:rFonts w:ascii="Arial Narrow" w:eastAsiaTheme="majorEastAsia" w:hAnsi="Arial Narrow" w:cstheme="majorBidi"/>
      <w:b/>
      <w:bCs/>
      <w:szCs w:val="24"/>
    </w:rPr>
  </w:style>
  <w:style w:type="paragraph" w:customStyle="1" w:styleId="COMexecsumnumberedpara">
    <w:name w:val="COM exec sum numbered para"/>
    <w:basedOn w:val="ListParagraph"/>
    <w:link w:val="COMexecsumnumberedparaChar"/>
    <w:qFormat/>
    <w:rsid w:val="00B5370E"/>
    <w:pPr>
      <w:numPr>
        <w:ilvl w:val="1"/>
        <w:numId w:val="4"/>
      </w:numPr>
    </w:pPr>
  </w:style>
  <w:style w:type="character" w:customStyle="1" w:styleId="COMexecsumnumberedparaChar">
    <w:name w:val="COM exec sum numbered para Char"/>
    <w:basedOn w:val="ListParagraphChar"/>
    <w:link w:val="COMexecsumnumberedpara"/>
    <w:rsid w:val="00B5370E"/>
    <w:rPr>
      <w:rFonts w:asciiTheme="minorHAnsi" w:hAnsiTheme="minorHAnsi" w:cs="Arial"/>
      <w:snapToGrid w:val="0"/>
      <w:sz w:val="24"/>
      <w:szCs w:val="24"/>
    </w:rPr>
  </w:style>
  <w:style w:type="paragraph" w:customStyle="1" w:styleId="COMTablefooter">
    <w:name w:val="COM Table footer"/>
    <w:basedOn w:val="Normal"/>
    <w:next w:val="Normal"/>
    <w:link w:val="COMTablefooterChar"/>
    <w:qFormat/>
    <w:rsid w:val="00EC5836"/>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EC5836"/>
    <w:rPr>
      <w:rFonts w:ascii="Arial Narrow" w:hAnsi="Arial Narrow" w:cs="Arial"/>
      <w:snapToGrid w:val="0"/>
      <w:sz w:val="18"/>
      <w:szCs w:val="22"/>
    </w:rPr>
  </w:style>
  <w:style w:type="paragraph" w:customStyle="1" w:styleId="COMH2-non-numbered">
    <w:name w:val="COM H2 - non-numbered"/>
    <w:basedOn w:val="Heading2"/>
    <w:next w:val="Normal"/>
    <w:link w:val="COMH2-non-numbered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COMH2-non-numberedChar">
    <w:name w:val="COM H2 - non-numbered Char"/>
    <w:basedOn w:val="Heading2Char"/>
    <w:link w:val="COMH2-non-numbered"/>
    <w:rsid w:val="00EE1996"/>
    <w:rPr>
      <w:rFonts w:asciiTheme="minorHAnsi" w:eastAsiaTheme="majorEastAsia" w:hAnsiTheme="minorHAnsi" w:cstheme="majorBidi"/>
      <w:b/>
      <w:i/>
      <w:snapToGrid w:val="0"/>
      <w:spacing w:val="5"/>
      <w:kern w:val="28"/>
      <w:sz w:val="28"/>
      <w:szCs w:val="36"/>
      <w:lang w:eastAsia="en-US"/>
    </w:rPr>
  </w:style>
  <w:style w:type="character" w:customStyle="1" w:styleId="COMH1numberedChar">
    <w:name w:val="COM H1 numbered Char"/>
    <w:basedOn w:val="DefaultParagraphFont"/>
    <w:link w:val="COMH1numbered"/>
    <w:rsid w:val="00163E81"/>
    <w:rPr>
      <w:rFonts w:asciiTheme="minorHAnsi" w:hAnsiTheme="minorHAnsi" w:cs="Arial"/>
      <w:b/>
      <w:snapToGrid w:val="0"/>
      <w:sz w:val="32"/>
      <w:szCs w:val="32"/>
    </w:rPr>
  </w:style>
  <w:style w:type="character" w:styleId="Hyperlink">
    <w:name w:val="Hyperlink"/>
    <w:basedOn w:val="DefaultParagraphFont"/>
    <w:uiPriority w:val="99"/>
    <w:unhideWhenUsed/>
    <w:rsid w:val="006A74CB"/>
    <w:rPr>
      <w:color w:val="0000FF" w:themeColor="hyperlink"/>
      <w:u w:val="single"/>
    </w:rPr>
  </w:style>
  <w:style w:type="paragraph" w:styleId="TOC4">
    <w:name w:val="toc 4"/>
    <w:basedOn w:val="Normal"/>
    <w:next w:val="Normal"/>
    <w:autoRedefine/>
    <w:uiPriority w:val="39"/>
    <w:unhideWhenUsed/>
    <w:rsid w:val="006A74CB"/>
    <w:pPr>
      <w:spacing w:after="100" w:line="259"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6A74CB"/>
    <w:pPr>
      <w:spacing w:after="100" w:line="259"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6A74CB"/>
    <w:pPr>
      <w:spacing w:after="100" w:line="259"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6A74CB"/>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6A74CB"/>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6A74CB"/>
    <w:pPr>
      <w:spacing w:after="100" w:line="259" w:lineRule="auto"/>
      <w:ind w:left="1760"/>
      <w:jc w:val="left"/>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6A74CB"/>
    <w:rPr>
      <w:color w:val="605E5C"/>
      <w:shd w:val="clear" w:color="auto" w:fill="E1DFDD"/>
    </w:rPr>
  </w:style>
  <w:style w:type="paragraph" w:styleId="Header">
    <w:name w:val="header"/>
    <w:aliases w:val="Page Header,Header title,he=header,cntr/bld"/>
    <w:basedOn w:val="Normal"/>
    <w:link w:val="HeaderChar"/>
    <w:unhideWhenUsed/>
    <w:qFormat/>
    <w:rsid w:val="0054409A"/>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54409A"/>
    <w:rPr>
      <w:rFonts w:ascii="Calibri" w:hAnsi="Calibri" w:cs="Arial"/>
      <w:sz w:val="24"/>
      <w:szCs w:val="24"/>
    </w:rPr>
  </w:style>
  <w:style w:type="paragraph" w:styleId="Footer">
    <w:name w:val="footer"/>
    <w:basedOn w:val="Normal"/>
    <w:link w:val="FooterChar"/>
    <w:uiPriority w:val="99"/>
    <w:unhideWhenUsed/>
    <w:qFormat/>
    <w:rsid w:val="0054409A"/>
    <w:pPr>
      <w:tabs>
        <w:tab w:val="center" w:pos="4513"/>
        <w:tab w:val="right" w:pos="9026"/>
      </w:tabs>
    </w:pPr>
  </w:style>
  <w:style w:type="character" w:customStyle="1" w:styleId="FooterChar">
    <w:name w:val="Footer Char"/>
    <w:basedOn w:val="DefaultParagraphFont"/>
    <w:link w:val="Footer"/>
    <w:uiPriority w:val="99"/>
    <w:rsid w:val="0054409A"/>
    <w:rPr>
      <w:rFonts w:ascii="Calibri" w:hAnsi="Calibri" w:cs="Arial"/>
      <w:sz w:val="24"/>
      <w:szCs w:val="24"/>
    </w:rPr>
  </w:style>
  <w:style w:type="character" w:styleId="CommentReference">
    <w:name w:val="annotation reference"/>
    <w:aliases w:val="Table Title,-H18"/>
    <w:uiPriority w:val="99"/>
    <w:qFormat/>
    <w:rsid w:val="00323E95"/>
    <w:rPr>
      <w:rFonts w:ascii="Arial Narrow" w:hAnsi="Arial Narrow"/>
      <w:b/>
      <w:sz w:val="20"/>
      <w:szCs w:val="16"/>
    </w:rPr>
  </w:style>
  <w:style w:type="paragraph" w:customStyle="1" w:styleId="2-SectionHeading">
    <w:name w:val="2-Section Heading"/>
    <w:qFormat/>
    <w:rsid w:val="009E7C21"/>
    <w:pPr>
      <w:keepNext/>
      <w:spacing w:before="240" w:after="120"/>
      <w:ind w:left="720" w:hanging="720"/>
      <w:outlineLvl w:val="0"/>
    </w:pPr>
    <w:rPr>
      <w:rFonts w:asciiTheme="minorHAnsi" w:hAnsiTheme="minorHAnsi" w:cs="Arial"/>
      <w:b/>
      <w:snapToGrid w:val="0"/>
      <w:sz w:val="32"/>
      <w:szCs w:val="32"/>
    </w:rPr>
  </w:style>
  <w:style w:type="paragraph" w:customStyle="1" w:styleId="TableFigureCaption">
    <w:name w:val="Table/Figure Caption"/>
    <w:next w:val="Tableheadingrow"/>
    <w:link w:val="TableFigureCaptionChar"/>
    <w:qFormat/>
    <w:rsid w:val="00847CDF"/>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847CDF"/>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9E7C21"/>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rsid w:val="009E7C21"/>
    <w:rPr>
      <w:rFonts w:asciiTheme="minorHAnsi" w:hAnsiTheme="minorHAnsi" w:cs="Arial"/>
      <w:snapToGrid w:val="0"/>
      <w:sz w:val="24"/>
      <w:szCs w:val="24"/>
    </w:rPr>
  </w:style>
  <w:style w:type="paragraph" w:customStyle="1" w:styleId="TableFooter">
    <w:name w:val="Table Footer"/>
    <w:basedOn w:val="Normal"/>
    <w:link w:val="TableFooterChar"/>
    <w:qFormat/>
    <w:rsid w:val="009E7C21"/>
    <w:pPr>
      <w:widowControl w:val="0"/>
      <w:spacing w:after="60"/>
      <w:contextualSpacing/>
    </w:pPr>
    <w:rPr>
      <w:rFonts w:ascii="Arial Narrow" w:hAnsi="Arial Narrow"/>
      <w:snapToGrid w:val="0"/>
      <w:sz w:val="18"/>
      <w:szCs w:val="22"/>
      <w:lang w:eastAsia="en-US"/>
    </w:rPr>
  </w:style>
  <w:style w:type="character" w:customStyle="1" w:styleId="TableFooterChar">
    <w:name w:val="Table Footer Char"/>
    <w:link w:val="TableFooter"/>
    <w:rsid w:val="009E7C21"/>
    <w:rPr>
      <w:rFonts w:ascii="Arial Narrow" w:hAnsi="Arial Narrow" w:cs="Arial"/>
      <w:snapToGrid w:val="0"/>
      <w:sz w:val="18"/>
      <w:szCs w:val="22"/>
      <w:lang w:eastAsia="en-US"/>
    </w:rPr>
  </w:style>
  <w:style w:type="paragraph" w:customStyle="1" w:styleId="Tabletext">
    <w:name w:val="Table text"/>
    <w:basedOn w:val="Normal"/>
    <w:link w:val="TabletextChar"/>
    <w:uiPriority w:val="2"/>
    <w:qFormat/>
    <w:rsid w:val="009E7C21"/>
    <w:pPr>
      <w:jc w:val="left"/>
    </w:pPr>
    <w:rPr>
      <w:rFonts w:ascii="Arial Narrow" w:hAnsi="Arial Narrow" w:cs="Times New Roman"/>
      <w:sz w:val="20"/>
      <w:szCs w:val="22"/>
      <w:lang w:eastAsia="en-US"/>
    </w:rPr>
  </w:style>
  <w:style w:type="character" w:customStyle="1" w:styleId="TabletextChar">
    <w:name w:val="Table text Char"/>
    <w:link w:val="Tabletext"/>
    <w:uiPriority w:val="2"/>
    <w:rsid w:val="009E7C21"/>
    <w:rPr>
      <w:rFonts w:ascii="Arial Narrow" w:hAnsi="Arial Narrow"/>
      <w:szCs w:val="22"/>
      <w:lang w:eastAsia="en-US"/>
    </w:rPr>
  </w:style>
  <w:style w:type="paragraph" w:customStyle="1" w:styleId="TableText0">
    <w:name w:val="Table Text"/>
    <w:link w:val="TableTextChar0"/>
    <w:qFormat/>
    <w:rsid w:val="005D559E"/>
    <w:pPr>
      <w:keepNext/>
    </w:pPr>
    <w:rPr>
      <w:rFonts w:ascii="Arial Narrow" w:eastAsiaTheme="majorEastAsia" w:hAnsi="Arial Narrow" w:cstheme="majorBidi"/>
      <w:bCs/>
      <w:szCs w:val="24"/>
    </w:rPr>
  </w:style>
  <w:style w:type="character" w:customStyle="1" w:styleId="TableTextChar0">
    <w:name w:val="Table Text Char"/>
    <w:basedOn w:val="DefaultParagraphFont"/>
    <w:link w:val="TableText0"/>
    <w:rsid w:val="005D559E"/>
    <w:rPr>
      <w:rFonts w:ascii="Arial Narrow" w:eastAsiaTheme="majorEastAsia" w:hAnsi="Arial Narrow" w:cstheme="majorBidi"/>
      <w:bCs/>
      <w:szCs w:val="24"/>
    </w:rPr>
  </w:style>
  <w:style w:type="paragraph" w:customStyle="1" w:styleId="TableFigureFooter">
    <w:name w:val="Table/Figure Footer"/>
    <w:basedOn w:val="Normal"/>
    <w:link w:val="TableFigureFooterChar"/>
    <w:qFormat/>
    <w:rsid w:val="00E6122B"/>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6122B"/>
    <w:rPr>
      <w:rFonts w:ascii="Arial Narrow" w:hAnsi="Arial Narrow" w:cs="Arial"/>
      <w:snapToGrid w:val="0"/>
      <w:sz w:val="18"/>
      <w:szCs w:val="22"/>
    </w:rPr>
  </w:style>
  <w:style w:type="paragraph" w:styleId="CommentText">
    <w:name w:val="annotation text"/>
    <w:basedOn w:val="Normal"/>
    <w:link w:val="CommentTextChar"/>
    <w:uiPriority w:val="99"/>
    <w:unhideWhenUsed/>
    <w:rsid w:val="00EC77C4"/>
    <w:rPr>
      <w:sz w:val="20"/>
      <w:szCs w:val="20"/>
    </w:rPr>
  </w:style>
  <w:style w:type="character" w:customStyle="1" w:styleId="CommentTextChar">
    <w:name w:val="Comment Text Char"/>
    <w:basedOn w:val="DefaultParagraphFont"/>
    <w:link w:val="CommentText"/>
    <w:uiPriority w:val="99"/>
    <w:rsid w:val="00EC77C4"/>
    <w:rPr>
      <w:rFonts w:ascii="Calibri" w:hAnsi="Calibri" w:cs="Arial"/>
    </w:rPr>
  </w:style>
  <w:style w:type="paragraph" w:styleId="CommentSubject">
    <w:name w:val="annotation subject"/>
    <w:basedOn w:val="CommentText"/>
    <w:next w:val="CommentText"/>
    <w:link w:val="CommentSubjectChar"/>
    <w:semiHidden/>
    <w:unhideWhenUsed/>
    <w:rsid w:val="00EC77C4"/>
    <w:rPr>
      <w:b/>
      <w:bCs/>
    </w:rPr>
  </w:style>
  <w:style w:type="character" w:customStyle="1" w:styleId="CommentSubjectChar">
    <w:name w:val="Comment Subject Char"/>
    <w:basedOn w:val="CommentTextChar"/>
    <w:link w:val="CommentSubject"/>
    <w:semiHidden/>
    <w:rsid w:val="00EC77C4"/>
    <w:rPr>
      <w:rFonts w:ascii="Calibri" w:hAnsi="Calibri" w:cs="Arial"/>
      <w:b/>
      <w:bCs/>
    </w:rPr>
  </w:style>
  <w:style w:type="paragraph" w:customStyle="1" w:styleId="TableHeading">
    <w:name w:val="Table Heading"/>
    <w:basedOn w:val="Normal"/>
    <w:qFormat/>
    <w:rsid w:val="00CD3EBE"/>
    <w:pPr>
      <w:keepNext/>
      <w:jc w:val="left"/>
    </w:pPr>
    <w:rPr>
      <w:rFonts w:ascii="Arial Narrow" w:eastAsiaTheme="minorHAnsi" w:hAnsi="Arial Narrow" w:cstheme="minorBidi"/>
      <w:b/>
      <w:sz w:val="20"/>
      <w:szCs w:val="22"/>
      <w:lang w:eastAsia="en-US"/>
    </w:rPr>
  </w:style>
  <w:style w:type="paragraph" w:customStyle="1" w:styleId="3-SubsectionHeading">
    <w:name w:val="3-Subsection Heading"/>
    <w:basedOn w:val="Heading2"/>
    <w:next w:val="ExecSumBodyText"/>
    <w:link w:val="3-SubsectionHeadingChar"/>
    <w:qFormat/>
    <w:rsid w:val="00A1325B"/>
    <w:pPr>
      <w:keepNext/>
      <w:spacing w:before="120" w:after="120"/>
      <w:jc w:val="both"/>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A1325B"/>
    <w:rPr>
      <w:rFonts w:asciiTheme="minorHAnsi" w:eastAsiaTheme="majorEastAsia" w:hAnsiTheme="minorHAnsi" w:cstheme="majorBidi"/>
      <w:b/>
      <w:i/>
      <w:spacing w:val="5"/>
      <w:kern w:val="28"/>
      <w:sz w:val="28"/>
      <w:szCs w:val="36"/>
    </w:rPr>
  </w:style>
  <w:style w:type="paragraph" w:customStyle="1" w:styleId="Tableheadingrow">
    <w:name w:val="Table heading row"/>
    <w:qFormat/>
    <w:rsid w:val="00124B21"/>
    <w:pPr>
      <w:keepNext/>
    </w:pPr>
    <w:rPr>
      <w:rFonts w:ascii="Arial Narrow" w:eastAsiaTheme="majorEastAsia" w:hAnsi="Arial Narrow"/>
      <w:b/>
      <w:szCs w:val="24"/>
      <w:lang w:val="en-US"/>
    </w:rPr>
  </w:style>
  <w:style w:type="paragraph" w:customStyle="1" w:styleId="5-SubSubSubHead">
    <w:name w:val="5-Sub Sub Sub Head"/>
    <w:basedOn w:val="Heading4"/>
    <w:qFormat/>
    <w:rsid w:val="006F6A6B"/>
  </w:style>
  <w:style w:type="paragraph" w:customStyle="1" w:styleId="Bulletpoints">
    <w:name w:val="Bullet points"/>
    <w:basedOn w:val="Normal"/>
    <w:rsid w:val="006F6A6B"/>
    <w:pPr>
      <w:spacing w:after="120"/>
      <w:ind w:left="720" w:hanging="360"/>
      <w:contextualSpacing/>
    </w:pPr>
    <w:rPr>
      <w:rFonts w:asciiTheme="minorHAnsi" w:hAnsiTheme="minorHAnsi"/>
      <w:snapToGrid w:val="0"/>
    </w:rPr>
  </w:style>
  <w:style w:type="paragraph" w:customStyle="1" w:styleId="Commentitalics">
    <w:name w:val="Comment (italics)"/>
    <w:basedOn w:val="Normal"/>
    <w:next w:val="Normal"/>
    <w:qFormat/>
    <w:rsid w:val="006F6A6B"/>
    <w:rPr>
      <w:i/>
    </w:rPr>
  </w:style>
  <w:style w:type="paragraph" w:customStyle="1" w:styleId="1-MainHeading">
    <w:name w:val="1- Main Heading"/>
    <w:link w:val="1-MainHeadingChar"/>
    <w:qFormat/>
    <w:rsid w:val="006F6A6B"/>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6F6A6B"/>
    <w:rPr>
      <w:rFonts w:asciiTheme="minorHAnsi" w:eastAsiaTheme="majorEastAsia" w:hAnsiTheme="minorHAnsi" w:cstheme="majorBidi"/>
      <w:b/>
      <w:spacing w:val="5"/>
      <w:kern w:val="28"/>
      <w:sz w:val="36"/>
      <w:szCs w:val="36"/>
    </w:rPr>
  </w:style>
  <w:style w:type="paragraph" w:customStyle="1" w:styleId="4-SubsectSubhead">
    <w:name w:val="4-Subsect Subhead"/>
    <w:basedOn w:val="Heading3"/>
    <w:next w:val="ExecSumBodyText"/>
    <w:link w:val="4-SubsectSubheadChar"/>
    <w:qFormat/>
    <w:rsid w:val="006F6A6B"/>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6F6A6B"/>
    <w:rPr>
      <w:rFonts w:asciiTheme="minorHAnsi" w:eastAsiaTheme="majorEastAsia" w:hAnsiTheme="minorHAnsi" w:cstheme="majorBidi"/>
      <w:b/>
      <w:color w:val="000000" w:themeColor="text1"/>
      <w:sz w:val="28"/>
      <w:szCs w:val="28"/>
    </w:rPr>
  </w:style>
  <w:style w:type="paragraph" w:customStyle="1" w:styleId="ListBulletlvl3">
    <w:name w:val="List Bullet lvl 3"/>
    <w:basedOn w:val="ListBullet"/>
    <w:qFormat/>
    <w:rsid w:val="006F6A6B"/>
    <w:pPr>
      <w:numPr>
        <w:ilvl w:val="2"/>
        <w:numId w:val="6"/>
      </w:numPr>
      <w:spacing w:after="120" w:line="276" w:lineRule="auto"/>
      <w:contextualSpacing w:val="0"/>
      <w:jc w:val="left"/>
    </w:pPr>
    <w:rPr>
      <w:rFonts w:eastAsiaTheme="minorHAnsi" w:cstheme="minorBidi"/>
      <w:szCs w:val="22"/>
      <w:lang w:eastAsia="en-US"/>
    </w:rPr>
  </w:style>
  <w:style w:type="paragraph" w:customStyle="1" w:styleId="ListBulletlvl4">
    <w:name w:val="List Bullet lvl 4"/>
    <w:basedOn w:val="ListBullet"/>
    <w:qFormat/>
    <w:rsid w:val="006F6A6B"/>
    <w:pPr>
      <w:numPr>
        <w:ilvl w:val="3"/>
        <w:numId w:val="6"/>
      </w:numPr>
      <w:spacing w:after="120" w:line="276" w:lineRule="auto"/>
      <w:contextualSpacing w:val="0"/>
      <w:jc w:val="left"/>
    </w:pPr>
    <w:rPr>
      <w:rFonts w:eastAsiaTheme="minorHAnsi" w:cstheme="minorBidi"/>
      <w:szCs w:val="22"/>
      <w:lang w:eastAsia="en-US"/>
    </w:rPr>
  </w:style>
  <w:style w:type="paragraph" w:customStyle="1" w:styleId="ListBulletlvl5">
    <w:name w:val="List Bullet lvl 5"/>
    <w:basedOn w:val="ListBullet"/>
    <w:qFormat/>
    <w:rsid w:val="006F6A6B"/>
    <w:pPr>
      <w:numPr>
        <w:ilvl w:val="4"/>
        <w:numId w:val="6"/>
      </w:numPr>
      <w:spacing w:after="120" w:line="276" w:lineRule="auto"/>
      <w:contextualSpacing w:val="0"/>
      <w:jc w:val="left"/>
    </w:pPr>
    <w:rPr>
      <w:rFonts w:eastAsiaTheme="minorHAnsi" w:cstheme="minorBidi"/>
      <w:szCs w:val="22"/>
      <w:lang w:eastAsia="en-US"/>
    </w:rPr>
  </w:style>
  <w:style w:type="paragraph" w:customStyle="1" w:styleId="ListBulletlvl6">
    <w:name w:val="List Bullet lvl 6"/>
    <w:basedOn w:val="ListBullet"/>
    <w:qFormat/>
    <w:rsid w:val="006F6A6B"/>
    <w:pPr>
      <w:numPr>
        <w:ilvl w:val="5"/>
        <w:numId w:val="6"/>
      </w:numPr>
      <w:spacing w:after="120" w:line="276" w:lineRule="auto"/>
      <w:contextualSpacing w:val="0"/>
      <w:jc w:val="left"/>
    </w:pPr>
    <w:rPr>
      <w:rFonts w:eastAsiaTheme="minorHAnsi" w:cstheme="minorBidi"/>
      <w:szCs w:val="22"/>
      <w:lang w:eastAsia="en-US"/>
    </w:rPr>
  </w:style>
  <w:style w:type="paragraph" w:customStyle="1" w:styleId="ListBulletlvl7">
    <w:name w:val="List Bullet lvl 7"/>
    <w:basedOn w:val="ListBullet"/>
    <w:qFormat/>
    <w:rsid w:val="006F6A6B"/>
    <w:pPr>
      <w:numPr>
        <w:ilvl w:val="6"/>
        <w:numId w:val="6"/>
      </w:numPr>
      <w:spacing w:after="120" w:line="276" w:lineRule="auto"/>
      <w:contextualSpacing w:val="0"/>
      <w:jc w:val="left"/>
    </w:pPr>
    <w:rPr>
      <w:rFonts w:eastAsiaTheme="minorHAnsi" w:cstheme="minorBidi"/>
      <w:szCs w:val="22"/>
      <w:lang w:eastAsia="en-US"/>
    </w:rPr>
  </w:style>
  <w:style w:type="paragraph" w:customStyle="1" w:styleId="ListBulletlvl8">
    <w:name w:val="List Bullet lvl 8"/>
    <w:basedOn w:val="ListBullet"/>
    <w:qFormat/>
    <w:rsid w:val="006F6A6B"/>
    <w:pPr>
      <w:numPr>
        <w:ilvl w:val="7"/>
        <w:numId w:val="6"/>
      </w:numPr>
      <w:spacing w:after="120" w:line="276" w:lineRule="auto"/>
      <w:contextualSpacing w:val="0"/>
      <w:jc w:val="left"/>
    </w:pPr>
    <w:rPr>
      <w:rFonts w:eastAsiaTheme="minorHAnsi" w:cstheme="minorBidi"/>
      <w:szCs w:val="22"/>
      <w:lang w:eastAsia="en-US"/>
    </w:rPr>
  </w:style>
  <w:style w:type="paragraph" w:customStyle="1" w:styleId="ListBulletlvl9">
    <w:name w:val="List Bullet lvl 9"/>
    <w:basedOn w:val="ListBullet"/>
    <w:qFormat/>
    <w:rsid w:val="006F6A6B"/>
    <w:pPr>
      <w:numPr>
        <w:ilvl w:val="8"/>
        <w:numId w:val="6"/>
      </w:numPr>
      <w:spacing w:after="120" w:line="276" w:lineRule="auto"/>
      <w:contextualSpacing w:val="0"/>
      <w:jc w:val="left"/>
    </w:pPr>
    <w:rPr>
      <w:rFonts w:eastAsiaTheme="minorHAnsi" w:cstheme="minorBidi"/>
      <w:szCs w:val="22"/>
      <w:lang w:eastAsia="en-US"/>
    </w:rPr>
  </w:style>
  <w:style w:type="character" w:customStyle="1" w:styleId="li-content">
    <w:name w:val="li-content"/>
    <w:basedOn w:val="DefaultParagraphFont"/>
    <w:rsid w:val="006F6A6B"/>
    <w:rPr>
      <w:color w:val="000000"/>
    </w:rPr>
  </w:style>
  <w:style w:type="paragraph" w:customStyle="1" w:styleId="COMtbl-HEADLeftAligned">
    <w:name w:val="COMtbl-HEAD Left Aligned"/>
    <w:basedOn w:val="Normal"/>
    <w:qFormat/>
    <w:rsid w:val="006F6A6B"/>
    <w:pPr>
      <w:widowControl w:val="0"/>
      <w:tabs>
        <w:tab w:val="left" w:pos="720"/>
      </w:tabs>
      <w:jc w:val="left"/>
    </w:pPr>
    <w:rPr>
      <w:rFonts w:ascii="Arial Narrow" w:hAnsi="Arial Narrow"/>
      <w:b/>
      <w:snapToGrid w:val="0"/>
      <w:sz w:val="20"/>
      <w:szCs w:val="20"/>
      <w:lang w:eastAsia="en-US"/>
    </w:rPr>
  </w:style>
  <w:style w:type="paragraph" w:customStyle="1" w:styleId="COMtbl-HEADCentred">
    <w:name w:val="COMtbl-HEAD Centred"/>
    <w:basedOn w:val="COMtbl-HEADLeftAligned"/>
    <w:qFormat/>
    <w:rsid w:val="006F6A6B"/>
    <w:pPr>
      <w:jc w:val="center"/>
    </w:pPr>
  </w:style>
  <w:style w:type="paragraph" w:customStyle="1" w:styleId="COMtbl-textLeftAligned">
    <w:name w:val="COMtbl-text Left Aligned"/>
    <w:basedOn w:val="COMtbl-HEADLeftAligned"/>
    <w:qFormat/>
    <w:rsid w:val="006F6A6B"/>
    <w:rPr>
      <w:b w:val="0"/>
    </w:rPr>
  </w:style>
  <w:style w:type="paragraph" w:customStyle="1" w:styleId="COMtbl-textCentred">
    <w:name w:val="COMtbl-text Centred"/>
    <w:basedOn w:val="COMtbl-HEADCentred"/>
    <w:qFormat/>
    <w:rsid w:val="006F6A6B"/>
    <w:rPr>
      <w:b w:val="0"/>
    </w:rPr>
  </w:style>
  <w:style w:type="character" w:styleId="PlaceholderText">
    <w:name w:val="Placeholder Text"/>
    <w:basedOn w:val="DefaultParagraphFont"/>
    <w:uiPriority w:val="99"/>
    <w:semiHidden/>
    <w:rsid w:val="006F6A6B"/>
    <w:rPr>
      <w:color w:val="808080"/>
    </w:rPr>
  </w:style>
  <w:style w:type="paragraph" w:styleId="Caption">
    <w:name w:val="caption"/>
    <w:basedOn w:val="Normal"/>
    <w:next w:val="Normal"/>
    <w:unhideWhenUsed/>
    <w:rsid w:val="006F6A6B"/>
    <w:pPr>
      <w:spacing w:after="200"/>
    </w:pPr>
    <w:rPr>
      <w:i/>
      <w:iCs/>
      <w:color w:val="1F497D" w:themeColor="text2"/>
      <w:sz w:val="18"/>
      <w:szCs w:val="18"/>
    </w:rPr>
  </w:style>
  <w:style w:type="paragraph" w:customStyle="1" w:styleId="RegularText">
    <w:name w:val="Regular Text"/>
    <w:basedOn w:val="BodyText"/>
    <w:link w:val="RegularTextChar"/>
    <w:rsid w:val="006F6A6B"/>
    <w:pPr>
      <w:widowControl w:val="0"/>
      <w:spacing w:after="0"/>
      <w:jc w:val="left"/>
    </w:pPr>
    <w:rPr>
      <w:b/>
      <w:snapToGrid w:val="0"/>
      <w:szCs w:val="22"/>
      <w:lang w:eastAsia="en-US"/>
    </w:rPr>
  </w:style>
  <w:style w:type="character" w:customStyle="1" w:styleId="RegularTextChar">
    <w:name w:val="Regular Text Char"/>
    <w:basedOn w:val="BodyTextChar"/>
    <w:link w:val="RegularText"/>
    <w:rsid w:val="006F6A6B"/>
    <w:rPr>
      <w:rFonts w:ascii="Calibri" w:hAnsi="Calibri" w:cs="Arial"/>
      <w:b/>
      <w:snapToGrid w:val="0"/>
      <w:sz w:val="24"/>
      <w:szCs w:val="22"/>
      <w:lang w:eastAsia="en-US"/>
    </w:rPr>
  </w:style>
  <w:style w:type="paragraph" w:styleId="BodyText">
    <w:name w:val="Body Text"/>
    <w:basedOn w:val="Normal"/>
    <w:link w:val="BodyTextChar"/>
    <w:unhideWhenUsed/>
    <w:qFormat/>
    <w:rsid w:val="006F6A6B"/>
    <w:pPr>
      <w:spacing w:after="120"/>
    </w:pPr>
  </w:style>
  <w:style w:type="character" w:customStyle="1" w:styleId="BodyTextChar">
    <w:name w:val="Body Text Char"/>
    <w:basedOn w:val="DefaultParagraphFont"/>
    <w:link w:val="BodyText"/>
    <w:rsid w:val="006F6A6B"/>
    <w:rPr>
      <w:rFonts w:ascii="Calibri" w:hAnsi="Calibri" w:cs="Arial"/>
      <w:sz w:val="24"/>
      <w:szCs w:val="24"/>
    </w:rPr>
  </w:style>
  <w:style w:type="table" w:customStyle="1" w:styleId="TableGridbeth1">
    <w:name w:val="Table Gridbeth1"/>
    <w:basedOn w:val="TableNormal"/>
    <w:next w:val="TableGrid"/>
    <w:uiPriority w:val="59"/>
    <w:rsid w:val="006F6A6B"/>
    <w:rPr>
      <w:rFonts w:ascii="Arial Narrow" w:hAnsi="Arial Narrow"/>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F6A6B"/>
    <w:pPr>
      <w:spacing w:before="100" w:beforeAutospacing="1" w:after="100" w:afterAutospacing="1"/>
      <w:jc w:val="left"/>
    </w:pPr>
    <w:rPr>
      <w:rFonts w:ascii="Times New Roman" w:hAnsi="Times New Roman" w:cs="Times New Roman"/>
    </w:rPr>
  </w:style>
  <w:style w:type="paragraph" w:customStyle="1" w:styleId="Default">
    <w:name w:val="Default"/>
    <w:rsid w:val="00406E09"/>
    <w:pPr>
      <w:autoSpaceDE w:val="0"/>
      <w:autoSpaceDN w:val="0"/>
      <w:adjustRightInd w:val="0"/>
    </w:pPr>
    <w:rPr>
      <w:rFonts w:ascii="Calibri" w:hAnsi="Calibri" w:cs="Calibri"/>
      <w:color w:val="000000"/>
      <w:sz w:val="24"/>
      <w:szCs w:val="24"/>
    </w:rPr>
  </w:style>
  <w:style w:type="paragraph" w:customStyle="1" w:styleId="pf0">
    <w:name w:val="pf0"/>
    <w:basedOn w:val="Normal"/>
    <w:rsid w:val="00254203"/>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254203"/>
    <w:rPr>
      <w:rFonts w:ascii="Segoe UI" w:hAnsi="Segoe UI" w:cs="Segoe UI" w:hint="default"/>
      <w:sz w:val="18"/>
      <w:szCs w:val="18"/>
    </w:rPr>
  </w:style>
  <w:style w:type="paragraph" w:customStyle="1" w:styleId="PBACHeading1">
    <w:name w:val="PBAC Heading 1"/>
    <w:qFormat/>
    <w:rsid w:val="003074AF"/>
    <w:pPr>
      <w:ind w:left="720" w:hanging="720"/>
      <w:outlineLvl w:val="0"/>
    </w:pPr>
    <w:rPr>
      <w:rFonts w:ascii="Calibri" w:hAnsi="Calibri" w:cs="Calibri"/>
      <w:b/>
      <w:snapToGrid w:val="0"/>
      <w:sz w:val="32"/>
      <w:szCs w:val="32"/>
      <w:lang w:eastAsia="en-US"/>
    </w:rPr>
  </w:style>
  <w:style w:type="paragraph" w:customStyle="1" w:styleId="3-BodyText">
    <w:name w:val="3-Body Text"/>
    <w:basedOn w:val="ListParagraph"/>
    <w:link w:val="3-BodyTextChar"/>
    <w:qFormat/>
    <w:rsid w:val="00E15396"/>
    <w:pPr>
      <w:numPr>
        <w:numId w:val="0"/>
      </w:numPr>
      <w:ind w:left="862" w:hanging="720"/>
    </w:pPr>
  </w:style>
  <w:style w:type="paragraph" w:customStyle="1" w:styleId="4-SubsectionHeading">
    <w:name w:val="4-Subsection Heading"/>
    <w:basedOn w:val="Heading2"/>
    <w:next w:val="3-BodyText"/>
    <w:link w:val="4-SubsectionHeadingChar"/>
    <w:qFormat/>
    <w:rsid w:val="00E15396"/>
    <w:pPr>
      <w:keepNext/>
      <w:spacing w:before="120" w:after="120"/>
      <w:jc w:val="both"/>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15396"/>
    <w:rPr>
      <w:rFonts w:asciiTheme="minorHAnsi" w:eastAsiaTheme="majorEastAsia" w:hAnsiTheme="minorHAnsi" w:cstheme="majorBidi"/>
      <w:b/>
      <w:i/>
      <w:spacing w:val="5"/>
      <w:kern w:val="28"/>
      <w:sz w:val="28"/>
      <w:szCs w:val="36"/>
    </w:rPr>
  </w:style>
  <w:style w:type="character" w:customStyle="1" w:styleId="3-BodyTextChar">
    <w:name w:val="3-Body Text Char"/>
    <w:basedOn w:val="DefaultParagraphFont"/>
    <w:link w:val="3-BodyText"/>
    <w:rsid w:val="0071111C"/>
    <w:rPr>
      <w:rFonts w:asciiTheme="minorHAnsi" w:hAnsiTheme="minorHAnsi" w:cs="Arial"/>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80286">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67603828">
      <w:bodyDiv w:val="1"/>
      <w:marLeft w:val="0"/>
      <w:marRight w:val="0"/>
      <w:marTop w:val="0"/>
      <w:marBottom w:val="0"/>
      <w:divBdr>
        <w:top w:val="none" w:sz="0" w:space="0" w:color="auto"/>
        <w:left w:val="none" w:sz="0" w:space="0" w:color="auto"/>
        <w:bottom w:val="none" w:sz="0" w:space="0" w:color="auto"/>
        <w:right w:val="none" w:sz="0" w:space="0" w:color="auto"/>
      </w:divBdr>
    </w:div>
    <w:div w:id="290526961">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636841452">
      <w:bodyDiv w:val="1"/>
      <w:marLeft w:val="0"/>
      <w:marRight w:val="0"/>
      <w:marTop w:val="0"/>
      <w:marBottom w:val="0"/>
      <w:divBdr>
        <w:top w:val="none" w:sz="0" w:space="0" w:color="auto"/>
        <w:left w:val="none" w:sz="0" w:space="0" w:color="auto"/>
        <w:bottom w:val="none" w:sz="0" w:space="0" w:color="auto"/>
        <w:right w:val="none" w:sz="0" w:space="0" w:color="auto"/>
      </w:divBdr>
    </w:div>
    <w:div w:id="782968087">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95121698">
      <w:bodyDiv w:val="1"/>
      <w:marLeft w:val="0"/>
      <w:marRight w:val="0"/>
      <w:marTop w:val="0"/>
      <w:marBottom w:val="0"/>
      <w:divBdr>
        <w:top w:val="none" w:sz="0" w:space="0" w:color="auto"/>
        <w:left w:val="none" w:sz="0" w:space="0" w:color="auto"/>
        <w:bottom w:val="none" w:sz="0" w:space="0" w:color="auto"/>
        <w:right w:val="none" w:sz="0" w:space="0" w:color="auto"/>
      </w:divBdr>
      <w:divsChild>
        <w:div w:id="1432510118">
          <w:marLeft w:val="547"/>
          <w:marRight w:val="0"/>
          <w:marTop w:val="200"/>
          <w:marBottom w:val="120"/>
          <w:divBdr>
            <w:top w:val="none" w:sz="0" w:space="0" w:color="auto"/>
            <w:left w:val="none" w:sz="0" w:space="0" w:color="auto"/>
            <w:bottom w:val="none" w:sz="0" w:space="0" w:color="auto"/>
            <w:right w:val="none" w:sz="0" w:space="0" w:color="auto"/>
          </w:divBdr>
        </w:div>
      </w:divsChild>
    </w:div>
    <w:div w:id="908804048">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39963355">
      <w:bodyDiv w:val="1"/>
      <w:marLeft w:val="0"/>
      <w:marRight w:val="0"/>
      <w:marTop w:val="0"/>
      <w:marBottom w:val="0"/>
      <w:divBdr>
        <w:top w:val="none" w:sz="0" w:space="0" w:color="auto"/>
        <w:left w:val="none" w:sz="0" w:space="0" w:color="auto"/>
        <w:bottom w:val="none" w:sz="0" w:space="0" w:color="auto"/>
        <w:right w:val="none" w:sz="0" w:space="0" w:color="auto"/>
      </w:divBdr>
    </w:div>
    <w:div w:id="1791507561">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16898</Words>
  <Characters>96324</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112997</CharactersWithSpaces>
  <SharedDoc>false</SharedDoc>
  <HLinks>
    <vt:vector size="456" baseType="variant">
      <vt:variant>
        <vt:i4>2752635</vt:i4>
      </vt:variant>
      <vt:variant>
        <vt:i4>636</vt:i4>
      </vt:variant>
      <vt:variant>
        <vt:i4>0</vt:i4>
      </vt:variant>
      <vt:variant>
        <vt:i4>5</vt:i4>
      </vt:variant>
      <vt:variant>
        <vt:lpwstr>http://handbook.cochrane.org/chapter_8/table_8_5_a_the_cochrane_collaborations_tool_for_assessing.htm</vt:lpwstr>
      </vt:variant>
      <vt:variant>
        <vt:lpwstr/>
      </vt:variant>
      <vt:variant>
        <vt:i4>1638422</vt:i4>
      </vt:variant>
      <vt:variant>
        <vt:i4>633</vt:i4>
      </vt:variant>
      <vt:variant>
        <vt:i4>0</vt:i4>
      </vt:variant>
      <vt:variant>
        <vt:i4>5</vt:i4>
      </vt:variant>
      <vt:variant>
        <vt:lpwstr>https://sites.google.com/site/riskofbiastool/ROBINS-I_detailed_guidance.pdf?attredirects=0&amp;d=1</vt:lpwstr>
      </vt:variant>
      <vt:variant>
        <vt:lpwstr/>
      </vt:variant>
      <vt:variant>
        <vt:i4>1835066</vt:i4>
      </vt:variant>
      <vt:variant>
        <vt:i4>440</vt:i4>
      </vt:variant>
      <vt:variant>
        <vt:i4>0</vt:i4>
      </vt:variant>
      <vt:variant>
        <vt:i4>5</vt:i4>
      </vt:variant>
      <vt:variant>
        <vt:lpwstr/>
      </vt:variant>
      <vt:variant>
        <vt:lpwstr>_Toc118449779</vt:lpwstr>
      </vt:variant>
      <vt:variant>
        <vt:i4>1835066</vt:i4>
      </vt:variant>
      <vt:variant>
        <vt:i4>434</vt:i4>
      </vt:variant>
      <vt:variant>
        <vt:i4>0</vt:i4>
      </vt:variant>
      <vt:variant>
        <vt:i4>5</vt:i4>
      </vt:variant>
      <vt:variant>
        <vt:lpwstr/>
      </vt:variant>
      <vt:variant>
        <vt:lpwstr>_Toc118449778</vt:lpwstr>
      </vt:variant>
      <vt:variant>
        <vt:i4>1835066</vt:i4>
      </vt:variant>
      <vt:variant>
        <vt:i4>428</vt:i4>
      </vt:variant>
      <vt:variant>
        <vt:i4>0</vt:i4>
      </vt:variant>
      <vt:variant>
        <vt:i4>5</vt:i4>
      </vt:variant>
      <vt:variant>
        <vt:lpwstr/>
      </vt:variant>
      <vt:variant>
        <vt:lpwstr>_Toc118449777</vt:lpwstr>
      </vt:variant>
      <vt:variant>
        <vt:i4>1835066</vt:i4>
      </vt:variant>
      <vt:variant>
        <vt:i4>422</vt:i4>
      </vt:variant>
      <vt:variant>
        <vt:i4>0</vt:i4>
      </vt:variant>
      <vt:variant>
        <vt:i4>5</vt:i4>
      </vt:variant>
      <vt:variant>
        <vt:lpwstr/>
      </vt:variant>
      <vt:variant>
        <vt:lpwstr>_Toc118449776</vt:lpwstr>
      </vt:variant>
      <vt:variant>
        <vt:i4>1835066</vt:i4>
      </vt:variant>
      <vt:variant>
        <vt:i4>416</vt:i4>
      </vt:variant>
      <vt:variant>
        <vt:i4>0</vt:i4>
      </vt:variant>
      <vt:variant>
        <vt:i4>5</vt:i4>
      </vt:variant>
      <vt:variant>
        <vt:lpwstr/>
      </vt:variant>
      <vt:variant>
        <vt:lpwstr>_Toc118449775</vt:lpwstr>
      </vt:variant>
      <vt:variant>
        <vt:i4>1835066</vt:i4>
      </vt:variant>
      <vt:variant>
        <vt:i4>410</vt:i4>
      </vt:variant>
      <vt:variant>
        <vt:i4>0</vt:i4>
      </vt:variant>
      <vt:variant>
        <vt:i4>5</vt:i4>
      </vt:variant>
      <vt:variant>
        <vt:lpwstr/>
      </vt:variant>
      <vt:variant>
        <vt:lpwstr>_Toc118449774</vt:lpwstr>
      </vt:variant>
      <vt:variant>
        <vt:i4>1835066</vt:i4>
      </vt:variant>
      <vt:variant>
        <vt:i4>404</vt:i4>
      </vt:variant>
      <vt:variant>
        <vt:i4>0</vt:i4>
      </vt:variant>
      <vt:variant>
        <vt:i4>5</vt:i4>
      </vt:variant>
      <vt:variant>
        <vt:lpwstr/>
      </vt:variant>
      <vt:variant>
        <vt:lpwstr>_Toc118449773</vt:lpwstr>
      </vt:variant>
      <vt:variant>
        <vt:i4>1835066</vt:i4>
      </vt:variant>
      <vt:variant>
        <vt:i4>398</vt:i4>
      </vt:variant>
      <vt:variant>
        <vt:i4>0</vt:i4>
      </vt:variant>
      <vt:variant>
        <vt:i4>5</vt:i4>
      </vt:variant>
      <vt:variant>
        <vt:lpwstr/>
      </vt:variant>
      <vt:variant>
        <vt:lpwstr>_Toc118449772</vt:lpwstr>
      </vt:variant>
      <vt:variant>
        <vt:i4>1835066</vt:i4>
      </vt:variant>
      <vt:variant>
        <vt:i4>392</vt:i4>
      </vt:variant>
      <vt:variant>
        <vt:i4>0</vt:i4>
      </vt:variant>
      <vt:variant>
        <vt:i4>5</vt:i4>
      </vt:variant>
      <vt:variant>
        <vt:lpwstr/>
      </vt:variant>
      <vt:variant>
        <vt:lpwstr>_Toc118449771</vt:lpwstr>
      </vt:variant>
      <vt:variant>
        <vt:i4>1835066</vt:i4>
      </vt:variant>
      <vt:variant>
        <vt:i4>386</vt:i4>
      </vt:variant>
      <vt:variant>
        <vt:i4>0</vt:i4>
      </vt:variant>
      <vt:variant>
        <vt:i4>5</vt:i4>
      </vt:variant>
      <vt:variant>
        <vt:lpwstr/>
      </vt:variant>
      <vt:variant>
        <vt:lpwstr>_Toc118449770</vt:lpwstr>
      </vt:variant>
      <vt:variant>
        <vt:i4>1900602</vt:i4>
      </vt:variant>
      <vt:variant>
        <vt:i4>380</vt:i4>
      </vt:variant>
      <vt:variant>
        <vt:i4>0</vt:i4>
      </vt:variant>
      <vt:variant>
        <vt:i4>5</vt:i4>
      </vt:variant>
      <vt:variant>
        <vt:lpwstr/>
      </vt:variant>
      <vt:variant>
        <vt:lpwstr>_Toc118449769</vt:lpwstr>
      </vt:variant>
      <vt:variant>
        <vt:i4>1900602</vt:i4>
      </vt:variant>
      <vt:variant>
        <vt:i4>374</vt:i4>
      </vt:variant>
      <vt:variant>
        <vt:i4>0</vt:i4>
      </vt:variant>
      <vt:variant>
        <vt:i4>5</vt:i4>
      </vt:variant>
      <vt:variant>
        <vt:lpwstr/>
      </vt:variant>
      <vt:variant>
        <vt:lpwstr>_Toc118449768</vt:lpwstr>
      </vt:variant>
      <vt:variant>
        <vt:i4>1900602</vt:i4>
      </vt:variant>
      <vt:variant>
        <vt:i4>368</vt:i4>
      </vt:variant>
      <vt:variant>
        <vt:i4>0</vt:i4>
      </vt:variant>
      <vt:variant>
        <vt:i4>5</vt:i4>
      </vt:variant>
      <vt:variant>
        <vt:lpwstr/>
      </vt:variant>
      <vt:variant>
        <vt:lpwstr>_Toc118449767</vt:lpwstr>
      </vt:variant>
      <vt:variant>
        <vt:i4>1900602</vt:i4>
      </vt:variant>
      <vt:variant>
        <vt:i4>362</vt:i4>
      </vt:variant>
      <vt:variant>
        <vt:i4>0</vt:i4>
      </vt:variant>
      <vt:variant>
        <vt:i4>5</vt:i4>
      </vt:variant>
      <vt:variant>
        <vt:lpwstr/>
      </vt:variant>
      <vt:variant>
        <vt:lpwstr>_Toc118449766</vt:lpwstr>
      </vt:variant>
      <vt:variant>
        <vt:i4>1900602</vt:i4>
      </vt:variant>
      <vt:variant>
        <vt:i4>356</vt:i4>
      </vt:variant>
      <vt:variant>
        <vt:i4>0</vt:i4>
      </vt:variant>
      <vt:variant>
        <vt:i4>5</vt:i4>
      </vt:variant>
      <vt:variant>
        <vt:lpwstr/>
      </vt:variant>
      <vt:variant>
        <vt:lpwstr>_Toc118449765</vt:lpwstr>
      </vt:variant>
      <vt:variant>
        <vt:i4>1900602</vt:i4>
      </vt:variant>
      <vt:variant>
        <vt:i4>350</vt:i4>
      </vt:variant>
      <vt:variant>
        <vt:i4>0</vt:i4>
      </vt:variant>
      <vt:variant>
        <vt:i4>5</vt:i4>
      </vt:variant>
      <vt:variant>
        <vt:lpwstr/>
      </vt:variant>
      <vt:variant>
        <vt:lpwstr>_Toc118449764</vt:lpwstr>
      </vt:variant>
      <vt:variant>
        <vt:i4>1900602</vt:i4>
      </vt:variant>
      <vt:variant>
        <vt:i4>344</vt:i4>
      </vt:variant>
      <vt:variant>
        <vt:i4>0</vt:i4>
      </vt:variant>
      <vt:variant>
        <vt:i4>5</vt:i4>
      </vt:variant>
      <vt:variant>
        <vt:lpwstr/>
      </vt:variant>
      <vt:variant>
        <vt:lpwstr>_Toc118449763</vt:lpwstr>
      </vt:variant>
      <vt:variant>
        <vt:i4>1900602</vt:i4>
      </vt:variant>
      <vt:variant>
        <vt:i4>338</vt:i4>
      </vt:variant>
      <vt:variant>
        <vt:i4>0</vt:i4>
      </vt:variant>
      <vt:variant>
        <vt:i4>5</vt:i4>
      </vt:variant>
      <vt:variant>
        <vt:lpwstr/>
      </vt:variant>
      <vt:variant>
        <vt:lpwstr>_Toc118449762</vt:lpwstr>
      </vt:variant>
      <vt:variant>
        <vt:i4>1900602</vt:i4>
      </vt:variant>
      <vt:variant>
        <vt:i4>332</vt:i4>
      </vt:variant>
      <vt:variant>
        <vt:i4>0</vt:i4>
      </vt:variant>
      <vt:variant>
        <vt:i4>5</vt:i4>
      </vt:variant>
      <vt:variant>
        <vt:lpwstr/>
      </vt:variant>
      <vt:variant>
        <vt:lpwstr>_Toc118449761</vt:lpwstr>
      </vt:variant>
      <vt:variant>
        <vt:i4>1900602</vt:i4>
      </vt:variant>
      <vt:variant>
        <vt:i4>326</vt:i4>
      </vt:variant>
      <vt:variant>
        <vt:i4>0</vt:i4>
      </vt:variant>
      <vt:variant>
        <vt:i4>5</vt:i4>
      </vt:variant>
      <vt:variant>
        <vt:lpwstr/>
      </vt:variant>
      <vt:variant>
        <vt:lpwstr>_Toc118449760</vt:lpwstr>
      </vt:variant>
      <vt:variant>
        <vt:i4>1966138</vt:i4>
      </vt:variant>
      <vt:variant>
        <vt:i4>320</vt:i4>
      </vt:variant>
      <vt:variant>
        <vt:i4>0</vt:i4>
      </vt:variant>
      <vt:variant>
        <vt:i4>5</vt:i4>
      </vt:variant>
      <vt:variant>
        <vt:lpwstr/>
      </vt:variant>
      <vt:variant>
        <vt:lpwstr>_Toc118449759</vt:lpwstr>
      </vt:variant>
      <vt:variant>
        <vt:i4>1966138</vt:i4>
      </vt:variant>
      <vt:variant>
        <vt:i4>314</vt:i4>
      </vt:variant>
      <vt:variant>
        <vt:i4>0</vt:i4>
      </vt:variant>
      <vt:variant>
        <vt:i4>5</vt:i4>
      </vt:variant>
      <vt:variant>
        <vt:lpwstr/>
      </vt:variant>
      <vt:variant>
        <vt:lpwstr>_Toc118449758</vt:lpwstr>
      </vt:variant>
      <vt:variant>
        <vt:i4>1966138</vt:i4>
      </vt:variant>
      <vt:variant>
        <vt:i4>308</vt:i4>
      </vt:variant>
      <vt:variant>
        <vt:i4>0</vt:i4>
      </vt:variant>
      <vt:variant>
        <vt:i4>5</vt:i4>
      </vt:variant>
      <vt:variant>
        <vt:lpwstr/>
      </vt:variant>
      <vt:variant>
        <vt:lpwstr>_Toc118449757</vt:lpwstr>
      </vt:variant>
      <vt:variant>
        <vt:i4>1966138</vt:i4>
      </vt:variant>
      <vt:variant>
        <vt:i4>302</vt:i4>
      </vt:variant>
      <vt:variant>
        <vt:i4>0</vt:i4>
      </vt:variant>
      <vt:variant>
        <vt:i4>5</vt:i4>
      </vt:variant>
      <vt:variant>
        <vt:lpwstr/>
      </vt:variant>
      <vt:variant>
        <vt:lpwstr>_Toc118449756</vt:lpwstr>
      </vt:variant>
      <vt:variant>
        <vt:i4>1966138</vt:i4>
      </vt:variant>
      <vt:variant>
        <vt:i4>296</vt:i4>
      </vt:variant>
      <vt:variant>
        <vt:i4>0</vt:i4>
      </vt:variant>
      <vt:variant>
        <vt:i4>5</vt:i4>
      </vt:variant>
      <vt:variant>
        <vt:lpwstr/>
      </vt:variant>
      <vt:variant>
        <vt:lpwstr>_Toc118449755</vt:lpwstr>
      </vt:variant>
      <vt:variant>
        <vt:i4>1966138</vt:i4>
      </vt:variant>
      <vt:variant>
        <vt:i4>290</vt:i4>
      </vt:variant>
      <vt:variant>
        <vt:i4>0</vt:i4>
      </vt:variant>
      <vt:variant>
        <vt:i4>5</vt:i4>
      </vt:variant>
      <vt:variant>
        <vt:lpwstr/>
      </vt:variant>
      <vt:variant>
        <vt:lpwstr>_Toc118449754</vt:lpwstr>
      </vt:variant>
      <vt:variant>
        <vt:i4>1966138</vt:i4>
      </vt:variant>
      <vt:variant>
        <vt:i4>284</vt:i4>
      </vt:variant>
      <vt:variant>
        <vt:i4>0</vt:i4>
      </vt:variant>
      <vt:variant>
        <vt:i4>5</vt:i4>
      </vt:variant>
      <vt:variant>
        <vt:lpwstr/>
      </vt:variant>
      <vt:variant>
        <vt:lpwstr>_Toc118449753</vt:lpwstr>
      </vt:variant>
      <vt:variant>
        <vt:i4>1966138</vt:i4>
      </vt:variant>
      <vt:variant>
        <vt:i4>278</vt:i4>
      </vt:variant>
      <vt:variant>
        <vt:i4>0</vt:i4>
      </vt:variant>
      <vt:variant>
        <vt:i4>5</vt:i4>
      </vt:variant>
      <vt:variant>
        <vt:lpwstr/>
      </vt:variant>
      <vt:variant>
        <vt:lpwstr>_Toc118449752</vt:lpwstr>
      </vt:variant>
      <vt:variant>
        <vt:i4>1966138</vt:i4>
      </vt:variant>
      <vt:variant>
        <vt:i4>272</vt:i4>
      </vt:variant>
      <vt:variant>
        <vt:i4>0</vt:i4>
      </vt:variant>
      <vt:variant>
        <vt:i4>5</vt:i4>
      </vt:variant>
      <vt:variant>
        <vt:lpwstr/>
      </vt:variant>
      <vt:variant>
        <vt:lpwstr>_Toc118449751</vt:lpwstr>
      </vt:variant>
      <vt:variant>
        <vt:i4>1966138</vt:i4>
      </vt:variant>
      <vt:variant>
        <vt:i4>266</vt:i4>
      </vt:variant>
      <vt:variant>
        <vt:i4>0</vt:i4>
      </vt:variant>
      <vt:variant>
        <vt:i4>5</vt:i4>
      </vt:variant>
      <vt:variant>
        <vt:lpwstr/>
      </vt:variant>
      <vt:variant>
        <vt:lpwstr>_Toc118449750</vt:lpwstr>
      </vt:variant>
      <vt:variant>
        <vt:i4>2031674</vt:i4>
      </vt:variant>
      <vt:variant>
        <vt:i4>260</vt:i4>
      </vt:variant>
      <vt:variant>
        <vt:i4>0</vt:i4>
      </vt:variant>
      <vt:variant>
        <vt:i4>5</vt:i4>
      </vt:variant>
      <vt:variant>
        <vt:lpwstr/>
      </vt:variant>
      <vt:variant>
        <vt:lpwstr>_Toc118449749</vt:lpwstr>
      </vt:variant>
      <vt:variant>
        <vt:i4>2031674</vt:i4>
      </vt:variant>
      <vt:variant>
        <vt:i4>254</vt:i4>
      </vt:variant>
      <vt:variant>
        <vt:i4>0</vt:i4>
      </vt:variant>
      <vt:variant>
        <vt:i4>5</vt:i4>
      </vt:variant>
      <vt:variant>
        <vt:lpwstr/>
      </vt:variant>
      <vt:variant>
        <vt:lpwstr>_Toc118449748</vt:lpwstr>
      </vt:variant>
      <vt:variant>
        <vt:i4>2031674</vt:i4>
      </vt:variant>
      <vt:variant>
        <vt:i4>248</vt:i4>
      </vt:variant>
      <vt:variant>
        <vt:i4>0</vt:i4>
      </vt:variant>
      <vt:variant>
        <vt:i4>5</vt:i4>
      </vt:variant>
      <vt:variant>
        <vt:lpwstr/>
      </vt:variant>
      <vt:variant>
        <vt:lpwstr>_Toc118449747</vt:lpwstr>
      </vt:variant>
      <vt:variant>
        <vt:i4>2031674</vt:i4>
      </vt:variant>
      <vt:variant>
        <vt:i4>242</vt:i4>
      </vt:variant>
      <vt:variant>
        <vt:i4>0</vt:i4>
      </vt:variant>
      <vt:variant>
        <vt:i4>5</vt:i4>
      </vt:variant>
      <vt:variant>
        <vt:lpwstr/>
      </vt:variant>
      <vt:variant>
        <vt:lpwstr>_Toc118449746</vt:lpwstr>
      </vt:variant>
      <vt:variant>
        <vt:i4>2031674</vt:i4>
      </vt:variant>
      <vt:variant>
        <vt:i4>236</vt:i4>
      </vt:variant>
      <vt:variant>
        <vt:i4>0</vt:i4>
      </vt:variant>
      <vt:variant>
        <vt:i4>5</vt:i4>
      </vt:variant>
      <vt:variant>
        <vt:lpwstr/>
      </vt:variant>
      <vt:variant>
        <vt:lpwstr>_Toc118449745</vt:lpwstr>
      </vt:variant>
      <vt:variant>
        <vt:i4>2031674</vt:i4>
      </vt:variant>
      <vt:variant>
        <vt:i4>230</vt:i4>
      </vt:variant>
      <vt:variant>
        <vt:i4>0</vt:i4>
      </vt:variant>
      <vt:variant>
        <vt:i4>5</vt:i4>
      </vt:variant>
      <vt:variant>
        <vt:lpwstr/>
      </vt:variant>
      <vt:variant>
        <vt:lpwstr>_Toc118449744</vt:lpwstr>
      </vt:variant>
      <vt:variant>
        <vt:i4>2031674</vt:i4>
      </vt:variant>
      <vt:variant>
        <vt:i4>224</vt:i4>
      </vt:variant>
      <vt:variant>
        <vt:i4>0</vt:i4>
      </vt:variant>
      <vt:variant>
        <vt:i4>5</vt:i4>
      </vt:variant>
      <vt:variant>
        <vt:lpwstr/>
      </vt:variant>
      <vt:variant>
        <vt:lpwstr>_Toc118449743</vt:lpwstr>
      </vt:variant>
      <vt:variant>
        <vt:i4>2031674</vt:i4>
      </vt:variant>
      <vt:variant>
        <vt:i4>218</vt:i4>
      </vt:variant>
      <vt:variant>
        <vt:i4>0</vt:i4>
      </vt:variant>
      <vt:variant>
        <vt:i4>5</vt:i4>
      </vt:variant>
      <vt:variant>
        <vt:lpwstr/>
      </vt:variant>
      <vt:variant>
        <vt:lpwstr>_Toc118449742</vt:lpwstr>
      </vt:variant>
      <vt:variant>
        <vt:i4>2031674</vt:i4>
      </vt:variant>
      <vt:variant>
        <vt:i4>212</vt:i4>
      </vt:variant>
      <vt:variant>
        <vt:i4>0</vt:i4>
      </vt:variant>
      <vt:variant>
        <vt:i4>5</vt:i4>
      </vt:variant>
      <vt:variant>
        <vt:lpwstr/>
      </vt:variant>
      <vt:variant>
        <vt:lpwstr>_Toc118449741</vt:lpwstr>
      </vt:variant>
      <vt:variant>
        <vt:i4>2031674</vt:i4>
      </vt:variant>
      <vt:variant>
        <vt:i4>206</vt:i4>
      </vt:variant>
      <vt:variant>
        <vt:i4>0</vt:i4>
      </vt:variant>
      <vt:variant>
        <vt:i4>5</vt:i4>
      </vt:variant>
      <vt:variant>
        <vt:lpwstr/>
      </vt:variant>
      <vt:variant>
        <vt:lpwstr>_Toc118449740</vt:lpwstr>
      </vt:variant>
      <vt:variant>
        <vt:i4>1572922</vt:i4>
      </vt:variant>
      <vt:variant>
        <vt:i4>200</vt:i4>
      </vt:variant>
      <vt:variant>
        <vt:i4>0</vt:i4>
      </vt:variant>
      <vt:variant>
        <vt:i4>5</vt:i4>
      </vt:variant>
      <vt:variant>
        <vt:lpwstr/>
      </vt:variant>
      <vt:variant>
        <vt:lpwstr>_Toc118449739</vt:lpwstr>
      </vt:variant>
      <vt:variant>
        <vt:i4>1572922</vt:i4>
      </vt:variant>
      <vt:variant>
        <vt:i4>194</vt:i4>
      </vt:variant>
      <vt:variant>
        <vt:i4>0</vt:i4>
      </vt:variant>
      <vt:variant>
        <vt:i4>5</vt:i4>
      </vt:variant>
      <vt:variant>
        <vt:lpwstr/>
      </vt:variant>
      <vt:variant>
        <vt:lpwstr>_Toc118449738</vt:lpwstr>
      </vt:variant>
      <vt:variant>
        <vt:i4>1572922</vt:i4>
      </vt:variant>
      <vt:variant>
        <vt:i4>188</vt:i4>
      </vt:variant>
      <vt:variant>
        <vt:i4>0</vt:i4>
      </vt:variant>
      <vt:variant>
        <vt:i4>5</vt:i4>
      </vt:variant>
      <vt:variant>
        <vt:lpwstr/>
      </vt:variant>
      <vt:variant>
        <vt:lpwstr>_Toc118449737</vt:lpwstr>
      </vt:variant>
      <vt:variant>
        <vt:i4>1572922</vt:i4>
      </vt:variant>
      <vt:variant>
        <vt:i4>182</vt:i4>
      </vt:variant>
      <vt:variant>
        <vt:i4>0</vt:i4>
      </vt:variant>
      <vt:variant>
        <vt:i4>5</vt:i4>
      </vt:variant>
      <vt:variant>
        <vt:lpwstr/>
      </vt:variant>
      <vt:variant>
        <vt:lpwstr>_Toc118449736</vt:lpwstr>
      </vt:variant>
      <vt:variant>
        <vt:i4>1572922</vt:i4>
      </vt:variant>
      <vt:variant>
        <vt:i4>176</vt:i4>
      </vt:variant>
      <vt:variant>
        <vt:i4>0</vt:i4>
      </vt:variant>
      <vt:variant>
        <vt:i4>5</vt:i4>
      </vt:variant>
      <vt:variant>
        <vt:lpwstr/>
      </vt:variant>
      <vt:variant>
        <vt:lpwstr>_Toc118449735</vt:lpwstr>
      </vt:variant>
      <vt:variant>
        <vt:i4>1572922</vt:i4>
      </vt:variant>
      <vt:variant>
        <vt:i4>170</vt:i4>
      </vt:variant>
      <vt:variant>
        <vt:i4>0</vt:i4>
      </vt:variant>
      <vt:variant>
        <vt:i4>5</vt:i4>
      </vt:variant>
      <vt:variant>
        <vt:lpwstr/>
      </vt:variant>
      <vt:variant>
        <vt:lpwstr>_Toc118449734</vt:lpwstr>
      </vt:variant>
      <vt:variant>
        <vt:i4>1572922</vt:i4>
      </vt:variant>
      <vt:variant>
        <vt:i4>164</vt:i4>
      </vt:variant>
      <vt:variant>
        <vt:i4>0</vt:i4>
      </vt:variant>
      <vt:variant>
        <vt:i4>5</vt:i4>
      </vt:variant>
      <vt:variant>
        <vt:lpwstr/>
      </vt:variant>
      <vt:variant>
        <vt:lpwstr>_Toc118449733</vt:lpwstr>
      </vt:variant>
      <vt:variant>
        <vt:i4>1572922</vt:i4>
      </vt:variant>
      <vt:variant>
        <vt:i4>158</vt:i4>
      </vt:variant>
      <vt:variant>
        <vt:i4>0</vt:i4>
      </vt:variant>
      <vt:variant>
        <vt:i4>5</vt:i4>
      </vt:variant>
      <vt:variant>
        <vt:lpwstr/>
      </vt:variant>
      <vt:variant>
        <vt:lpwstr>_Toc118449732</vt:lpwstr>
      </vt:variant>
      <vt:variant>
        <vt:i4>1572922</vt:i4>
      </vt:variant>
      <vt:variant>
        <vt:i4>152</vt:i4>
      </vt:variant>
      <vt:variant>
        <vt:i4>0</vt:i4>
      </vt:variant>
      <vt:variant>
        <vt:i4>5</vt:i4>
      </vt:variant>
      <vt:variant>
        <vt:lpwstr/>
      </vt:variant>
      <vt:variant>
        <vt:lpwstr>_Toc118449731</vt:lpwstr>
      </vt:variant>
      <vt:variant>
        <vt:i4>1572922</vt:i4>
      </vt:variant>
      <vt:variant>
        <vt:i4>146</vt:i4>
      </vt:variant>
      <vt:variant>
        <vt:i4>0</vt:i4>
      </vt:variant>
      <vt:variant>
        <vt:i4>5</vt:i4>
      </vt:variant>
      <vt:variant>
        <vt:lpwstr/>
      </vt:variant>
      <vt:variant>
        <vt:lpwstr>_Toc118449730</vt:lpwstr>
      </vt:variant>
      <vt:variant>
        <vt:i4>1638458</vt:i4>
      </vt:variant>
      <vt:variant>
        <vt:i4>140</vt:i4>
      </vt:variant>
      <vt:variant>
        <vt:i4>0</vt:i4>
      </vt:variant>
      <vt:variant>
        <vt:i4>5</vt:i4>
      </vt:variant>
      <vt:variant>
        <vt:lpwstr/>
      </vt:variant>
      <vt:variant>
        <vt:lpwstr>_Toc118449729</vt:lpwstr>
      </vt:variant>
      <vt:variant>
        <vt:i4>1638458</vt:i4>
      </vt:variant>
      <vt:variant>
        <vt:i4>134</vt:i4>
      </vt:variant>
      <vt:variant>
        <vt:i4>0</vt:i4>
      </vt:variant>
      <vt:variant>
        <vt:i4>5</vt:i4>
      </vt:variant>
      <vt:variant>
        <vt:lpwstr/>
      </vt:variant>
      <vt:variant>
        <vt:lpwstr>_Toc118449728</vt:lpwstr>
      </vt:variant>
      <vt:variant>
        <vt:i4>1638458</vt:i4>
      </vt:variant>
      <vt:variant>
        <vt:i4>128</vt:i4>
      </vt:variant>
      <vt:variant>
        <vt:i4>0</vt:i4>
      </vt:variant>
      <vt:variant>
        <vt:i4>5</vt:i4>
      </vt:variant>
      <vt:variant>
        <vt:lpwstr/>
      </vt:variant>
      <vt:variant>
        <vt:lpwstr>_Toc118449727</vt:lpwstr>
      </vt:variant>
      <vt:variant>
        <vt:i4>1638458</vt:i4>
      </vt:variant>
      <vt:variant>
        <vt:i4>122</vt:i4>
      </vt:variant>
      <vt:variant>
        <vt:i4>0</vt:i4>
      </vt:variant>
      <vt:variant>
        <vt:i4>5</vt:i4>
      </vt:variant>
      <vt:variant>
        <vt:lpwstr/>
      </vt:variant>
      <vt:variant>
        <vt:lpwstr>_Toc118449726</vt:lpwstr>
      </vt:variant>
      <vt:variant>
        <vt:i4>1638458</vt:i4>
      </vt:variant>
      <vt:variant>
        <vt:i4>116</vt:i4>
      </vt:variant>
      <vt:variant>
        <vt:i4>0</vt:i4>
      </vt:variant>
      <vt:variant>
        <vt:i4>5</vt:i4>
      </vt:variant>
      <vt:variant>
        <vt:lpwstr/>
      </vt:variant>
      <vt:variant>
        <vt:lpwstr>_Toc118449725</vt:lpwstr>
      </vt:variant>
      <vt:variant>
        <vt:i4>1638458</vt:i4>
      </vt:variant>
      <vt:variant>
        <vt:i4>110</vt:i4>
      </vt:variant>
      <vt:variant>
        <vt:i4>0</vt:i4>
      </vt:variant>
      <vt:variant>
        <vt:i4>5</vt:i4>
      </vt:variant>
      <vt:variant>
        <vt:lpwstr/>
      </vt:variant>
      <vt:variant>
        <vt:lpwstr>_Toc118449724</vt:lpwstr>
      </vt:variant>
      <vt:variant>
        <vt:i4>1638458</vt:i4>
      </vt:variant>
      <vt:variant>
        <vt:i4>104</vt:i4>
      </vt:variant>
      <vt:variant>
        <vt:i4>0</vt:i4>
      </vt:variant>
      <vt:variant>
        <vt:i4>5</vt:i4>
      </vt:variant>
      <vt:variant>
        <vt:lpwstr/>
      </vt:variant>
      <vt:variant>
        <vt:lpwstr>_Toc118449723</vt:lpwstr>
      </vt:variant>
      <vt:variant>
        <vt:i4>1638458</vt:i4>
      </vt:variant>
      <vt:variant>
        <vt:i4>98</vt:i4>
      </vt:variant>
      <vt:variant>
        <vt:i4>0</vt:i4>
      </vt:variant>
      <vt:variant>
        <vt:i4>5</vt:i4>
      </vt:variant>
      <vt:variant>
        <vt:lpwstr/>
      </vt:variant>
      <vt:variant>
        <vt:lpwstr>_Toc118449722</vt:lpwstr>
      </vt:variant>
      <vt:variant>
        <vt:i4>1638458</vt:i4>
      </vt:variant>
      <vt:variant>
        <vt:i4>92</vt:i4>
      </vt:variant>
      <vt:variant>
        <vt:i4>0</vt:i4>
      </vt:variant>
      <vt:variant>
        <vt:i4>5</vt:i4>
      </vt:variant>
      <vt:variant>
        <vt:lpwstr/>
      </vt:variant>
      <vt:variant>
        <vt:lpwstr>_Toc118449721</vt:lpwstr>
      </vt:variant>
      <vt:variant>
        <vt:i4>1638458</vt:i4>
      </vt:variant>
      <vt:variant>
        <vt:i4>86</vt:i4>
      </vt:variant>
      <vt:variant>
        <vt:i4>0</vt:i4>
      </vt:variant>
      <vt:variant>
        <vt:i4>5</vt:i4>
      </vt:variant>
      <vt:variant>
        <vt:lpwstr/>
      </vt:variant>
      <vt:variant>
        <vt:lpwstr>_Toc118449720</vt:lpwstr>
      </vt:variant>
      <vt:variant>
        <vt:i4>1703994</vt:i4>
      </vt:variant>
      <vt:variant>
        <vt:i4>80</vt:i4>
      </vt:variant>
      <vt:variant>
        <vt:i4>0</vt:i4>
      </vt:variant>
      <vt:variant>
        <vt:i4>5</vt:i4>
      </vt:variant>
      <vt:variant>
        <vt:lpwstr/>
      </vt:variant>
      <vt:variant>
        <vt:lpwstr>_Toc118449719</vt:lpwstr>
      </vt:variant>
      <vt:variant>
        <vt:i4>1703994</vt:i4>
      </vt:variant>
      <vt:variant>
        <vt:i4>74</vt:i4>
      </vt:variant>
      <vt:variant>
        <vt:i4>0</vt:i4>
      </vt:variant>
      <vt:variant>
        <vt:i4>5</vt:i4>
      </vt:variant>
      <vt:variant>
        <vt:lpwstr/>
      </vt:variant>
      <vt:variant>
        <vt:lpwstr>_Toc118449718</vt:lpwstr>
      </vt:variant>
      <vt:variant>
        <vt:i4>1703994</vt:i4>
      </vt:variant>
      <vt:variant>
        <vt:i4>68</vt:i4>
      </vt:variant>
      <vt:variant>
        <vt:i4>0</vt:i4>
      </vt:variant>
      <vt:variant>
        <vt:i4>5</vt:i4>
      </vt:variant>
      <vt:variant>
        <vt:lpwstr/>
      </vt:variant>
      <vt:variant>
        <vt:lpwstr>_Toc118449717</vt:lpwstr>
      </vt:variant>
      <vt:variant>
        <vt:i4>1703994</vt:i4>
      </vt:variant>
      <vt:variant>
        <vt:i4>62</vt:i4>
      </vt:variant>
      <vt:variant>
        <vt:i4>0</vt:i4>
      </vt:variant>
      <vt:variant>
        <vt:i4>5</vt:i4>
      </vt:variant>
      <vt:variant>
        <vt:lpwstr/>
      </vt:variant>
      <vt:variant>
        <vt:lpwstr>_Toc118449716</vt:lpwstr>
      </vt:variant>
      <vt:variant>
        <vt:i4>1703994</vt:i4>
      </vt:variant>
      <vt:variant>
        <vt:i4>56</vt:i4>
      </vt:variant>
      <vt:variant>
        <vt:i4>0</vt:i4>
      </vt:variant>
      <vt:variant>
        <vt:i4>5</vt:i4>
      </vt:variant>
      <vt:variant>
        <vt:lpwstr/>
      </vt:variant>
      <vt:variant>
        <vt:lpwstr>_Toc118449715</vt:lpwstr>
      </vt:variant>
      <vt:variant>
        <vt:i4>1703994</vt:i4>
      </vt:variant>
      <vt:variant>
        <vt:i4>50</vt:i4>
      </vt:variant>
      <vt:variant>
        <vt:i4>0</vt:i4>
      </vt:variant>
      <vt:variant>
        <vt:i4>5</vt:i4>
      </vt:variant>
      <vt:variant>
        <vt:lpwstr/>
      </vt:variant>
      <vt:variant>
        <vt:lpwstr>_Toc118449714</vt:lpwstr>
      </vt:variant>
      <vt:variant>
        <vt:i4>1703994</vt:i4>
      </vt:variant>
      <vt:variant>
        <vt:i4>44</vt:i4>
      </vt:variant>
      <vt:variant>
        <vt:i4>0</vt:i4>
      </vt:variant>
      <vt:variant>
        <vt:i4>5</vt:i4>
      </vt:variant>
      <vt:variant>
        <vt:lpwstr/>
      </vt:variant>
      <vt:variant>
        <vt:lpwstr>_Toc118449713</vt:lpwstr>
      </vt:variant>
      <vt:variant>
        <vt:i4>1703994</vt:i4>
      </vt:variant>
      <vt:variant>
        <vt:i4>38</vt:i4>
      </vt:variant>
      <vt:variant>
        <vt:i4>0</vt:i4>
      </vt:variant>
      <vt:variant>
        <vt:i4>5</vt:i4>
      </vt:variant>
      <vt:variant>
        <vt:lpwstr/>
      </vt:variant>
      <vt:variant>
        <vt:lpwstr>_Toc118449712</vt:lpwstr>
      </vt:variant>
      <vt:variant>
        <vt:i4>1703994</vt:i4>
      </vt:variant>
      <vt:variant>
        <vt:i4>32</vt:i4>
      </vt:variant>
      <vt:variant>
        <vt:i4>0</vt:i4>
      </vt:variant>
      <vt:variant>
        <vt:i4>5</vt:i4>
      </vt:variant>
      <vt:variant>
        <vt:lpwstr/>
      </vt:variant>
      <vt:variant>
        <vt:lpwstr>_Toc118449711</vt:lpwstr>
      </vt:variant>
      <vt:variant>
        <vt:i4>1703994</vt:i4>
      </vt:variant>
      <vt:variant>
        <vt:i4>26</vt:i4>
      </vt:variant>
      <vt:variant>
        <vt:i4>0</vt:i4>
      </vt:variant>
      <vt:variant>
        <vt:i4>5</vt:i4>
      </vt:variant>
      <vt:variant>
        <vt:lpwstr/>
      </vt:variant>
      <vt:variant>
        <vt:lpwstr>_Toc118449710</vt:lpwstr>
      </vt:variant>
      <vt:variant>
        <vt:i4>1769530</vt:i4>
      </vt:variant>
      <vt:variant>
        <vt:i4>20</vt:i4>
      </vt:variant>
      <vt:variant>
        <vt:i4>0</vt:i4>
      </vt:variant>
      <vt:variant>
        <vt:i4>5</vt:i4>
      </vt:variant>
      <vt:variant>
        <vt:lpwstr/>
      </vt:variant>
      <vt:variant>
        <vt:lpwstr>_Toc118449709</vt:lpwstr>
      </vt:variant>
      <vt:variant>
        <vt:i4>1769530</vt:i4>
      </vt:variant>
      <vt:variant>
        <vt:i4>14</vt:i4>
      </vt:variant>
      <vt:variant>
        <vt:i4>0</vt:i4>
      </vt:variant>
      <vt:variant>
        <vt:i4>5</vt:i4>
      </vt:variant>
      <vt:variant>
        <vt:lpwstr/>
      </vt:variant>
      <vt:variant>
        <vt:lpwstr>_Toc118449708</vt:lpwstr>
      </vt:variant>
      <vt:variant>
        <vt:i4>1769530</vt:i4>
      </vt:variant>
      <vt:variant>
        <vt:i4>8</vt:i4>
      </vt:variant>
      <vt:variant>
        <vt:i4>0</vt:i4>
      </vt:variant>
      <vt:variant>
        <vt:i4>5</vt:i4>
      </vt:variant>
      <vt:variant>
        <vt:lpwstr/>
      </vt:variant>
      <vt:variant>
        <vt:lpwstr>_Toc118449707</vt:lpwstr>
      </vt:variant>
      <vt:variant>
        <vt:i4>1769530</vt:i4>
      </vt:variant>
      <vt:variant>
        <vt:i4>2</vt:i4>
      </vt:variant>
      <vt:variant>
        <vt:i4>0</vt:i4>
      </vt:variant>
      <vt:variant>
        <vt:i4>5</vt:i4>
      </vt:variant>
      <vt:variant>
        <vt:lpwstr/>
      </vt:variant>
      <vt:variant>
        <vt:lpwstr>_Toc118449706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2023-06-26T03:06:00Z</dcterms:created>
  <dcterms:modified xsi:type="dcterms:W3CDTF">2023-06-27T01:27:00Z</dcterms:modified>
</cp:coreProperties>
</file>