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39F7ECA7" w:rsidR="00B60939" w:rsidRPr="00111042" w:rsidRDefault="00D526AF" w:rsidP="004A6040">
      <w:pPr>
        <w:pStyle w:val="1-MainHeading"/>
      </w:pPr>
      <w:bookmarkStart w:id="0" w:name="_Toc124937744"/>
      <w:r>
        <w:t>7.08</w:t>
      </w:r>
      <w:r w:rsidR="00163F66" w:rsidRPr="00111042">
        <w:tab/>
      </w:r>
      <w:r w:rsidR="00AA4BF8" w:rsidRPr="00111042">
        <w:t>RISDIPLAM</w:t>
      </w:r>
      <w:r w:rsidR="00163F66" w:rsidRPr="00111042">
        <w:t>,</w:t>
      </w:r>
      <w:r w:rsidR="00163F66" w:rsidRPr="00111042">
        <w:br/>
      </w:r>
      <w:r w:rsidR="00316DB8" w:rsidRPr="00111042">
        <w:t>Powder for oral solution 0.75 mg per 1 mL</w:t>
      </w:r>
      <w:r w:rsidR="00163F66" w:rsidRPr="00111042">
        <w:t>,</w:t>
      </w:r>
      <w:r w:rsidR="00163F66" w:rsidRPr="00111042">
        <w:br/>
      </w:r>
      <w:r w:rsidR="00225AE9" w:rsidRPr="00111042">
        <w:t>80 mL</w:t>
      </w:r>
      <w:r w:rsidR="00163F66" w:rsidRPr="00111042">
        <w:t>,</w:t>
      </w:r>
      <w:r w:rsidR="00163F66" w:rsidRPr="00111042">
        <w:br/>
      </w:r>
      <w:r w:rsidR="00241117" w:rsidRPr="00111042">
        <w:t>Evrysdi</w:t>
      </w:r>
      <w:r w:rsidR="00B60939" w:rsidRPr="00111042">
        <w:rPr>
          <w:vertAlign w:val="superscript"/>
        </w:rPr>
        <w:t>®</w:t>
      </w:r>
      <w:r w:rsidR="004A6040" w:rsidRPr="00111042">
        <w:t>,</w:t>
      </w:r>
      <w:r w:rsidR="004A6040" w:rsidRPr="00111042">
        <w:br/>
      </w:r>
      <w:r w:rsidR="009700F2" w:rsidRPr="00111042">
        <w:t>Roche Products Pty Ltd</w:t>
      </w:r>
      <w:r w:rsidR="00B60939" w:rsidRPr="00111042">
        <w:t>.</w:t>
      </w:r>
      <w:bookmarkEnd w:id="0"/>
    </w:p>
    <w:p w14:paraId="11C00795" w14:textId="24839AB9" w:rsidR="00B50DB8" w:rsidRPr="00111042" w:rsidRDefault="00B50DB8" w:rsidP="004A6040">
      <w:pPr>
        <w:pStyle w:val="2-SectionHeading"/>
      </w:pPr>
      <w:bookmarkStart w:id="1" w:name="_Toc124937746"/>
      <w:r w:rsidRPr="00111042">
        <w:t xml:space="preserve">Purpose of </w:t>
      </w:r>
      <w:r w:rsidR="00CD7193" w:rsidRPr="00111042">
        <w:t>s</w:t>
      </w:r>
      <w:r w:rsidR="00BB3A45" w:rsidRPr="00111042">
        <w:t>ubmission</w:t>
      </w:r>
      <w:bookmarkEnd w:id="1"/>
    </w:p>
    <w:p w14:paraId="515DED67" w14:textId="7291A5A3" w:rsidR="00D44554" w:rsidRPr="00111042" w:rsidRDefault="00D44554" w:rsidP="00D44554">
      <w:pPr>
        <w:pStyle w:val="3-BodyText"/>
      </w:pPr>
      <w:r w:rsidRPr="00111042">
        <w:t xml:space="preserve">The </w:t>
      </w:r>
      <w:r w:rsidR="008175FF" w:rsidRPr="00111042">
        <w:t>standard re-entry re</w:t>
      </w:r>
      <w:r w:rsidRPr="00111042">
        <w:t>submission requested a Section 100, Authority Required (written) listing for risdiplam for the treatment of:</w:t>
      </w:r>
    </w:p>
    <w:p w14:paraId="1B69748B" w14:textId="77777777" w:rsidR="00D44554" w:rsidRPr="00111042" w:rsidRDefault="00D44554" w:rsidP="00AF1877">
      <w:pPr>
        <w:pStyle w:val="3-BodyText"/>
        <w:numPr>
          <w:ilvl w:val="0"/>
          <w:numId w:val="9"/>
        </w:numPr>
      </w:pPr>
      <w:r w:rsidRPr="00111042">
        <w:rPr>
          <w:b/>
          <w:bCs/>
        </w:rPr>
        <w:t xml:space="preserve">Population 1 </w:t>
      </w:r>
      <w:r w:rsidRPr="00111042">
        <w:t xml:space="preserve">- adults diagnosed with 5q spinal muscular atrophy (SMA) with symptom onset prior to 19 years of age and no initiation of disease-modifying treatment (DMT) during childhood; </w:t>
      </w:r>
    </w:p>
    <w:p w14:paraId="37A8B018" w14:textId="6CBEA77B" w:rsidR="00D44554" w:rsidRPr="00111042" w:rsidRDefault="00D44554" w:rsidP="00AF1877">
      <w:pPr>
        <w:pStyle w:val="3-BodyText"/>
        <w:numPr>
          <w:ilvl w:val="0"/>
          <w:numId w:val="9"/>
        </w:numPr>
      </w:pPr>
      <w:r w:rsidRPr="00111042">
        <w:rPr>
          <w:b/>
          <w:bCs/>
        </w:rPr>
        <w:t>Population 2</w:t>
      </w:r>
      <w:r w:rsidRPr="00111042">
        <w:t xml:space="preserve"> - patients aged &lt;36 months with a confirmed genetic diagnosis of SMA (SMA1 deletion or mutation) who have an </w:t>
      </w:r>
      <w:r w:rsidR="00AF346B" w:rsidRPr="00AF346B">
        <w:rPr>
          <w:i/>
        </w:rPr>
        <w:t>SMN2</w:t>
      </w:r>
      <w:r w:rsidRPr="00111042">
        <w:t xml:space="preserve"> gene copy number of 1 or 2 and are pre-symptomatic; and </w:t>
      </w:r>
    </w:p>
    <w:p w14:paraId="5D785A04" w14:textId="00593A12" w:rsidR="00D44554" w:rsidRPr="00111042" w:rsidRDefault="00D44554" w:rsidP="00AF1877">
      <w:pPr>
        <w:pStyle w:val="3-BodyText"/>
        <w:numPr>
          <w:ilvl w:val="0"/>
          <w:numId w:val="9"/>
        </w:numPr>
      </w:pPr>
      <w:r w:rsidRPr="00111042">
        <w:rPr>
          <w:b/>
          <w:bCs/>
        </w:rPr>
        <w:t>Population 3</w:t>
      </w:r>
      <w:r w:rsidRPr="00111042">
        <w:t xml:space="preserve"> - patients aged &lt;36 months with a confirmed genetic diagnosis of SMA (</w:t>
      </w:r>
      <w:r w:rsidR="007425CF" w:rsidRPr="007425CF">
        <w:rPr>
          <w:i/>
        </w:rPr>
        <w:t>SMA1</w:t>
      </w:r>
      <w:r w:rsidRPr="00111042">
        <w:t xml:space="preserve"> deletion or mutation) who have a </w:t>
      </w:r>
      <w:r w:rsidR="00AF346B" w:rsidRPr="00AF346B">
        <w:rPr>
          <w:i/>
        </w:rPr>
        <w:t>SMN2</w:t>
      </w:r>
      <w:r w:rsidRPr="00111042">
        <w:t xml:space="preserve"> gene copy number of 3 and are pre-symptomatic.</w:t>
      </w:r>
    </w:p>
    <w:p w14:paraId="21B50052" w14:textId="77777777" w:rsidR="001622F1" w:rsidRPr="00111042" w:rsidRDefault="001622F1" w:rsidP="001622F1">
      <w:pPr>
        <w:pStyle w:val="3-BodyText"/>
      </w:pPr>
      <w:r w:rsidRPr="00111042">
        <w:t>Listing was requested on the basis of:</w:t>
      </w:r>
    </w:p>
    <w:p w14:paraId="37DA01E9" w14:textId="77777777" w:rsidR="001622F1" w:rsidRPr="00111042" w:rsidRDefault="001622F1" w:rsidP="00AF1877">
      <w:pPr>
        <w:pStyle w:val="3-BodyText"/>
        <w:numPr>
          <w:ilvl w:val="0"/>
          <w:numId w:val="10"/>
        </w:numPr>
      </w:pPr>
      <w:r w:rsidRPr="00111042">
        <w:t>Population 1 – a cost-minimisation analysis versus nusinersen;</w:t>
      </w:r>
    </w:p>
    <w:p w14:paraId="4188235B" w14:textId="77777777" w:rsidR="001622F1" w:rsidRPr="00111042" w:rsidRDefault="001622F1" w:rsidP="00AF1877">
      <w:pPr>
        <w:pStyle w:val="3-BodyText"/>
        <w:numPr>
          <w:ilvl w:val="0"/>
          <w:numId w:val="10"/>
        </w:numPr>
      </w:pPr>
      <w:r w:rsidRPr="00111042">
        <w:t>Population 2 – a cost-minimisation analysis versus nusinersen; and</w:t>
      </w:r>
    </w:p>
    <w:p w14:paraId="1EC1407D" w14:textId="784A95F1" w:rsidR="001622F1" w:rsidRPr="00B94E46" w:rsidRDefault="001622F1" w:rsidP="00AF1877">
      <w:pPr>
        <w:pStyle w:val="3-BodyText"/>
        <w:numPr>
          <w:ilvl w:val="0"/>
          <w:numId w:val="10"/>
        </w:numPr>
      </w:pPr>
      <w:r w:rsidRPr="00111042">
        <w:t>Population 3 - a cost-minimisation analysis versus onasemnogene abeparvovec (ONA).</w:t>
      </w:r>
      <w:r w:rsidR="00490598" w:rsidRPr="00111042">
        <w:rPr>
          <w:i/>
          <w:iCs/>
        </w:rPr>
        <w:t xml:space="preserve"> </w:t>
      </w:r>
    </w:p>
    <w:p w14:paraId="76D3BA7F" w14:textId="3EB6EB0D" w:rsidR="001622F1" w:rsidRPr="00111042" w:rsidRDefault="001622F1" w:rsidP="001622F1">
      <w:pPr>
        <w:pStyle w:val="TableFigureHeading"/>
        <w:rPr>
          <w:rStyle w:val="CommentReference"/>
          <w:b/>
          <w:szCs w:val="24"/>
        </w:rPr>
      </w:pPr>
      <w:bookmarkStart w:id="2" w:name="_Ref121787513"/>
      <w:r w:rsidRPr="00111042">
        <w:lastRenderedPageBreak/>
        <w:t xml:space="preserve">Table </w:t>
      </w:r>
      <w:r w:rsidR="00D45640">
        <w:fldChar w:fldCharType="begin"/>
      </w:r>
      <w:r w:rsidR="00D45640">
        <w:instrText xml:space="preserve"> SEQ Table \* ARABIC </w:instrText>
      </w:r>
      <w:r w:rsidR="00D45640">
        <w:fldChar w:fldCharType="separate"/>
      </w:r>
      <w:r w:rsidR="00D45640">
        <w:rPr>
          <w:noProof/>
        </w:rPr>
        <w:t>1</w:t>
      </w:r>
      <w:r w:rsidR="00D45640">
        <w:rPr>
          <w:noProof/>
        </w:rPr>
        <w:fldChar w:fldCharType="end"/>
      </w:r>
      <w:bookmarkEnd w:id="2"/>
      <w:r w:rsidRPr="00111042">
        <w:t>:</w:t>
      </w:r>
      <w:r w:rsidRPr="00111042">
        <w:rPr>
          <w:rStyle w:val="CommentReference"/>
          <w:b/>
          <w:szCs w:val="24"/>
        </w:rPr>
        <w:t xml:space="preserve"> Key components of the clinical issue addressed by the </w:t>
      </w:r>
      <w:r w:rsidR="00381F60" w:rsidRPr="00111042">
        <w:rPr>
          <w:rStyle w:val="CommentReference"/>
          <w:b/>
          <w:szCs w:val="24"/>
        </w:rPr>
        <w:t>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411"/>
        <w:gridCol w:w="2692"/>
        <w:gridCol w:w="2786"/>
      </w:tblGrid>
      <w:tr w:rsidR="00B23D1A" w:rsidRPr="00111042" w14:paraId="51416D55" w14:textId="77777777" w:rsidTr="00D43646">
        <w:tc>
          <w:tcPr>
            <w:tcW w:w="625" w:type="pct"/>
            <w:shd w:val="clear" w:color="auto" w:fill="auto"/>
            <w:vAlign w:val="center"/>
          </w:tcPr>
          <w:p w14:paraId="33A69818" w14:textId="77777777" w:rsidR="001622F1" w:rsidRPr="00111042" w:rsidRDefault="001622F1" w:rsidP="00D43646">
            <w:pPr>
              <w:pStyle w:val="In-tableHeading"/>
              <w:rPr>
                <w:lang w:val="en-AU"/>
              </w:rPr>
            </w:pPr>
            <w:r w:rsidRPr="00111042">
              <w:rPr>
                <w:lang w:val="en-AU"/>
              </w:rPr>
              <w:t>Component</w:t>
            </w:r>
          </w:p>
        </w:tc>
        <w:tc>
          <w:tcPr>
            <w:tcW w:w="4375" w:type="pct"/>
            <w:gridSpan w:val="3"/>
            <w:shd w:val="clear" w:color="auto" w:fill="auto"/>
            <w:vAlign w:val="center"/>
          </w:tcPr>
          <w:p w14:paraId="1925913C" w14:textId="77777777" w:rsidR="001622F1" w:rsidRPr="00111042" w:rsidRDefault="001622F1" w:rsidP="00D43646">
            <w:pPr>
              <w:pStyle w:val="In-tableHeading"/>
              <w:rPr>
                <w:lang w:val="en-AU"/>
              </w:rPr>
            </w:pPr>
            <w:r w:rsidRPr="00111042">
              <w:rPr>
                <w:lang w:val="en-AU"/>
              </w:rPr>
              <w:t>Description</w:t>
            </w:r>
          </w:p>
        </w:tc>
      </w:tr>
      <w:tr w:rsidR="00867B71" w:rsidRPr="00111042" w14:paraId="4E4B92FB" w14:textId="77777777" w:rsidTr="009F2B52">
        <w:tc>
          <w:tcPr>
            <w:tcW w:w="625" w:type="pct"/>
            <w:vMerge w:val="restart"/>
            <w:vAlign w:val="center"/>
          </w:tcPr>
          <w:p w14:paraId="7CEFF8DA" w14:textId="1EE07F98" w:rsidR="00867B71" w:rsidRPr="00111042" w:rsidRDefault="00867B71" w:rsidP="00D43646">
            <w:pPr>
              <w:pStyle w:val="TableText0"/>
            </w:pPr>
            <w:r w:rsidRPr="00111042">
              <w:t>Population</w:t>
            </w:r>
          </w:p>
        </w:tc>
        <w:tc>
          <w:tcPr>
            <w:tcW w:w="1337" w:type="pct"/>
            <w:vAlign w:val="center"/>
          </w:tcPr>
          <w:p w14:paraId="1D2AB05E" w14:textId="6510088D" w:rsidR="00867B71" w:rsidRPr="00111042" w:rsidRDefault="00867B71" w:rsidP="00D43646">
            <w:pPr>
              <w:pStyle w:val="TableText0"/>
            </w:pPr>
            <w:r w:rsidRPr="00111042">
              <w:t>Population 1</w:t>
            </w:r>
          </w:p>
        </w:tc>
        <w:tc>
          <w:tcPr>
            <w:tcW w:w="1493" w:type="pct"/>
            <w:vAlign w:val="center"/>
          </w:tcPr>
          <w:p w14:paraId="09BCD2A7" w14:textId="6F4210F7" w:rsidR="00867B71" w:rsidRPr="00111042" w:rsidRDefault="00867B71" w:rsidP="00D43646">
            <w:pPr>
              <w:pStyle w:val="TableText0"/>
            </w:pPr>
            <w:r w:rsidRPr="00111042">
              <w:t>Population 2</w:t>
            </w:r>
          </w:p>
        </w:tc>
        <w:tc>
          <w:tcPr>
            <w:tcW w:w="1545" w:type="pct"/>
            <w:vAlign w:val="center"/>
          </w:tcPr>
          <w:p w14:paraId="2BEA159B" w14:textId="42850442" w:rsidR="00867B71" w:rsidRPr="00111042" w:rsidRDefault="00867B71" w:rsidP="00D43646">
            <w:pPr>
              <w:pStyle w:val="TableText0"/>
            </w:pPr>
            <w:r w:rsidRPr="00111042">
              <w:t>Population 3</w:t>
            </w:r>
          </w:p>
        </w:tc>
      </w:tr>
      <w:tr w:rsidR="00867B71" w:rsidRPr="00111042" w14:paraId="49FA2C01" w14:textId="77777777" w:rsidTr="009F2B52">
        <w:tc>
          <w:tcPr>
            <w:tcW w:w="625" w:type="pct"/>
            <w:vMerge/>
            <w:vAlign w:val="center"/>
          </w:tcPr>
          <w:p w14:paraId="560C3B1B" w14:textId="7C2E52AC" w:rsidR="00867B71" w:rsidRPr="00111042" w:rsidRDefault="00867B71" w:rsidP="00D43646">
            <w:pPr>
              <w:pStyle w:val="TableText0"/>
            </w:pPr>
          </w:p>
        </w:tc>
        <w:tc>
          <w:tcPr>
            <w:tcW w:w="1337" w:type="pct"/>
            <w:vAlign w:val="center"/>
          </w:tcPr>
          <w:p w14:paraId="2E4463DC" w14:textId="77777777" w:rsidR="00867B71" w:rsidRPr="00111042" w:rsidRDefault="00867B71" w:rsidP="00D43646">
            <w:pPr>
              <w:pStyle w:val="TableText0"/>
            </w:pPr>
            <w:r w:rsidRPr="00111042">
              <w:t xml:space="preserve">Adults (≥19 years-old) diagnosed with SMA </w:t>
            </w:r>
            <w:r w:rsidRPr="00111042">
              <w:rPr>
                <w:vertAlign w:val="superscript"/>
              </w:rPr>
              <w:t>a</w:t>
            </w:r>
            <w:r w:rsidRPr="00111042">
              <w:t xml:space="preserve"> with symptom onset ≤18 years of age</w:t>
            </w:r>
          </w:p>
        </w:tc>
        <w:tc>
          <w:tcPr>
            <w:tcW w:w="1493" w:type="pct"/>
            <w:vAlign w:val="center"/>
          </w:tcPr>
          <w:p w14:paraId="10B7BBBA" w14:textId="4C934FEB" w:rsidR="00867B71" w:rsidRPr="00111042" w:rsidRDefault="00867B71" w:rsidP="00D43646">
            <w:pPr>
              <w:pStyle w:val="TableText0"/>
            </w:pPr>
            <w:r w:rsidRPr="00111042">
              <w:t xml:space="preserve">Infants (&lt;36 months-old) diagnosed with SMA </w:t>
            </w:r>
            <w:r w:rsidRPr="00111042">
              <w:rPr>
                <w:vertAlign w:val="superscript"/>
              </w:rPr>
              <w:t>a</w:t>
            </w:r>
            <w:r w:rsidRPr="00111042">
              <w:t xml:space="preserve"> who are pre-symptomatic and have an </w:t>
            </w:r>
            <w:r w:rsidR="00AF346B" w:rsidRPr="00AF346B">
              <w:rPr>
                <w:i/>
              </w:rPr>
              <w:t>SMN2</w:t>
            </w:r>
            <w:r w:rsidRPr="00111042">
              <w:t xml:space="preserve"> gene copy number of 1 or 2</w:t>
            </w:r>
          </w:p>
        </w:tc>
        <w:tc>
          <w:tcPr>
            <w:tcW w:w="1545" w:type="pct"/>
            <w:vAlign w:val="center"/>
          </w:tcPr>
          <w:p w14:paraId="73A98903" w14:textId="728E2072" w:rsidR="00867B71" w:rsidRPr="00111042" w:rsidRDefault="00867B71" w:rsidP="00D43646">
            <w:pPr>
              <w:pStyle w:val="TableText0"/>
            </w:pPr>
            <w:r w:rsidRPr="00111042">
              <w:t xml:space="preserve">Infants (&lt;36 months-old) diagnosed with SMA </w:t>
            </w:r>
            <w:r w:rsidRPr="00111042">
              <w:rPr>
                <w:vertAlign w:val="superscript"/>
              </w:rPr>
              <w:t>a</w:t>
            </w:r>
            <w:r w:rsidRPr="00111042">
              <w:t xml:space="preserve"> who are pre-symptomatic and have an </w:t>
            </w:r>
            <w:r w:rsidR="00AF346B" w:rsidRPr="00AF346B">
              <w:rPr>
                <w:i/>
              </w:rPr>
              <w:t>SMN2</w:t>
            </w:r>
            <w:r w:rsidRPr="00111042">
              <w:t xml:space="preserve"> gene copy number of 3</w:t>
            </w:r>
          </w:p>
        </w:tc>
      </w:tr>
      <w:tr w:rsidR="00B23D1A" w:rsidRPr="00111042" w14:paraId="7F3EF5B3" w14:textId="77777777" w:rsidTr="00D43646">
        <w:tc>
          <w:tcPr>
            <w:tcW w:w="625" w:type="pct"/>
            <w:vAlign w:val="center"/>
          </w:tcPr>
          <w:p w14:paraId="1D76FC34" w14:textId="77777777" w:rsidR="001622F1" w:rsidRPr="00111042" w:rsidRDefault="001622F1" w:rsidP="00D43646">
            <w:pPr>
              <w:pStyle w:val="TableText0"/>
            </w:pPr>
            <w:r w:rsidRPr="00111042">
              <w:t>Intervention</w:t>
            </w:r>
          </w:p>
        </w:tc>
        <w:tc>
          <w:tcPr>
            <w:tcW w:w="4375" w:type="pct"/>
            <w:gridSpan w:val="3"/>
            <w:vAlign w:val="center"/>
          </w:tcPr>
          <w:p w14:paraId="78B6288F" w14:textId="77777777" w:rsidR="001622F1" w:rsidRPr="00111042" w:rsidRDefault="001622F1" w:rsidP="00D43646">
            <w:pPr>
              <w:pStyle w:val="TableText0"/>
              <w:rPr>
                <w:vertAlign w:val="superscript"/>
              </w:rPr>
            </w:pPr>
            <w:r w:rsidRPr="00111042">
              <w:t xml:space="preserve">Risdiplam orally administered for solution as chronic treatment taken daily </w:t>
            </w:r>
            <w:r w:rsidRPr="00111042">
              <w:rPr>
                <w:vertAlign w:val="superscript"/>
              </w:rPr>
              <w:t>b</w:t>
            </w:r>
          </w:p>
        </w:tc>
      </w:tr>
      <w:tr w:rsidR="00B23D1A" w:rsidRPr="00111042" w14:paraId="21F2A36B" w14:textId="77777777" w:rsidTr="009F2B52">
        <w:tc>
          <w:tcPr>
            <w:tcW w:w="625" w:type="pct"/>
            <w:vAlign w:val="center"/>
          </w:tcPr>
          <w:p w14:paraId="2D64C8B1" w14:textId="77777777" w:rsidR="001622F1" w:rsidRPr="00111042" w:rsidRDefault="001622F1" w:rsidP="00D43646">
            <w:pPr>
              <w:pStyle w:val="TableText0"/>
            </w:pPr>
            <w:r w:rsidRPr="00111042">
              <w:t>Comparator</w:t>
            </w:r>
          </w:p>
        </w:tc>
        <w:tc>
          <w:tcPr>
            <w:tcW w:w="2830" w:type="pct"/>
            <w:gridSpan w:val="2"/>
            <w:vAlign w:val="center"/>
          </w:tcPr>
          <w:p w14:paraId="0E74011A" w14:textId="4A5F83DD" w:rsidR="001622F1" w:rsidRPr="00111042" w:rsidRDefault="001622F1" w:rsidP="00D43646">
            <w:pPr>
              <w:pStyle w:val="TableText0"/>
            </w:pPr>
            <w:r w:rsidRPr="00111042">
              <w:t>Nusinersen intrathecally administered solution for injection as chronic treatment</w:t>
            </w:r>
          </w:p>
        </w:tc>
        <w:tc>
          <w:tcPr>
            <w:tcW w:w="1545" w:type="pct"/>
            <w:vAlign w:val="center"/>
          </w:tcPr>
          <w:p w14:paraId="135AEAE9" w14:textId="77777777" w:rsidR="001622F1" w:rsidRPr="00111042" w:rsidRDefault="001622F1" w:rsidP="00D43646">
            <w:pPr>
              <w:pStyle w:val="TableText0"/>
            </w:pPr>
            <w:r w:rsidRPr="00111042">
              <w:t>Onasemnogene abeparvovec gene therapy as a one-time treatment</w:t>
            </w:r>
          </w:p>
        </w:tc>
      </w:tr>
      <w:tr w:rsidR="00B23D1A" w:rsidRPr="00111042" w14:paraId="5294D1D4" w14:textId="77777777" w:rsidTr="009F2B52">
        <w:tc>
          <w:tcPr>
            <w:tcW w:w="625" w:type="pct"/>
            <w:vAlign w:val="center"/>
          </w:tcPr>
          <w:p w14:paraId="7474113E" w14:textId="77777777" w:rsidR="001622F1" w:rsidRPr="00111042" w:rsidRDefault="001622F1" w:rsidP="00D43646">
            <w:pPr>
              <w:pStyle w:val="TableText0"/>
            </w:pPr>
            <w:r w:rsidRPr="00111042">
              <w:t>Outcomes</w:t>
            </w:r>
          </w:p>
        </w:tc>
        <w:tc>
          <w:tcPr>
            <w:tcW w:w="1337" w:type="pct"/>
            <w:vAlign w:val="center"/>
          </w:tcPr>
          <w:p w14:paraId="23C65B68" w14:textId="77777777" w:rsidR="001622F1" w:rsidRPr="00111042" w:rsidRDefault="001622F1" w:rsidP="00D43646">
            <w:pPr>
              <w:pStyle w:val="TableText1"/>
              <w:spacing w:before="0" w:after="0"/>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-Mean difference versus baseline HFMSE</w:t>
            </w:r>
          </w:p>
          <w:p w14:paraId="0BAD5D35" w14:textId="77777777" w:rsidR="001622F1" w:rsidRPr="00111042" w:rsidRDefault="001622F1" w:rsidP="00D43646">
            <w:pPr>
              <w:pStyle w:val="TableText0"/>
            </w:pPr>
            <w:r w:rsidRPr="00111042">
              <w:t>-Mean difference versus baseline RULM</w:t>
            </w:r>
          </w:p>
          <w:p w14:paraId="14DD651E" w14:textId="77777777" w:rsidR="001622F1" w:rsidRPr="00EA2B41" w:rsidRDefault="001622F1" w:rsidP="00D43646">
            <w:pPr>
              <w:pStyle w:val="TableText0"/>
            </w:pPr>
            <w:r w:rsidRPr="00EA2B41">
              <w:t xml:space="preserve">-Mean difference versus baseline MFM32 </w:t>
            </w:r>
          </w:p>
        </w:tc>
        <w:tc>
          <w:tcPr>
            <w:tcW w:w="1493" w:type="pct"/>
            <w:vAlign w:val="center"/>
          </w:tcPr>
          <w:p w14:paraId="0C7CDF7B" w14:textId="77777777" w:rsidR="001622F1" w:rsidRPr="00111042" w:rsidRDefault="001622F1" w:rsidP="00D43646">
            <w:pPr>
              <w:pStyle w:val="TableText1"/>
              <w:spacing w:before="0" w:after="0"/>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-Event free survival</w:t>
            </w:r>
          </w:p>
          <w:p w14:paraId="2D963246" w14:textId="77777777" w:rsidR="001622F1" w:rsidRPr="00111042" w:rsidRDefault="001622F1" w:rsidP="00D43646">
            <w:pPr>
              <w:pStyle w:val="TableText1"/>
              <w:spacing w:before="0" w:after="0"/>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-Overall survival</w:t>
            </w:r>
          </w:p>
          <w:p w14:paraId="761370EE" w14:textId="77777777" w:rsidR="001622F1" w:rsidRPr="00111042" w:rsidRDefault="001622F1" w:rsidP="00D43646">
            <w:pPr>
              <w:pStyle w:val="TableText1"/>
              <w:spacing w:before="0" w:after="0"/>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-HINE-2 total score</w:t>
            </w:r>
          </w:p>
          <w:p w14:paraId="62E061EE" w14:textId="77777777" w:rsidR="001622F1" w:rsidRPr="00111042" w:rsidRDefault="001622F1" w:rsidP="00D43646">
            <w:pPr>
              <w:pStyle w:val="TableText1"/>
              <w:spacing w:before="0" w:after="0"/>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-CHOP-INTEND total score</w:t>
            </w:r>
          </w:p>
          <w:p w14:paraId="5519D0E2" w14:textId="77777777" w:rsidR="001622F1" w:rsidRPr="00EA2B41" w:rsidRDefault="001622F1" w:rsidP="00D43646">
            <w:pPr>
              <w:pStyle w:val="TableText1"/>
              <w:spacing w:before="0" w:after="0"/>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 xml:space="preserve">-Individual motor milestone achievements as measured by the </w:t>
            </w:r>
            <w:r w:rsidRPr="00EA2B41">
              <w:rPr>
                <w:rFonts w:ascii="Arial Narrow" w:eastAsiaTheme="majorEastAsia" w:hAnsi="Arial Narrow" w:cstheme="majorBidi"/>
                <w:szCs w:val="24"/>
                <w:lang w:eastAsia="en-AU"/>
              </w:rPr>
              <w:t>HINE-2</w:t>
            </w:r>
          </w:p>
          <w:p w14:paraId="5A6F5DBE" w14:textId="77777777" w:rsidR="001622F1" w:rsidRPr="00111042" w:rsidRDefault="001622F1" w:rsidP="00D43646">
            <w:pPr>
              <w:pStyle w:val="TableText1"/>
              <w:spacing w:before="0" w:after="0"/>
              <w:rPr>
                <w:rFonts w:ascii="Arial Narrow" w:eastAsiaTheme="majorEastAsia" w:hAnsi="Arial Narrow" w:cstheme="majorBidi"/>
                <w:i/>
                <w:iCs/>
                <w:szCs w:val="24"/>
                <w:lang w:eastAsia="en-AU"/>
              </w:rPr>
            </w:pPr>
            <w:r w:rsidRPr="00EA2B41">
              <w:rPr>
                <w:rFonts w:ascii="Arial Narrow" w:eastAsiaTheme="majorEastAsia" w:hAnsi="Arial Narrow" w:cstheme="majorBidi"/>
                <w:szCs w:val="24"/>
                <w:lang w:eastAsia="en-AU"/>
              </w:rPr>
              <w:t>-Sitting without support after 12 months of treatment</w:t>
            </w:r>
          </w:p>
        </w:tc>
        <w:tc>
          <w:tcPr>
            <w:tcW w:w="1545" w:type="pct"/>
            <w:vAlign w:val="center"/>
          </w:tcPr>
          <w:p w14:paraId="7D6C3496" w14:textId="77777777" w:rsidR="001622F1" w:rsidRPr="00111042" w:rsidRDefault="001622F1" w:rsidP="00D43646">
            <w:pPr>
              <w:pStyle w:val="TableText1"/>
              <w:spacing w:before="0" w:after="0"/>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-Event free survival</w:t>
            </w:r>
          </w:p>
          <w:p w14:paraId="3B2A5448" w14:textId="77777777" w:rsidR="001622F1" w:rsidRPr="00111042" w:rsidRDefault="001622F1" w:rsidP="00D43646">
            <w:pPr>
              <w:pStyle w:val="TableText1"/>
              <w:spacing w:before="0" w:after="0"/>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-Overall survival</w:t>
            </w:r>
          </w:p>
          <w:p w14:paraId="61F0164F" w14:textId="77777777" w:rsidR="001622F1" w:rsidRPr="00111042" w:rsidRDefault="001622F1" w:rsidP="00D43646">
            <w:pPr>
              <w:pStyle w:val="TableText0"/>
              <w:rPr>
                <w:vertAlign w:val="superscript"/>
              </w:rPr>
            </w:pPr>
            <w:r w:rsidRPr="00111042">
              <w:t xml:space="preserve">-Individual motor milestone achievements as measured by HINE-2 and WHO criteria </w:t>
            </w:r>
            <w:r w:rsidRPr="00111042">
              <w:rPr>
                <w:vertAlign w:val="superscript"/>
              </w:rPr>
              <w:t>c</w:t>
            </w:r>
          </w:p>
        </w:tc>
      </w:tr>
      <w:tr w:rsidR="00B23D1A" w:rsidRPr="00111042" w14:paraId="611FFBB2" w14:textId="77777777" w:rsidTr="009F2B52">
        <w:tc>
          <w:tcPr>
            <w:tcW w:w="625" w:type="pct"/>
            <w:vAlign w:val="center"/>
          </w:tcPr>
          <w:p w14:paraId="324298E5" w14:textId="77777777" w:rsidR="001622F1" w:rsidRPr="00111042" w:rsidRDefault="001622F1" w:rsidP="00D43646">
            <w:pPr>
              <w:pStyle w:val="TableText0"/>
            </w:pPr>
            <w:r w:rsidRPr="00111042">
              <w:t>Clinical claim</w:t>
            </w:r>
          </w:p>
        </w:tc>
        <w:tc>
          <w:tcPr>
            <w:tcW w:w="1337" w:type="pct"/>
            <w:vAlign w:val="center"/>
          </w:tcPr>
          <w:p w14:paraId="3FF04BBA" w14:textId="77777777" w:rsidR="001622F1" w:rsidRPr="00111042" w:rsidRDefault="001622F1" w:rsidP="00D43646">
            <w:pPr>
              <w:pStyle w:val="TableText0"/>
            </w:pPr>
            <w:r w:rsidRPr="00111042">
              <w:t>In adult SMA patients with symptom onset prior to 19 years of age (primarily SMA Types 2 and 3), risdiplam is non-inferior in terms of efficacy and safety compared with nusinersen, with a favourable safety profile in some patients due to differences in administration (oral vs intrathecal).</w:t>
            </w:r>
          </w:p>
        </w:tc>
        <w:tc>
          <w:tcPr>
            <w:tcW w:w="1493" w:type="pct"/>
            <w:vAlign w:val="center"/>
          </w:tcPr>
          <w:p w14:paraId="009603CD" w14:textId="2B981DE0" w:rsidR="001622F1" w:rsidRPr="00111042" w:rsidRDefault="001622F1" w:rsidP="00D43646">
            <w:pPr>
              <w:pStyle w:val="TableText0"/>
            </w:pPr>
            <w:r w:rsidRPr="00111042">
              <w:t xml:space="preserve">In pre-symptomatic SMA patients with genetically confirmed SMN1 deletion or mutation and a </w:t>
            </w:r>
            <w:r w:rsidR="00AF346B" w:rsidRPr="00AF346B">
              <w:rPr>
                <w:i/>
              </w:rPr>
              <w:t>SMN2</w:t>
            </w:r>
            <w:r w:rsidRPr="00111042">
              <w:t xml:space="preserve"> gene copy number of 1 or 2, risdiplam is non-inferior in terms of efficacy and safety compared with nusinersen, with a favourable safety profile in some patients due to differences in administration (oral vs intrathecal).</w:t>
            </w:r>
          </w:p>
        </w:tc>
        <w:tc>
          <w:tcPr>
            <w:tcW w:w="1545" w:type="pct"/>
            <w:vAlign w:val="center"/>
          </w:tcPr>
          <w:p w14:paraId="161C9229" w14:textId="04DA8B23" w:rsidR="001622F1" w:rsidRPr="00111042" w:rsidRDefault="001622F1" w:rsidP="00D43646">
            <w:pPr>
              <w:pStyle w:val="TableText0"/>
            </w:pPr>
            <w:r w:rsidRPr="00111042">
              <w:t xml:space="preserve">In pre-symptomatic SMA patients with genetically confirmed SMN1 deletion or mutation and a </w:t>
            </w:r>
            <w:r w:rsidR="00AF346B" w:rsidRPr="00AF346B">
              <w:rPr>
                <w:i/>
              </w:rPr>
              <w:t>SMN2</w:t>
            </w:r>
            <w:r w:rsidRPr="00111042">
              <w:t xml:space="preserve"> gene copy number of 3, risdiplam is non-inferior in terms of efficacy and safety compared with onasemnogene abeparvovec, with a favourable safety profile in some patients due to differences in therapy type (oral vs gene therapy).</w:t>
            </w:r>
          </w:p>
        </w:tc>
      </w:tr>
    </w:tbl>
    <w:p w14:paraId="2E552B30" w14:textId="77777777" w:rsidR="009F2B52" w:rsidRPr="000A1792" w:rsidRDefault="009F2B52" w:rsidP="009F2B52">
      <w:pPr>
        <w:pStyle w:val="FooterTableFigure"/>
      </w:pPr>
      <w:r w:rsidRPr="00111042">
        <w:t>Source: Table 1.1 p3-4 of the resubmission</w:t>
      </w:r>
      <w:r w:rsidRPr="000A1792">
        <w:t xml:space="preserve"> </w:t>
      </w:r>
    </w:p>
    <w:p w14:paraId="2307C7FA" w14:textId="77777777" w:rsidR="001622F1" w:rsidRPr="00111042" w:rsidRDefault="001622F1" w:rsidP="001622F1">
      <w:pPr>
        <w:pStyle w:val="FooterTableFigure"/>
      </w:pPr>
      <w:r w:rsidRPr="00111042">
        <w:t>CHOP-INTEND=Children's Hospital of Philadelphia Infant Test of Neuromuscular Disorders; HFMSE=Hammersmith functional motor scale expanded; HINE-2=Hammersmith Infant Neuromuscular Examination; MFM32=motor function measure 32; RULM=revised upper limb module; SMA = spinal muscular dystrophy; SMN = survival motor neuron</w:t>
      </w:r>
    </w:p>
    <w:p w14:paraId="7C8F779E" w14:textId="6934D55D" w:rsidR="001622F1" w:rsidRPr="00111042" w:rsidRDefault="001622F1" w:rsidP="001622F1">
      <w:pPr>
        <w:pStyle w:val="FooterTableFigure"/>
      </w:pPr>
      <w:r w:rsidRPr="00111042">
        <w:t>a – Defined as genetic confirmation of 5q homozygous deletion of the survival motor neuron 1 (SMN1) gene OR genetic confirmation of deletion of one copy of the SMN1 gene in addition to a pathogenic / likely pathogenic variant in the remaining single copy of the SMN1 gene.</w:t>
      </w:r>
    </w:p>
    <w:p w14:paraId="26ECD246" w14:textId="77777777" w:rsidR="001622F1" w:rsidRPr="00111042" w:rsidRDefault="001622F1" w:rsidP="001622F1">
      <w:pPr>
        <w:pStyle w:val="FooterTableFigure"/>
      </w:pPr>
      <w:r w:rsidRPr="00111042">
        <w:t>b – Dosage dependent on age and weight, with maximum daily dose of 5mg.</w:t>
      </w:r>
    </w:p>
    <w:p w14:paraId="638BEAAB" w14:textId="77777777" w:rsidR="001622F1" w:rsidRPr="00111042" w:rsidRDefault="001622F1" w:rsidP="001622F1">
      <w:pPr>
        <w:pStyle w:val="FooterTableFigure"/>
      </w:pPr>
      <w:r w:rsidRPr="00111042">
        <w:t xml:space="preserve">c - Motor milestones were measured by the Hammersmith Infant Neurological Examination – Module 2(HINE-2) in the RAINBOWFISH trial and by world health organisation (WHO) criteria in the SPR1NT trial. The comparison assumed equivalence between the WHO motor milestones and HINE-2 motor milestones </w:t>
      </w:r>
    </w:p>
    <w:p w14:paraId="74EE990B" w14:textId="6360E67E" w:rsidR="001622F1" w:rsidRPr="00111042" w:rsidRDefault="000A1792" w:rsidP="001622F1">
      <w:pPr>
        <w:pStyle w:val="3-BodyText"/>
      </w:pPr>
      <w:r w:rsidRPr="00AF346B">
        <w:t xml:space="preserve">The </w:t>
      </w:r>
      <w:r w:rsidR="00890494">
        <w:t>Pre-Sub-Committee Response (</w:t>
      </w:r>
      <w:r w:rsidRPr="00AF346B">
        <w:t>PSCR</w:t>
      </w:r>
      <w:r w:rsidR="00890494">
        <w:t xml:space="preserve">) </w:t>
      </w:r>
      <w:r w:rsidRPr="00AF346B">
        <w:t>acknowledged that ONA was not recommended in population 3 at the November 2022 meeting and stated that the sponsor does not intend to conduct a cost-effectiveness analysis compared to best supportive care for resubmission. The ESC considered that on this basis, population 3 was effectively withdrawn from the submission. The PSCR suggested that if ONA or nusinersen is recommended in population 3 in the future, the PBAC could recommend that changes to the listings also flow on to risdiplam.</w:t>
      </w:r>
    </w:p>
    <w:p w14:paraId="6B4AB6C2" w14:textId="1F75F681" w:rsidR="005C25FF" w:rsidRPr="00111042" w:rsidRDefault="005C25FF" w:rsidP="004A6040">
      <w:pPr>
        <w:pStyle w:val="2-SectionHeading"/>
      </w:pPr>
      <w:bookmarkStart w:id="3" w:name="_Toc124937747"/>
      <w:r w:rsidRPr="00111042">
        <w:lastRenderedPageBreak/>
        <w:t>Background</w:t>
      </w:r>
      <w:bookmarkEnd w:id="3"/>
    </w:p>
    <w:p w14:paraId="2C521D6D" w14:textId="43D6573C" w:rsidR="005C25FF" w:rsidRPr="00111042" w:rsidRDefault="005C25FF" w:rsidP="004A6040">
      <w:pPr>
        <w:pStyle w:val="4-SubsectionHeading"/>
      </w:pPr>
      <w:bookmarkStart w:id="4" w:name="_Toc22897638"/>
      <w:bookmarkStart w:id="5" w:name="_Toc124937748"/>
      <w:r w:rsidRPr="00111042">
        <w:t>Registration status</w:t>
      </w:r>
      <w:bookmarkEnd w:id="4"/>
      <w:bookmarkEnd w:id="5"/>
    </w:p>
    <w:p w14:paraId="62397687" w14:textId="41790EAC" w:rsidR="00627B6F" w:rsidRPr="00111042" w:rsidRDefault="00627B6F" w:rsidP="004E18E9">
      <w:pPr>
        <w:pStyle w:val="3-BodyText"/>
      </w:pPr>
      <w:r w:rsidRPr="00111042">
        <w:t xml:space="preserve">Risdiplam was approved for registration by the TGA on the 2 June 2021 ‘for the treatment of 5q spinal muscular atrophy (SMA) in patients aged 2 months and older’. </w:t>
      </w:r>
      <w:r w:rsidR="00265361">
        <w:t>At the time of PBAC consideration the Delegate’s Overview was available for the submission to extend the TGA indication for r</w:t>
      </w:r>
      <w:r w:rsidRPr="00111042">
        <w:t xml:space="preserve">isdiplam </w:t>
      </w:r>
      <w:r w:rsidR="00265361">
        <w:t>to include</w:t>
      </w:r>
      <w:r w:rsidRPr="00111042">
        <w:t xml:space="preserve"> patients under the age of two months</w:t>
      </w:r>
      <w:r w:rsidR="00265361">
        <w:t xml:space="preserve">. </w:t>
      </w:r>
    </w:p>
    <w:p w14:paraId="3E2A6EAB" w14:textId="37698150" w:rsidR="005C25FF" w:rsidRPr="00111042" w:rsidRDefault="005C25FF" w:rsidP="004E18E9">
      <w:pPr>
        <w:pStyle w:val="4-SubsectionHeading"/>
      </w:pPr>
      <w:bookmarkStart w:id="6" w:name="_Toc22897639"/>
      <w:bookmarkStart w:id="7" w:name="_Toc124937749"/>
      <w:r w:rsidRPr="00111042">
        <w:t>Previous PBAC consideration</w:t>
      </w:r>
      <w:bookmarkEnd w:id="6"/>
      <w:bookmarkEnd w:id="7"/>
    </w:p>
    <w:p w14:paraId="4B70F42C" w14:textId="720DF56D" w:rsidR="001603EC" w:rsidRPr="00111042" w:rsidRDefault="0046039D" w:rsidP="00F06F0B">
      <w:pPr>
        <w:pStyle w:val="3-BodyText"/>
      </w:pPr>
      <w:r>
        <w:t>A</w:t>
      </w:r>
      <w:r w:rsidRPr="00111042">
        <w:t xml:space="preserve">t the March 2021 PBAC meeting </w:t>
      </w:r>
      <w:r>
        <w:t>r</w:t>
      </w:r>
      <w:r w:rsidR="001603EC" w:rsidRPr="00111042">
        <w:t xml:space="preserve">isdiplam </w:t>
      </w:r>
      <w:r w:rsidR="00BF44BC" w:rsidRPr="00111042">
        <w:t xml:space="preserve">was recommended for </w:t>
      </w:r>
      <w:r w:rsidR="001603EC" w:rsidRPr="00111042">
        <w:t>list</w:t>
      </w:r>
      <w:r w:rsidR="00BF44BC" w:rsidRPr="00111042">
        <w:t>ing</w:t>
      </w:r>
      <w:r w:rsidR="001603EC" w:rsidRPr="00111042">
        <w:t xml:space="preserve"> for treatment </w:t>
      </w:r>
      <w:r w:rsidR="00126F12" w:rsidRPr="00111042">
        <w:t>of SMA Type 1, 2 or 3a in patients aged 18 years or less</w:t>
      </w:r>
      <w:r w:rsidR="00BF44BC" w:rsidRPr="00111042">
        <w:t>, based on non</w:t>
      </w:r>
      <w:r>
        <w:noBreakHyphen/>
      </w:r>
      <w:r w:rsidR="00BF44BC" w:rsidRPr="00111042">
        <w:t xml:space="preserve">inferiority to nusinersen. </w:t>
      </w:r>
    </w:p>
    <w:p w14:paraId="3040C804" w14:textId="598F98C0" w:rsidR="00F06F0B" w:rsidRPr="00111042" w:rsidRDefault="0046039D" w:rsidP="00F06F0B">
      <w:pPr>
        <w:pStyle w:val="3-BodyText"/>
      </w:pPr>
      <w:r>
        <w:t>A</w:t>
      </w:r>
      <w:r w:rsidRPr="00111042">
        <w:t xml:space="preserve">t the March 2021 PBAC meeting </w:t>
      </w:r>
      <w:r>
        <w:t>r</w:t>
      </w:r>
      <w:r w:rsidR="00F06F0B" w:rsidRPr="00111042">
        <w:t xml:space="preserve">isdiplam was not recommended for listing for Type 1, 2 or 3 SMA patients aged &gt;18 years old. </w:t>
      </w:r>
      <w:r w:rsidR="0081298D">
        <w:t>At</w:t>
      </w:r>
      <w:r w:rsidR="0081298D" w:rsidRPr="00111042">
        <w:t xml:space="preserve"> </w:t>
      </w:r>
      <w:r w:rsidR="0081298D">
        <w:t>that time</w:t>
      </w:r>
      <w:r w:rsidR="0081298D" w:rsidRPr="00111042">
        <w:t xml:space="preserve">, the PBAC considered the claim </w:t>
      </w:r>
      <w:r>
        <w:t>of</w:t>
      </w:r>
      <w:r w:rsidR="0081298D" w:rsidRPr="00111042">
        <w:t xml:space="preserve"> superior efficacy of risdiplam over best supportive care (BSC) in this population was not supported by the clinical evidence and therefore the cost-utility analysis was not informative (</w:t>
      </w:r>
      <w:r>
        <w:t>p</w:t>
      </w:r>
      <w:r w:rsidR="0081298D" w:rsidRPr="00111042">
        <w:t>ara 7.23, risdiplam public summary document</w:t>
      </w:r>
      <w:r w:rsidR="0081298D">
        <w:t xml:space="preserve"> (PSD)</w:t>
      </w:r>
      <w:r w:rsidR="0081298D" w:rsidRPr="00111042">
        <w:t>, March 2021 PBAC meeting).</w:t>
      </w:r>
      <w:r w:rsidR="0081298D">
        <w:t xml:space="preserve"> N</w:t>
      </w:r>
      <w:r w:rsidR="0081298D" w:rsidRPr="000C053F">
        <w:t xml:space="preserve">usinersen </w:t>
      </w:r>
      <w:r w:rsidR="00F06F0B" w:rsidRPr="000C053F">
        <w:t xml:space="preserve">has since been listed on the PBS for patients aged </w:t>
      </w:r>
      <w:r w:rsidR="00F06F0B" w:rsidRPr="000C053F">
        <w:rPr>
          <w:rFonts w:cstheme="minorHAnsi"/>
        </w:rPr>
        <w:t>≥</w:t>
      </w:r>
      <w:r w:rsidR="00F06F0B" w:rsidRPr="000C053F">
        <w:t>19 years</w:t>
      </w:r>
      <w:r w:rsidR="0081298D">
        <w:t xml:space="preserve"> </w:t>
      </w:r>
      <w:r w:rsidR="00F06F0B" w:rsidRPr="000C053F">
        <w:t xml:space="preserve">old with </w:t>
      </w:r>
      <w:r w:rsidR="00F06F0B" w:rsidRPr="000C053F">
        <w:rPr>
          <w:rFonts w:cstheme="minorHAnsi"/>
        </w:rPr>
        <w:t>≥</w:t>
      </w:r>
      <w:r w:rsidR="00F06F0B" w:rsidRPr="000C053F">
        <w:t xml:space="preserve">1 symptoms present before the age of 19 after receiving a positive recommendation </w:t>
      </w:r>
      <w:r w:rsidR="00265361">
        <w:t>at</w:t>
      </w:r>
      <w:r w:rsidR="00265361" w:rsidRPr="000C053F">
        <w:t xml:space="preserve"> </w:t>
      </w:r>
      <w:r w:rsidR="00F06F0B" w:rsidRPr="000C053F">
        <w:t xml:space="preserve">the March 2022 PBAC meeting, meaning the relevant comparator for </w:t>
      </w:r>
      <w:r w:rsidR="0081298D">
        <w:t>population 1</w:t>
      </w:r>
      <w:r w:rsidR="00F06F0B" w:rsidRPr="000C053F">
        <w:t xml:space="preserve"> is now nusinersen. </w:t>
      </w:r>
    </w:p>
    <w:p w14:paraId="4091E8E3" w14:textId="1F7CFA71" w:rsidR="0046039D" w:rsidRPr="00AF346B" w:rsidRDefault="0046039D" w:rsidP="00F06F0B">
      <w:pPr>
        <w:pStyle w:val="3-BodyText"/>
      </w:pPr>
      <w:r w:rsidRPr="00AF346B">
        <w:t xml:space="preserve">The PBAC </w:t>
      </w:r>
      <w:r w:rsidR="00265361">
        <w:t>has</w:t>
      </w:r>
      <w:r w:rsidR="00265361" w:rsidRPr="00AF346B">
        <w:t xml:space="preserve"> </w:t>
      </w:r>
      <w:r w:rsidRPr="00AF346B">
        <w:t xml:space="preserve">not previously considered risdiplam for treatment of pre-symptomatic SMA patients. </w:t>
      </w:r>
    </w:p>
    <w:p w14:paraId="4DC8F6AF" w14:textId="2F6CD706" w:rsidR="005E4439" w:rsidRPr="00C02C39" w:rsidRDefault="005E4439" w:rsidP="00B94E46">
      <w:pPr>
        <w:pStyle w:val="3-BodyText"/>
        <w:rPr>
          <w:i/>
          <w:iCs/>
        </w:rPr>
      </w:pPr>
      <w:bookmarkStart w:id="8" w:name="_Ref130393451"/>
      <w:r w:rsidRPr="00AF346B">
        <w:t>The resubmission did not address the type 3b SMA population.</w:t>
      </w:r>
      <w:r>
        <w:rPr>
          <w:i/>
          <w:iCs/>
        </w:rPr>
        <w:t xml:space="preserve"> </w:t>
      </w:r>
      <w:r w:rsidRPr="000C053F">
        <w:t xml:space="preserve">Nusinersen was recommended in the Type 3b population at the July 2021 PBAC meeting, and the PBAC </w:t>
      </w:r>
      <w:r w:rsidR="002F416D" w:rsidRPr="00EF721A">
        <w:t>advised</w:t>
      </w:r>
      <w:r w:rsidR="002F416D" w:rsidRPr="002F416D">
        <w:rPr>
          <w:i/>
          <w:iCs/>
        </w:rPr>
        <w:t xml:space="preserve"> </w:t>
      </w:r>
      <w:r w:rsidRPr="000C053F">
        <w:t>that this extension to include paediatric patients with symptom-onset between age 3 and 18</w:t>
      </w:r>
      <w:r w:rsidR="00222932">
        <w:t xml:space="preserve"> years</w:t>
      </w:r>
      <w:r w:rsidRPr="000C053F">
        <w:t xml:space="preserve"> [i.e., Type 3b] could also be flowed onto risdiplam using the equi-effective doses established for Type 1, 2 and 3a [from the risdiplam versus nusinersen cost-minimisation used to inform the risdiplam recommended listing] (</w:t>
      </w:r>
      <w:r w:rsidR="00B94E46">
        <w:t>p</w:t>
      </w:r>
      <w:r w:rsidRPr="000C053F">
        <w:t>ara 7.23, nusinersen</w:t>
      </w:r>
      <w:r w:rsidR="00B94E46">
        <w:t xml:space="preserve"> PSD</w:t>
      </w:r>
      <w:r w:rsidRPr="000C053F">
        <w:t xml:space="preserve">, July 2021 PBAC meeting). </w:t>
      </w:r>
      <w:r w:rsidR="002F416D" w:rsidRPr="00AF346B">
        <w:t xml:space="preserve">At the time of </w:t>
      </w:r>
      <w:r w:rsidR="00265361">
        <w:t>PBAC</w:t>
      </w:r>
      <w:r w:rsidR="00265361" w:rsidRPr="00AF346B">
        <w:t xml:space="preserve"> </w:t>
      </w:r>
      <w:r w:rsidR="002F416D" w:rsidRPr="00AF346B">
        <w:t>consideration the sponsor had not progressed this proposed extension to the risdiplam listing to include Type 3b patients.</w:t>
      </w:r>
      <w:bookmarkEnd w:id="8"/>
    </w:p>
    <w:p w14:paraId="7A6F5CC3" w14:textId="2A2F1790" w:rsidR="00C02C39" w:rsidRPr="00C02C39" w:rsidRDefault="00C02C39" w:rsidP="00C02C39">
      <w:pPr>
        <w:rPr>
          <w:i/>
          <w:iCs/>
        </w:rPr>
      </w:pPr>
      <w:bookmarkStart w:id="9" w:name="_Hlk76375324"/>
      <w:r w:rsidRPr="00C02C39">
        <w:rPr>
          <w:i/>
          <w:iCs/>
        </w:rPr>
        <w:t>For more detail on PBAC’s view, see section 7 PBAC outcome.</w:t>
      </w:r>
      <w:bookmarkEnd w:id="9"/>
    </w:p>
    <w:p w14:paraId="76E4EF3C" w14:textId="157C031F" w:rsidR="00B60939" w:rsidRPr="00111042" w:rsidRDefault="00B50DB8" w:rsidP="004E18E9">
      <w:pPr>
        <w:pStyle w:val="2-SectionHeading"/>
      </w:pPr>
      <w:bookmarkStart w:id="10" w:name="_Toc107902078"/>
      <w:bookmarkStart w:id="11" w:name="_Toc124937750"/>
      <w:bookmarkEnd w:id="10"/>
      <w:r w:rsidRPr="00111042">
        <w:t>Requested listing</w:t>
      </w:r>
      <w:bookmarkEnd w:id="11"/>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36"/>
        <w:gridCol w:w="895"/>
        <w:gridCol w:w="729"/>
        <w:gridCol w:w="729"/>
        <w:gridCol w:w="2977"/>
        <w:gridCol w:w="993"/>
        <w:gridCol w:w="869"/>
      </w:tblGrid>
      <w:tr w:rsidR="004A380D" w:rsidRPr="00111042" w14:paraId="635CFB63" w14:textId="77777777" w:rsidTr="004A2E50">
        <w:trPr>
          <w:cantSplit/>
          <w:trHeight w:val="463"/>
        </w:trPr>
        <w:tc>
          <w:tcPr>
            <w:tcW w:w="1588" w:type="pct"/>
            <w:gridSpan w:val="2"/>
            <w:vAlign w:val="center"/>
          </w:tcPr>
          <w:p w14:paraId="080D3C2D" w14:textId="77777777" w:rsidR="004A380D" w:rsidRPr="00111042" w:rsidRDefault="004A380D" w:rsidP="004A2E50">
            <w:pPr>
              <w:jc w:val="left"/>
              <w:rPr>
                <w:rFonts w:ascii="Arial Narrow" w:hAnsi="Arial Narrow"/>
                <w:b/>
                <w:sz w:val="20"/>
              </w:rPr>
            </w:pPr>
            <w:r w:rsidRPr="00111042">
              <w:rPr>
                <w:rFonts w:ascii="Arial Narrow" w:hAnsi="Arial Narrow"/>
                <w:b/>
                <w:sz w:val="20"/>
              </w:rPr>
              <w:t>Name, Restriction,</w:t>
            </w:r>
          </w:p>
          <w:p w14:paraId="7ECA3B33" w14:textId="77777777" w:rsidR="004A380D" w:rsidRPr="00111042" w:rsidRDefault="004A380D" w:rsidP="004A2E50">
            <w:pPr>
              <w:jc w:val="left"/>
              <w:rPr>
                <w:b/>
              </w:rPr>
            </w:pPr>
            <w:r w:rsidRPr="00111042">
              <w:rPr>
                <w:rFonts w:ascii="Arial Narrow" w:hAnsi="Arial Narrow"/>
                <w:b/>
                <w:sz w:val="20"/>
              </w:rPr>
              <w:t>Manner of administration and form</w:t>
            </w:r>
          </w:p>
        </w:tc>
        <w:tc>
          <w:tcPr>
            <w:tcW w:w="395" w:type="pct"/>
            <w:vAlign w:val="center"/>
          </w:tcPr>
          <w:p w14:paraId="2F4DFDDA" w14:textId="77777777" w:rsidR="004A380D" w:rsidRPr="00111042" w:rsidRDefault="004A380D" w:rsidP="004A2E50">
            <w:pPr>
              <w:jc w:val="center"/>
              <w:rPr>
                <w:rFonts w:ascii="Arial Narrow" w:hAnsi="Arial Narrow"/>
                <w:b/>
                <w:sz w:val="20"/>
              </w:rPr>
            </w:pPr>
            <w:r w:rsidRPr="00111042">
              <w:rPr>
                <w:rFonts w:ascii="Arial Narrow" w:hAnsi="Arial Narrow"/>
                <w:b/>
                <w:sz w:val="20"/>
              </w:rPr>
              <w:t>Max.</w:t>
            </w:r>
          </w:p>
          <w:p w14:paraId="5E106471" w14:textId="77777777" w:rsidR="004A380D" w:rsidRPr="00111042" w:rsidRDefault="004A380D" w:rsidP="004A2E50">
            <w:pPr>
              <w:jc w:val="center"/>
              <w:rPr>
                <w:rFonts w:ascii="Arial Narrow" w:hAnsi="Arial Narrow"/>
                <w:b/>
                <w:sz w:val="20"/>
              </w:rPr>
            </w:pPr>
            <w:r w:rsidRPr="00111042">
              <w:rPr>
                <w:rFonts w:ascii="Arial Narrow" w:hAnsi="Arial Narrow"/>
                <w:b/>
                <w:sz w:val="20"/>
              </w:rPr>
              <w:t xml:space="preserve">Qty </w:t>
            </w:r>
          </w:p>
        </w:tc>
        <w:tc>
          <w:tcPr>
            <w:tcW w:w="395" w:type="pct"/>
            <w:vAlign w:val="center"/>
          </w:tcPr>
          <w:p w14:paraId="35EA317F" w14:textId="77777777" w:rsidR="004A380D" w:rsidRPr="00111042" w:rsidRDefault="004A380D" w:rsidP="004A2E50">
            <w:pPr>
              <w:jc w:val="center"/>
              <w:rPr>
                <w:rFonts w:ascii="Arial Narrow" w:hAnsi="Arial Narrow"/>
                <w:b/>
                <w:sz w:val="20"/>
              </w:rPr>
            </w:pPr>
            <w:r w:rsidRPr="00111042">
              <w:rPr>
                <w:rFonts w:ascii="Arial Narrow" w:hAnsi="Arial Narrow" w:cs="Times New Roman"/>
                <w:b/>
                <w:sz w:val="20"/>
              </w:rPr>
              <w:t>№</w:t>
            </w:r>
            <w:r w:rsidRPr="00111042">
              <w:rPr>
                <w:rFonts w:ascii="Arial Narrow" w:hAnsi="Arial Narrow"/>
                <w:b/>
                <w:sz w:val="20"/>
              </w:rPr>
              <w:t>.of</w:t>
            </w:r>
          </w:p>
          <w:p w14:paraId="7479A4EF" w14:textId="77777777" w:rsidR="004A380D" w:rsidRPr="00111042" w:rsidRDefault="004A380D" w:rsidP="004A2E50">
            <w:pPr>
              <w:jc w:val="center"/>
              <w:rPr>
                <w:rFonts w:ascii="Arial Narrow" w:hAnsi="Arial Narrow"/>
                <w:b/>
                <w:sz w:val="20"/>
              </w:rPr>
            </w:pPr>
            <w:r w:rsidRPr="00111042">
              <w:rPr>
                <w:rFonts w:ascii="Arial Narrow" w:hAnsi="Arial Narrow"/>
                <w:b/>
                <w:sz w:val="20"/>
              </w:rPr>
              <w:t>Rpts</w:t>
            </w:r>
          </w:p>
        </w:tc>
        <w:tc>
          <w:tcPr>
            <w:tcW w:w="1613" w:type="pct"/>
            <w:vAlign w:val="center"/>
          </w:tcPr>
          <w:p w14:paraId="79B94FD2" w14:textId="4644EF79" w:rsidR="004A380D" w:rsidRPr="00111042" w:rsidRDefault="004A380D" w:rsidP="004A2E50">
            <w:pPr>
              <w:jc w:val="center"/>
              <w:rPr>
                <w:rFonts w:ascii="Arial Narrow" w:hAnsi="Arial Narrow"/>
                <w:b/>
                <w:sz w:val="20"/>
              </w:rPr>
            </w:pPr>
            <w:r w:rsidRPr="00111042">
              <w:rPr>
                <w:rFonts w:ascii="Arial Narrow" w:hAnsi="Arial Narrow"/>
                <w:b/>
                <w:sz w:val="20"/>
              </w:rPr>
              <w:t xml:space="preserve">Dispensed Price for Max. Qty </w:t>
            </w:r>
          </w:p>
        </w:tc>
        <w:tc>
          <w:tcPr>
            <w:tcW w:w="1009" w:type="pct"/>
            <w:gridSpan w:val="2"/>
            <w:vAlign w:val="center"/>
          </w:tcPr>
          <w:p w14:paraId="553813D0" w14:textId="77777777" w:rsidR="004A380D" w:rsidRPr="00111042" w:rsidRDefault="004A380D" w:rsidP="004A2E50">
            <w:pPr>
              <w:jc w:val="center"/>
              <w:rPr>
                <w:rFonts w:ascii="Arial Narrow" w:hAnsi="Arial Narrow"/>
                <w:b/>
                <w:sz w:val="20"/>
              </w:rPr>
            </w:pPr>
            <w:r w:rsidRPr="00111042">
              <w:rPr>
                <w:rFonts w:ascii="Arial Narrow" w:hAnsi="Arial Narrow"/>
                <w:b/>
                <w:sz w:val="20"/>
              </w:rPr>
              <w:t>Proprietary Name and Manufacturer</w:t>
            </w:r>
          </w:p>
        </w:tc>
      </w:tr>
      <w:tr w:rsidR="004A380D" w:rsidRPr="00111042" w14:paraId="7F2DEEE0" w14:textId="77777777" w:rsidTr="0090509C">
        <w:tblPrEx>
          <w:tblCellMar>
            <w:left w:w="108" w:type="dxa"/>
            <w:right w:w="108" w:type="dxa"/>
          </w:tblCellMar>
          <w:tblLook w:val="04A0" w:firstRow="1" w:lastRow="0" w:firstColumn="1" w:lastColumn="0" w:noHBand="0" w:noVBand="1"/>
        </w:tblPrEx>
        <w:tc>
          <w:tcPr>
            <w:tcW w:w="5000" w:type="pct"/>
            <w:gridSpan w:val="7"/>
          </w:tcPr>
          <w:p w14:paraId="0124E33B" w14:textId="77777777" w:rsidR="004A380D" w:rsidRPr="00111042" w:rsidRDefault="004A380D" w:rsidP="004A2E50">
            <w:pPr>
              <w:pStyle w:val="Tabletext"/>
            </w:pPr>
            <w:r w:rsidRPr="00111042">
              <w:t xml:space="preserve">Populations 1 initial and continuing, grandfathering </w:t>
            </w:r>
          </w:p>
        </w:tc>
      </w:tr>
      <w:tr w:rsidR="004A380D" w:rsidRPr="00111042" w14:paraId="5795372B" w14:textId="77777777" w:rsidTr="001C7876">
        <w:trPr>
          <w:cantSplit/>
          <w:trHeight w:val="177"/>
        </w:trPr>
        <w:tc>
          <w:tcPr>
            <w:tcW w:w="1588" w:type="pct"/>
            <w:gridSpan w:val="2"/>
          </w:tcPr>
          <w:p w14:paraId="2031FA2B" w14:textId="77777777" w:rsidR="004A380D" w:rsidRPr="00111042" w:rsidRDefault="004A380D" w:rsidP="004A2E50">
            <w:pPr>
              <w:pStyle w:val="Tabletext"/>
            </w:pPr>
            <w:r w:rsidRPr="00111042">
              <w:rPr>
                <w:smallCaps/>
              </w:rPr>
              <w:t>RISDIPLAM</w:t>
            </w:r>
          </w:p>
          <w:p w14:paraId="38570D20" w14:textId="77777777" w:rsidR="004A380D" w:rsidRPr="00111042" w:rsidRDefault="004A380D" w:rsidP="004A2E50">
            <w:pPr>
              <w:jc w:val="left"/>
              <w:rPr>
                <w:rFonts w:ascii="Arial Narrow" w:hAnsi="Arial Narrow"/>
                <w:sz w:val="20"/>
                <w:szCs w:val="20"/>
              </w:rPr>
            </w:pPr>
            <w:r w:rsidRPr="00111042">
              <w:rPr>
                <w:rFonts w:ascii="Arial Narrow" w:hAnsi="Arial Narrow"/>
                <w:sz w:val="20"/>
                <w:szCs w:val="20"/>
              </w:rPr>
              <w:t>Powder for oral solution 60mg</w:t>
            </w:r>
          </w:p>
        </w:tc>
        <w:tc>
          <w:tcPr>
            <w:tcW w:w="395" w:type="pct"/>
          </w:tcPr>
          <w:p w14:paraId="7E9F65BB" w14:textId="77777777" w:rsidR="004A380D" w:rsidRPr="00111042" w:rsidRDefault="004A380D" w:rsidP="004A2E50">
            <w:pPr>
              <w:jc w:val="center"/>
              <w:rPr>
                <w:rFonts w:ascii="Arial Narrow" w:hAnsi="Arial Narrow"/>
                <w:sz w:val="20"/>
              </w:rPr>
            </w:pPr>
            <w:r w:rsidRPr="00111042">
              <w:rPr>
                <w:rFonts w:ascii="Arial Narrow" w:hAnsi="Arial Narrow"/>
                <w:sz w:val="20"/>
              </w:rPr>
              <w:t>3</w:t>
            </w:r>
          </w:p>
        </w:tc>
        <w:tc>
          <w:tcPr>
            <w:tcW w:w="395" w:type="pct"/>
          </w:tcPr>
          <w:p w14:paraId="440EA05C" w14:textId="77777777" w:rsidR="004A380D" w:rsidRPr="00111042" w:rsidRDefault="004A380D" w:rsidP="004A2E50">
            <w:pPr>
              <w:jc w:val="center"/>
              <w:rPr>
                <w:rFonts w:ascii="Arial Narrow" w:hAnsi="Arial Narrow"/>
                <w:sz w:val="20"/>
              </w:rPr>
            </w:pPr>
            <w:r w:rsidRPr="00111042">
              <w:rPr>
                <w:rFonts w:ascii="Arial Narrow" w:hAnsi="Arial Narrow"/>
                <w:sz w:val="20"/>
              </w:rPr>
              <w:t>5</w:t>
            </w:r>
          </w:p>
        </w:tc>
        <w:tc>
          <w:tcPr>
            <w:tcW w:w="1613" w:type="pct"/>
          </w:tcPr>
          <w:p w14:paraId="002AB2C8" w14:textId="77777777" w:rsidR="004A380D" w:rsidRPr="00111042" w:rsidRDefault="004A380D" w:rsidP="004A2E50">
            <w:pPr>
              <w:pStyle w:val="Tabletext"/>
              <w:rPr>
                <w:szCs w:val="20"/>
              </w:rPr>
            </w:pPr>
            <w:r w:rsidRPr="00111042">
              <w:rPr>
                <w:szCs w:val="20"/>
              </w:rPr>
              <w:t>$32,573.49 private published price</w:t>
            </w:r>
          </w:p>
          <w:p w14:paraId="7E3385AC" w14:textId="131C5DA6" w:rsidR="004A380D" w:rsidRPr="00111042" w:rsidRDefault="004A380D" w:rsidP="001C7876">
            <w:pPr>
              <w:pStyle w:val="Tabletext"/>
              <w:rPr>
                <w:i/>
                <w:iCs/>
              </w:rPr>
            </w:pPr>
            <w:r w:rsidRPr="00111042">
              <w:rPr>
                <w:szCs w:val="20"/>
              </w:rPr>
              <w:t>$32,525.67 public published price</w:t>
            </w:r>
          </w:p>
        </w:tc>
        <w:tc>
          <w:tcPr>
            <w:tcW w:w="538" w:type="pct"/>
            <w:vAlign w:val="center"/>
          </w:tcPr>
          <w:p w14:paraId="199C00E9" w14:textId="77777777" w:rsidR="004A380D" w:rsidRPr="00111042" w:rsidRDefault="004A380D" w:rsidP="004A2E50">
            <w:pPr>
              <w:jc w:val="center"/>
              <w:rPr>
                <w:rFonts w:ascii="Arial Narrow" w:hAnsi="Arial Narrow"/>
                <w:sz w:val="20"/>
              </w:rPr>
            </w:pPr>
            <w:r w:rsidRPr="00111042">
              <w:rPr>
                <w:rFonts w:ascii="Arial Narrow" w:hAnsi="Arial Narrow"/>
                <w:sz w:val="20"/>
              </w:rPr>
              <w:t>EVRYSDI</w:t>
            </w:r>
            <w:r w:rsidRPr="00111042">
              <w:rPr>
                <w:rFonts w:ascii="Arial Narrow" w:hAnsi="Arial Narrow"/>
                <w:sz w:val="20"/>
                <w:vertAlign w:val="superscript"/>
              </w:rPr>
              <w:t>®</w:t>
            </w:r>
          </w:p>
        </w:tc>
        <w:tc>
          <w:tcPr>
            <w:tcW w:w="471" w:type="pct"/>
            <w:vAlign w:val="center"/>
          </w:tcPr>
          <w:p w14:paraId="10DBB401" w14:textId="77777777" w:rsidR="004A380D" w:rsidRPr="00111042" w:rsidRDefault="004A380D" w:rsidP="004A2E50">
            <w:pPr>
              <w:jc w:val="center"/>
              <w:rPr>
                <w:rFonts w:ascii="Arial Narrow" w:hAnsi="Arial Narrow"/>
                <w:sz w:val="20"/>
              </w:rPr>
            </w:pPr>
            <w:r w:rsidRPr="00111042">
              <w:rPr>
                <w:rFonts w:ascii="Arial Narrow" w:hAnsi="Arial Narrow"/>
                <w:sz w:val="20"/>
              </w:rPr>
              <w:t>Roche</w:t>
            </w:r>
          </w:p>
        </w:tc>
      </w:tr>
      <w:tr w:rsidR="004A380D" w:rsidRPr="00111042" w14:paraId="4898056A" w14:textId="77777777" w:rsidTr="0090509C">
        <w:tblPrEx>
          <w:tblCellMar>
            <w:left w:w="108" w:type="dxa"/>
            <w:right w:w="108" w:type="dxa"/>
          </w:tblCellMar>
          <w:tblLook w:val="04A0" w:firstRow="1" w:lastRow="0" w:firstColumn="1" w:lastColumn="0" w:noHBand="0" w:noVBand="1"/>
        </w:tblPrEx>
        <w:tc>
          <w:tcPr>
            <w:tcW w:w="5000" w:type="pct"/>
            <w:gridSpan w:val="7"/>
          </w:tcPr>
          <w:p w14:paraId="12725E4A" w14:textId="77777777" w:rsidR="004A380D" w:rsidRPr="00111042" w:rsidRDefault="004A380D" w:rsidP="004A2E50">
            <w:pPr>
              <w:pStyle w:val="Tabletext"/>
            </w:pPr>
            <w:r w:rsidRPr="00111042">
              <w:t>Population 2 and 3 – initial</w:t>
            </w:r>
          </w:p>
        </w:tc>
      </w:tr>
      <w:tr w:rsidR="004A380D" w:rsidRPr="00111042" w14:paraId="6E00E0E4" w14:textId="77777777" w:rsidTr="001C7876">
        <w:trPr>
          <w:cantSplit/>
          <w:trHeight w:val="329"/>
        </w:trPr>
        <w:tc>
          <w:tcPr>
            <w:tcW w:w="1588" w:type="pct"/>
            <w:gridSpan w:val="2"/>
          </w:tcPr>
          <w:p w14:paraId="0B1486C2" w14:textId="77777777" w:rsidR="004A380D" w:rsidRPr="00111042" w:rsidRDefault="004A380D" w:rsidP="004A2E50">
            <w:pPr>
              <w:pStyle w:val="Tabletext"/>
            </w:pPr>
            <w:r w:rsidRPr="00111042">
              <w:rPr>
                <w:smallCaps/>
              </w:rPr>
              <w:lastRenderedPageBreak/>
              <w:t>RISDIPLAM</w:t>
            </w:r>
          </w:p>
          <w:p w14:paraId="2D826C63" w14:textId="77777777" w:rsidR="004A380D" w:rsidRPr="00111042" w:rsidRDefault="004A380D" w:rsidP="004A2E50">
            <w:pPr>
              <w:jc w:val="left"/>
              <w:rPr>
                <w:rFonts w:ascii="Arial Narrow" w:hAnsi="Arial Narrow"/>
                <w:sz w:val="20"/>
                <w:szCs w:val="20"/>
              </w:rPr>
            </w:pPr>
            <w:r w:rsidRPr="00111042">
              <w:rPr>
                <w:rFonts w:ascii="Arial Narrow" w:hAnsi="Arial Narrow"/>
                <w:sz w:val="20"/>
                <w:szCs w:val="20"/>
              </w:rPr>
              <w:t>Powder for oral solution 60mg</w:t>
            </w:r>
          </w:p>
        </w:tc>
        <w:tc>
          <w:tcPr>
            <w:tcW w:w="395" w:type="pct"/>
          </w:tcPr>
          <w:p w14:paraId="7F84D65F" w14:textId="77777777" w:rsidR="004A380D" w:rsidRPr="00111042" w:rsidRDefault="004A380D" w:rsidP="004A2E50">
            <w:pPr>
              <w:jc w:val="center"/>
              <w:rPr>
                <w:rFonts w:ascii="Arial Narrow" w:hAnsi="Arial Narrow"/>
                <w:sz w:val="20"/>
              </w:rPr>
            </w:pPr>
            <w:r w:rsidRPr="00111042">
              <w:rPr>
                <w:rFonts w:ascii="Arial Narrow" w:hAnsi="Arial Narrow"/>
                <w:sz w:val="20"/>
              </w:rPr>
              <w:t>1</w:t>
            </w:r>
          </w:p>
        </w:tc>
        <w:tc>
          <w:tcPr>
            <w:tcW w:w="395" w:type="pct"/>
          </w:tcPr>
          <w:p w14:paraId="2620F47F" w14:textId="77777777" w:rsidR="004A380D" w:rsidRPr="00111042" w:rsidRDefault="004A380D" w:rsidP="004A2E50">
            <w:pPr>
              <w:jc w:val="center"/>
              <w:rPr>
                <w:rFonts w:ascii="Arial Narrow" w:hAnsi="Arial Narrow"/>
                <w:sz w:val="20"/>
              </w:rPr>
            </w:pPr>
            <w:r w:rsidRPr="00111042">
              <w:rPr>
                <w:rFonts w:ascii="Arial Narrow" w:hAnsi="Arial Narrow"/>
                <w:sz w:val="20"/>
              </w:rPr>
              <w:t>0</w:t>
            </w:r>
          </w:p>
        </w:tc>
        <w:tc>
          <w:tcPr>
            <w:tcW w:w="1613" w:type="pct"/>
          </w:tcPr>
          <w:p w14:paraId="59507AE3" w14:textId="77777777" w:rsidR="004A380D" w:rsidRPr="00111042" w:rsidRDefault="004A380D" w:rsidP="004A2E50">
            <w:pPr>
              <w:pStyle w:val="Tabletext"/>
              <w:rPr>
                <w:iCs/>
                <w:szCs w:val="20"/>
              </w:rPr>
            </w:pPr>
            <w:r w:rsidRPr="00111042">
              <w:rPr>
                <w:iCs/>
                <w:szCs w:val="20"/>
              </w:rPr>
              <w:t>$10,899.71 private published price</w:t>
            </w:r>
          </w:p>
          <w:p w14:paraId="3A5ACB8D" w14:textId="03643A89" w:rsidR="004A380D" w:rsidRPr="00111042" w:rsidRDefault="004A380D" w:rsidP="001C7876">
            <w:pPr>
              <w:pStyle w:val="Tabletext"/>
              <w:rPr>
                <w:i/>
                <w:vertAlign w:val="superscript"/>
              </w:rPr>
            </w:pPr>
            <w:r w:rsidRPr="00111042">
              <w:rPr>
                <w:iCs/>
                <w:szCs w:val="20"/>
              </w:rPr>
              <w:t>$10,841.89 public published price</w:t>
            </w:r>
          </w:p>
        </w:tc>
        <w:tc>
          <w:tcPr>
            <w:tcW w:w="538" w:type="pct"/>
            <w:vAlign w:val="center"/>
          </w:tcPr>
          <w:p w14:paraId="483FA322" w14:textId="77777777" w:rsidR="004A380D" w:rsidRPr="00111042" w:rsidRDefault="004A380D" w:rsidP="004A2E50">
            <w:pPr>
              <w:jc w:val="center"/>
              <w:rPr>
                <w:rFonts w:ascii="Arial Narrow" w:hAnsi="Arial Narrow"/>
                <w:sz w:val="20"/>
              </w:rPr>
            </w:pPr>
            <w:r w:rsidRPr="00111042">
              <w:rPr>
                <w:rFonts w:ascii="Arial Narrow" w:hAnsi="Arial Narrow"/>
                <w:sz w:val="20"/>
              </w:rPr>
              <w:t>EVRYSDI</w:t>
            </w:r>
            <w:r w:rsidRPr="00111042">
              <w:rPr>
                <w:rFonts w:ascii="Arial Narrow" w:hAnsi="Arial Narrow"/>
                <w:sz w:val="20"/>
                <w:vertAlign w:val="superscript"/>
              </w:rPr>
              <w:t>®</w:t>
            </w:r>
          </w:p>
        </w:tc>
        <w:tc>
          <w:tcPr>
            <w:tcW w:w="471" w:type="pct"/>
            <w:vAlign w:val="center"/>
          </w:tcPr>
          <w:p w14:paraId="4C62310F" w14:textId="77777777" w:rsidR="004A380D" w:rsidRPr="00111042" w:rsidRDefault="004A380D" w:rsidP="004A2E50">
            <w:pPr>
              <w:jc w:val="center"/>
              <w:rPr>
                <w:rFonts w:ascii="Arial Narrow" w:hAnsi="Arial Narrow"/>
                <w:sz w:val="20"/>
              </w:rPr>
            </w:pPr>
            <w:r w:rsidRPr="00111042">
              <w:rPr>
                <w:rFonts w:ascii="Arial Narrow" w:hAnsi="Arial Narrow"/>
                <w:sz w:val="20"/>
              </w:rPr>
              <w:t>Roche</w:t>
            </w:r>
          </w:p>
        </w:tc>
      </w:tr>
      <w:tr w:rsidR="004A380D" w:rsidRPr="00111042" w14:paraId="09A8BC31" w14:textId="77777777" w:rsidTr="0090509C">
        <w:tblPrEx>
          <w:tblLook w:val="04A0" w:firstRow="1" w:lastRow="0" w:firstColumn="1" w:lastColumn="0" w:noHBand="0" w:noVBand="1"/>
        </w:tblPrEx>
        <w:trPr>
          <w:trHeight w:val="20"/>
        </w:trPr>
        <w:tc>
          <w:tcPr>
            <w:tcW w:w="1103" w:type="pct"/>
            <w:hideMark/>
          </w:tcPr>
          <w:p w14:paraId="32C07FDE" w14:textId="77777777" w:rsidR="004A380D" w:rsidRPr="00111042" w:rsidRDefault="004A380D" w:rsidP="004A2E50">
            <w:pPr>
              <w:pStyle w:val="Tabletext"/>
            </w:pPr>
            <w:r w:rsidRPr="00111042">
              <w:rPr>
                <w:b/>
              </w:rPr>
              <w:t>Condition:</w:t>
            </w:r>
          </w:p>
        </w:tc>
        <w:tc>
          <w:tcPr>
            <w:tcW w:w="3897" w:type="pct"/>
            <w:gridSpan w:val="6"/>
          </w:tcPr>
          <w:p w14:paraId="1DF63700" w14:textId="77777777" w:rsidR="004A380D" w:rsidRPr="00111042" w:rsidRDefault="004A380D" w:rsidP="004A2E50">
            <w:pPr>
              <w:pStyle w:val="Tabletext"/>
            </w:pPr>
            <w:r w:rsidRPr="00111042">
              <w:t>Spinal muscular atrophy</w:t>
            </w:r>
          </w:p>
        </w:tc>
      </w:tr>
      <w:tr w:rsidR="004A380D" w:rsidRPr="00111042" w14:paraId="30E34917" w14:textId="77777777" w:rsidTr="0090509C">
        <w:tblPrEx>
          <w:tblLook w:val="04A0" w:firstRow="1" w:lastRow="0" w:firstColumn="1" w:lastColumn="0" w:noHBand="0" w:noVBand="1"/>
        </w:tblPrEx>
        <w:trPr>
          <w:trHeight w:val="20"/>
        </w:trPr>
        <w:tc>
          <w:tcPr>
            <w:tcW w:w="1103" w:type="pct"/>
          </w:tcPr>
          <w:p w14:paraId="29485854" w14:textId="77777777" w:rsidR="004A380D" w:rsidRPr="00111042" w:rsidRDefault="004A380D" w:rsidP="004A2E50">
            <w:pPr>
              <w:pStyle w:val="Tabletext"/>
            </w:pPr>
            <w:r w:rsidRPr="00111042">
              <w:rPr>
                <w:b/>
              </w:rPr>
              <w:t>PBS Indication:</w:t>
            </w:r>
          </w:p>
        </w:tc>
        <w:tc>
          <w:tcPr>
            <w:tcW w:w="3897" w:type="pct"/>
            <w:gridSpan w:val="6"/>
          </w:tcPr>
          <w:p w14:paraId="57714EA7" w14:textId="77777777" w:rsidR="004A380D" w:rsidRPr="00111042" w:rsidRDefault="004A380D" w:rsidP="004A2E50">
            <w:pPr>
              <w:pStyle w:val="Tabletext"/>
            </w:pPr>
            <w:r w:rsidRPr="00111042">
              <w:t>Treatment of spinal muscular atrophy</w:t>
            </w:r>
          </w:p>
        </w:tc>
      </w:tr>
      <w:tr w:rsidR="004A380D" w:rsidRPr="00111042" w14:paraId="2D29BFA7" w14:textId="77777777" w:rsidTr="0090509C">
        <w:tblPrEx>
          <w:tblLook w:val="04A0" w:firstRow="1" w:lastRow="0" w:firstColumn="1" w:lastColumn="0" w:noHBand="0" w:noVBand="1"/>
        </w:tblPrEx>
        <w:trPr>
          <w:trHeight w:val="20"/>
        </w:trPr>
        <w:tc>
          <w:tcPr>
            <w:tcW w:w="1103" w:type="pct"/>
            <w:hideMark/>
          </w:tcPr>
          <w:p w14:paraId="1A77CAD4" w14:textId="77777777" w:rsidR="004A380D" w:rsidRPr="00111042" w:rsidRDefault="004A380D" w:rsidP="004A2E50">
            <w:pPr>
              <w:pStyle w:val="Tabletext"/>
              <w:rPr>
                <w:b/>
              </w:rPr>
            </w:pPr>
            <w:r w:rsidRPr="00111042">
              <w:rPr>
                <w:b/>
              </w:rPr>
              <w:t>Restriction:</w:t>
            </w:r>
          </w:p>
          <w:p w14:paraId="00ACE7D5" w14:textId="77777777" w:rsidR="004A380D" w:rsidRPr="00111042" w:rsidRDefault="004A380D" w:rsidP="004A2E50">
            <w:pPr>
              <w:pStyle w:val="Tabletext"/>
            </w:pPr>
            <w:r w:rsidRPr="00111042">
              <w:t xml:space="preserve">Section 100 (Highly specialised drugs program) </w:t>
            </w:r>
          </w:p>
        </w:tc>
        <w:tc>
          <w:tcPr>
            <w:tcW w:w="3897" w:type="pct"/>
            <w:gridSpan w:val="6"/>
          </w:tcPr>
          <w:p w14:paraId="04468E6E" w14:textId="77777777" w:rsidR="004A380D" w:rsidRPr="00111042" w:rsidRDefault="004A380D" w:rsidP="004A2E50">
            <w:pPr>
              <w:pStyle w:val="Tabletext"/>
            </w:pPr>
            <w:r w:rsidRPr="00111042">
              <w:fldChar w:fldCharType="begin">
                <w:ffData>
                  <w:name w:val=""/>
                  <w:enabled/>
                  <w:calcOnExit w:val="0"/>
                  <w:checkBox>
                    <w:sizeAuto/>
                    <w:default w:val="1"/>
                  </w:checkBox>
                </w:ffData>
              </w:fldChar>
            </w:r>
            <w:r w:rsidRPr="00111042">
              <w:instrText xml:space="preserve"> FORMCHECKBOX </w:instrText>
            </w:r>
            <w:r w:rsidR="00D45640">
              <w:fldChar w:fldCharType="separate"/>
            </w:r>
            <w:r w:rsidRPr="00111042">
              <w:fldChar w:fldCharType="end"/>
            </w:r>
            <w:r w:rsidRPr="00111042">
              <w:t>Authority Required - In Writing (for initial therapy)</w:t>
            </w:r>
          </w:p>
          <w:p w14:paraId="21D2C058" w14:textId="4E8F3CEC" w:rsidR="004A380D" w:rsidRPr="00111042" w:rsidRDefault="004A380D" w:rsidP="004A2E50">
            <w:pPr>
              <w:pStyle w:val="Tabletext"/>
            </w:pPr>
            <w:r w:rsidRPr="00111042">
              <w:rPr>
                <w:rFonts w:cs="Calibri"/>
                <w:bCs/>
                <w:szCs w:val="20"/>
                <w:lang w:eastAsia="zh-CN"/>
              </w:rPr>
              <w:fldChar w:fldCharType="begin">
                <w:ffData>
                  <w:name w:val="Check3"/>
                  <w:enabled/>
                  <w:calcOnExit w:val="0"/>
                  <w:checkBox>
                    <w:sizeAuto/>
                    <w:default w:val="1"/>
                  </w:checkBox>
                </w:ffData>
              </w:fldChar>
            </w:r>
            <w:r w:rsidRPr="00111042">
              <w:rPr>
                <w:rFonts w:cs="Calibri"/>
                <w:bCs/>
                <w:szCs w:val="20"/>
                <w:lang w:eastAsia="zh-CN"/>
              </w:rPr>
              <w:instrText xml:space="preserve"> FORMCHECKBOX </w:instrText>
            </w:r>
            <w:r w:rsidR="00D45640">
              <w:rPr>
                <w:rFonts w:cs="Calibri"/>
                <w:bCs/>
                <w:szCs w:val="20"/>
                <w:lang w:eastAsia="zh-CN"/>
              </w:rPr>
            </w:r>
            <w:r w:rsidR="00D45640">
              <w:rPr>
                <w:rFonts w:cs="Calibri"/>
                <w:bCs/>
                <w:szCs w:val="20"/>
                <w:lang w:eastAsia="zh-CN"/>
              </w:rPr>
              <w:fldChar w:fldCharType="separate"/>
            </w:r>
            <w:r w:rsidRPr="00111042">
              <w:rPr>
                <w:rFonts w:cs="Calibri"/>
                <w:bCs/>
                <w:szCs w:val="20"/>
                <w:lang w:eastAsia="zh-CN"/>
              </w:rPr>
              <w:fldChar w:fldCharType="end"/>
            </w:r>
            <w:r w:rsidRPr="00111042">
              <w:rPr>
                <w:rFonts w:cs="Calibri"/>
                <w:bCs/>
                <w:szCs w:val="20"/>
                <w:lang w:eastAsia="zh-CN"/>
              </w:rPr>
              <w:t xml:space="preserve">Authority Required – Telephone </w:t>
            </w:r>
            <w:r w:rsidRPr="00111042">
              <w:rPr>
                <w:szCs w:val="20"/>
              </w:rPr>
              <w:t>(for continuing therapy)</w:t>
            </w:r>
          </w:p>
        </w:tc>
      </w:tr>
      <w:tr w:rsidR="004A380D" w:rsidRPr="00111042" w14:paraId="6DD88EC2" w14:textId="77777777" w:rsidTr="0090509C">
        <w:tblPrEx>
          <w:tblLook w:val="04A0" w:firstRow="1" w:lastRow="0" w:firstColumn="1" w:lastColumn="0" w:noHBand="0" w:noVBand="1"/>
        </w:tblPrEx>
        <w:trPr>
          <w:trHeight w:val="20"/>
        </w:trPr>
        <w:tc>
          <w:tcPr>
            <w:tcW w:w="1103" w:type="pct"/>
            <w:hideMark/>
          </w:tcPr>
          <w:p w14:paraId="35AA2F64" w14:textId="77777777" w:rsidR="004A380D" w:rsidRPr="00111042" w:rsidRDefault="004A380D" w:rsidP="004A2E50">
            <w:pPr>
              <w:pStyle w:val="Tabletext"/>
              <w:rPr>
                <w:b/>
              </w:rPr>
            </w:pPr>
            <w:r w:rsidRPr="00111042">
              <w:rPr>
                <w:b/>
              </w:rPr>
              <w:t>Treatment criteria:</w:t>
            </w:r>
          </w:p>
          <w:p w14:paraId="5CE8D69F" w14:textId="77777777" w:rsidR="004A380D" w:rsidRPr="00111042" w:rsidRDefault="004A380D" w:rsidP="004A2E50">
            <w:pPr>
              <w:pStyle w:val="Tabletext"/>
            </w:pPr>
          </w:p>
        </w:tc>
        <w:tc>
          <w:tcPr>
            <w:tcW w:w="3897" w:type="pct"/>
            <w:gridSpan w:val="6"/>
          </w:tcPr>
          <w:p w14:paraId="6B7E7843" w14:textId="77777777" w:rsidR="004A380D" w:rsidRPr="00111042" w:rsidRDefault="004A380D" w:rsidP="004A2E50">
            <w:pPr>
              <w:pStyle w:val="Tabletext"/>
            </w:pPr>
            <w:r w:rsidRPr="00111042">
              <w:t>Must be treated by a specialist medical practitioner experienced in the diagnosis and management of SMA associated with a neuromuscular clinic, or in consultation with a specialist medical practitioner experienced in the diagnosis and management of SMA associated with a neuromuscular clinic</w:t>
            </w:r>
          </w:p>
        </w:tc>
      </w:tr>
      <w:tr w:rsidR="004A380D" w:rsidRPr="00111042" w14:paraId="7C3D7232" w14:textId="77777777" w:rsidTr="0090509C">
        <w:tblPrEx>
          <w:tblLook w:val="04A0" w:firstRow="1" w:lastRow="0" w:firstColumn="1" w:lastColumn="0" w:noHBand="0" w:noVBand="1"/>
        </w:tblPrEx>
        <w:trPr>
          <w:trHeight w:val="20"/>
        </w:trPr>
        <w:tc>
          <w:tcPr>
            <w:tcW w:w="1103" w:type="pct"/>
            <w:hideMark/>
          </w:tcPr>
          <w:p w14:paraId="27E9A263" w14:textId="77777777" w:rsidR="004A380D" w:rsidRPr="00111042" w:rsidRDefault="004A380D" w:rsidP="004A2E50">
            <w:pPr>
              <w:pStyle w:val="Tabletext"/>
              <w:rPr>
                <w:b/>
              </w:rPr>
            </w:pPr>
            <w:r w:rsidRPr="00111042">
              <w:rPr>
                <w:b/>
              </w:rPr>
              <w:t>For initial therapy</w:t>
            </w:r>
          </w:p>
          <w:p w14:paraId="490777D2" w14:textId="77777777" w:rsidR="004A380D" w:rsidRPr="00111042" w:rsidRDefault="004A380D" w:rsidP="004A2E50">
            <w:pPr>
              <w:pStyle w:val="Tabletext"/>
            </w:pPr>
          </w:p>
        </w:tc>
        <w:tc>
          <w:tcPr>
            <w:tcW w:w="3897" w:type="pct"/>
            <w:gridSpan w:val="6"/>
          </w:tcPr>
          <w:p w14:paraId="3E8C948C" w14:textId="77777777" w:rsidR="004A380D" w:rsidRPr="00111042" w:rsidRDefault="004A380D" w:rsidP="004A2E50">
            <w:pPr>
              <w:rPr>
                <w:rFonts w:ascii="Arial Narrow" w:hAnsi="Arial Narrow" w:cstheme="minorHAnsi"/>
                <w:iCs/>
                <w:color w:val="000000"/>
                <w:sz w:val="20"/>
                <w:szCs w:val="20"/>
                <w:u w:val="single"/>
              </w:rPr>
            </w:pPr>
            <w:r w:rsidRPr="00111042">
              <w:rPr>
                <w:rFonts w:ascii="Arial Narrow" w:hAnsi="Arial Narrow" w:cstheme="minorHAnsi"/>
                <w:iCs/>
                <w:color w:val="000000"/>
                <w:sz w:val="20"/>
                <w:szCs w:val="20"/>
                <w:u w:val="single"/>
              </w:rPr>
              <w:t>All populations</w:t>
            </w:r>
          </w:p>
          <w:p w14:paraId="322B8FDC"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The condition must have genetic confirmation of 5q homozygous deletion of the survival motor neuron 1 (SMN1) gene; OR</w:t>
            </w:r>
          </w:p>
          <w:p w14:paraId="4C3AABF6"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The condition must have genetic confirmation of deletion of one copy of the SMN1 gene in addition to a pathogenic/likely pathogenic variant in the remaining single copy of the SMN1 gene</w:t>
            </w:r>
          </w:p>
          <w:p w14:paraId="4A18B84C"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AND</w:t>
            </w:r>
          </w:p>
          <w:p w14:paraId="316306C3"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The treatment must be given concomitantly with best supportive care for this condition, but this benefit is the sole PBS-subsidised disease modifying treatment.</w:t>
            </w:r>
          </w:p>
          <w:p w14:paraId="3F0747CC"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AND</w:t>
            </w:r>
          </w:p>
          <w:p w14:paraId="413A171B" w14:textId="3C457EC0" w:rsidR="004A380D" w:rsidRPr="00111042" w:rsidRDefault="004A380D" w:rsidP="00890494">
            <w:pPr>
              <w:spacing w:after="120"/>
              <w:rPr>
                <w:rFonts w:ascii="Arial Narrow" w:hAnsi="Arial Narrow" w:cstheme="minorHAnsi"/>
                <w:iCs/>
                <w:color w:val="000000"/>
                <w:sz w:val="20"/>
                <w:szCs w:val="20"/>
              </w:rPr>
            </w:pPr>
            <w:r w:rsidRPr="00111042">
              <w:rPr>
                <w:rFonts w:ascii="Arial Narrow" w:hAnsi="Arial Narrow" w:cstheme="minorHAnsi"/>
                <w:iCs/>
                <w:color w:val="000000"/>
                <w:sz w:val="20"/>
                <w:szCs w:val="20"/>
              </w:rPr>
              <w:t>The treatment must not be in combination with other disease modifying treatments for this condition</w:t>
            </w:r>
          </w:p>
          <w:p w14:paraId="6C953242" w14:textId="77777777" w:rsidR="004A380D" w:rsidRPr="00111042" w:rsidRDefault="004A380D" w:rsidP="004A2E50">
            <w:pPr>
              <w:rPr>
                <w:rFonts w:ascii="Arial Narrow" w:hAnsi="Arial Narrow" w:cstheme="minorHAnsi"/>
                <w:iCs/>
                <w:color w:val="000000"/>
                <w:sz w:val="20"/>
                <w:szCs w:val="20"/>
                <w:u w:val="single"/>
              </w:rPr>
            </w:pPr>
            <w:r w:rsidRPr="00111042">
              <w:rPr>
                <w:rFonts w:ascii="Arial Narrow" w:hAnsi="Arial Narrow" w:cstheme="minorHAnsi"/>
                <w:iCs/>
                <w:color w:val="000000"/>
                <w:sz w:val="20"/>
                <w:szCs w:val="20"/>
                <w:u w:val="single"/>
              </w:rPr>
              <w:t>Population 1</w:t>
            </w:r>
          </w:p>
          <w:p w14:paraId="32B60ACF"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Patient must be at least 19 years of age at the time of this authority application, but never claimed PBS subsidy for a disease modifying treatment during childhood</w:t>
            </w:r>
          </w:p>
          <w:p w14:paraId="0CC9725B"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 xml:space="preserve">AND </w:t>
            </w:r>
          </w:p>
          <w:p w14:paraId="2EDC2D28" w14:textId="7ECDE7E0" w:rsidR="004A380D" w:rsidRPr="00111042" w:rsidRDefault="004A380D" w:rsidP="00890494">
            <w:pPr>
              <w:spacing w:after="120"/>
              <w:rPr>
                <w:rFonts w:ascii="Arial Narrow" w:hAnsi="Arial Narrow" w:cstheme="minorHAnsi"/>
                <w:iCs/>
                <w:color w:val="000000"/>
                <w:sz w:val="20"/>
                <w:szCs w:val="20"/>
              </w:rPr>
            </w:pPr>
            <w:r w:rsidRPr="00111042">
              <w:rPr>
                <w:rFonts w:ascii="Arial Narrow" w:hAnsi="Arial Narrow" w:cstheme="minorHAnsi"/>
                <w:iCs/>
                <w:color w:val="000000"/>
                <w:sz w:val="20"/>
                <w:szCs w:val="20"/>
              </w:rPr>
              <w:t>Patient must have SMA where the onset of signs/symptoms (at least one) of SMA first occurred prior to their 19th birthday (SMA symptom onset after this age will be considered type IV SMA, which is not PBS-subsidised).</w:t>
            </w:r>
          </w:p>
          <w:p w14:paraId="4FBD290D" w14:textId="77777777" w:rsidR="004A380D" w:rsidRPr="00111042" w:rsidRDefault="004A380D" w:rsidP="004A2E50">
            <w:pPr>
              <w:rPr>
                <w:rFonts w:ascii="Arial Narrow" w:hAnsi="Arial Narrow" w:cstheme="minorHAnsi"/>
                <w:iCs/>
                <w:color w:val="000000"/>
                <w:sz w:val="20"/>
                <w:szCs w:val="20"/>
                <w:u w:val="single"/>
              </w:rPr>
            </w:pPr>
            <w:r w:rsidRPr="00111042">
              <w:rPr>
                <w:rFonts w:ascii="Arial Narrow" w:hAnsi="Arial Narrow" w:cstheme="minorHAnsi"/>
                <w:iCs/>
                <w:color w:val="000000"/>
                <w:sz w:val="20"/>
                <w:szCs w:val="20"/>
                <w:u w:val="single"/>
              </w:rPr>
              <w:t>Population 2 and 3</w:t>
            </w:r>
          </w:p>
          <w:p w14:paraId="26DCC98A" w14:textId="782591AF"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The condition must have genetic confirmation that there are 1 to 3 copies of the survival motor neuron 2 (</w:t>
            </w:r>
            <w:r w:rsidR="00AF346B" w:rsidRPr="00AF346B">
              <w:rPr>
                <w:rFonts w:ascii="Arial Narrow" w:hAnsi="Arial Narrow" w:cstheme="minorHAnsi"/>
                <w:i/>
                <w:iCs/>
                <w:color w:val="000000"/>
                <w:sz w:val="20"/>
                <w:szCs w:val="20"/>
              </w:rPr>
              <w:t>SMN2</w:t>
            </w:r>
            <w:r w:rsidRPr="00111042">
              <w:rPr>
                <w:rFonts w:ascii="Arial Narrow" w:hAnsi="Arial Narrow" w:cstheme="minorHAnsi"/>
                <w:iCs/>
                <w:color w:val="000000"/>
                <w:sz w:val="20"/>
                <w:szCs w:val="20"/>
              </w:rPr>
              <w:t xml:space="preserve">) gene </w:t>
            </w:r>
          </w:p>
          <w:p w14:paraId="7F2C8999"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AND</w:t>
            </w:r>
          </w:p>
          <w:p w14:paraId="6AA7A3F2" w14:textId="3A7148E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The condition must be pre-symptomatic</w:t>
            </w:r>
          </w:p>
          <w:p w14:paraId="3C497460"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AND</w:t>
            </w:r>
          </w:p>
          <w:p w14:paraId="5C15A633" w14:textId="77777777" w:rsidR="005E4439"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Patient must be untreated with gene therapy</w:t>
            </w:r>
          </w:p>
          <w:p w14:paraId="11580B08" w14:textId="77777777" w:rsidR="005E4439" w:rsidRPr="005E4439" w:rsidRDefault="005E4439" w:rsidP="004A2E50">
            <w:pPr>
              <w:rPr>
                <w:rFonts w:ascii="Arial Narrow" w:hAnsi="Arial Narrow" w:cstheme="minorHAnsi"/>
                <w:iCs/>
                <w:color w:val="000000"/>
                <w:sz w:val="20"/>
                <w:szCs w:val="20"/>
              </w:rPr>
            </w:pPr>
            <w:r w:rsidRPr="005E4439">
              <w:rPr>
                <w:rFonts w:ascii="Arial Narrow" w:hAnsi="Arial Narrow" w:cstheme="minorHAnsi"/>
                <w:iCs/>
                <w:color w:val="000000"/>
                <w:sz w:val="20"/>
                <w:szCs w:val="20"/>
              </w:rPr>
              <w:t>AND</w:t>
            </w:r>
          </w:p>
          <w:p w14:paraId="180C2346" w14:textId="2A46F265" w:rsidR="004A380D" w:rsidRPr="00890494" w:rsidRDefault="005E4439" w:rsidP="00890494">
            <w:pPr>
              <w:spacing w:after="120"/>
              <w:rPr>
                <w:rFonts w:ascii="Arial Narrow" w:hAnsi="Arial Narrow" w:cstheme="minorHAnsi"/>
                <w:iCs/>
                <w:color w:val="000000"/>
                <w:sz w:val="20"/>
                <w:szCs w:val="20"/>
              </w:rPr>
            </w:pPr>
            <w:r w:rsidRPr="005E4439">
              <w:rPr>
                <w:rFonts w:ascii="Arial Narrow" w:hAnsi="Arial Narrow" w:cstheme="minorHAnsi"/>
                <w:iCs/>
                <w:color w:val="000000"/>
                <w:sz w:val="20"/>
                <w:szCs w:val="20"/>
              </w:rPr>
              <w:t>Patient must be aged under 36 months prior to commencing treatment.</w:t>
            </w:r>
            <w:r w:rsidR="004A380D" w:rsidRPr="005E4439">
              <w:rPr>
                <w:rFonts w:ascii="Arial Narrow" w:hAnsi="Arial Narrow" w:cstheme="minorHAnsi"/>
                <w:iCs/>
                <w:color w:val="000000"/>
                <w:sz w:val="20"/>
                <w:szCs w:val="20"/>
              </w:rPr>
              <w:t xml:space="preserve"> </w:t>
            </w:r>
          </w:p>
          <w:p w14:paraId="24B1E0F0" w14:textId="77777777" w:rsidR="004A380D" w:rsidRPr="00111042" w:rsidRDefault="004A380D" w:rsidP="004A2E50">
            <w:pPr>
              <w:pStyle w:val="Tabletext"/>
              <w:rPr>
                <w:color w:val="000000"/>
                <w:u w:val="single"/>
              </w:rPr>
            </w:pPr>
            <w:r w:rsidRPr="00111042">
              <w:rPr>
                <w:color w:val="000000"/>
                <w:u w:val="single"/>
              </w:rPr>
              <w:t>Grandfathering</w:t>
            </w:r>
          </w:p>
          <w:p w14:paraId="570F2CFB" w14:textId="77777777" w:rsidR="004A380D" w:rsidRPr="00111042" w:rsidRDefault="004A380D" w:rsidP="004A2E50">
            <w:r w:rsidRPr="00111042">
              <w:rPr>
                <w:rFonts w:ascii="Arial Narrow" w:hAnsi="Arial Narrow" w:cstheme="minorHAnsi"/>
                <w:iCs/>
                <w:color w:val="000000"/>
                <w:sz w:val="20"/>
                <w:szCs w:val="20"/>
                <w:lang w:eastAsia="en-US"/>
              </w:rPr>
              <w:t>Patient must have previously received treatment with this drug for this condition prior to [PBS listing date]</w:t>
            </w:r>
          </w:p>
        </w:tc>
      </w:tr>
      <w:tr w:rsidR="004A380D" w:rsidRPr="00111042" w14:paraId="2BCAF75D" w14:textId="77777777" w:rsidTr="0090509C">
        <w:tblPrEx>
          <w:tblLook w:val="04A0" w:firstRow="1" w:lastRow="0" w:firstColumn="1" w:lastColumn="0" w:noHBand="0" w:noVBand="1"/>
        </w:tblPrEx>
        <w:trPr>
          <w:trHeight w:val="20"/>
        </w:trPr>
        <w:tc>
          <w:tcPr>
            <w:tcW w:w="1103" w:type="pct"/>
            <w:hideMark/>
          </w:tcPr>
          <w:p w14:paraId="5C52E046" w14:textId="77777777" w:rsidR="004A380D" w:rsidRPr="00111042" w:rsidRDefault="004A380D" w:rsidP="004A2E50">
            <w:pPr>
              <w:pStyle w:val="Tabletext"/>
            </w:pPr>
            <w:r w:rsidRPr="00111042">
              <w:rPr>
                <w:b/>
              </w:rPr>
              <w:t>For continuing therapy</w:t>
            </w:r>
          </w:p>
        </w:tc>
        <w:tc>
          <w:tcPr>
            <w:tcW w:w="3897" w:type="pct"/>
            <w:gridSpan w:val="6"/>
          </w:tcPr>
          <w:p w14:paraId="7272BDDC" w14:textId="77777777" w:rsidR="004A380D" w:rsidRPr="00111042" w:rsidRDefault="004A380D" w:rsidP="004A2E50">
            <w:pPr>
              <w:rPr>
                <w:rFonts w:ascii="Arial Narrow" w:hAnsi="Arial Narrow" w:cstheme="minorHAnsi"/>
                <w:iCs/>
                <w:color w:val="000000"/>
                <w:sz w:val="20"/>
                <w:szCs w:val="20"/>
                <w:u w:val="single"/>
              </w:rPr>
            </w:pPr>
            <w:r w:rsidRPr="00111042">
              <w:rPr>
                <w:rFonts w:ascii="Arial Narrow" w:hAnsi="Arial Narrow" w:cstheme="minorHAnsi"/>
                <w:iCs/>
                <w:color w:val="000000"/>
                <w:sz w:val="20"/>
                <w:szCs w:val="20"/>
                <w:u w:val="single"/>
              </w:rPr>
              <w:t>All populations</w:t>
            </w:r>
          </w:p>
          <w:p w14:paraId="36EA985C"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Patient must be undergoing concomitant treatment with best supportive care, but this benefit is the sole PBS-subsidised disease modifying treatment</w:t>
            </w:r>
          </w:p>
          <w:p w14:paraId="60E3C993"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AND</w:t>
            </w:r>
          </w:p>
          <w:p w14:paraId="5EAF8D48" w14:textId="511C67B0" w:rsidR="004A380D" w:rsidRPr="00111042" w:rsidRDefault="004A380D" w:rsidP="00890494">
            <w:pPr>
              <w:spacing w:after="120"/>
              <w:rPr>
                <w:rFonts w:ascii="Arial Narrow" w:hAnsi="Arial Narrow" w:cstheme="minorHAnsi"/>
                <w:iCs/>
                <w:color w:val="000000"/>
                <w:sz w:val="20"/>
                <w:szCs w:val="20"/>
              </w:rPr>
            </w:pPr>
            <w:r w:rsidRPr="00111042">
              <w:rPr>
                <w:rFonts w:ascii="Arial Narrow" w:hAnsi="Arial Narrow" w:cstheme="minorHAnsi"/>
                <w:iCs/>
                <w:color w:val="000000"/>
                <w:sz w:val="20"/>
                <w:szCs w:val="20"/>
              </w:rPr>
              <w:t>Patient must not be receiving invasive permanent assisted ventilation in the absence of a potentially reversible cause while being treated with this drug.</w:t>
            </w:r>
          </w:p>
          <w:p w14:paraId="0FCBEC0F" w14:textId="77777777" w:rsidR="004A380D" w:rsidRPr="00111042" w:rsidRDefault="004A380D" w:rsidP="004A2E50">
            <w:pPr>
              <w:rPr>
                <w:rFonts w:ascii="Arial Narrow" w:hAnsi="Arial Narrow" w:cstheme="minorHAnsi"/>
                <w:iCs/>
                <w:color w:val="000000"/>
                <w:sz w:val="20"/>
                <w:szCs w:val="20"/>
                <w:u w:val="single"/>
              </w:rPr>
            </w:pPr>
            <w:r w:rsidRPr="00111042">
              <w:rPr>
                <w:rFonts w:ascii="Arial Narrow" w:hAnsi="Arial Narrow" w:cstheme="minorHAnsi"/>
                <w:iCs/>
                <w:color w:val="000000"/>
                <w:sz w:val="20"/>
                <w:szCs w:val="20"/>
                <w:u w:val="single"/>
              </w:rPr>
              <w:t>Population 1</w:t>
            </w:r>
          </w:p>
          <w:p w14:paraId="1D2BBA51"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 xml:space="preserve">Patient must be undergoing continuing PBS-subsidised treatment that was initiated through the Initial treatment listing for SMA initiated in adulthood. </w:t>
            </w:r>
          </w:p>
          <w:p w14:paraId="3197781D"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AND</w:t>
            </w:r>
          </w:p>
          <w:p w14:paraId="1AE7BD57"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The treatment must be each of: (i) occurring from week 104 onwards relative to the first administered dose, (ii) demonstrating a clinically meaningful response;</w:t>
            </w:r>
          </w:p>
          <w:p w14:paraId="47576D0D"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t>OR</w:t>
            </w:r>
          </w:p>
          <w:p w14:paraId="7FFF5945" w14:textId="77777777" w:rsidR="004A380D" w:rsidRPr="00111042" w:rsidRDefault="004A380D" w:rsidP="004A2E50">
            <w:pPr>
              <w:rPr>
                <w:rFonts w:ascii="Arial Narrow" w:hAnsi="Arial Narrow" w:cstheme="minorHAnsi"/>
                <w:iCs/>
                <w:color w:val="000000"/>
                <w:sz w:val="20"/>
                <w:szCs w:val="20"/>
              </w:rPr>
            </w:pPr>
            <w:r w:rsidRPr="00111042">
              <w:rPr>
                <w:rFonts w:ascii="Arial Narrow" w:hAnsi="Arial Narrow" w:cstheme="minorHAnsi"/>
                <w:iCs/>
                <w:color w:val="000000"/>
                <w:sz w:val="20"/>
                <w:szCs w:val="20"/>
              </w:rPr>
              <w:lastRenderedPageBreak/>
              <w:t xml:space="preserve">The treatment must be occurring within the first 104 weeks from the first administered dose </w:t>
            </w:r>
          </w:p>
          <w:p w14:paraId="0210AC33" w14:textId="77777777" w:rsidR="004A380D" w:rsidRPr="00111042" w:rsidRDefault="004A380D" w:rsidP="004A2E50">
            <w:pPr>
              <w:rPr>
                <w:rFonts w:ascii="Arial Narrow" w:hAnsi="Arial Narrow" w:cstheme="minorHAnsi"/>
                <w:iCs/>
                <w:color w:val="000000"/>
                <w:sz w:val="20"/>
                <w:szCs w:val="20"/>
              </w:rPr>
            </w:pPr>
          </w:p>
          <w:p w14:paraId="54AAC504" w14:textId="0E403ECD" w:rsidR="004A380D" w:rsidRPr="00111042" w:rsidRDefault="004A380D" w:rsidP="004A2E50">
            <w:pPr>
              <w:rPr>
                <w:rFonts w:ascii="Arial Narrow" w:hAnsi="Arial Narrow" w:cstheme="minorHAnsi"/>
                <w:iCs/>
                <w:color w:val="000000"/>
                <w:sz w:val="20"/>
                <w:szCs w:val="20"/>
                <w:u w:val="single"/>
              </w:rPr>
            </w:pPr>
            <w:r w:rsidRPr="00111042">
              <w:rPr>
                <w:rFonts w:ascii="Arial Narrow" w:hAnsi="Arial Narrow" w:cstheme="minorHAnsi"/>
                <w:iCs/>
                <w:color w:val="000000"/>
                <w:sz w:val="20"/>
                <w:szCs w:val="20"/>
                <w:u w:val="single"/>
              </w:rPr>
              <w:t>Population 2 and 3 (as amendment to existing listing for continuing treatment with risd</w:t>
            </w:r>
            <w:r w:rsidR="00111042">
              <w:rPr>
                <w:rFonts w:ascii="Arial Narrow" w:hAnsi="Arial Narrow" w:cstheme="minorHAnsi"/>
                <w:iCs/>
                <w:color w:val="000000"/>
                <w:sz w:val="20"/>
                <w:szCs w:val="20"/>
                <w:u w:val="single"/>
              </w:rPr>
              <w:t>i</w:t>
            </w:r>
            <w:r w:rsidRPr="00111042">
              <w:rPr>
                <w:rFonts w:ascii="Arial Narrow" w:hAnsi="Arial Narrow" w:cstheme="minorHAnsi"/>
                <w:iCs/>
                <w:color w:val="000000"/>
                <w:sz w:val="20"/>
                <w:szCs w:val="20"/>
                <w:u w:val="single"/>
              </w:rPr>
              <w:t>plam)</w:t>
            </w:r>
          </w:p>
          <w:p w14:paraId="79361B87" w14:textId="27069C3D" w:rsidR="004A380D" w:rsidRPr="00111042" w:rsidRDefault="004A380D" w:rsidP="007C6C90">
            <w:pPr>
              <w:rPr>
                <w:color w:val="000000"/>
              </w:rPr>
            </w:pPr>
            <w:r w:rsidRPr="00111042">
              <w:rPr>
                <w:rFonts w:ascii="Arial Narrow" w:hAnsi="Arial Narrow" w:cstheme="minorHAnsi"/>
                <w:iCs/>
                <w:color w:val="000000"/>
                <w:sz w:val="20"/>
                <w:szCs w:val="20"/>
              </w:rPr>
              <w:t>Continuing/maintenance treatment of either symptomatic Type I, II or III SMA, or of a patient commenced on this drug under the pre-symptomatic SMA listin</w:t>
            </w:r>
            <w:r w:rsidR="007C6C90" w:rsidRPr="00111042">
              <w:rPr>
                <w:rFonts w:ascii="Arial Narrow" w:hAnsi="Arial Narrow" w:cstheme="minorHAnsi"/>
                <w:iCs/>
                <w:color w:val="000000"/>
                <w:sz w:val="20"/>
                <w:szCs w:val="20"/>
              </w:rPr>
              <w:t>g</w:t>
            </w:r>
          </w:p>
        </w:tc>
      </w:tr>
    </w:tbl>
    <w:p w14:paraId="22BAEBD6" w14:textId="6BA7BC7C" w:rsidR="00046D64" w:rsidRPr="00111042" w:rsidRDefault="009F2B52" w:rsidP="004C7359">
      <w:pPr>
        <w:pStyle w:val="TableFooter"/>
        <w:keepNext/>
        <w:keepLines/>
        <w:spacing w:after="120"/>
      </w:pPr>
      <w:r w:rsidRPr="00111042">
        <w:lastRenderedPageBreak/>
        <w:t xml:space="preserve">Source: Table 1.9, p30, table 1.10, p31, table 1.11, p32, table 1.12, p33, table 1.13, p34, table 1.14, p37 and table 1.15, p38 of the resubmission </w:t>
      </w:r>
    </w:p>
    <w:p w14:paraId="00BF6CFC" w14:textId="24BB9E88" w:rsidR="009264C7" w:rsidRPr="00111042" w:rsidRDefault="009264C7" w:rsidP="009264C7">
      <w:pPr>
        <w:pStyle w:val="3-BodyText"/>
      </w:pPr>
      <w:r w:rsidRPr="00111042">
        <w:t xml:space="preserve">The </w:t>
      </w:r>
      <w:r w:rsidR="00381F60" w:rsidRPr="00111042">
        <w:t>resubmission</w:t>
      </w:r>
      <w:r w:rsidRPr="00111042">
        <w:t xml:space="preserve"> requested a Special Pricing Arrangement (SPA) </w:t>
      </w:r>
      <w:r w:rsidR="00CA3E20">
        <w:t>and</w:t>
      </w:r>
      <w:r w:rsidRPr="00111042">
        <w:t xml:space="preserve"> proposed an in</w:t>
      </w:r>
      <w:r w:rsidR="00180AD1">
        <w:noBreakHyphen/>
      </w:r>
      <w:r w:rsidRPr="00111042">
        <w:t>principle agreement that the effective price of risdiplam will be no higher than the cost-minimised effective price for nusinersen in populations</w:t>
      </w:r>
      <w:r w:rsidR="00CA3E20">
        <w:t xml:space="preserve"> 1 and 2</w:t>
      </w:r>
      <w:r w:rsidRPr="00111042">
        <w:t xml:space="preserve">. </w:t>
      </w:r>
    </w:p>
    <w:p w14:paraId="32EBC253" w14:textId="7E520144" w:rsidR="00B93995" w:rsidRPr="00111042" w:rsidRDefault="00B93995" w:rsidP="009264C7">
      <w:pPr>
        <w:pStyle w:val="3-BodyText"/>
      </w:pPr>
      <w:r w:rsidRPr="00111042">
        <w:t xml:space="preserve">The resubmission proposed that continuation of treatment in pre-symptomatic patients in population 2 </w:t>
      </w:r>
      <w:r w:rsidR="000A1792">
        <w:t>(</w:t>
      </w:r>
      <w:r w:rsidRPr="00111042">
        <w:t>and 3</w:t>
      </w:r>
      <w:r w:rsidR="000A1792">
        <w:t>)</w:t>
      </w:r>
      <w:r w:rsidRPr="00111042">
        <w:t xml:space="preserve"> would fall under an amended </w:t>
      </w:r>
      <w:r w:rsidR="00150E19" w:rsidRPr="00111042">
        <w:t xml:space="preserve">listing of the existing continuation PBS listing for risdiplam. </w:t>
      </w:r>
    </w:p>
    <w:p w14:paraId="78F4C941" w14:textId="40E69B75" w:rsidR="009264C7" w:rsidRPr="000C053F" w:rsidRDefault="009264C7" w:rsidP="00CA3E20">
      <w:pPr>
        <w:pStyle w:val="3-BodyText"/>
      </w:pPr>
      <w:r w:rsidRPr="000C053F">
        <w:t xml:space="preserve">Under the current PBS-listing and the proposed PBS populations in this </w:t>
      </w:r>
      <w:r w:rsidR="00381F60" w:rsidRPr="000C053F">
        <w:t>resubmission</w:t>
      </w:r>
      <w:r w:rsidRPr="000C053F">
        <w:t xml:space="preserve">, SMA patients currently aged between 3 and 18 </w:t>
      </w:r>
      <w:r w:rsidR="00222932">
        <w:t xml:space="preserve">years </w:t>
      </w:r>
      <w:r w:rsidRPr="000C053F">
        <w:t xml:space="preserve">who did not exhibit symptoms until between age 3 to 18 </w:t>
      </w:r>
      <w:r w:rsidR="00222932">
        <w:t xml:space="preserve">years </w:t>
      </w:r>
      <w:r w:rsidRPr="000C053F">
        <w:t>(i.e. Type 3b/c) would not be able to access risdiplam until age 19. This may cause a potential equity issue</w:t>
      </w:r>
      <w:r w:rsidR="00F36174">
        <w:t xml:space="preserve"> (see paragraph </w:t>
      </w:r>
      <w:r w:rsidR="00F36174">
        <w:fldChar w:fldCharType="begin"/>
      </w:r>
      <w:r w:rsidR="00F36174">
        <w:instrText xml:space="preserve"> REF _Ref130393451 \r \h </w:instrText>
      </w:r>
      <w:r w:rsidR="00F36174">
        <w:fldChar w:fldCharType="separate"/>
      </w:r>
      <w:r w:rsidR="00D45640">
        <w:t>2.5</w:t>
      </w:r>
      <w:r w:rsidR="00F36174">
        <w:fldChar w:fldCharType="end"/>
      </w:r>
      <w:r w:rsidR="00F36174">
        <w:t xml:space="preserve"> above)</w:t>
      </w:r>
      <w:r w:rsidRPr="000C053F">
        <w:t xml:space="preserve">. </w:t>
      </w:r>
    </w:p>
    <w:p w14:paraId="38D19C2C" w14:textId="77777777" w:rsidR="00FF3A3A" w:rsidRPr="000C1E4D" w:rsidRDefault="00FF3A3A" w:rsidP="00222932">
      <w:pPr>
        <w:pStyle w:val="3-BodyText"/>
        <w:rPr>
          <w:rFonts w:cstheme="minorHAnsi"/>
          <w:iCs/>
        </w:rPr>
      </w:pPr>
      <w:r w:rsidRPr="000C1E4D">
        <w:rPr>
          <w:rFonts w:cstheme="minorHAnsi"/>
          <w:iCs/>
        </w:rPr>
        <w:t>The proposed restrictions for population 1 (adult initiation) were consistent with the existing restrictions for nusinersen in this population with the exception of:</w:t>
      </w:r>
    </w:p>
    <w:p w14:paraId="5C6123D1" w14:textId="0CD9A3CA" w:rsidR="00FF3A3A" w:rsidRPr="000C1E4D" w:rsidRDefault="00FF3A3A" w:rsidP="00890494">
      <w:pPr>
        <w:pStyle w:val="3-BodyText"/>
        <w:numPr>
          <w:ilvl w:val="0"/>
          <w:numId w:val="11"/>
        </w:numPr>
        <w:rPr>
          <w:iCs/>
        </w:rPr>
      </w:pPr>
      <w:r w:rsidRPr="000C1E4D">
        <w:rPr>
          <w:iCs/>
        </w:rPr>
        <w:t xml:space="preserve">Inclusion of the criterion requiring treatment is by a specialist medical practitioner experienced in the diagnosis and management of SMA associated with a </w:t>
      </w:r>
      <w:r w:rsidRPr="00890494">
        <w:t>neuromuscular</w:t>
      </w:r>
      <w:r w:rsidRPr="000C1E4D">
        <w:rPr>
          <w:iCs/>
        </w:rPr>
        <w:t xml:space="preserve"> clinic, or in consultation with a specialist medical practitioner experienced in the diagnosis and management of SMA associated with a neuromuscular clinic. The related restriction for nusinersen is: Must be treated by a specialist medical practitioner experienced in the diagnosis/management of SMA; OR Must be treated by a medical practitioner who has been directed to prescribe this benefit by a specialist medical practitioner experienced in the diagnosis/management of SMA. </w:t>
      </w:r>
    </w:p>
    <w:p w14:paraId="15A7EEFB" w14:textId="77777777" w:rsidR="00FF3A3A" w:rsidRPr="00890494" w:rsidRDefault="00FF3A3A" w:rsidP="00890494">
      <w:pPr>
        <w:pStyle w:val="3-BodyText"/>
        <w:numPr>
          <w:ilvl w:val="0"/>
          <w:numId w:val="11"/>
        </w:numPr>
      </w:pPr>
      <w:r w:rsidRPr="00890494">
        <w:t>Criteria relating to loading doses (this was appropriate).</w:t>
      </w:r>
    </w:p>
    <w:p w14:paraId="6687D5CB" w14:textId="77777777" w:rsidR="00FF3A3A" w:rsidRPr="000C1E4D" w:rsidRDefault="00FF3A3A" w:rsidP="00890494">
      <w:pPr>
        <w:pStyle w:val="3-BodyText"/>
        <w:numPr>
          <w:ilvl w:val="0"/>
          <w:numId w:val="11"/>
        </w:numPr>
        <w:rPr>
          <w:iCs/>
        </w:rPr>
      </w:pPr>
      <w:r w:rsidRPr="00890494">
        <w:t>The continuing restriction included additional population criteria not required for the</w:t>
      </w:r>
      <w:r w:rsidRPr="000C1E4D">
        <w:rPr>
          <w:iCs/>
        </w:rPr>
        <w:t xml:space="preserve"> continuing listing (at least 19 years of age, signs/symptoms prior to 19 years). </w:t>
      </w:r>
    </w:p>
    <w:p w14:paraId="1CC0DA7B" w14:textId="4024BD12" w:rsidR="00FF3A3A" w:rsidRPr="00F36174" w:rsidRDefault="00FF3A3A" w:rsidP="00F36174">
      <w:pPr>
        <w:pStyle w:val="3-BodyText"/>
        <w:rPr>
          <w:rFonts w:cstheme="minorHAnsi"/>
          <w:iCs/>
        </w:rPr>
      </w:pPr>
      <w:r w:rsidRPr="00F36174">
        <w:rPr>
          <w:rFonts w:cstheme="minorHAnsi"/>
          <w:iCs/>
        </w:rPr>
        <w:t>The proposed restrictions for population 2 (paediatric pre-symptomatic initiation 1-2 copies SMN2) were consistent with the existing initial and continuing restrictions for nusinersen in this population with the exception of</w:t>
      </w:r>
      <w:r w:rsidR="00F36174" w:rsidRPr="00F36174">
        <w:rPr>
          <w:rFonts w:cstheme="minorHAnsi"/>
          <w:iCs/>
        </w:rPr>
        <w:t xml:space="preserve"> </w:t>
      </w:r>
      <w:r w:rsidR="00F36174">
        <w:rPr>
          <w:rFonts w:cstheme="minorHAnsi"/>
          <w:iCs/>
        </w:rPr>
        <w:t>c</w:t>
      </w:r>
      <w:r w:rsidRPr="00F36174">
        <w:rPr>
          <w:rFonts w:cstheme="minorHAnsi"/>
          <w:iCs/>
        </w:rPr>
        <w:t>riteria relating to loading doses (this was appropriate).</w:t>
      </w:r>
    </w:p>
    <w:p w14:paraId="3C9A678E" w14:textId="3DE3EAD1" w:rsidR="008211AC" w:rsidRPr="00111042" w:rsidRDefault="00022500" w:rsidP="00D13765">
      <w:pPr>
        <w:pStyle w:val="3-BodyText"/>
      </w:pPr>
      <w:r>
        <w:t xml:space="preserve">The PBAC </w:t>
      </w:r>
      <w:r w:rsidR="00F36174">
        <w:t>considered that the wording of the</w:t>
      </w:r>
      <w:r>
        <w:t xml:space="preserve"> initial listing </w:t>
      </w:r>
      <w:r w:rsidR="00F36174">
        <w:t>should be amended such that</w:t>
      </w:r>
      <w:r w:rsidRPr="00022500">
        <w:rPr>
          <w:rFonts w:cstheme="minorHAnsi"/>
          <w:iCs/>
        </w:rPr>
        <w:t xml:space="preserve"> </w:t>
      </w:r>
      <w:r w:rsidR="00F36174">
        <w:rPr>
          <w:rFonts w:cstheme="minorHAnsi"/>
          <w:iCs/>
        </w:rPr>
        <w:t xml:space="preserve">Grandfather </w:t>
      </w:r>
      <w:r w:rsidRPr="00022500">
        <w:rPr>
          <w:rFonts w:cstheme="minorHAnsi"/>
          <w:iCs/>
        </w:rPr>
        <w:t xml:space="preserve">patients </w:t>
      </w:r>
      <w:r w:rsidR="00F36174">
        <w:rPr>
          <w:rFonts w:cstheme="minorHAnsi"/>
          <w:iCs/>
        </w:rPr>
        <w:t>are</w:t>
      </w:r>
      <w:r w:rsidRPr="00022500">
        <w:rPr>
          <w:rFonts w:cstheme="minorHAnsi"/>
          <w:iCs/>
        </w:rPr>
        <w:t xml:space="preserve"> eligible to access risdiplam via the proposed initial and continuing listings</w:t>
      </w:r>
      <w:r w:rsidR="00F36174">
        <w:rPr>
          <w:rFonts w:cstheme="minorHAnsi"/>
          <w:iCs/>
        </w:rPr>
        <w:t>, making a separate listing</w:t>
      </w:r>
      <w:r w:rsidR="00F36174" w:rsidRPr="00022500">
        <w:rPr>
          <w:rFonts w:cstheme="minorHAnsi"/>
          <w:iCs/>
        </w:rPr>
        <w:t xml:space="preserve"> unnecessary</w:t>
      </w:r>
      <w:r>
        <w:rPr>
          <w:rFonts w:cstheme="minorHAnsi"/>
          <w:iCs/>
        </w:rPr>
        <w:t>.</w:t>
      </w:r>
    </w:p>
    <w:p w14:paraId="7BEA8A85" w14:textId="77777777" w:rsidR="00C02C39" w:rsidRPr="00C02C39" w:rsidRDefault="00C02C39" w:rsidP="00890494">
      <w:pPr>
        <w:ind w:firstLine="720"/>
        <w:rPr>
          <w:i/>
          <w:iCs/>
        </w:rPr>
      </w:pPr>
      <w:bookmarkStart w:id="12" w:name="_Hlk129076982"/>
      <w:bookmarkStart w:id="13" w:name="_Toc124937751"/>
      <w:r w:rsidRPr="00C02C39">
        <w:rPr>
          <w:i/>
          <w:iCs/>
        </w:rPr>
        <w:t>For more detail on PBAC’s view, see section 7 PBAC outcome.</w:t>
      </w:r>
    </w:p>
    <w:bookmarkEnd w:id="12"/>
    <w:p w14:paraId="7075B85C" w14:textId="1339FC85" w:rsidR="00B50DB8" w:rsidRPr="00111042" w:rsidDel="00195452" w:rsidRDefault="00203181" w:rsidP="004E18E9">
      <w:pPr>
        <w:pStyle w:val="2-SectionHeading"/>
      </w:pPr>
      <w:r w:rsidRPr="00111042" w:rsidDel="00195452">
        <w:lastRenderedPageBreak/>
        <w:t xml:space="preserve">Population and </w:t>
      </w:r>
      <w:r w:rsidR="008E0D3C" w:rsidRPr="00111042" w:rsidDel="00195452">
        <w:t>d</w:t>
      </w:r>
      <w:r w:rsidRPr="00111042" w:rsidDel="00195452">
        <w:t>isease</w:t>
      </w:r>
      <w:bookmarkEnd w:id="13"/>
    </w:p>
    <w:p w14:paraId="468291E8" w14:textId="49881182" w:rsidR="009264C7" w:rsidRPr="00111042" w:rsidRDefault="007F60F4" w:rsidP="004E18E9">
      <w:pPr>
        <w:pStyle w:val="3-BodyText"/>
      </w:pPr>
      <w:r w:rsidRPr="00111042">
        <w:rPr>
          <w:rFonts w:eastAsiaTheme="minorEastAsia" w:cstheme="minorBidi"/>
          <w:lang w:eastAsia="zh-CN"/>
        </w:rPr>
        <w:t xml:space="preserve">SMA is </w:t>
      </w:r>
      <w:r w:rsidRPr="00111042">
        <w:t xml:space="preserve">an autosomal recessive progressive neuromuscular disease </w:t>
      </w:r>
      <w:r w:rsidRPr="00111042">
        <w:rPr>
          <w:rFonts w:eastAsiaTheme="minorEastAsia" w:cstheme="minorBidi"/>
          <w:lang w:eastAsia="zh-CN"/>
        </w:rPr>
        <w:t xml:space="preserve">that causes progressive atrophy of skeletal muscles, generalised weakness and disease‐related complications that can impact survival. It is caused by the deletion, conversion and/or mutation of the </w:t>
      </w:r>
      <w:r w:rsidRPr="00111042">
        <w:rPr>
          <w:rFonts w:eastAsiaTheme="minorEastAsia" w:cstheme="minorBidi"/>
          <w:i/>
          <w:lang w:eastAsia="zh-CN"/>
        </w:rPr>
        <w:t xml:space="preserve">SMN1 </w:t>
      </w:r>
      <w:r w:rsidRPr="00111042">
        <w:rPr>
          <w:rFonts w:eastAsiaTheme="minorEastAsia" w:cstheme="minorBidi"/>
          <w:lang w:eastAsia="zh-CN"/>
        </w:rPr>
        <w:t>gene on chromosome 5q13, resulting in insufficient levels of functional SMN protein.</w:t>
      </w:r>
      <w:r w:rsidRPr="00111042">
        <w:t xml:space="preserve"> </w:t>
      </w:r>
      <w:r w:rsidRPr="00111042">
        <w:rPr>
          <w:rFonts w:eastAsiaTheme="minorEastAsia" w:cstheme="minorBidi"/>
          <w:lang w:eastAsia="zh-CN"/>
        </w:rPr>
        <w:t xml:space="preserve">The SMN gene is duplicated in humans to give rise to a second </w:t>
      </w:r>
      <w:r w:rsidRPr="009447C4">
        <w:rPr>
          <w:rFonts w:eastAsiaTheme="minorEastAsia" w:cstheme="minorBidi"/>
          <w:i/>
          <w:iCs/>
          <w:lang w:eastAsia="zh-CN"/>
        </w:rPr>
        <w:t>SMN</w:t>
      </w:r>
      <w:r w:rsidRPr="00111042">
        <w:rPr>
          <w:rFonts w:eastAsiaTheme="minorEastAsia" w:cstheme="minorBidi"/>
          <w:lang w:eastAsia="zh-CN"/>
        </w:rPr>
        <w:t xml:space="preserve"> gene, </w:t>
      </w:r>
      <w:r w:rsidRPr="00111042">
        <w:rPr>
          <w:rFonts w:eastAsiaTheme="minorEastAsia" w:cstheme="minorBidi"/>
          <w:i/>
          <w:iCs/>
          <w:lang w:eastAsia="zh-CN"/>
        </w:rPr>
        <w:t>SMN2</w:t>
      </w:r>
      <w:r w:rsidRPr="00111042">
        <w:rPr>
          <w:rFonts w:eastAsiaTheme="minorEastAsia" w:cstheme="minorBidi"/>
          <w:lang w:eastAsia="zh-CN"/>
        </w:rPr>
        <w:t xml:space="preserve">. Patients with milder forms of SMA usually have higher </w:t>
      </w:r>
      <w:r w:rsidRPr="00111042">
        <w:rPr>
          <w:rFonts w:eastAsiaTheme="minorEastAsia" w:cstheme="minorBidi"/>
          <w:i/>
          <w:iCs/>
          <w:lang w:eastAsia="zh-CN"/>
        </w:rPr>
        <w:t>SMN2</w:t>
      </w:r>
      <w:r w:rsidRPr="00111042">
        <w:rPr>
          <w:rFonts w:eastAsiaTheme="minorEastAsia" w:cstheme="minorBidi"/>
          <w:i/>
          <w:lang w:eastAsia="zh-CN"/>
        </w:rPr>
        <w:t xml:space="preserve"> </w:t>
      </w:r>
      <w:r w:rsidRPr="00111042">
        <w:rPr>
          <w:rFonts w:eastAsiaTheme="minorEastAsia" w:cstheme="minorBidi"/>
          <w:lang w:eastAsia="zh-CN"/>
        </w:rPr>
        <w:t>copy numbers than severe SMA patients.</w:t>
      </w:r>
    </w:p>
    <w:p w14:paraId="64FD0791" w14:textId="4F9105EE" w:rsidR="003A3698" w:rsidRPr="00111042" w:rsidRDefault="00BF4C8C" w:rsidP="001967CD">
      <w:pPr>
        <w:pStyle w:val="3-BodyText"/>
      </w:pPr>
      <w:r w:rsidRPr="00111042">
        <w:rPr>
          <w:shd w:val="clear" w:color="auto" w:fill="FFFFFF"/>
        </w:rPr>
        <w:t>SMA presents across a broad clinical spectrum, ranging from extremely weak infants with a historically dismal prognosis, to more mildly affected, ambulatory children and adults.</w:t>
      </w:r>
      <w:r w:rsidRPr="00111042">
        <w:t xml:space="preserve"> SMA can be classified into several clinical subtypes based on age of onset and severity of the disease, as detailed in </w:t>
      </w:r>
      <w:r w:rsidR="0002699F" w:rsidRPr="00111042">
        <w:rPr>
          <w:highlight w:val="yellow"/>
        </w:rPr>
        <w:fldChar w:fldCharType="begin"/>
      </w:r>
      <w:r w:rsidR="0002699F" w:rsidRPr="00111042">
        <w:instrText xml:space="preserve"> REF _Ref121771216 \h </w:instrText>
      </w:r>
      <w:r w:rsidR="0002699F" w:rsidRPr="00111042">
        <w:rPr>
          <w:highlight w:val="yellow"/>
        </w:rPr>
      </w:r>
      <w:r w:rsidR="0002699F" w:rsidRPr="00111042">
        <w:rPr>
          <w:highlight w:val="yellow"/>
        </w:rPr>
        <w:fldChar w:fldCharType="separate"/>
      </w:r>
      <w:r w:rsidR="00D45640" w:rsidRPr="00111042">
        <w:t xml:space="preserve">Table </w:t>
      </w:r>
      <w:r w:rsidR="00D45640">
        <w:rPr>
          <w:noProof/>
        </w:rPr>
        <w:t>2</w:t>
      </w:r>
      <w:r w:rsidR="0002699F" w:rsidRPr="00111042">
        <w:rPr>
          <w:highlight w:val="yellow"/>
        </w:rPr>
        <w:fldChar w:fldCharType="end"/>
      </w:r>
      <w:r w:rsidRPr="00111042">
        <w:t>. Type 3 patients can be further classified depending on age at symptom onset, with Type 3a patients being 18 months-3 years at disease onset.</w:t>
      </w:r>
    </w:p>
    <w:p w14:paraId="0FF619C4" w14:textId="32910755" w:rsidR="001967CD" w:rsidRPr="00111042" w:rsidRDefault="0002699F" w:rsidP="004C7359">
      <w:pPr>
        <w:pStyle w:val="Caption"/>
        <w:keepNext w:val="0"/>
        <w:rPr>
          <w:shd w:val="clear" w:color="auto" w:fill="FFFFFF"/>
        </w:rPr>
      </w:pPr>
      <w:bookmarkStart w:id="14" w:name="_Ref121771216"/>
      <w:r w:rsidRPr="00111042">
        <w:t xml:space="preserve">Table </w:t>
      </w:r>
      <w:r w:rsidR="00D45640">
        <w:fldChar w:fldCharType="begin"/>
      </w:r>
      <w:r w:rsidR="00D45640">
        <w:instrText xml:space="preserve"> SEQ Table \* ARABIC </w:instrText>
      </w:r>
      <w:r w:rsidR="00D45640">
        <w:fldChar w:fldCharType="separate"/>
      </w:r>
      <w:r w:rsidR="00D45640">
        <w:rPr>
          <w:noProof/>
        </w:rPr>
        <w:t>2</w:t>
      </w:r>
      <w:r w:rsidR="00D45640">
        <w:rPr>
          <w:noProof/>
        </w:rPr>
        <w:fldChar w:fldCharType="end"/>
      </w:r>
      <w:bookmarkEnd w:id="14"/>
      <w:r w:rsidR="001967CD" w:rsidRPr="00111042">
        <w:rPr>
          <w:szCs w:val="20"/>
        </w:rPr>
        <w:t xml:space="preserve">: SMA clinical classification according to onset, achieved milestones, evolution and the </w:t>
      </w:r>
      <w:r w:rsidR="001967CD" w:rsidRPr="00111042">
        <w:rPr>
          <w:i/>
          <w:iCs/>
          <w:szCs w:val="20"/>
        </w:rPr>
        <w:t xml:space="preserve">SMN2 </w:t>
      </w:r>
      <w:r w:rsidR="001967CD" w:rsidRPr="00111042">
        <w:rPr>
          <w:szCs w:val="20"/>
        </w:rPr>
        <w:t>genotype</w:t>
      </w:r>
    </w:p>
    <w:tbl>
      <w:tblPr>
        <w:tblStyle w:val="HTAtableplain1"/>
        <w:tblW w:w="5000" w:type="pct"/>
        <w:tblLayout w:type="fixed"/>
        <w:tblLook w:val="04A0" w:firstRow="1" w:lastRow="0" w:firstColumn="1" w:lastColumn="0" w:noHBand="0" w:noVBand="1"/>
      </w:tblPr>
      <w:tblGrid>
        <w:gridCol w:w="636"/>
        <w:gridCol w:w="1111"/>
        <w:gridCol w:w="611"/>
        <w:gridCol w:w="696"/>
        <w:gridCol w:w="910"/>
        <w:gridCol w:w="1861"/>
        <w:gridCol w:w="1110"/>
        <w:gridCol w:w="972"/>
        <w:gridCol w:w="1110"/>
      </w:tblGrid>
      <w:tr w:rsidR="00B23D1A" w:rsidRPr="00111042" w14:paraId="35A1F228" w14:textId="77777777" w:rsidTr="000C053F">
        <w:tc>
          <w:tcPr>
            <w:tcW w:w="636" w:type="dxa"/>
            <w:shd w:val="clear" w:color="auto" w:fill="auto"/>
            <w:vAlign w:val="center"/>
          </w:tcPr>
          <w:p w14:paraId="6F4734DD" w14:textId="77777777" w:rsidR="001967CD" w:rsidRPr="00111042" w:rsidRDefault="001967CD" w:rsidP="004C7359">
            <w:pPr>
              <w:keepLines/>
              <w:jc w:val="left"/>
              <w:rPr>
                <w:rFonts w:ascii="Arial Narrow" w:hAnsi="Arial Narrow" w:cs="Calibri"/>
                <w:b/>
                <w:bCs/>
                <w:sz w:val="20"/>
                <w:szCs w:val="20"/>
              </w:rPr>
            </w:pPr>
            <w:r w:rsidRPr="00111042">
              <w:rPr>
                <w:rFonts w:ascii="Arial Narrow" w:hAnsi="Arial Narrow" w:cs="Calibri"/>
                <w:b/>
                <w:bCs/>
                <w:sz w:val="20"/>
                <w:szCs w:val="20"/>
              </w:rPr>
              <w:t>SMA Type</w:t>
            </w:r>
          </w:p>
        </w:tc>
        <w:tc>
          <w:tcPr>
            <w:tcW w:w="1111" w:type="dxa"/>
            <w:shd w:val="clear" w:color="auto" w:fill="auto"/>
            <w:vAlign w:val="center"/>
          </w:tcPr>
          <w:p w14:paraId="19C3F920" w14:textId="77777777" w:rsidR="001967CD" w:rsidRPr="00111042" w:rsidRDefault="001967CD" w:rsidP="004C7359">
            <w:pPr>
              <w:keepLines/>
              <w:jc w:val="center"/>
              <w:rPr>
                <w:rFonts w:ascii="Arial Narrow" w:hAnsi="Arial Narrow" w:cs="Calibri"/>
                <w:b/>
                <w:bCs/>
                <w:sz w:val="20"/>
                <w:szCs w:val="20"/>
              </w:rPr>
            </w:pPr>
            <w:r w:rsidRPr="00111042">
              <w:rPr>
                <w:rFonts w:ascii="Arial Narrow" w:hAnsi="Arial Narrow" w:cs="Calibri"/>
                <w:b/>
                <w:bCs/>
                <w:sz w:val="20"/>
                <w:szCs w:val="20"/>
              </w:rPr>
              <w:t>Age at symptom onset</w:t>
            </w:r>
          </w:p>
        </w:tc>
        <w:tc>
          <w:tcPr>
            <w:tcW w:w="611" w:type="dxa"/>
            <w:shd w:val="clear" w:color="auto" w:fill="auto"/>
            <w:vAlign w:val="center"/>
          </w:tcPr>
          <w:p w14:paraId="0E38F767" w14:textId="77777777" w:rsidR="001967CD" w:rsidRPr="00111042" w:rsidRDefault="001967CD" w:rsidP="004C7359">
            <w:pPr>
              <w:keepLines/>
              <w:jc w:val="center"/>
              <w:rPr>
                <w:rFonts w:ascii="Arial Narrow" w:hAnsi="Arial Narrow" w:cs="Calibri"/>
                <w:b/>
                <w:bCs/>
                <w:sz w:val="20"/>
                <w:szCs w:val="20"/>
              </w:rPr>
            </w:pPr>
            <w:r w:rsidRPr="00111042">
              <w:rPr>
                <w:rFonts w:ascii="Arial Narrow" w:hAnsi="Arial Narrow" w:cs="Calibri"/>
                <w:b/>
                <w:bCs/>
                <w:sz w:val="20"/>
                <w:szCs w:val="20"/>
              </w:rPr>
              <w:t>Able to sit</w:t>
            </w:r>
          </w:p>
        </w:tc>
        <w:tc>
          <w:tcPr>
            <w:tcW w:w="696" w:type="dxa"/>
            <w:shd w:val="clear" w:color="auto" w:fill="auto"/>
            <w:vAlign w:val="center"/>
          </w:tcPr>
          <w:p w14:paraId="3A77D56D" w14:textId="77777777" w:rsidR="001967CD" w:rsidRPr="00111042" w:rsidRDefault="001967CD" w:rsidP="004C7359">
            <w:pPr>
              <w:keepLines/>
              <w:jc w:val="center"/>
              <w:rPr>
                <w:rFonts w:ascii="Arial Narrow" w:hAnsi="Arial Narrow" w:cs="Calibri"/>
                <w:b/>
                <w:bCs/>
                <w:sz w:val="20"/>
                <w:szCs w:val="20"/>
              </w:rPr>
            </w:pPr>
            <w:r w:rsidRPr="00111042">
              <w:rPr>
                <w:rFonts w:ascii="Arial Narrow" w:hAnsi="Arial Narrow" w:cs="Calibri"/>
                <w:b/>
                <w:bCs/>
                <w:sz w:val="20"/>
                <w:szCs w:val="20"/>
              </w:rPr>
              <w:t>Able to stand</w:t>
            </w:r>
          </w:p>
        </w:tc>
        <w:tc>
          <w:tcPr>
            <w:tcW w:w="910" w:type="dxa"/>
            <w:shd w:val="clear" w:color="auto" w:fill="auto"/>
            <w:vAlign w:val="center"/>
          </w:tcPr>
          <w:p w14:paraId="22439A7B" w14:textId="77777777" w:rsidR="001967CD" w:rsidRPr="00111042" w:rsidRDefault="001967CD" w:rsidP="004C7359">
            <w:pPr>
              <w:keepLines/>
              <w:jc w:val="center"/>
              <w:rPr>
                <w:rFonts w:ascii="Arial Narrow" w:hAnsi="Arial Narrow" w:cs="Calibri"/>
                <w:b/>
                <w:bCs/>
                <w:sz w:val="20"/>
                <w:szCs w:val="20"/>
              </w:rPr>
            </w:pPr>
            <w:r w:rsidRPr="00111042">
              <w:rPr>
                <w:rFonts w:ascii="Arial Narrow" w:hAnsi="Arial Narrow" w:cs="Calibri"/>
                <w:b/>
                <w:bCs/>
                <w:sz w:val="20"/>
                <w:szCs w:val="20"/>
              </w:rPr>
              <w:t>Able to walk</w:t>
            </w:r>
          </w:p>
        </w:tc>
        <w:tc>
          <w:tcPr>
            <w:tcW w:w="1861" w:type="dxa"/>
            <w:shd w:val="clear" w:color="auto" w:fill="auto"/>
            <w:vAlign w:val="center"/>
          </w:tcPr>
          <w:p w14:paraId="168A1908" w14:textId="77777777" w:rsidR="001967CD" w:rsidRPr="00111042" w:rsidRDefault="001967CD" w:rsidP="004C7359">
            <w:pPr>
              <w:keepLines/>
              <w:jc w:val="center"/>
              <w:rPr>
                <w:rFonts w:ascii="Arial Narrow" w:hAnsi="Arial Narrow" w:cs="Calibri"/>
                <w:b/>
                <w:bCs/>
                <w:sz w:val="20"/>
                <w:szCs w:val="20"/>
              </w:rPr>
            </w:pPr>
            <w:r w:rsidRPr="00111042">
              <w:rPr>
                <w:rFonts w:ascii="Arial Narrow" w:hAnsi="Arial Narrow" w:cs="Calibri"/>
                <w:b/>
                <w:bCs/>
                <w:sz w:val="20"/>
                <w:szCs w:val="20"/>
              </w:rPr>
              <w:t>Typical symptoms</w:t>
            </w:r>
          </w:p>
        </w:tc>
        <w:tc>
          <w:tcPr>
            <w:tcW w:w="1110" w:type="dxa"/>
            <w:shd w:val="clear" w:color="auto" w:fill="auto"/>
            <w:vAlign w:val="center"/>
          </w:tcPr>
          <w:p w14:paraId="4AEF1229" w14:textId="77777777" w:rsidR="001967CD" w:rsidRPr="00111042" w:rsidRDefault="001967CD" w:rsidP="004C7359">
            <w:pPr>
              <w:keepLines/>
              <w:jc w:val="center"/>
              <w:rPr>
                <w:rFonts w:ascii="Arial Narrow" w:hAnsi="Arial Narrow" w:cs="Calibri"/>
                <w:b/>
                <w:bCs/>
                <w:sz w:val="20"/>
                <w:szCs w:val="20"/>
              </w:rPr>
            </w:pPr>
            <w:r w:rsidRPr="00111042">
              <w:rPr>
                <w:rFonts w:ascii="Arial Narrow" w:hAnsi="Arial Narrow" w:cs="Calibri"/>
                <w:b/>
                <w:bCs/>
                <w:sz w:val="20"/>
                <w:szCs w:val="20"/>
              </w:rPr>
              <w:t>Life expectancy</w:t>
            </w:r>
          </w:p>
        </w:tc>
        <w:tc>
          <w:tcPr>
            <w:tcW w:w="972" w:type="dxa"/>
            <w:shd w:val="clear" w:color="auto" w:fill="auto"/>
            <w:vAlign w:val="center"/>
          </w:tcPr>
          <w:p w14:paraId="509888F5" w14:textId="77777777" w:rsidR="001967CD" w:rsidRPr="00111042" w:rsidRDefault="001967CD" w:rsidP="004C7359">
            <w:pPr>
              <w:keepLines/>
              <w:jc w:val="center"/>
              <w:rPr>
                <w:rFonts w:ascii="Arial Narrow" w:hAnsi="Arial Narrow" w:cs="Calibri"/>
                <w:b/>
                <w:bCs/>
                <w:sz w:val="20"/>
                <w:szCs w:val="20"/>
                <w:vertAlign w:val="superscript"/>
              </w:rPr>
            </w:pPr>
            <w:r w:rsidRPr="00111042">
              <w:rPr>
                <w:rFonts w:ascii="Arial Narrow" w:hAnsi="Arial Narrow" w:cs="Calibri"/>
                <w:b/>
                <w:bCs/>
                <w:sz w:val="20"/>
                <w:szCs w:val="20"/>
              </w:rPr>
              <w:t xml:space="preserve">Typical </w:t>
            </w:r>
            <w:r w:rsidRPr="00111042">
              <w:rPr>
                <w:rFonts w:ascii="Arial Narrow" w:hAnsi="Arial Narrow" w:cs="Calibri"/>
                <w:b/>
                <w:bCs/>
                <w:i/>
                <w:iCs/>
                <w:sz w:val="20"/>
                <w:szCs w:val="20"/>
              </w:rPr>
              <w:t>SMN2</w:t>
            </w:r>
            <w:r w:rsidRPr="00111042">
              <w:rPr>
                <w:rFonts w:ascii="Arial Narrow" w:hAnsi="Arial Narrow" w:cs="Calibri"/>
                <w:b/>
                <w:bCs/>
                <w:sz w:val="20"/>
                <w:szCs w:val="20"/>
              </w:rPr>
              <w:t xml:space="preserve"> copy number </w:t>
            </w:r>
            <w:r w:rsidRPr="00111042">
              <w:rPr>
                <w:rFonts w:ascii="Arial Narrow" w:hAnsi="Arial Narrow" w:cs="Calibri"/>
                <w:b/>
                <w:bCs/>
                <w:sz w:val="20"/>
                <w:szCs w:val="20"/>
                <w:vertAlign w:val="superscript"/>
              </w:rPr>
              <w:t>c</w:t>
            </w:r>
          </w:p>
        </w:tc>
        <w:tc>
          <w:tcPr>
            <w:tcW w:w="1110" w:type="dxa"/>
            <w:shd w:val="clear" w:color="auto" w:fill="auto"/>
            <w:vAlign w:val="center"/>
          </w:tcPr>
          <w:p w14:paraId="06CB0596" w14:textId="77777777" w:rsidR="001967CD" w:rsidRPr="00111042" w:rsidRDefault="001967CD" w:rsidP="004C7359">
            <w:pPr>
              <w:keepLines/>
              <w:jc w:val="center"/>
              <w:rPr>
                <w:rFonts w:ascii="Arial Narrow" w:hAnsi="Arial Narrow" w:cs="Calibri"/>
                <w:b/>
                <w:bCs/>
                <w:i/>
                <w:iCs/>
                <w:sz w:val="20"/>
                <w:szCs w:val="20"/>
              </w:rPr>
            </w:pPr>
            <w:r w:rsidRPr="00111042">
              <w:rPr>
                <w:rFonts w:ascii="Arial Narrow" w:hAnsi="Arial Narrow" w:cs="Calibri"/>
                <w:b/>
                <w:bCs/>
                <w:i/>
                <w:iCs/>
                <w:sz w:val="20"/>
                <w:szCs w:val="20"/>
              </w:rPr>
              <w:t>Population included in proposed PBS listing</w:t>
            </w:r>
          </w:p>
        </w:tc>
      </w:tr>
      <w:tr w:rsidR="00B23D1A" w:rsidRPr="00111042" w14:paraId="182292AA" w14:textId="77777777" w:rsidTr="000C053F">
        <w:tc>
          <w:tcPr>
            <w:tcW w:w="636" w:type="dxa"/>
            <w:shd w:val="clear" w:color="auto" w:fill="auto"/>
            <w:vAlign w:val="center"/>
          </w:tcPr>
          <w:p w14:paraId="20D3B7E2" w14:textId="77777777" w:rsidR="001967CD" w:rsidRPr="00111042" w:rsidRDefault="001967CD" w:rsidP="004C7359">
            <w:pPr>
              <w:keepLines/>
              <w:jc w:val="left"/>
              <w:rPr>
                <w:rFonts w:ascii="Arial Narrow" w:hAnsi="Arial Narrow" w:cs="Calibri"/>
                <w:bCs/>
                <w:sz w:val="20"/>
                <w:szCs w:val="20"/>
              </w:rPr>
            </w:pPr>
            <w:r w:rsidRPr="00111042">
              <w:rPr>
                <w:rFonts w:ascii="Arial Narrow" w:hAnsi="Arial Narrow" w:cs="Calibri"/>
                <w:bCs/>
                <w:sz w:val="20"/>
                <w:szCs w:val="20"/>
              </w:rPr>
              <w:t>0</w:t>
            </w:r>
          </w:p>
        </w:tc>
        <w:tc>
          <w:tcPr>
            <w:tcW w:w="1111" w:type="dxa"/>
            <w:shd w:val="clear" w:color="auto" w:fill="auto"/>
            <w:vAlign w:val="center"/>
          </w:tcPr>
          <w:p w14:paraId="75421A49"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Prenatal</w:t>
            </w:r>
          </w:p>
        </w:tc>
        <w:tc>
          <w:tcPr>
            <w:tcW w:w="611" w:type="dxa"/>
            <w:shd w:val="clear" w:color="auto" w:fill="auto"/>
            <w:vAlign w:val="center"/>
          </w:tcPr>
          <w:p w14:paraId="03F763C6"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X</w:t>
            </w:r>
          </w:p>
        </w:tc>
        <w:tc>
          <w:tcPr>
            <w:tcW w:w="696" w:type="dxa"/>
            <w:shd w:val="clear" w:color="auto" w:fill="auto"/>
            <w:vAlign w:val="center"/>
          </w:tcPr>
          <w:p w14:paraId="44BB6325"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X</w:t>
            </w:r>
          </w:p>
        </w:tc>
        <w:tc>
          <w:tcPr>
            <w:tcW w:w="910" w:type="dxa"/>
            <w:shd w:val="clear" w:color="auto" w:fill="auto"/>
            <w:vAlign w:val="center"/>
          </w:tcPr>
          <w:p w14:paraId="63D74F77"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X</w:t>
            </w:r>
          </w:p>
        </w:tc>
        <w:tc>
          <w:tcPr>
            <w:tcW w:w="1861" w:type="dxa"/>
            <w:shd w:val="clear" w:color="auto" w:fill="auto"/>
            <w:vAlign w:val="center"/>
          </w:tcPr>
          <w:p w14:paraId="56107DF1" w14:textId="77777777" w:rsidR="001967CD" w:rsidRPr="00111042" w:rsidRDefault="001967CD" w:rsidP="004C7359">
            <w:pPr>
              <w:keepLines/>
              <w:jc w:val="center"/>
              <w:rPr>
                <w:rFonts w:ascii="Arial Narrow" w:hAnsi="Arial Narrow" w:cs="Calibri"/>
                <w:bCs/>
                <w:sz w:val="20"/>
                <w:szCs w:val="20"/>
                <w:vertAlign w:val="superscript"/>
              </w:rPr>
            </w:pPr>
            <w:r w:rsidRPr="00111042">
              <w:rPr>
                <w:rFonts w:ascii="Arial Narrow" w:hAnsi="Arial Narrow" w:cs="Calibri"/>
                <w:bCs/>
                <w:sz w:val="20"/>
                <w:szCs w:val="20"/>
              </w:rPr>
              <w:t xml:space="preserve">Severe hypotonia </w:t>
            </w:r>
            <w:r w:rsidRPr="00111042">
              <w:rPr>
                <w:rFonts w:ascii="Arial Narrow" w:hAnsi="Arial Narrow" w:cs="Calibri"/>
                <w:bCs/>
                <w:sz w:val="20"/>
                <w:szCs w:val="20"/>
                <w:vertAlign w:val="superscript"/>
              </w:rPr>
              <w:t>b</w:t>
            </w:r>
          </w:p>
        </w:tc>
        <w:tc>
          <w:tcPr>
            <w:tcW w:w="1110" w:type="dxa"/>
            <w:shd w:val="clear" w:color="auto" w:fill="auto"/>
            <w:vAlign w:val="center"/>
          </w:tcPr>
          <w:p w14:paraId="51BC6E1A"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Death in weeks</w:t>
            </w:r>
          </w:p>
        </w:tc>
        <w:tc>
          <w:tcPr>
            <w:tcW w:w="972" w:type="dxa"/>
            <w:shd w:val="clear" w:color="auto" w:fill="auto"/>
            <w:vAlign w:val="center"/>
          </w:tcPr>
          <w:p w14:paraId="44D8B655"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1</w:t>
            </w:r>
          </w:p>
        </w:tc>
        <w:tc>
          <w:tcPr>
            <w:tcW w:w="1110" w:type="dxa"/>
            <w:shd w:val="clear" w:color="auto" w:fill="auto"/>
            <w:vAlign w:val="center"/>
          </w:tcPr>
          <w:p w14:paraId="48D7C161" w14:textId="77777777" w:rsidR="001967CD" w:rsidRPr="00111042" w:rsidRDefault="001967CD" w:rsidP="004C7359">
            <w:pPr>
              <w:keepLines/>
              <w:jc w:val="center"/>
              <w:rPr>
                <w:rFonts w:ascii="Arial Narrow" w:hAnsi="Arial Narrow" w:cs="Calibri"/>
                <w:bCs/>
                <w:i/>
                <w:iCs/>
                <w:sz w:val="20"/>
                <w:szCs w:val="20"/>
              </w:rPr>
            </w:pPr>
            <w:r w:rsidRPr="00111042">
              <w:rPr>
                <w:rFonts w:ascii="Arial Narrow" w:hAnsi="Arial Narrow" w:cs="Calibri"/>
                <w:bCs/>
                <w:i/>
                <w:iCs/>
                <w:sz w:val="20"/>
                <w:szCs w:val="20"/>
              </w:rPr>
              <w:t>X</w:t>
            </w:r>
          </w:p>
        </w:tc>
      </w:tr>
      <w:tr w:rsidR="00B23D1A" w:rsidRPr="00111042" w14:paraId="0D85A4A3" w14:textId="77777777" w:rsidTr="000C053F">
        <w:tc>
          <w:tcPr>
            <w:tcW w:w="636" w:type="dxa"/>
            <w:shd w:val="clear" w:color="auto" w:fill="auto"/>
            <w:vAlign w:val="center"/>
          </w:tcPr>
          <w:p w14:paraId="016130DE" w14:textId="77777777" w:rsidR="001967CD" w:rsidRPr="00111042" w:rsidRDefault="001967CD" w:rsidP="004C7359">
            <w:pPr>
              <w:keepLines/>
              <w:jc w:val="left"/>
              <w:rPr>
                <w:rFonts w:ascii="Arial Narrow" w:hAnsi="Arial Narrow" w:cs="Calibri"/>
                <w:bCs/>
                <w:sz w:val="20"/>
                <w:szCs w:val="20"/>
              </w:rPr>
            </w:pPr>
            <w:r w:rsidRPr="00111042">
              <w:rPr>
                <w:rFonts w:ascii="Arial Narrow" w:hAnsi="Arial Narrow" w:cs="Calibri"/>
                <w:bCs/>
                <w:sz w:val="20"/>
                <w:szCs w:val="20"/>
              </w:rPr>
              <w:t>1</w:t>
            </w:r>
          </w:p>
        </w:tc>
        <w:tc>
          <w:tcPr>
            <w:tcW w:w="1111" w:type="dxa"/>
            <w:shd w:val="clear" w:color="auto" w:fill="auto"/>
            <w:vAlign w:val="center"/>
          </w:tcPr>
          <w:p w14:paraId="089C7577"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&lt; 6 months</w:t>
            </w:r>
          </w:p>
        </w:tc>
        <w:tc>
          <w:tcPr>
            <w:tcW w:w="611" w:type="dxa"/>
            <w:shd w:val="clear" w:color="auto" w:fill="auto"/>
            <w:vAlign w:val="center"/>
          </w:tcPr>
          <w:p w14:paraId="75530E46"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X</w:t>
            </w:r>
          </w:p>
        </w:tc>
        <w:tc>
          <w:tcPr>
            <w:tcW w:w="696" w:type="dxa"/>
            <w:shd w:val="clear" w:color="auto" w:fill="auto"/>
            <w:vAlign w:val="center"/>
          </w:tcPr>
          <w:p w14:paraId="0E579A0B"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X</w:t>
            </w:r>
          </w:p>
        </w:tc>
        <w:tc>
          <w:tcPr>
            <w:tcW w:w="910" w:type="dxa"/>
            <w:shd w:val="clear" w:color="auto" w:fill="auto"/>
            <w:vAlign w:val="center"/>
          </w:tcPr>
          <w:p w14:paraId="51BD4494"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X</w:t>
            </w:r>
          </w:p>
        </w:tc>
        <w:tc>
          <w:tcPr>
            <w:tcW w:w="1861" w:type="dxa"/>
            <w:shd w:val="clear" w:color="auto" w:fill="auto"/>
            <w:vAlign w:val="center"/>
          </w:tcPr>
          <w:p w14:paraId="64FCBE86"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Respiratory failure</w:t>
            </w:r>
          </w:p>
        </w:tc>
        <w:tc>
          <w:tcPr>
            <w:tcW w:w="1110" w:type="dxa"/>
            <w:shd w:val="clear" w:color="auto" w:fill="auto"/>
            <w:vAlign w:val="center"/>
          </w:tcPr>
          <w:p w14:paraId="4F2615F0"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Death by 2 years</w:t>
            </w:r>
          </w:p>
        </w:tc>
        <w:tc>
          <w:tcPr>
            <w:tcW w:w="972" w:type="dxa"/>
            <w:shd w:val="clear" w:color="auto" w:fill="auto"/>
            <w:vAlign w:val="center"/>
          </w:tcPr>
          <w:p w14:paraId="03246A50"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2</w:t>
            </w:r>
          </w:p>
        </w:tc>
        <w:tc>
          <w:tcPr>
            <w:tcW w:w="1110" w:type="dxa"/>
            <w:shd w:val="clear" w:color="auto" w:fill="auto"/>
            <w:vAlign w:val="center"/>
          </w:tcPr>
          <w:p w14:paraId="270F358A" w14:textId="77777777" w:rsidR="001967CD" w:rsidRPr="00111042" w:rsidRDefault="001967CD" w:rsidP="004C7359">
            <w:pPr>
              <w:keepLines/>
              <w:jc w:val="center"/>
              <w:rPr>
                <w:rFonts w:ascii="Arial Narrow" w:hAnsi="Arial Narrow" w:cs="Calibri"/>
                <w:bCs/>
                <w:i/>
                <w:iCs/>
                <w:sz w:val="20"/>
                <w:szCs w:val="20"/>
              </w:rPr>
            </w:pPr>
            <w:r w:rsidRPr="00111042">
              <w:rPr>
                <w:rFonts w:ascii="Arial Narrow" w:hAnsi="Arial Narrow" w:cs="Calibri"/>
                <w:bCs/>
                <w:i/>
                <w:iCs/>
                <w:sz w:val="20"/>
                <w:szCs w:val="20"/>
              </w:rPr>
              <w:sym w:font="Wingdings" w:char="F0FC"/>
            </w:r>
          </w:p>
        </w:tc>
      </w:tr>
      <w:tr w:rsidR="00B23D1A" w:rsidRPr="00111042" w14:paraId="3DD9AC96" w14:textId="77777777" w:rsidTr="000C053F">
        <w:tc>
          <w:tcPr>
            <w:tcW w:w="636" w:type="dxa"/>
            <w:shd w:val="clear" w:color="auto" w:fill="auto"/>
            <w:vAlign w:val="center"/>
          </w:tcPr>
          <w:p w14:paraId="5B09BFDB" w14:textId="77777777" w:rsidR="001967CD" w:rsidRPr="00111042" w:rsidRDefault="001967CD" w:rsidP="004C7359">
            <w:pPr>
              <w:keepLines/>
              <w:jc w:val="left"/>
              <w:rPr>
                <w:rFonts w:ascii="Arial Narrow" w:hAnsi="Arial Narrow" w:cs="Calibri"/>
                <w:bCs/>
                <w:sz w:val="20"/>
                <w:szCs w:val="20"/>
              </w:rPr>
            </w:pPr>
            <w:r w:rsidRPr="00111042">
              <w:rPr>
                <w:rFonts w:ascii="Arial Narrow" w:hAnsi="Arial Narrow" w:cs="Calibri"/>
                <w:bCs/>
                <w:sz w:val="20"/>
                <w:szCs w:val="20"/>
              </w:rPr>
              <w:t>2</w:t>
            </w:r>
          </w:p>
        </w:tc>
        <w:tc>
          <w:tcPr>
            <w:tcW w:w="1111" w:type="dxa"/>
            <w:shd w:val="clear" w:color="auto" w:fill="auto"/>
            <w:vAlign w:val="center"/>
          </w:tcPr>
          <w:p w14:paraId="201208B5"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6-18 months</w:t>
            </w:r>
          </w:p>
        </w:tc>
        <w:tc>
          <w:tcPr>
            <w:tcW w:w="611" w:type="dxa"/>
            <w:shd w:val="clear" w:color="auto" w:fill="auto"/>
            <w:vAlign w:val="center"/>
          </w:tcPr>
          <w:p w14:paraId="6EE4BA8E" w14:textId="77777777" w:rsidR="001967CD" w:rsidRPr="00111042" w:rsidRDefault="001967CD" w:rsidP="004C7359">
            <w:pPr>
              <w:keepLines/>
              <w:jc w:val="center"/>
              <w:rPr>
                <w:rFonts w:ascii="Arial Narrow" w:hAnsi="Arial Narrow" w:cstheme="minorBidi"/>
                <w:sz w:val="20"/>
                <w:szCs w:val="20"/>
              </w:rPr>
            </w:pPr>
            <w:r w:rsidRPr="00111042">
              <w:rPr>
                <w:rFonts w:ascii="Arial Narrow" w:hAnsi="Arial Narrow" w:cs="Calibri"/>
                <w:bCs/>
                <w:sz w:val="20"/>
                <w:szCs w:val="20"/>
              </w:rPr>
              <w:sym w:font="Wingdings" w:char="F0FC"/>
            </w:r>
          </w:p>
        </w:tc>
        <w:tc>
          <w:tcPr>
            <w:tcW w:w="696" w:type="dxa"/>
            <w:shd w:val="clear" w:color="auto" w:fill="auto"/>
            <w:vAlign w:val="center"/>
          </w:tcPr>
          <w:p w14:paraId="57D5B945"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X</w:t>
            </w:r>
          </w:p>
        </w:tc>
        <w:tc>
          <w:tcPr>
            <w:tcW w:w="910" w:type="dxa"/>
            <w:shd w:val="clear" w:color="auto" w:fill="auto"/>
            <w:vAlign w:val="center"/>
          </w:tcPr>
          <w:p w14:paraId="3D316442"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X</w:t>
            </w:r>
          </w:p>
        </w:tc>
        <w:tc>
          <w:tcPr>
            <w:tcW w:w="1861" w:type="dxa"/>
            <w:shd w:val="clear" w:color="auto" w:fill="auto"/>
            <w:vAlign w:val="center"/>
          </w:tcPr>
          <w:p w14:paraId="2AE009CD"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Respiratory complications, wheelchair bound</w:t>
            </w:r>
          </w:p>
        </w:tc>
        <w:tc>
          <w:tcPr>
            <w:tcW w:w="1110" w:type="dxa"/>
            <w:shd w:val="clear" w:color="auto" w:fill="auto"/>
            <w:vAlign w:val="center"/>
          </w:tcPr>
          <w:p w14:paraId="6FE4BE6F"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10—40 years</w:t>
            </w:r>
          </w:p>
        </w:tc>
        <w:tc>
          <w:tcPr>
            <w:tcW w:w="972" w:type="dxa"/>
            <w:shd w:val="clear" w:color="auto" w:fill="auto"/>
            <w:vAlign w:val="center"/>
          </w:tcPr>
          <w:p w14:paraId="356A94AC"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3</w:t>
            </w:r>
          </w:p>
        </w:tc>
        <w:tc>
          <w:tcPr>
            <w:tcW w:w="1110" w:type="dxa"/>
            <w:shd w:val="clear" w:color="auto" w:fill="auto"/>
            <w:vAlign w:val="center"/>
          </w:tcPr>
          <w:p w14:paraId="54D65723" w14:textId="77777777" w:rsidR="001967CD" w:rsidRPr="00111042" w:rsidRDefault="001967CD" w:rsidP="004C7359">
            <w:pPr>
              <w:keepLines/>
              <w:jc w:val="center"/>
              <w:rPr>
                <w:rFonts w:ascii="Arial Narrow" w:hAnsi="Arial Narrow" w:cs="Calibri"/>
                <w:bCs/>
                <w:i/>
                <w:iCs/>
                <w:sz w:val="20"/>
                <w:szCs w:val="20"/>
              </w:rPr>
            </w:pPr>
            <w:r w:rsidRPr="00111042">
              <w:rPr>
                <w:rFonts w:ascii="Arial Narrow" w:hAnsi="Arial Narrow" w:cs="Calibri"/>
                <w:bCs/>
                <w:i/>
                <w:iCs/>
                <w:sz w:val="20"/>
                <w:szCs w:val="20"/>
              </w:rPr>
              <w:sym w:font="Wingdings" w:char="F0FC"/>
            </w:r>
          </w:p>
        </w:tc>
      </w:tr>
      <w:tr w:rsidR="00B23D1A" w:rsidRPr="00111042" w14:paraId="41066482" w14:textId="77777777" w:rsidTr="000C053F">
        <w:tc>
          <w:tcPr>
            <w:tcW w:w="636" w:type="dxa"/>
            <w:shd w:val="clear" w:color="auto" w:fill="auto"/>
            <w:vAlign w:val="center"/>
          </w:tcPr>
          <w:p w14:paraId="62BECC49" w14:textId="77777777" w:rsidR="001967CD" w:rsidRPr="00111042" w:rsidRDefault="001967CD" w:rsidP="004C7359">
            <w:pPr>
              <w:keepLines/>
              <w:jc w:val="left"/>
              <w:rPr>
                <w:rFonts w:ascii="Arial Narrow" w:hAnsi="Arial Narrow" w:cs="Calibri"/>
                <w:bCs/>
                <w:sz w:val="20"/>
                <w:szCs w:val="20"/>
              </w:rPr>
            </w:pPr>
            <w:r w:rsidRPr="00111042">
              <w:rPr>
                <w:rFonts w:ascii="Arial Narrow" w:hAnsi="Arial Narrow" w:cs="Calibri"/>
                <w:bCs/>
                <w:sz w:val="20"/>
                <w:szCs w:val="20"/>
              </w:rPr>
              <w:t>3a</w:t>
            </w:r>
          </w:p>
        </w:tc>
        <w:tc>
          <w:tcPr>
            <w:tcW w:w="1111" w:type="dxa"/>
            <w:shd w:val="clear" w:color="auto" w:fill="auto"/>
            <w:vAlign w:val="center"/>
          </w:tcPr>
          <w:p w14:paraId="4CAFE589"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18 months – 3 years</w:t>
            </w:r>
          </w:p>
        </w:tc>
        <w:tc>
          <w:tcPr>
            <w:tcW w:w="611" w:type="dxa"/>
            <w:shd w:val="clear" w:color="auto" w:fill="auto"/>
            <w:vAlign w:val="center"/>
          </w:tcPr>
          <w:p w14:paraId="13058A85" w14:textId="77777777" w:rsidR="001967CD" w:rsidRPr="00111042" w:rsidRDefault="001967CD" w:rsidP="004C7359">
            <w:pPr>
              <w:keepLines/>
              <w:jc w:val="center"/>
              <w:rPr>
                <w:rFonts w:ascii="Arial Narrow" w:hAnsi="Arial Narrow" w:cstheme="minorBidi"/>
                <w:sz w:val="20"/>
                <w:szCs w:val="20"/>
              </w:rPr>
            </w:pPr>
            <w:r w:rsidRPr="00111042">
              <w:rPr>
                <w:rFonts w:ascii="Arial Narrow" w:hAnsi="Arial Narrow" w:cs="Calibri"/>
                <w:bCs/>
                <w:sz w:val="20"/>
                <w:szCs w:val="20"/>
              </w:rPr>
              <w:sym w:font="Wingdings" w:char="F0FC"/>
            </w:r>
          </w:p>
        </w:tc>
        <w:tc>
          <w:tcPr>
            <w:tcW w:w="696" w:type="dxa"/>
            <w:shd w:val="clear" w:color="auto" w:fill="auto"/>
            <w:vAlign w:val="center"/>
          </w:tcPr>
          <w:p w14:paraId="569FCA4F" w14:textId="77777777" w:rsidR="001967CD" w:rsidRPr="00111042" w:rsidRDefault="001967CD" w:rsidP="004C7359">
            <w:pPr>
              <w:keepLines/>
              <w:jc w:val="center"/>
              <w:rPr>
                <w:rFonts w:ascii="Arial Narrow" w:hAnsi="Arial Narrow" w:cstheme="minorBidi"/>
                <w:sz w:val="20"/>
                <w:szCs w:val="20"/>
              </w:rPr>
            </w:pPr>
            <w:r w:rsidRPr="00111042">
              <w:rPr>
                <w:rFonts w:ascii="Arial Narrow" w:hAnsi="Arial Narrow" w:cs="Calibri"/>
                <w:bCs/>
                <w:sz w:val="20"/>
                <w:szCs w:val="20"/>
              </w:rPr>
              <w:sym w:font="Wingdings" w:char="F0FC"/>
            </w:r>
          </w:p>
        </w:tc>
        <w:tc>
          <w:tcPr>
            <w:tcW w:w="910" w:type="dxa"/>
            <w:shd w:val="clear" w:color="auto" w:fill="auto"/>
            <w:vAlign w:val="center"/>
          </w:tcPr>
          <w:p w14:paraId="4B21292B"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Assisted</w:t>
            </w:r>
          </w:p>
        </w:tc>
        <w:tc>
          <w:tcPr>
            <w:tcW w:w="1861" w:type="dxa"/>
            <w:shd w:val="clear" w:color="auto" w:fill="auto"/>
            <w:vAlign w:val="center"/>
          </w:tcPr>
          <w:p w14:paraId="523522BF"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Early loss of ambulation</w:t>
            </w:r>
          </w:p>
        </w:tc>
        <w:tc>
          <w:tcPr>
            <w:tcW w:w="1110" w:type="dxa"/>
            <w:vMerge w:val="restart"/>
            <w:shd w:val="clear" w:color="auto" w:fill="auto"/>
            <w:vAlign w:val="center"/>
          </w:tcPr>
          <w:p w14:paraId="5B82E834"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Normal</w:t>
            </w:r>
          </w:p>
        </w:tc>
        <w:tc>
          <w:tcPr>
            <w:tcW w:w="972" w:type="dxa"/>
            <w:vMerge w:val="restart"/>
            <w:shd w:val="clear" w:color="auto" w:fill="auto"/>
            <w:vAlign w:val="center"/>
          </w:tcPr>
          <w:p w14:paraId="48130588"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3-4</w:t>
            </w:r>
          </w:p>
        </w:tc>
        <w:tc>
          <w:tcPr>
            <w:tcW w:w="1110" w:type="dxa"/>
            <w:shd w:val="clear" w:color="auto" w:fill="auto"/>
            <w:vAlign w:val="center"/>
          </w:tcPr>
          <w:p w14:paraId="1CC808CD" w14:textId="77777777" w:rsidR="001967CD" w:rsidRPr="00111042" w:rsidRDefault="001967CD" w:rsidP="004C7359">
            <w:pPr>
              <w:keepLines/>
              <w:jc w:val="center"/>
              <w:rPr>
                <w:rFonts w:ascii="Arial Narrow" w:hAnsi="Arial Narrow" w:cs="Calibri"/>
                <w:bCs/>
                <w:i/>
                <w:iCs/>
                <w:sz w:val="20"/>
                <w:szCs w:val="20"/>
              </w:rPr>
            </w:pPr>
            <w:r w:rsidRPr="00111042">
              <w:rPr>
                <w:rFonts w:ascii="Arial Narrow" w:hAnsi="Arial Narrow" w:cs="Calibri"/>
                <w:bCs/>
                <w:i/>
                <w:iCs/>
                <w:sz w:val="20"/>
                <w:szCs w:val="20"/>
              </w:rPr>
              <w:sym w:font="Wingdings" w:char="F0FC"/>
            </w:r>
          </w:p>
        </w:tc>
      </w:tr>
      <w:tr w:rsidR="00B23D1A" w:rsidRPr="00111042" w14:paraId="751FD944" w14:textId="77777777" w:rsidTr="000C053F">
        <w:tc>
          <w:tcPr>
            <w:tcW w:w="636" w:type="dxa"/>
            <w:shd w:val="clear" w:color="auto" w:fill="auto"/>
            <w:vAlign w:val="center"/>
          </w:tcPr>
          <w:p w14:paraId="2D4AA65F" w14:textId="77777777" w:rsidR="001967CD" w:rsidRPr="00111042" w:rsidRDefault="001967CD" w:rsidP="004C7359">
            <w:pPr>
              <w:keepLines/>
              <w:jc w:val="left"/>
              <w:rPr>
                <w:rFonts w:ascii="Arial Narrow" w:hAnsi="Arial Narrow" w:cs="Calibri"/>
                <w:bCs/>
                <w:sz w:val="20"/>
                <w:szCs w:val="20"/>
                <w:vertAlign w:val="superscript"/>
              </w:rPr>
            </w:pPr>
            <w:r w:rsidRPr="00111042">
              <w:rPr>
                <w:rFonts w:ascii="Arial Narrow" w:hAnsi="Arial Narrow" w:cs="Calibri"/>
                <w:bCs/>
                <w:sz w:val="20"/>
                <w:szCs w:val="20"/>
              </w:rPr>
              <w:t xml:space="preserve">3b </w:t>
            </w:r>
            <w:r w:rsidRPr="00111042">
              <w:rPr>
                <w:rFonts w:ascii="Arial Narrow" w:hAnsi="Arial Narrow" w:cs="Calibri"/>
                <w:bCs/>
                <w:sz w:val="20"/>
                <w:szCs w:val="20"/>
                <w:vertAlign w:val="superscript"/>
              </w:rPr>
              <w:t>a</w:t>
            </w:r>
          </w:p>
        </w:tc>
        <w:tc>
          <w:tcPr>
            <w:tcW w:w="1111" w:type="dxa"/>
            <w:shd w:val="clear" w:color="auto" w:fill="auto"/>
            <w:vAlign w:val="center"/>
          </w:tcPr>
          <w:p w14:paraId="23DD4781"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&gt;3 years</w:t>
            </w:r>
          </w:p>
        </w:tc>
        <w:tc>
          <w:tcPr>
            <w:tcW w:w="611" w:type="dxa"/>
            <w:shd w:val="clear" w:color="auto" w:fill="auto"/>
            <w:vAlign w:val="center"/>
          </w:tcPr>
          <w:p w14:paraId="7B0CF428" w14:textId="77777777" w:rsidR="001967CD" w:rsidRPr="00111042" w:rsidRDefault="001967CD" w:rsidP="004C7359">
            <w:pPr>
              <w:keepLines/>
              <w:jc w:val="center"/>
              <w:rPr>
                <w:rFonts w:ascii="Arial Narrow" w:hAnsi="Arial Narrow" w:cstheme="minorBidi"/>
                <w:sz w:val="20"/>
                <w:szCs w:val="20"/>
              </w:rPr>
            </w:pPr>
            <w:r w:rsidRPr="00111042">
              <w:rPr>
                <w:rFonts w:ascii="Arial Narrow" w:hAnsi="Arial Narrow" w:cs="Calibri"/>
                <w:bCs/>
                <w:sz w:val="20"/>
                <w:szCs w:val="20"/>
              </w:rPr>
              <w:sym w:font="Wingdings" w:char="F0FC"/>
            </w:r>
          </w:p>
        </w:tc>
        <w:tc>
          <w:tcPr>
            <w:tcW w:w="696" w:type="dxa"/>
            <w:shd w:val="clear" w:color="auto" w:fill="auto"/>
            <w:vAlign w:val="center"/>
          </w:tcPr>
          <w:p w14:paraId="3AFF89A2" w14:textId="77777777" w:rsidR="001967CD" w:rsidRPr="00111042" w:rsidRDefault="001967CD" w:rsidP="004C7359">
            <w:pPr>
              <w:keepLines/>
              <w:jc w:val="center"/>
              <w:rPr>
                <w:rFonts w:ascii="Arial Narrow" w:hAnsi="Arial Narrow" w:cstheme="minorBidi"/>
                <w:sz w:val="20"/>
                <w:szCs w:val="20"/>
              </w:rPr>
            </w:pPr>
            <w:r w:rsidRPr="00111042">
              <w:rPr>
                <w:rFonts w:ascii="Arial Narrow" w:hAnsi="Arial Narrow" w:cs="Calibri"/>
                <w:bCs/>
                <w:sz w:val="20"/>
                <w:szCs w:val="20"/>
              </w:rPr>
              <w:sym w:font="Wingdings" w:char="F0FC"/>
            </w:r>
          </w:p>
        </w:tc>
        <w:tc>
          <w:tcPr>
            <w:tcW w:w="910" w:type="dxa"/>
            <w:shd w:val="clear" w:color="auto" w:fill="auto"/>
            <w:vAlign w:val="center"/>
          </w:tcPr>
          <w:p w14:paraId="784FE34A"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Assisted</w:t>
            </w:r>
          </w:p>
        </w:tc>
        <w:tc>
          <w:tcPr>
            <w:tcW w:w="1861" w:type="dxa"/>
            <w:shd w:val="clear" w:color="auto" w:fill="auto"/>
            <w:vAlign w:val="center"/>
          </w:tcPr>
          <w:p w14:paraId="2BCF8D1D"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Later loss of ambulation</w:t>
            </w:r>
          </w:p>
        </w:tc>
        <w:tc>
          <w:tcPr>
            <w:tcW w:w="1110" w:type="dxa"/>
            <w:vMerge/>
            <w:shd w:val="clear" w:color="auto" w:fill="auto"/>
            <w:vAlign w:val="center"/>
          </w:tcPr>
          <w:p w14:paraId="5465557F" w14:textId="77777777" w:rsidR="001967CD" w:rsidRPr="00111042" w:rsidRDefault="001967CD" w:rsidP="004C7359">
            <w:pPr>
              <w:keepLines/>
              <w:jc w:val="center"/>
              <w:rPr>
                <w:rFonts w:ascii="Arial Narrow" w:hAnsi="Arial Narrow" w:cs="Calibri"/>
                <w:bCs/>
                <w:sz w:val="20"/>
                <w:szCs w:val="20"/>
              </w:rPr>
            </w:pPr>
          </w:p>
        </w:tc>
        <w:tc>
          <w:tcPr>
            <w:tcW w:w="972" w:type="dxa"/>
            <w:vMerge/>
            <w:shd w:val="clear" w:color="auto" w:fill="auto"/>
            <w:vAlign w:val="center"/>
          </w:tcPr>
          <w:p w14:paraId="4E8DB94F" w14:textId="77777777" w:rsidR="001967CD" w:rsidRPr="00111042" w:rsidRDefault="001967CD" w:rsidP="004C7359">
            <w:pPr>
              <w:keepLines/>
              <w:jc w:val="center"/>
              <w:rPr>
                <w:rFonts w:ascii="Arial Narrow" w:hAnsi="Arial Narrow" w:cs="Calibri"/>
                <w:bCs/>
                <w:sz w:val="20"/>
                <w:szCs w:val="20"/>
              </w:rPr>
            </w:pPr>
          </w:p>
        </w:tc>
        <w:tc>
          <w:tcPr>
            <w:tcW w:w="1110" w:type="dxa"/>
            <w:shd w:val="clear" w:color="auto" w:fill="auto"/>
            <w:vAlign w:val="center"/>
          </w:tcPr>
          <w:p w14:paraId="2E0AF32D" w14:textId="4881A296" w:rsidR="001967CD" w:rsidRPr="0025358F" w:rsidRDefault="001967CD" w:rsidP="004C7359">
            <w:pPr>
              <w:keepLines/>
              <w:jc w:val="center"/>
              <w:rPr>
                <w:rFonts w:ascii="Arial Narrow" w:hAnsi="Arial Narrow" w:cs="Calibri"/>
                <w:bCs/>
                <w:i/>
                <w:iCs/>
                <w:sz w:val="20"/>
                <w:szCs w:val="20"/>
                <w:vertAlign w:val="superscript"/>
              </w:rPr>
            </w:pPr>
            <w:r w:rsidRPr="00111042">
              <w:rPr>
                <w:rFonts w:ascii="Arial Narrow" w:hAnsi="Arial Narrow" w:cs="Calibri"/>
                <w:bCs/>
                <w:i/>
                <w:iCs/>
                <w:sz w:val="20"/>
                <w:szCs w:val="20"/>
              </w:rPr>
              <w:sym w:font="Wingdings" w:char="F0FC"/>
            </w:r>
            <w:r w:rsidR="0025358F">
              <w:rPr>
                <w:rFonts w:ascii="Arial Narrow" w:hAnsi="Arial Narrow" w:cs="Calibri"/>
                <w:bCs/>
                <w:i/>
                <w:iCs/>
                <w:sz w:val="20"/>
                <w:szCs w:val="20"/>
              </w:rPr>
              <w:t xml:space="preserve"> </w:t>
            </w:r>
            <w:r w:rsidR="0025358F">
              <w:rPr>
                <w:rFonts w:ascii="Arial Narrow" w:hAnsi="Arial Narrow" w:cs="Calibri"/>
                <w:bCs/>
                <w:i/>
                <w:iCs/>
                <w:sz w:val="20"/>
                <w:szCs w:val="20"/>
                <w:vertAlign w:val="superscript"/>
              </w:rPr>
              <w:t>d</w:t>
            </w:r>
          </w:p>
        </w:tc>
      </w:tr>
      <w:tr w:rsidR="00B23D1A" w:rsidRPr="00111042" w14:paraId="7B94D3D5" w14:textId="77777777" w:rsidTr="000C053F">
        <w:tc>
          <w:tcPr>
            <w:tcW w:w="636" w:type="dxa"/>
            <w:shd w:val="clear" w:color="auto" w:fill="auto"/>
            <w:vAlign w:val="center"/>
          </w:tcPr>
          <w:p w14:paraId="61DEF053" w14:textId="77777777" w:rsidR="001967CD" w:rsidRPr="00111042" w:rsidRDefault="001967CD" w:rsidP="004C7359">
            <w:pPr>
              <w:keepLines/>
              <w:jc w:val="left"/>
              <w:rPr>
                <w:rFonts w:ascii="Arial Narrow" w:hAnsi="Arial Narrow" w:cs="Calibri"/>
                <w:bCs/>
                <w:sz w:val="20"/>
                <w:szCs w:val="20"/>
              </w:rPr>
            </w:pPr>
            <w:r w:rsidRPr="00111042">
              <w:rPr>
                <w:rFonts w:ascii="Arial Narrow" w:hAnsi="Arial Narrow" w:cs="Calibri"/>
                <w:bCs/>
                <w:sz w:val="20"/>
                <w:szCs w:val="20"/>
              </w:rPr>
              <w:t>4</w:t>
            </w:r>
          </w:p>
        </w:tc>
        <w:tc>
          <w:tcPr>
            <w:tcW w:w="1111" w:type="dxa"/>
            <w:shd w:val="clear" w:color="auto" w:fill="auto"/>
            <w:vAlign w:val="center"/>
          </w:tcPr>
          <w:p w14:paraId="40B68C46"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&gt;18 years</w:t>
            </w:r>
          </w:p>
        </w:tc>
        <w:tc>
          <w:tcPr>
            <w:tcW w:w="611" w:type="dxa"/>
            <w:shd w:val="clear" w:color="auto" w:fill="auto"/>
            <w:vAlign w:val="center"/>
          </w:tcPr>
          <w:p w14:paraId="36303764" w14:textId="77777777" w:rsidR="001967CD" w:rsidRPr="00111042" w:rsidRDefault="001967CD" w:rsidP="004C7359">
            <w:pPr>
              <w:keepLines/>
              <w:jc w:val="center"/>
              <w:rPr>
                <w:rFonts w:ascii="Arial Narrow" w:hAnsi="Arial Narrow" w:cstheme="minorBidi"/>
                <w:sz w:val="20"/>
                <w:szCs w:val="20"/>
              </w:rPr>
            </w:pPr>
            <w:r w:rsidRPr="00111042">
              <w:rPr>
                <w:rFonts w:ascii="Arial Narrow" w:hAnsi="Arial Narrow" w:cs="Calibri"/>
                <w:bCs/>
                <w:sz w:val="20"/>
                <w:szCs w:val="20"/>
              </w:rPr>
              <w:sym w:font="Wingdings" w:char="F0FC"/>
            </w:r>
          </w:p>
        </w:tc>
        <w:tc>
          <w:tcPr>
            <w:tcW w:w="696" w:type="dxa"/>
            <w:shd w:val="clear" w:color="auto" w:fill="auto"/>
            <w:vAlign w:val="center"/>
          </w:tcPr>
          <w:p w14:paraId="72C9C89F" w14:textId="77777777" w:rsidR="001967CD" w:rsidRPr="00111042" w:rsidRDefault="001967CD" w:rsidP="004C7359">
            <w:pPr>
              <w:keepLines/>
              <w:jc w:val="center"/>
              <w:rPr>
                <w:rFonts w:ascii="Arial Narrow" w:hAnsi="Arial Narrow" w:cstheme="minorBidi"/>
                <w:sz w:val="20"/>
                <w:szCs w:val="20"/>
              </w:rPr>
            </w:pPr>
            <w:r w:rsidRPr="00111042">
              <w:rPr>
                <w:rFonts w:ascii="Arial Narrow" w:hAnsi="Arial Narrow" w:cs="Calibri"/>
                <w:bCs/>
                <w:sz w:val="20"/>
                <w:szCs w:val="20"/>
              </w:rPr>
              <w:sym w:font="Wingdings" w:char="F0FC"/>
            </w:r>
          </w:p>
        </w:tc>
        <w:tc>
          <w:tcPr>
            <w:tcW w:w="910" w:type="dxa"/>
            <w:shd w:val="clear" w:color="auto" w:fill="auto"/>
            <w:vAlign w:val="center"/>
          </w:tcPr>
          <w:p w14:paraId="42227F09" w14:textId="77777777" w:rsidR="001967CD" w:rsidRPr="00111042" w:rsidRDefault="001967CD" w:rsidP="004C7359">
            <w:pPr>
              <w:keepLines/>
              <w:jc w:val="center"/>
              <w:rPr>
                <w:rFonts w:ascii="Arial Narrow" w:hAnsi="Arial Narrow" w:cs="Calibri"/>
                <w:b/>
                <w:bCs/>
                <w:sz w:val="20"/>
                <w:szCs w:val="20"/>
              </w:rPr>
            </w:pPr>
            <w:r w:rsidRPr="00111042">
              <w:rPr>
                <w:rFonts w:ascii="Arial Narrow" w:hAnsi="Arial Narrow" w:cs="Calibri"/>
                <w:bCs/>
                <w:sz w:val="20"/>
                <w:szCs w:val="20"/>
              </w:rPr>
              <w:sym w:font="Wingdings" w:char="F0FC"/>
            </w:r>
          </w:p>
        </w:tc>
        <w:tc>
          <w:tcPr>
            <w:tcW w:w="1861" w:type="dxa"/>
            <w:shd w:val="clear" w:color="auto" w:fill="auto"/>
            <w:vAlign w:val="center"/>
          </w:tcPr>
          <w:p w14:paraId="40705F1A"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Slow, progressive muscle weakness. Ambulant until later in life.</w:t>
            </w:r>
          </w:p>
        </w:tc>
        <w:tc>
          <w:tcPr>
            <w:tcW w:w="1110" w:type="dxa"/>
            <w:shd w:val="clear" w:color="auto" w:fill="auto"/>
            <w:vAlign w:val="center"/>
          </w:tcPr>
          <w:p w14:paraId="31FD3253"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Normal</w:t>
            </w:r>
          </w:p>
        </w:tc>
        <w:tc>
          <w:tcPr>
            <w:tcW w:w="972" w:type="dxa"/>
            <w:shd w:val="clear" w:color="auto" w:fill="auto"/>
            <w:vAlign w:val="center"/>
          </w:tcPr>
          <w:p w14:paraId="598077BD" w14:textId="77777777" w:rsidR="001967CD" w:rsidRPr="00111042" w:rsidRDefault="001967CD" w:rsidP="004C7359">
            <w:pPr>
              <w:keepLines/>
              <w:jc w:val="center"/>
              <w:rPr>
                <w:rFonts w:ascii="Arial Narrow" w:hAnsi="Arial Narrow" w:cs="Calibri"/>
                <w:bCs/>
                <w:sz w:val="20"/>
                <w:szCs w:val="20"/>
              </w:rPr>
            </w:pPr>
            <w:r w:rsidRPr="00111042">
              <w:rPr>
                <w:rFonts w:ascii="Arial Narrow" w:hAnsi="Arial Narrow" w:cs="Calibri"/>
                <w:bCs/>
                <w:sz w:val="20"/>
                <w:szCs w:val="20"/>
              </w:rPr>
              <w:t>4, 5, 6</w:t>
            </w:r>
          </w:p>
        </w:tc>
        <w:tc>
          <w:tcPr>
            <w:tcW w:w="1110" w:type="dxa"/>
            <w:shd w:val="clear" w:color="auto" w:fill="auto"/>
            <w:vAlign w:val="center"/>
          </w:tcPr>
          <w:p w14:paraId="307E627B" w14:textId="77777777" w:rsidR="001967CD" w:rsidRPr="00111042" w:rsidRDefault="001967CD" w:rsidP="004C7359">
            <w:pPr>
              <w:keepLines/>
              <w:jc w:val="center"/>
              <w:rPr>
                <w:rFonts w:ascii="Arial Narrow" w:hAnsi="Arial Narrow" w:cs="Calibri"/>
                <w:bCs/>
                <w:i/>
                <w:iCs/>
                <w:sz w:val="20"/>
                <w:szCs w:val="20"/>
              </w:rPr>
            </w:pPr>
            <w:r w:rsidRPr="00111042">
              <w:rPr>
                <w:rFonts w:ascii="Arial Narrow" w:hAnsi="Arial Narrow" w:cs="Calibri"/>
                <w:bCs/>
                <w:i/>
                <w:iCs/>
                <w:sz w:val="20"/>
                <w:szCs w:val="20"/>
              </w:rPr>
              <w:t>X</w:t>
            </w:r>
          </w:p>
        </w:tc>
      </w:tr>
    </w:tbl>
    <w:p w14:paraId="1D185C0E" w14:textId="77777777" w:rsidR="009F2B52" w:rsidRPr="00111042" w:rsidRDefault="009F2B52" w:rsidP="004C7359">
      <w:pPr>
        <w:pStyle w:val="3-BodyText"/>
        <w:keepLines/>
        <w:numPr>
          <w:ilvl w:val="0"/>
          <w:numId w:val="0"/>
        </w:numPr>
        <w:spacing w:after="0"/>
      </w:pPr>
      <w:r w:rsidRPr="00111042">
        <w:rPr>
          <w:rFonts w:ascii="Arial Narrow" w:hAnsi="Arial Narrow"/>
          <w:snapToGrid/>
          <w:sz w:val="18"/>
        </w:rPr>
        <w:t>Source: Table 1.2 (p5) of the resubmission</w:t>
      </w:r>
    </w:p>
    <w:p w14:paraId="178F99B4" w14:textId="77777777" w:rsidR="001967CD" w:rsidRPr="00111042" w:rsidRDefault="001967CD" w:rsidP="004C7359">
      <w:pPr>
        <w:pStyle w:val="TableFooter"/>
        <w:keepLines/>
      </w:pPr>
      <w:r w:rsidRPr="00111042">
        <w:t>PBS = pharmaceutical benefits scheme; SMN = survival motor neuron</w:t>
      </w:r>
    </w:p>
    <w:p w14:paraId="7B0843A9" w14:textId="77777777" w:rsidR="001967CD" w:rsidRPr="00111042" w:rsidRDefault="001967CD" w:rsidP="004C7359">
      <w:pPr>
        <w:pStyle w:val="TableFooter"/>
        <w:keepLines/>
      </w:pPr>
      <w:r w:rsidRPr="00111042">
        <w:t>a - Recent publications also distinguish between Type 3b and 3c SMA, with Type 3c SMA being defined as when symptoms develop after 12 years but before 19 years of age</w:t>
      </w:r>
    </w:p>
    <w:p w14:paraId="0718B038" w14:textId="77777777" w:rsidR="001967CD" w:rsidRPr="00111042" w:rsidRDefault="001967CD" w:rsidP="004C7359">
      <w:pPr>
        <w:pStyle w:val="SourceNotes"/>
        <w:keepLines/>
        <w:ind w:left="0" w:firstLine="0"/>
        <w:rPr>
          <w:rFonts w:ascii="Arial Narrow" w:eastAsia="Times New Roman" w:hAnsi="Arial Narrow" w:cs="Arial"/>
          <w:szCs w:val="24"/>
          <w:lang w:eastAsia="en-AU"/>
        </w:rPr>
      </w:pPr>
      <w:r w:rsidRPr="00111042">
        <w:rPr>
          <w:rFonts w:ascii="Arial Narrow" w:eastAsia="Times New Roman" w:hAnsi="Arial Narrow" w:cs="Arial"/>
          <w:szCs w:val="24"/>
          <w:lang w:eastAsia="en-AU"/>
        </w:rPr>
        <w:t xml:space="preserve">b – Need for respiratory support at birth; contractures at birth; reduced foetal movements. These patients will present with symptoms of SMA at birth and will be ineligible for pre-symptomatic treatment. </w:t>
      </w:r>
    </w:p>
    <w:p w14:paraId="327A5F92" w14:textId="39E54252" w:rsidR="00493CD9" w:rsidRPr="000C053F" w:rsidRDefault="001967CD" w:rsidP="004C7359">
      <w:pPr>
        <w:pStyle w:val="SourceNotes"/>
        <w:keepLines/>
        <w:ind w:left="0" w:firstLine="0"/>
        <w:rPr>
          <w:rFonts w:ascii="Arial Narrow" w:eastAsia="Times New Roman" w:hAnsi="Arial Narrow" w:cs="Arial"/>
          <w:szCs w:val="24"/>
          <w:lang w:eastAsia="en-AU"/>
        </w:rPr>
      </w:pPr>
      <w:r w:rsidRPr="000C053F">
        <w:rPr>
          <w:rFonts w:ascii="Arial Narrow" w:eastAsia="Times New Roman" w:hAnsi="Arial Narrow" w:cs="Arial"/>
          <w:szCs w:val="24"/>
          <w:lang w:eastAsia="en-AU"/>
        </w:rPr>
        <w:t xml:space="preserve">c - </w:t>
      </w:r>
      <w:r w:rsidR="00AF346B" w:rsidRPr="00AF346B">
        <w:rPr>
          <w:rFonts w:ascii="Arial Narrow" w:eastAsia="Times New Roman" w:hAnsi="Arial Narrow" w:cs="Arial"/>
          <w:i/>
          <w:szCs w:val="24"/>
          <w:lang w:eastAsia="en-AU"/>
        </w:rPr>
        <w:t>SMN2</w:t>
      </w:r>
      <w:r w:rsidRPr="000C053F">
        <w:rPr>
          <w:rFonts w:ascii="Arial Narrow" w:eastAsia="Times New Roman" w:hAnsi="Arial Narrow" w:cs="Arial"/>
          <w:szCs w:val="24"/>
          <w:lang w:eastAsia="en-AU"/>
        </w:rPr>
        <w:t xml:space="preserve"> copies in the genome varies between 0 and 8.</w:t>
      </w:r>
      <w:r w:rsidR="00A451F4" w:rsidRPr="000C053F">
        <w:rPr>
          <w:rFonts w:ascii="Arial Narrow" w:eastAsia="Times New Roman" w:hAnsi="Arial Narrow" w:cs="Arial"/>
          <w:szCs w:val="24"/>
          <w:lang w:eastAsia="en-AU"/>
        </w:rPr>
        <w:t xml:space="preserve"> </w:t>
      </w:r>
      <w:r w:rsidR="00AF346B" w:rsidRPr="00AF346B">
        <w:rPr>
          <w:rFonts w:ascii="Arial Narrow" w:eastAsia="Times New Roman" w:hAnsi="Arial Narrow" w:cs="Arial"/>
          <w:i/>
          <w:szCs w:val="24"/>
          <w:lang w:eastAsia="en-AU"/>
        </w:rPr>
        <w:t>SMN2</w:t>
      </w:r>
      <w:r w:rsidR="00A451F4" w:rsidRPr="000C053F">
        <w:rPr>
          <w:rFonts w:ascii="Arial Narrow" w:eastAsia="Times New Roman" w:hAnsi="Arial Narrow" w:cs="Arial"/>
          <w:szCs w:val="24"/>
          <w:lang w:eastAsia="en-AU"/>
        </w:rPr>
        <w:t xml:space="preserve"> copy number </w:t>
      </w:r>
      <w:r w:rsidR="00493CD9" w:rsidRPr="000C053F">
        <w:rPr>
          <w:rFonts w:ascii="Arial Narrow" w:eastAsia="Times New Roman" w:hAnsi="Arial Narrow" w:cs="Arial"/>
          <w:szCs w:val="24"/>
          <w:lang w:eastAsia="en-AU"/>
        </w:rPr>
        <w:t xml:space="preserve">does not define SMA Type, and there is some patient variability </w:t>
      </w:r>
      <w:r w:rsidR="00694A22" w:rsidRPr="000C053F">
        <w:rPr>
          <w:rFonts w:ascii="Arial Narrow" w:eastAsia="Times New Roman" w:hAnsi="Arial Narrow" w:cs="Arial"/>
          <w:szCs w:val="24"/>
          <w:lang w:eastAsia="en-AU"/>
        </w:rPr>
        <w:t xml:space="preserve">in </w:t>
      </w:r>
      <w:r w:rsidR="00AF346B" w:rsidRPr="00AF346B">
        <w:rPr>
          <w:rFonts w:ascii="Arial Narrow" w:eastAsia="Times New Roman" w:hAnsi="Arial Narrow" w:cs="Arial"/>
          <w:i/>
          <w:szCs w:val="24"/>
          <w:lang w:eastAsia="en-AU"/>
        </w:rPr>
        <w:t>SMN2</w:t>
      </w:r>
      <w:r w:rsidR="00694A22" w:rsidRPr="000C053F">
        <w:rPr>
          <w:rFonts w:ascii="Arial Narrow" w:eastAsia="Times New Roman" w:hAnsi="Arial Narrow" w:cs="Arial"/>
          <w:szCs w:val="24"/>
          <w:lang w:eastAsia="en-AU"/>
        </w:rPr>
        <w:t xml:space="preserve"> copy number within SMA Type.</w:t>
      </w:r>
    </w:p>
    <w:p w14:paraId="39594DFD" w14:textId="79F09473" w:rsidR="0025358F" w:rsidRPr="000C053F" w:rsidRDefault="00954A9F" w:rsidP="004C7359">
      <w:pPr>
        <w:keepLines/>
        <w:spacing w:after="120"/>
        <w:rPr>
          <w:rFonts w:ascii="Arial Narrow" w:hAnsi="Arial Narrow"/>
          <w:sz w:val="18"/>
        </w:rPr>
      </w:pPr>
      <w:r w:rsidRPr="000C053F">
        <w:rPr>
          <w:rFonts w:ascii="Arial Narrow" w:hAnsi="Arial Narrow"/>
          <w:sz w:val="18"/>
        </w:rPr>
        <w:t xml:space="preserve">d – However, </w:t>
      </w:r>
      <w:r w:rsidR="006833B5" w:rsidRPr="000C053F">
        <w:rPr>
          <w:rFonts w:ascii="Arial Narrow" w:hAnsi="Arial Narrow"/>
          <w:sz w:val="18"/>
        </w:rPr>
        <w:t xml:space="preserve">Type 3b </w:t>
      </w:r>
      <w:r w:rsidRPr="000C053F">
        <w:rPr>
          <w:rFonts w:ascii="Arial Narrow" w:hAnsi="Arial Narrow"/>
          <w:sz w:val="18"/>
        </w:rPr>
        <w:t xml:space="preserve">patients </w:t>
      </w:r>
      <w:r w:rsidR="006833B5" w:rsidRPr="000C053F">
        <w:rPr>
          <w:rFonts w:ascii="Arial Narrow" w:hAnsi="Arial Narrow"/>
          <w:sz w:val="18"/>
        </w:rPr>
        <w:t xml:space="preserve">who are </w:t>
      </w:r>
      <w:r w:rsidRPr="000C053F">
        <w:rPr>
          <w:rFonts w:ascii="Arial Narrow" w:hAnsi="Arial Narrow"/>
          <w:sz w:val="18"/>
        </w:rPr>
        <w:t xml:space="preserve">currently aged </w:t>
      </w:r>
      <w:r w:rsidR="006833B5" w:rsidRPr="000C053F">
        <w:rPr>
          <w:rFonts w:ascii="Arial Narrow" w:hAnsi="Arial Narrow"/>
          <w:sz w:val="18"/>
        </w:rPr>
        <w:t xml:space="preserve">between 3 and 18 </w:t>
      </w:r>
      <w:r w:rsidR="00754C2F" w:rsidRPr="000C053F">
        <w:rPr>
          <w:rFonts w:ascii="Arial Narrow" w:hAnsi="Arial Narrow"/>
          <w:sz w:val="18"/>
        </w:rPr>
        <w:t xml:space="preserve">would not be eligible for risdiplam under the current and proposed </w:t>
      </w:r>
      <w:r w:rsidR="00B4058A" w:rsidRPr="000C053F">
        <w:rPr>
          <w:rFonts w:ascii="Arial Narrow" w:hAnsi="Arial Narrow"/>
          <w:sz w:val="18"/>
        </w:rPr>
        <w:t xml:space="preserve">risdiplam </w:t>
      </w:r>
      <w:r w:rsidR="00754C2F" w:rsidRPr="000C053F">
        <w:rPr>
          <w:rFonts w:ascii="Arial Narrow" w:hAnsi="Arial Narrow"/>
          <w:sz w:val="18"/>
        </w:rPr>
        <w:t xml:space="preserve">PBS-listing. Patients who would become Type 3b patients (i.e., first exhibit symptoms between the age of 3 and 18) </w:t>
      </w:r>
      <w:r w:rsidR="00D40024" w:rsidRPr="000C053F">
        <w:rPr>
          <w:rFonts w:ascii="Arial Narrow" w:hAnsi="Arial Narrow"/>
          <w:sz w:val="18"/>
        </w:rPr>
        <w:t xml:space="preserve">would only be eligible for risdiplam if identified as pre-symptomatic </w:t>
      </w:r>
      <w:r w:rsidR="00C5202F" w:rsidRPr="000C053F">
        <w:rPr>
          <w:rFonts w:ascii="Arial Narrow" w:hAnsi="Arial Narrow"/>
          <w:sz w:val="18"/>
        </w:rPr>
        <w:t xml:space="preserve">through genetic testing </w:t>
      </w:r>
      <w:r w:rsidR="00B4058A" w:rsidRPr="000C053F">
        <w:rPr>
          <w:rFonts w:ascii="Arial Narrow" w:hAnsi="Arial Narrow"/>
          <w:sz w:val="18"/>
        </w:rPr>
        <w:t xml:space="preserve">and aged under 36 months (i.e., populations 2 or 3 of the </w:t>
      </w:r>
      <w:r w:rsidR="00C516E9" w:rsidRPr="000C053F">
        <w:rPr>
          <w:rFonts w:ascii="Arial Narrow" w:hAnsi="Arial Narrow"/>
          <w:sz w:val="18"/>
        </w:rPr>
        <w:t>submission)</w:t>
      </w:r>
      <w:r w:rsidR="00B4058A" w:rsidRPr="000C053F">
        <w:rPr>
          <w:rFonts w:ascii="Arial Narrow" w:hAnsi="Arial Narrow"/>
          <w:sz w:val="18"/>
        </w:rPr>
        <w:t>.</w:t>
      </w:r>
    </w:p>
    <w:p w14:paraId="31EF85E0" w14:textId="15BE567F" w:rsidR="00376E1B" w:rsidRPr="00111042" w:rsidRDefault="00376E1B" w:rsidP="004C7359">
      <w:pPr>
        <w:pStyle w:val="3-BodyText"/>
      </w:pPr>
      <w:r w:rsidRPr="00111042">
        <w:t xml:space="preserve">Population 1, as targeted in the </w:t>
      </w:r>
      <w:r w:rsidR="00381F60" w:rsidRPr="00111042">
        <w:t>resubmission</w:t>
      </w:r>
      <w:r w:rsidRPr="00111042">
        <w:t xml:space="preserve">, does not include a requirement for patients to be a particular SMA Type. </w:t>
      </w:r>
      <w:r w:rsidRPr="000C053F">
        <w:t xml:space="preserve">However, almost all patients in population 1 are likely to be either Type 2 or Type 3 SMA as there are currently approximately only 5 </w:t>
      </w:r>
      <w:r w:rsidRPr="000C053F">
        <w:lastRenderedPageBreak/>
        <w:t>living adult Type 1 SMA patients in Australia, and Type 4 SMA, by definition, is only diagnosed if symptom-onset is after age 18.</w:t>
      </w:r>
    </w:p>
    <w:p w14:paraId="4CEFC175" w14:textId="219BB8B1" w:rsidR="00376E1B" w:rsidRPr="000C053F" w:rsidRDefault="00376E1B" w:rsidP="00376E1B">
      <w:pPr>
        <w:pStyle w:val="3-BodyText"/>
      </w:pPr>
      <w:r w:rsidRPr="000C053F">
        <w:t>The targeting of pre-symptomatic patients aged under 36 months</w:t>
      </w:r>
      <w:r w:rsidR="006B300F" w:rsidRPr="000C053F">
        <w:t xml:space="preserve"> in populations 2 and 3</w:t>
      </w:r>
      <w:r w:rsidRPr="000C053F">
        <w:t xml:space="preserve"> aligns with the under 36-month age criteria for the current nusinersen pre-symptomatic SMA PBS-listing. The PBAC has previously considered that pre-symptomatic initiation of SMA treatment should be limited to patients less than three years of age (</w:t>
      </w:r>
      <w:r w:rsidR="00CA3E20">
        <w:t>p</w:t>
      </w:r>
      <w:r w:rsidRPr="000C053F">
        <w:t xml:space="preserve">ara 7.9, nusinersen </w:t>
      </w:r>
      <w:r w:rsidR="00CA3E20">
        <w:t>PSD</w:t>
      </w:r>
      <w:r w:rsidRPr="000C053F">
        <w:t xml:space="preserve">, July 2020 PBAC meeting) and ESC has </w:t>
      </w:r>
      <w:r w:rsidR="00CA3E20">
        <w:t xml:space="preserve">previously </w:t>
      </w:r>
      <w:r w:rsidRPr="000C053F">
        <w:t>noted it would be impractical to limit pre-symptomatic initiation to patients under 6 weeks given current SMA screening procedures (</w:t>
      </w:r>
      <w:r w:rsidR="00CA3E20">
        <w:t>p</w:t>
      </w:r>
      <w:r w:rsidRPr="000C053F">
        <w:t xml:space="preserve">ara 2.3, nusinersen </w:t>
      </w:r>
      <w:r w:rsidR="00CA3E20">
        <w:t>PSD</w:t>
      </w:r>
      <w:r w:rsidRPr="000C053F">
        <w:t>, July 2020 PBAC meeting).</w:t>
      </w:r>
    </w:p>
    <w:p w14:paraId="02CAB699" w14:textId="5FE745F6" w:rsidR="00376E1B" w:rsidRDefault="00376E1B" w:rsidP="00376E1B">
      <w:pPr>
        <w:pStyle w:val="3-BodyText"/>
      </w:pPr>
      <w:r w:rsidRPr="00111042">
        <w:rPr>
          <w:bCs/>
        </w:rPr>
        <w:t xml:space="preserve">Risdiplam, an </w:t>
      </w:r>
      <w:r w:rsidRPr="00111042">
        <w:rPr>
          <w:bCs/>
          <w:i/>
          <w:iCs/>
        </w:rPr>
        <w:t>SMN2</w:t>
      </w:r>
      <w:r w:rsidRPr="00111042">
        <w:rPr>
          <w:bCs/>
        </w:rPr>
        <w:t xml:space="preserve"> pre-mRNA splicing modifier, is an orally administered DMT for the treatment of SMA. Functional SMN protein deficiency is the pathophysiological mechanism of all SMA types, therefore the need to systemically increase SMN protein is at the core of disease interventions across the continuum of SMA phenotypes. Risdiplam corrects the splicing of </w:t>
      </w:r>
      <w:r w:rsidRPr="00111042">
        <w:rPr>
          <w:bCs/>
          <w:i/>
          <w:iCs/>
        </w:rPr>
        <w:t>SMN2</w:t>
      </w:r>
      <w:r w:rsidRPr="00111042">
        <w:rPr>
          <w:bCs/>
        </w:rPr>
        <w:t xml:space="preserve"> to shift the balance from exon 7 exclusion to exon 7 inclusion into the mRNA transcript. This leads to a sustained increase in the expression of functional SMN protein from the </w:t>
      </w:r>
      <w:r w:rsidRPr="00111042">
        <w:rPr>
          <w:bCs/>
          <w:i/>
          <w:iCs/>
        </w:rPr>
        <w:t>SMN2</w:t>
      </w:r>
      <w:r w:rsidRPr="00111042">
        <w:rPr>
          <w:bCs/>
        </w:rPr>
        <w:t xml:space="preserve"> gene. </w:t>
      </w:r>
      <w:r w:rsidRPr="00111042">
        <w:t>Risdiplam crosses the blood</w:t>
      </w:r>
      <w:r w:rsidRPr="00111042">
        <w:rPr>
          <w:rFonts w:cs="Calibri"/>
        </w:rPr>
        <w:t>-</w:t>
      </w:r>
      <w:r w:rsidRPr="00111042">
        <w:t>brain barrier and thereby results in an increase in SMN protein in both the CNS and the periphery, whereas nusinersen results in an increase in SMN protein in the CNS only.</w:t>
      </w:r>
    </w:p>
    <w:p w14:paraId="4673CA87" w14:textId="03D1EA15" w:rsidR="00C02C39" w:rsidRPr="004C7359" w:rsidRDefault="00C02C39" w:rsidP="004C7359">
      <w:pPr>
        <w:ind w:firstLine="720"/>
        <w:rPr>
          <w:i/>
          <w:iCs/>
        </w:rPr>
      </w:pPr>
      <w:r w:rsidRPr="00C02C39">
        <w:rPr>
          <w:i/>
          <w:iCs/>
        </w:rPr>
        <w:t>For more detail on PBAC’s view, see section 7 PBAC outcome.</w:t>
      </w:r>
    </w:p>
    <w:p w14:paraId="51E5AE96" w14:textId="11764FA4" w:rsidR="00B50DB8" w:rsidRPr="00111042" w:rsidRDefault="00B50DB8" w:rsidP="004E18E9">
      <w:pPr>
        <w:pStyle w:val="2-SectionHeading"/>
      </w:pPr>
      <w:bookmarkStart w:id="15" w:name="_Toc124937752"/>
      <w:r w:rsidRPr="00111042">
        <w:t>Comparator</w:t>
      </w:r>
      <w:bookmarkEnd w:id="15"/>
    </w:p>
    <w:p w14:paraId="7B7C7019" w14:textId="6CE60D46" w:rsidR="009201CA" w:rsidRPr="000C053F" w:rsidRDefault="009201CA" w:rsidP="009201CA">
      <w:pPr>
        <w:pStyle w:val="3-BodyText"/>
        <w:rPr>
          <w:snapToGrid/>
        </w:rPr>
      </w:pPr>
      <w:r w:rsidRPr="00111042">
        <w:t xml:space="preserve">For population 1, the </w:t>
      </w:r>
      <w:r w:rsidR="00381F60" w:rsidRPr="00111042">
        <w:t>resubmission</w:t>
      </w:r>
      <w:r w:rsidRPr="00111042">
        <w:t xml:space="preserve"> </w:t>
      </w:r>
      <w:r w:rsidRPr="000C053F">
        <w:t>appropriately</w:t>
      </w:r>
      <w:r w:rsidRPr="00111042">
        <w:t xml:space="preserve"> nominated nusinersen as the comparator. </w:t>
      </w:r>
      <w:r w:rsidRPr="000C053F">
        <w:t xml:space="preserve">Nusinersen is the only PBS-listed therapy for patients aged </w:t>
      </w:r>
      <w:r w:rsidRPr="000C053F">
        <w:rPr>
          <w:rFonts w:cs="Calibri"/>
        </w:rPr>
        <w:t>≥</w:t>
      </w:r>
      <w:r w:rsidRPr="000C053F">
        <w:t xml:space="preserve">19 with </w:t>
      </w:r>
      <w:r w:rsidRPr="000C053F">
        <w:rPr>
          <w:rFonts w:cs="Calibri"/>
        </w:rPr>
        <w:t>≥</w:t>
      </w:r>
      <w:r w:rsidRPr="000C053F">
        <w:t>1 SMA symptom experienced before the age of 19.</w:t>
      </w:r>
    </w:p>
    <w:p w14:paraId="6FE57460" w14:textId="11DBFF1D" w:rsidR="009201CA" w:rsidRPr="00111042" w:rsidRDefault="009201CA" w:rsidP="009201CA">
      <w:pPr>
        <w:pStyle w:val="3-BodyText"/>
        <w:rPr>
          <w:snapToGrid/>
        </w:rPr>
      </w:pPr>
      <w:r w:rsidRPr="00111042">
        <w:rPr>
          <w:snapToGrid/>
        </w:rPr>
        <w:t xml:space="preserve">For population 2, </w:t>
      </w:r>
      <w:r w:rsidRPr="00111042">
        <w:t xml:space="preserve">the </w:t>
      </w:r>
      <w:r w:rsidR="00381F60" w:rsidRPr="00111042">
        <w:t>resubmission</w:t>
      </w:r>
      <w:r w:rsidRPr="00111042">
        <w:t xml:space="preserve"> </w:t>
      </w:r>
      <w:r w:rsidRPr="000C053F">
        <w:t>appropriately</w:t>
      </w:r>
      <w:r w:rsidRPr="00111042">
        <w:t xml:space="preserve"> nominated nusinersen as the main comparator. </w:t>
      </w:r>
      <w:r w:rsidR="004C22A4">
        <w:t>N</w:t>
      </w:r>
      <w:r w:rsidR="004C22A4" w:rsidRPr="00111042">
        <w:t xml:space="preserve">usinersen is PBS-listed for pre-symptomatic patients aged &lt;36 months-old with 1 or 2 copies of the </w:t>
      </w:r>
      <w:r w:rsidR="004C22A4" w:rsidRPr="00AF346B">
        <w:rPr>
          <w:i/>
        </w:rPr>
        <w:t>SMN2</w:t>
      </w:r>
      <w:r w:rsidR="004C22A4" w:rsidRPr="00111042">
        <w:t xml:space="preserve"> gene. ONA is </w:t>
      </w:r>
      <w:r w:rsidR="004C22A4">
        <w:t xml:space="preserve">also </w:t>
      </w:r>
      <w:r w:rsidR="004C22A4" w:rsidRPr="00111042">
        <w:t>PBS-listed for pre</w:t>
      </w:r>
      <w:r w:rsidR="004C22A4">
        <w:noBreakHyphen/>
      </w:r>
      <w:r w:rsidR="004C22A4" w:rsidRPr="00111042">
        <w:t xml:space="preserve">symptomatic patients aged &lt;9 months-old with 1 or 2 copies of the </w:t>
      </w:r>
      <w:r w:rsidR="004C22A4" w:rsidRPr="00AF346B">
        <w:rPr>
          <w:i/>
        </w:rPr>
        <w:t>SMN2</w:t>
      </w:r>
      <w:r w:rsidR="004C22A4" w:rsidRPr="00111042">
        <w:t xml:space="preserve"> gene. </w:t>
      </w:r>
      <w:r w:rsidR="004C22A4" w:rsidRPr="000C053F">
        <w:t>This population is applicable to the subset of patients in population 2</w:t>
      </w:r>
      <w:r w:rsidR="004C22A4">
        <w:t xml:space="preserve"> </w:t>
      </w:r>
      <w:r w:rsidR="004C22A4" w:rsidRPr="000C053F">
        <w:t xml:space="preserve">who </w:t>
      </w:r>
      <w:r w:rsidR="004C22A4">
        <w:t>are</w:t>
      </w:r>
      <w:r w:rsidR="004C22A4" w:rsidRPr="000C053F">
        <w:t xml:space="preserve"> aged &lt;9 months in the current resubmission.</w:t>
      </w:r>
      <w:r w:rsidR="004C22A4">
        <w:t xml:space="preserve"> </w:t>
      </w:r>
      <w:r w:rsidRPr="00111042">
        <w:t xml:space="preserve">The </w:t>
      </w:r>
      <w:r w:rsidR="00381F60" w:rsidRPr="00111042">
        <w:t>resubmission</w:t>
      </w:r>
      <w:r w:rsidRPr="00111042">
        <w:t xml:space="preserve"> provided the following justifications for </w:t>
      </w:r>
      <w:r w:rsidR="004C22A4">
        <w:t>nominating nusinersen as the main comparator</w:t>
      </w:r>
      <w:r w:rsidRPr="00111042">
        <w:t xml:space="preserve">: </w:t>
      </w:r>
    </w:p>
    <w:p w14:paraId="50AE8C79" w14:textId="77777777" w:rsidR="009201CA" w:rsidRPr="00111042" w:rsidRDefault="009201CA" w:rsidP="00AF1877">
      <w:pPr>
        <w:pStyle w:val="3-BodyText"/>
        <w:numPr>
          <w:ilvl w:val="0"/>
          <w:numId w:val="11"/>
        </w:numPr>
        <w:rPr>
          <w:snapToGrid/>
        </w:rPr>
      </w:pPr>
      <w:r w:rsidRPr="00111042">
        <w:t>Whilst both nusinersen and ONA are PBS-listed for this indication, ONA is only listed for patients aged &lt;9 months of age whereas nusinersen is listed for patients aged &lt;36 months of age;</w:t>
      </w:r>
    </w:p>
    <w:p w14:paraId="534FD2B3" w14:textId="26D62D0D" w:rsidR="009201CA" w:rsidRPr="00111042" w:rsidRDefault="009201CA" w:rsidP="00AF1877">
      <w:pPr>
        <w:pStyle w:val="3-BodyText"/>
        <w:numPr>
          <w:ilvl w:val="0"/>
          <w:numId w:val="11"/>
        </w:numPr>
        <w:rPr>
          <w:snapToGrid/>
        </w:rPr>
      </w:pPr>
      <w:r w:rsidRPr="00111042">
        <w:t>During the previous risdiplam submission, the PBAC recommended that risdiplam should be treated as interchangeable on an individual patient basis with nusinersen (</w:t>
      </w:r>
      <w:r w:rsidR="00CA3E20">
        <w:t>p</w:t>
      </w:r>
      <w:r w:rsidRPr="00111042">
        <w:t>ara 7.11</w:t>
      </w:r>
      <w:r w:rsidR="00CA3E20">
        <w:t>,</w:t>
      </w:r>
      <w:r w:rsidRPr="00111042">
        <w:t xml:space="preserve"> risdiplam</w:t>
      </w:r>
      <w:r w:rsidR="00CA3E20">
        <w:t xml:space="preserve"> PSD</w:t>
      </w:r>
      <w:r w:rsidRPr="00111042">
        <w:t xml:space="preserve">, March 2021 PBAC meeting). During </w:t>
      </w:r>
      <w:r w:rsidR="00CA3E20">
        <w:t>its</w:t>
      </w:r>
      <w:r w:rsidR="00CA3E20" w:rsidRPr="00111042">
        <w:t xml:space="preserve"> </w:t>
      </w:r>
      <w:r w:rsidRPr="00111042">
        <w:t xml:space="preserve">September 2021 PBAC consideration for ONA, the PBAC considered that ONA </w:t>
      </w:r>
      <w:r w:rsidRPr="00111042">
        <w:lastRenderedPageBreak/>
        <w:t>should not be treated as interchangeable on an individual patient basis with any other drug (</w:t>
      </w:r>
      <w:r w:rsidR="00CA3E20">
        <w:t>p</w:t>
      </w:r>
      <w:r w:rsidRPr="00111042">
        <w:t xml:space="preserve">ara 9.18, </w:t>
      </w:r>
      <w:r w:rsidR="00CA3E20">
        <w:t>ONA</w:t>
      </w:r>
      <w:r w:rsidRPr="00111042">
        <w:t xml:space="preserve"> </w:t>
      </w:r>
      <w:r w:rsidR="00CA3E20">
        <w:t>PSD</w:t>
      </w:r>
      <w:r w:rsidRPr="00111042">
        <w:t>, September 2021 PBAC meeting); and</w:t>
      </w:r>
    </w:p>
    <w:p w14:paraId="38530793" w14:textId="77777777" w:rsidR="009201CA" w:rsidRPr="00111042" w:rsidRDefault="009201CA" w:rsidP="00AF1877">
      <w:pPr>
        <w:pStyle w:val="3-BodyText"/>
        <w:numPr>
          <w:ilvl w:val="0"/>
          <w:numId w:val="11"/>
        </w:numPr>
        <w:rPr>
          <w:snapToGrid/>
        </w:rPr>
      </w:pPr>
      <w:r w:rsidRPr="00111042">
        <w:t>Nusinersen has been listed on the PBS for this population since December 2020, whilst ONA has been listed since May 2022.</w:t>
      </w:r>
    </w:p>
    <w:p w14:paraId="6456777B" w14:textId="6BB735CA" w:rsidR="009201CA" w:rsidRPr="00111042" w:rsidRDefault="009201CA" w:rsidP="009201CA">
      <w:pPr>
        <w:pStyle w:val="3-BodyText"/>
        <w:rPr>
          <w:snapToGrid/>
        </w:rPr>
      </w:pPr>
      <w:r w:rsidRPr="00111042">
        <w:rPr>
          <w:snapToGrid/>
        </w:rPr>
        <w:t xml:space="preserve">The </w:t>
      </w:r>
      <w:r w:rsidR="00381F60" w:rsidRPr="00111042">
        <w:rPr>
          <w:snapToGrid/>
        </w:rPr>
        <w:t>resubmission</w:t>
      </w:r>
      <w:r w:rsidRPr="00111042">
        <w:rPr>
          <w:snapToGrid/>
        </w:rPr>
        <w:t xml:space="preserve"> did not present a comparison to ONA in population 2</w:t>
      </w:r>
      <w:r w:rsidRPr="000C053F">
        <w:rPr>
          <w:snapToGrid/>
        </w:rPr>
        <w:t>.</w:t>
      </w:r>
      <w:r w:rsidR="00F91DFF" w:rsidRPr="000C053F">
        <w:rPr>
          <w:snapToGrid/>
        </w:rPr>
        <w:t xml:space="preserve"> However, based on clinician feedback </w:t>
      </w:r>
      <w:r w:rsidR="00686616" w:rsidRPr="000C053F">
        <w:rPr>
          <w:snapToGrid/>
        </w:rPr>
        <w:t>from a 2022 pre-symptomatic SMA advisory board, 60.8% of patients may be treated with ONA pre-symptomatically.</w:t>
      </w:r>
    </w:p>
    <w:p w14:paraId="011D5B28" w14:textId="7C041E79" w:rsidR="009201CA" w:rsidRPr="00111042" w:rsidRDefault="009201CA" w:rsidP="009201CA">
      <w:pPr>
        <w:pStyle w:val="3-BodyText"/>
      </w:pPr>
      <w:r w:rsidRPr="00111042">
        <w:t xml:space="preserve">For population 1, the proposed clinical management algorithm for risdiplam </w:t>
      </w:r>
      <w:r w:rsidRPr="000C053F">
        <w:rPr>
          <w:rFonts w:cs="Calibri"/>
          <w:iCs/>
          <w:snapToGrid/>
        </w:rPr>
        <w:t>appropriately</w:t>
      </w:r>
      <w:r w:rsidRPr="00111042">
        <w:rPr>
          <w:rFonts w:cs="Calibri"/>
          <w:i/>
          <w:snapToGrid/>
        </w:rPr>
        <w:t xml:space="preserve"> </w:t>
      </w:r>
      <w:r w:rsidRPr="00111042">
        <w:rPr>
          <w:rFonts w:cs="Calibri"/>
          <w:iCs/>
          <w:snapToGrid/>
        </w:rPr>
        <w:t xml:space="preserve">considered risdiplam could be used in place of nusinersen, but not in combination. </w:t>
      </w:r>
    </w:p>
    <w:p w14:paraId="77694BF7" w14:textId="0954CE5F" w:rsidR="008A6315" w:rsidRPr="00C02C39" w:rsidRDefault="008A6315" w:rsidP="006062D0">
      <w:pPr>
        <w:pStyle w:val="3-BodyText"/>
        <w:rPr>
          <w:snapToGrid/>
        </w:rPr>
      </w:pPr>
      <w:r>
        <w:t xml:space="preserve">For population 2, </w:t>
      </w:r>
      <w:r w:rsidR="004C22A4">
        <w:t>t</w:t>
      </w:r>
      <w:r w:rsidR="009201CA" w:rsidRPr="00111042">
        <w:t xml:space="preserve">he proposed clinical management algorithm for risdiplam </w:t>
      </w:r>
      <w:r w:rsidR="009201CA" w:rsidRPr="000C053F">
        <w:t>appropriately</w:t>
      </w:r>
      <w:r w:rsidR="009201CA" w:rsidRPr="00111042">
        <w:t xml:space="preserve"> considered that risdiplam </w:t>
      </w:r>
      <w:r w:rsidR="009201CA" w:rsidRPr="008A6315">
        <w:rPr>
          <w:rFonts w:cs="Calibri"/>
          <w:iCs/>
          <w:snapToGrid/>
        </w:rPr>
        <w:t xml:space="preserve">could be used in place of nusinersen or ONA, but not in combination. </w:t>
      </w:r>
      <w:r w:rsidR="00DC14B2" w:rsidRPr="008A6315">
        <w:rPr>
          <w:rFonts w:cs="Calibri"/>
          <w:iCs/>
          <w:snapToGrid/>
        </w:rPr>
        <w:t>However</w:t>
      </w:r>
      <w:r w:rsidR="00246CAE" w:rsidRPr="008A6315">
        <w:rPr>
          <w:rFonts w:cs="Calibri"/>
          <w:iCs/>
          <w:snapToGrid/>
        </w:rPr>
        <w:t>,</w:t>
      </w:r>
      <w:r w:rsidR="00DC14B2" w:rsidRPr="008A6315">
        <w:rPr>
          <w:rFonts w:cs="Calibri"/>
          <w:iCs/>
          <w:snapToGrid/>
        </w:rPr>
        <w:t xml:space="preserve"> t</w:t>
      </w:r>
      <w:r w:rsidR="009201CA" w:rsidRPr="008A6315">
        <w:rPr>
          <w:rFonts w:cs="Calibri"/>
          <w:iCs/>
          <w:snapToGrid/>
        </w:rPr>
        <w:t xml:space="preserve">he </w:t>
      </w:r>
      <w:r w:rsidR="00381F60" w:rsidRPr="008A6315">
        <w:rPr>
          <w:rFonts w:cs="Calibri"/>
          <w:iCs/>
          <w:snapToGrid/>
        </w:rPr>
        <w:t>resubmission</w:t>
      </w:r>
      <w:r w:rsidR="009201CA" w:rsidRPr="008A6315">
        <w:rPr>
          <w:rFonts w:cs="Calibri"/>
          <w:iCs/>
          <w:snapToGrid/>
        </w:rPr>
        <w:t xml:space="preserve"> inappropriately only considered the replacement of nusinersen in the population 2 financial estimates</w:t>
      </w:r>
      <w:r w:rsidR="003851E6" w:rsidRPr="008A6315">
        <w:rPr>
          <w:rFonts w:cs="Calibri"/>
          <w:iCs/>
          <w:snapToGrid/>
        </w:rPr>
        <w:t>.</w:t>
      </w:r>
    </w:p>
    <w:p w14:paraId="207B6C73" w14:textId="270DE54C" w:rsidR="00C02C39" w:rsidRPr="004C7359" w:rsidRDefault="00C02C39" w:rsidP="004C7359">
      <w:pPr>
        <w:ind w:firstLine="720"/>
        <w:rPr>
          <w:i/>
          <w:iCs/>
        </w:rPr>
      </w:pPr>
      <w:r w:rsidRPr="00C02C39">
        <w:rPr>
          <w:i/>
          <w:iCs/>
        </w:rPr>
        <w:t>For more detail on PBAC’s view, see section 7 PBAC outcome.</w:t>
      </w:r>
    </w:p>
    <w:p w14:paraId="7F9C27C8" w14:textId="77777777" w:rsidR="00223D5A" w:rsidRPr="00111042" w:rsidRDefault="00223D5A" w:rsidP="00223D5A">
      <w:pPr>
        <w:pStyle w:val="2-SectionHeading"/>
        <w:numPr>
          <w:ilvl w:val="0"/>
          <w:numId w:val="1"/>
        </w:numPr>
      </w:pPr>
      <w:bookmarkStart w:id="16" w:name="_Toc124937753"/>
      <w:bookmarkStart w:id="17" w:name="_Toc22897640"/>
      <w:r w:rsidRPr="00111042">
        <w:t>Consideration of the evidence</w:t>
      </w:r>
      <w:bookmarkEnd w:id="16"/>
    </w:p>
    <w:p w14:paraId="4135C8B5" w14:textId="77777777" w:rsidR="00C02C39" w:rsidRPr="006E1229" w:rsidRDefault="00C02C39" w:rsidP="00C02C39">
      <w:pPr>
        <w:pStyle w:val="4-SubsectionHeading"/>
      </w:pPr>
      <w:bookmarkStart w:id="18" w:name="_Hlk76375935"/>
      <w:bookmarkStart w:id="19" w:name="_Toc124937754"/>
      <w:r w:rsidRPr="006E1229">
        <w:t>Sponsor hearing</w:t>
      </w:r>
    </w:p>
    <w:p w14:paraId="052E10AA" w14:textId="20FDA7CC" w:rsidR="00C02C39" w:rsidRPr="00F91542" w:rsidRDefault="00C02C39" w:rsidP="00C02C39">
      <w:pPr>
        <w:widowControl w:val="0"/>
        <w:numPr>
          <w:ilvl w:val="1"/>
          <w:numId w:val="1"/>
        </w:numPr>
        <w:spacing w:after="120"/>
        <w:rPr>
          <w:rFonts w:cs="Calibri"/>
          <w:bCs/>
          <w:snapToGrid w:val="0"/>
        </w:rPr>
      </w:pPr>
      <w:r w:rsidRPr="00F91542">
        <w:rPr>
          <w:rFonts w:cs="Calibri"/>
          <w:bCs/>
          <w:snapToGrid w:val="0"/>
        </w:rPr>
        <w:t>There was no hearing for this item.</w:t>
      </w:r>
    </w:p>
    <w:p w14:paraId="26E74999" w14:textId="77777777" w:rsidR="00C02C39" w:rsidRPr="006E1229" w:rsidRDefault="00C02C39" w:rsidP="00C02C39">
      <w:pPr>
        <w:pStyle w:val="4-SubsectionHeading"/>
      </w:pPr>
      <w:r w:rsidRPr="006E1229">
        <w:t>Consumer comments</w:t>
      </w:r>
    </w:p>
    <w:p w14:paraId="11FF3E6A" w14:textId="16FA1E66" w:rsidR="00C02C39" w:rsidRPr="00836F75" w:rsidRDefault="00C02C39" w:rsidP="00C02C39">
      <w:pPr>
        <w:widowControl w:val="0"/>
        <w:numPr>
          <w:ilvl w:val="1"/>
          <w:numId w:val="1"/>
        </w:numPr>
        <w:spacing w:after="120"/>
        <w:rPr>
          <w:rFonts w:asciiTheme="minorHAnsi" w:hAnsiTheme="minorHAnsi"/>
          <w:bCs/>
          <w:snapToGrid w:val="0"/>
        </w:rPr>
      </w:pPr>
      <w:bookmarkStart w:id="20" w:name="_Hlk76382618"/>
      <w:r w:rsidRPr="00836F75">
        <w:rPr>
          <w:rFonts w:asciiTheme="minorHAnsi" w:hAnsiTheme="minorHAnsi"/>
          <w:bCs/>
          <w:snapToGrid w:val="0"/>
        </w:rPr>
        <w:t>The PBAC noted and welcomed the input from individuals (</w:t>
      </w:r>
      <w:r w:rsidR="00AC30A6">
        <w:rPr>
          <w:rFonts w:asciiTheme="minorHAnsi" w:hAnsiTheme="minorHAnsi"/>
          <w:bCs/>
          <w:snapToGrid w:val="0"/>
        </w:rPr>
        <w:t>22</w:t>
      </w:r>
      <w:r w:rsidRPr="00836F75">
        <w:rPr>
          <w:rFonts w:asciiTheme="minorHAnsi" w:hAnsiTheme="minorHAnsi"/>
          <w:bCs/>
          <w:snapToGrid w:val="0"/>
        </w:rPr>
        <w:t xml:space="preserve">), via the Consumer Comments facility on the PBS website. </w:t>
      </w:r>
      <w:r w:rsidR="00F36174">
        <w:rPr>
          <w:rFonts w:asciiTheme="minorHAnsi" w:hAnsiTheme="minorHAnsi"/>
          <w:bCs/>
          <w:snapToGrid w:val="0"/>
        </w:rPr>
        <w:t>Regarding population 1, p</w:t>
      </w:r>
      <w:r w:rsidR="00AC30A6">
        <w:rPr>
          <w:rFonts w:asciiTheme="minorHAnsi" w:hAnsiTheme="minorHAnsi"/>
          <w:bCs/>
          <w:snapToGrid w:val="0"/>
        </w:rPr>
        <w:t xml:space="preserve">atients currently accessing risdiplam described </w:t>
      </w:r>
      <w:r w:rsidR="00AC30A6" w:rsidRPr="00AC30A6">
        <w:rPr>
          <w:rFonts w:asciiTheme="minorHAnsi" w:hAnsiTheme="minorHAnsi"/>
          <w:bCs/>
          <w:snapToGrid w:val="0"/>
        </w:rPr>
        <w:t xml:space="preserve">observed improvements in breathing and swallowing, as well as increased energy, mobility, strength, dexterity, and flexibility. </w:t>
      </w:r>
      <w:r w:rsidR="00AC30A6">
        <w:rPr>
          <w:rFonts w:asciiTheme="minorHAnsi" w:hAnsiTheme="minorHAnsi"/>
          <w:bCs/>
          <w:snapToGrid w:val="0"/>
        </w:rPr>
        <w:t>Patients also</w:t>
      </w:r>
      <w:r w:rsidR="00AC30A6" w:rsidRPr="00AC30A6">
        <w:rPr>
          <w:rFonts w:asciiTheme="minorHAnsi" w:hAnsiTheme="minorHAnsi"/>
          <w:bCs/>
          <w:snapToGrid w:val="0"/>
        </w:rPr>
        <w:t xml:space="preserve"> describe</w:t>
      </w:r>
      <w:r w:rsidR="00D34B3D">
        <w:rPr>
          <w:rFonts w:asciiTheme="minorHAnsi" w:hAnsiTheme="minorHAnsi"/>
          <w:bCs/>
          <w:snapToGrid w:val="0"/>
        </w:rPr>
        <w:t>d</w:t>
      </w:r>
      <w:r w:rsidR="00AC30A6" w:rsidRPr="00AC30A6">
        <w:rPr>
          <w:rFonts w:asciiTheme="minorHAnsi" w:hAnsiTheme="minorHAnsi"/>
          <w:bCs/>
          <w:snapToGrid w:val="0"/>
        </w:rPr>
        <w:t xml:space="preserve"> an increase in independence, aided by the opportunity for self-administration of treatment, as well as an ability to eat without feeding tubes, communicate verbally, and </w:t>
      </w:r>
      <w:r w:rsidR="000411E4">
        <w:rPr>
          <w:rFonts w:asciiTheme="minorHAnsi" w:hAnsiTheme="minorHAnsi"/>
          <w:bCs/>
          <w:snapToGrid w:val="0"/>
        </w:rPr>
        <w:t xml:space="preserve">continue to </w:t>
      </w:r>
      <w:r w:rsidR="00AC30A6" w:rsidRPr="00AC30A6">
        <w:rPr>
          <w:rFonts w:asciiTheme="minorHAnsi" w:hAnsiTheme="minorHAnsi"/>
          <w:bCs/>
          <w:snapToGrid w:val="0"/>
        </w:rPr>
        <w:t>work.</w:t>
      </w:r>
      <w:r w:rsidR="00D34B3D">
        <w:rPr>
          <w:rFonts w:asciiTheme="minorHAnsi" w:hAnsiTheme="minorHAnsi"/>
          <w:bCs/>
          <w:snapToGrid w:val="0"/>
        </w:rPr>
        <w:t xml:space="preserve"> </w:t>
      </w:r>
      <w:r w:rsidR="00237828">
        <w:rPr>
          <w:rFonts w:asciiTheme="minorHAnsi" w:hAnsiTheme="minorHAnsi"/>
          <w:bCs/>
          <w:snapToGrid w:val="0"/>
        </w:rPr>
        <w:t>Regarding both populations 1 and 2, i</w:t>
      </w:r>
      <w:r w:rsidR="00D34B3D">
        <w:rPr>
          <w:rFonts w:asciiTheme="minorHAnsi" w:hAnsiTheme="minorHAnsi"/>
          <w:bCs/>
          <w:snapToGrid w:val="0"/>
        </w:rPr>
        <w:t>ndividuals who would like to access risdiplam</w:t>
      </w:r>
      <w:r w:rsidR="00237828">
        <w:rPr>
          <w:rFonts w:asciiTheme="minorHAnsi" w:hAnsiTheme="minorHAnsi"/>
          <w:bCs/>
          <w:snapToGrid w:val="0"/>
        </w:rPr>
        <w:t xml:space="preserve"> and their carers</w:t>
      </w:r>
      <w:r w:rsidR="00D34B3D">
        <w:rPr>
          <w:rFonts w:asciiTheme="minorHAnsi" w:hAnsiTheme="minorHAnsi"/>
          <w:bCs/>
          <w:snapToGrid w:val="0"/>
        </w:rPr>
        <w:t xml:space="preserve"> noted that it would </w:t>
      </w:r>
      <w:r w:rsidR="00D34B3D" w:rsidRPr="00D34B3D">
        <w:rPr>
          <w:rFonts w:asciiTheme="minorHAnsi" w:hAnsiTheme="minorHAnsi"/>
          <w:bCs/>
          <w:snapToGrid w:val="0"/>
        </w:rPr>
        <w:t xml:space="preserve">provide a less invasive </w:t>
      </w:r>
      <w:r w:rsidR="00D34B3D">
        <w:rPr>
          <w:rFonts w:asciiTheme="minorHAnsi" w:hAnsiTheme="minorHAnsi"/>
          <w:bCs/>
          <w:snapToGrid w:val="0"/>
        </w:rPr>
        <w:t xml:space="preserve">and more convenient </w:t>
      </w:r>
      <w:r w:rsidR="00D34B3D" w:rsidRPr="00D34B3D">
        <w:rPr>
          <w:rFonts w:asciiTheme="minorHAnsi" w:hAnsiTheme="minorHAnsi"/>
          <w:bCs/>
          <w:snapToGrid w:val="0"/>
        </w:rPr>
        <w:t>treatment option</w:t>
      </w:r>
      <w:r w:rsidR="00D34B3D">
        <w:rPr>
          <w:rFonts w:asciiTheme="minorHAnsi" w:hAnsiTheme="minorHAnsi"/>
          <w:bCs/>
          <w:snapToGrid w:val="0"/>
        </w:rPr>
        <w:t>, noting also that not all patients are suitable for intrathecal administration of nusinersen.</w:t>
      </w:r>
      <w:r w:rsidR="00F36174">
        <w:rPr>
          <w:rFonts w:asciiTheme="minorHAnsi" w:hAnsiTheme="minorHAnsi"/>
          <w:bCs/>
          <w:snapToGrid w:val="0"/>
        </w:rPr>
        <w:t xml:space="preserve"> </w:t>
      </w:r>
    </w:p>
    <w:bookmarkEnd w:id="18"/>
    <w:bookmarkEnd w:id="20"/>
    <w:p w14:paraId="609C0765" w14:textId="52442157" w:rsidR="00B60939" w:rsidRPr="00111042" w:rsidRDefault="00B60939" w:rsidP="002E4F02">
      <w:pPr>
        <w:pStyle w:val="4-SubsectionHeading"/>
      </w:pPr>
      <w:r w:rsidRPr="00111042">
        <w:t xml:space="preserve">Clinical </w:t>
      </w:r>
      <w:r w:rsidR="00D5243B" w:rsidRPr="00111042">
        <w:t>studies</w:t>
      </w:r>
      <w:bookmarkEnd w:id="19"/>
      <w:r w:rsidR="00A376C7" w:rsidRPr="00111042" w:rsidDel="00A376C7">
        <w:t xml:space="preserve"> </w:t>
      </w:r>
      <w:bookmarkEnd w:id="17"/>
    </w:p>
    <w:p w14:paraId="41CAE468" w14:textId="40881607" w:rsidR="002751D2" w:rsidRPr="00111042" w:rsidRDefault="002751D2" w:rsidP="002751D2">
      <w:pPr>
        <w:pStyle w:val="3-BodyText"/>
      </w:pPr>
      <w:r w:rsidRPr="00111042">
        <w:t xml:space="preserve">For population 1, the </w:t>
      </w:r>
      <w:r w:rsidR="00381F60" w:rsidRPr="00111042">
        <w:t>resubmission</w:t>
      </w:r>
      <w:r w:rsidRPr="00111042">
        <w:t xml:space="preserve"> was based on naïve (unanchored) numerical comparisons between risdiplam and nusinersen. The adult subgroup from two risdiplam studies (SUNFISH </w:t>
      </w:r>
      <w:r w:rsidR="00DC14B2" w:rsidRPr="00111042">
        <w:t>part 2</w:t>
      </w:r>
      <w:r w:rsidR="00437D9B" w:rsidRPr="00111042">
        <w:t>, referred to as SUNFISH herein</w:t>
      </w:r>
      <w:r w:rsidR="00DC14B2" w:rsidRPr="00111042">
        <w:t xml:space="preserve"> </w:t>
      </w:r>
      <w:r w:rsidR="0046768C" w:rsidRPr="00111042">
        <w:t>&amp;</w:t>
      </w:r>
      <w:r w:rsidRPr="00111042">
        <w:t xml:space="preserve"> JEWELFISH) </w:t>
      </w:r>
      <w:r w:rsidR="001C5226">
        <w:t>provided the clinica</w:t>
      </w:r>
      <w:r w:rsidR="006062D0">
        <w:t>l</w:t>
      </w:r>
      <w:r w:rsidR="001C5226">
        <w:t xml:space="preserve"> data for risdiplam</w:t>
      </w:r>
      <w:r w:rsidRPr="00111042">
        <w:t xml:space="preserve"> and two nusinersen studies (Hagenacker 2020, Maggi 2020) and the adult subgroup of one nusinersen study (Pera 2021) </w:t>
      </w:r>
      <w:r w:rsidR="001C5226">
        <w:t>provided the clinical data for nusinersen</w:t>
      </w:r>
      <w:r w:rsidRPr="00111042">
        <w:t xml:space="preserve">. The </w:t>
      </w:r>
      <w:r w:rsidR="00381F60" w:rsidRPr="00111042">
        <w:t>resubmission</w:t>
      </w:r>
      <w:r w:rsidRPr="00111042">
        <w:t xml:space="preserve"> additionally considered one single-arm observational risdiplam study (Garzon 2022; n=6), and six real-world evidence </w:t>
      </w:r>
      <w:r w:rsidRPr="00111042">
        <w:lastRenderedPageBreak/>
        <w:t xml:space="preserve">nusinersen studies, as supportive evidence. </w:t>
      </w:r>
      <w:r w:rsidRPr="000C053F">
        <w:t xml:space="preserve">However, no data from these </w:t>
      </w:r>
      <w:r w:rsidR="008814B6" w:rsidRPr="000C053F">
        <w:t xml:space="preserve">supportive evidence </w:t>
      </w:r>
      <w:r w:rsidRPr="000C053F">
        <w:t xml:space="preserve">studies were used in the naïve indirect comparisons, and no safety data from these studies were presented. </w:t>
      </w:r>
    </w:p>
    <w:p w14:paraId="1FA9310A" w14:textId="33A98831" w:rsidR="002751D2" w:rsidRPr="00111042" w:rsidRDefault="002751D2" w:rsidP="002751D2">
      <w:pPr>
        <w:pStyle w:val="3-BodyText"/>
      </w:pPr>
      <w:r w:rsidRPr="00111042">
        <w:t xml:space="preserve">For population 2, the </w:t>
      </w:r>
      <w:r w:rsidR="00381F60" w:rsidRPr="00111042">
        <w:t>resubmission</w:t>
      </w:r>
      <w:r w:rsidRPr="00111042">
        <w:t xml:space="preserve"> </w:t>
      </w:r>
      <w:r w:rsidR="006B7A34">
        <w:t>presented</w:t>
      </w:r>
      <w:r w:rsidRPr="00111042">
        <w:t xml:space="preserve"> naïve (unanchored) numerical comparisons between risdiplam and nusinersen. These comparisons were informed by the two </w:t>
      </w:r>
      <w:r w:rsidRPr="006B7A34">
        <w:rPr>
          <w:i/>
          <w:iCs/>
        </w:rPr>
        <w:t>SMN2</w:t>
      </w:r>
      <w:r w:rsidRPr="00111042">
        <w:t xml:space="preserve"> gene copy number subgroups of one risdiplam study (RAINBOWFISH) and one nusinersen study (NURTURE).</w:t>
      </w:r>
    </w:p>
    <w:p w14:paraId="631172D4" w14:textId="4511FDE5" w:rsidR="002751D2" w:rsidRPr="000C053F" w:rsidRDefault="002751D2" w:rsidP="002751D2">
      <w:pPr>
        <w:pStyle w:val="3-BodyText"/>
      </w:pPr>
      <w:r w:rsidRPr="000C053F">
        <w:t>The PBAC has previously considered earlier data-cuts of the SUNFISH</w:t>
      </w:r>
      <w:r w:rsidR="006B7A34">
        <w:t xml:space="preserve">, </w:t>
      </w:r>
      <w:r w:rsidRPr="000C053F">
        <w:t xml:space="preserve">JEWELFISH </w:t>
      </w:r>
      <w:r w:rsidR="006B7A34">
        <w:t xml:space="preserve">and NURTURE </w:t>
      </w:r>
      <w:r w:rsidRPr="000C053F">
        <w:t xml:space="preserve">trials </w:t>
      </w:r>
      <w:r w:rsidR="00437D9B" w:rsidRPr="000C053F">
        <w:t xml:space="preserve">compared to the </w:t>
      </w:r>
      <w:r w:rsidRPr="000C053F">
        <w:t xml:space="preserve">data-cuts </w:t>
      </w:r>
      <w:r w:rsidR="00437D9B" w:rsidRPr="000C053F">
        <w:t xml:space="preserve">presented </w:t>
      </w:r>
      <w:r w:rsidRPr="000C053F">
        <w:t xml:space="preserve">in the current </w:t>
      </w:r>
      <w:r w:rsidR="00381F60" w:rsidRPr="000C053F">
        <w:t>resubmission</w:t>
      </w:r>
      <w:r w:rsidRPr="000C053F">
        <w:t xml:space="preserve">. The PBAC has </w:t>
      </w:r>
      <w:r w:rsidR="006B7A34">
        <w:t xml:space="preserve">also </w:t>
      </w:r>
      <w:r w:rsidRPr="000C053F">
        <w:t xml:space="preserve">previously </w:t>
      </w:r>
      <w:r w:rsidR="009E621D" w:rsidRPr="000C053F">
        <w:t xml:space="preserve">considered results from </w:t>
      </w:r>
      <w:r w:rsidRPr="000C053F">
        <w:t>Maggi 2020</w:t>
      </w:r>
      <w:r w:rsidR="009E621D" w:rsidRPr="000C053F">
        <w:t xml:space="preserve"> and</w:t>
      </w:r>
      <w:r w:rsidRPr="000C053F">
        <w:t xml:space="preserve"> Hagenacker 2020. The PBAC has not previously considered </w:t>
      </w:r>
      <w:r w:rsidR="009E621D" w:rsidRPr="000C053F">
        <w:t xml:space="preserve">results from </w:t>
      </w:r>
      <w:r w:rsidRPr="000C053F">
        <w:t>Pera 2021, however has previously considered data pooled from three European SMA registries (para 6.6, nusinersen</w:t>
      </w:r>
      <w:r w:rsidR="006B7A34">
        <w:t xml:space="preserve"> PSD</w:t>
      </w:r>
      <w:r w:rsidRPr="000C053F">
        <w:t>, July 2021 PBAC meeting) and there may be some overlap of patients in the SMA registry previously considered with those enrolled in Pera 2021. The PBAC has not previously considered RAINBOWFISH</w:t>
      </w:r>
      <w:r w:rsidR="006B7A34">
        <w:t>.</w:t>
      </w:r>
    </w:p>
    <w:p w14:paraId="2F6F136C" w14:textId="1649B25E" w:rsidR="002751D2" w:rsidRPr="00111042" w:rsidRDefault="002751D2" w:rsidP="002751D2">
      <w:pPr>
        <w:pStyle w:val="3-BodyText"/>
      </w:pPr>
      <w:r w:rsidRPr="00111042">
        <w:rPr>
          <w:snapToGrid/>
        </w:rPr>
        <w:t xml:space="preserve">Details of the studies presented in the </w:t>
      </w:r>
      <w:r w:rsidR="00381F60" w:rsidRPr="00111042">
        <w:rPr>
          <w:snapToGrid/>
        </w:rPr>
        <w:t>resubmission</w:t>
      </w:r>
      <w:r w:rsidRPr="00111042">
        <w:rPr>
          <w:snapToGrid/>
        </w:rPr>
        <w:t xml:space="preserve"> that were used to inform the clinical claims are provided in </w:t>
      </w:r>
      <w:r w:rsidR="006E51EC" w:rsidRPr="00111042">
        <w:rPr>
          <w:snapToGrid/>
        </w:rPr>
        <w:fldChar w:fldCharType="begin"/>
      </w:r>
      <w:r w:rsidR="006E51EC" w:rsidRPr="00111042">
        <w:rPr>
          <w:snapToGrid/>
        </w:rPr>
        <w:instrText xml:space="preserve"> REF _Ref121797704 \h </w:instrText>
      </w:r>
      <w:r w:rsidR="006E51EC" w:rsidRPr="00111042">
        <w:rPr>
          <w:snapToGrid/>
        </w:rPr>
      </w:r>
      <w:r w:rsidR="006E51EC" w:rsidRPr="00111042">
        <w:rPr>
          <w:snapToGrid/>
        </w:rPr>
        <w:fldChar w:fldCharType="separate"/>
      </w:r>
      <w:r w:rsidR="00D45640" w:rsidRPr="00111042">
        <w:t xml:space="preserve">Table </w:t>
      </w:r>
      <w:r w:rsidR="00D45640">
        <w:rPr>
          <w:noProof/>
        </w:rPr>
        <w:t>3</w:t>
      </w:r>
      <w:r w:rsidR="006E51EC" w:rsidRPr="00111042">
        <w:rPr>
          <w:snapToGrid/>
        </w:rPr>
        <w:fldChar w:fldCharType="end"/>
      </w:r>
      <w:r w:rsidR="006E51EC" w:rsidRPr="00111042">
        <w:rPr>
          <w:snapToGrid/>
        </w:rPr>
        <w:t>.</w:t>
      </w:r>
    </w:p>
    <w:p w14:paraId="5348D8FF" w14:textId="53CCACE9" w:rsidR="002751D2" w:rsidRPr="00111042" w:rsidRDefault="002751D2" w:rsidP="002751D2">
      <w:pPr>
        <w:pStyle w:val="TableFigureHeading"/>
        <w:rPr>
          <w:rStyle w:val="CommentReference"/>
          <w:b/>
          <w:szCs w:val="24"/>
        </w:rPr>
      </w:pPr>
      <w:bookmarkStart w:id="21" w:name="_Ref121797704"/>
      <w:r w:rsidRPr="00111042">
        <w:t xml:space="preserve">Table </w:t>
      </w:r>
      <w:r w:rsidR="00D45640">
        <w:fldChar w:fldCharType="begin"/>
      </w:r>
      <w:r w:rsidR="00D45640">
        <w:instrText xml:space="preserve"> SEQ Table \* ARABIC </w:instrText>
      </w:r>
      <w:r w:rsidR="00D45640">
        <w:fldChar w:fldCharType="separate"/>
      </w:r>
      <w:r w:rsidR="00D45640">
        <w:rPr>
          <w:noProof/>
        </w:rPr>
        <w:t>3</w:t>
      </w:r>
      <w:r w:rsidR="00D45640">
        <w:rPr>
          <w:noProof/>
        </w:rPr>
        <w:fldChar w:fldCharType="end"/>
      </w:r>
      <w:bookmarkEnd w:id="21"/>
      <w:r w:rsidRPr="00111042">
        <w:t>:</w:t>
      </w:r>
      <w:r w:rsidRPr="00111042">
        <w:rPr>
          <w:rStyle w:val="CommentReference"/>
          <w:b/>
          <w:szCs w:val="24"/>
        </w:rPr>
        <w:t xml:space="preserve"> Studies and associated reports presented in the </w:t>
      </w:r>
      <w:r w:rsidR="00381F60" w:rsidRPr="00111042">
        <w:rPr>
          <w:rStyle w:val="CommentReference"/>
          <w:b/>
          <w:szCs w:val="24"/>
        </w:rPr>
        <w:t>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B23D1A" w:rsidRPr="00111042" w14:paraId="51D4D58F" w14:textId="77777777" w:rsidTr="00C35189">
        <w:trPr>
          <w:tblHeader/>
        </w:trPr>
        <w:tc>
          <w:tcPr>
            <w:tcW w:w="796" w:type="pct"/>
            <w:vAlign w:val="center"/>
          </w:tcPr>
          <w:p w14:paraId="2CB98268" w14:textId="77777777" w:rsidR="002751D2" w:rsidRPr="00111042" w:rsidRDefault="002751D2" w:rsidP="00C35189">
            <w:pPr>
              <w:pStyle w:val="In-tableHeading"/>
              <w:rPr>
                <w:lang w:val="en-AU"/>
              </w:rPr>
            </w:pPr>
            <w:r w:rsidRPr="00111042">
              <w:rPr>
                <w:lang w:val="en-AU"/>
              </w:rPr>
              <w:t>Study ID</w:t>
            </w:r>
          </w:p>
        </w:tc>
        <w:tc>
          <w:tcPr>
            <w:tcW w:w="3027" w:type="pct"/>
            <w:vAlign w:val="center"/>
          </w:tcPr>
          <w:p w14:paraId="63CCAC77" w14:textId="77777777" w:rsidR="002751D2" w:rsidRPr="00111042" w:rsidRDefault="002751D2" w:rsidP="00C35189">
            <w:pPr>
              <w:pStyle w:val="In-tableHeading"/>
              <w:rPr>
                <w:lang w:val="en-AU"/>
              </w:rPr>
            </w:pPr>
            <w:r w:rsidRPr="00111042">
              <w:rPr>
                <w:lang w:val="en-AU"/>
              </w:rPr>
              <w:t>Protocol title/ Publication title</w:t>
            </w:r>
          </w:p>
        </w:tc>
        <w:tc>
          <w:tcPr>
            <w:tcW w:w="1177" w:type="pct"/>
            <w:vAlign w:val="center"/>
          </w:tcPr>
          <w:p w14:paraId="3E014585" w14:textId="77777777" w:rsidR="002751D2" w:rsidRPr="00111042" w:rsidRDefault="002751D2" w:rsidP="00C35189">
            <w:pPr>
              <w:pStyle w:val="In-tableHeading"/>
              <w:rPr>
                <w:lang w:val="en-AU"/>
              </w:rPr>
            </w:pPr>
            <w:r w:rsidRPr="00111042">
              <w:rPr>
                <w:lang w:val="en-AU"/>
              </w:rPr>
              <w:t>Publication citation</w:t>
            </w:r>
          </w:p>
        </w:tc>
      </w:tr>
      <w:tr w:rsidR="00B23D1A" w:rsidRPr="00111042" w14:paraId="59E9BA87" w14:textId="77777777" w:rsidTr="00890494">
        <w:trPr>
          <w:tblHeader/>
        </w:trPr>
        <w:tc>
          <w:tcPr>
            <w:tcW w:w="5000" w:type="pct"/>
            <w:gridSpan w:val="3"/>
            <w:tcBorders>
              <w:bottom w:val="single" w:sz="4" w:space="0" w:color="auto"/>
            </w:tcBorders>
            <w:vAlign w:val="center"/>
          </w:tcPr>
          <w:p w14:paraId="6D11AB69" w14:textId="77777777" w:rsidR="002751D2" w:rsidRPr="00111042" w:rsidRDefault="002751D2" w:rsidP="00C35189">
            <w:pPr>
              <w:pStyle w:val="In-tableHeading"/>
              <w:keepNext w:val="0"/>
              <w:rPr>
                <w:lang w:val="en-AU"/>
              </w:rPr>
            </w:pPr>
            <w:r w:rsidRPr="00111042">
              <w:rPr>
                <w:lang w:val="en-AU"/>
              </w:rPr>
              <w:t>Risdiplam studies – Adult SMA population (Population 1)</w:t>
            </w:r>
          </w:p>
        </w:tc>
      </w:tr>
      <w:tr w:rsidR="00B23D1A" w:rsidRPr="00111042" w14:paraId="6092868A" w14:textId="77777777" w:rsidTr="004C7359">
        <w:tc>
          <w:tcPr>
            <w:tcW w:w="796" w:type="pct"/>
            <w:vMerge w:val="restart"/>
            <w:tcBorders>
              <w:bottom w:val="single" w:sz="4" w:space="0" w:color="auto"/>
            </w:tcBorders>
            <w:vAlign w:val="center"/>
          </w:tcPr>
          <w:p w14:paraId="76A5AFB8" w14:textId="77777777" w:rsidR="002751D2" w:rsidRPr="00111042" w:rsidRDefault="002751D2" w:rsidP="00C35189">
            <w:pPr>
              <w:pStyle w:val="TableText0"/>
              <w:keepNext w:val="0"/>
            </w:pPr>
            <w:r w:rsidRPr="00111042">
              <w:t>SUNFISH</w:t>
            </w:r>
          </w:p>
        </w:tc>
        <w:tc>
          <w:tcPr>
            <w:tcW w:w="3027" w:type="pct"/>
            <w:tcBorders>
              <w:bottom w:val="single" w:sz="4" w:space="0" w:color="auto"/>
            </w:tcBorders>
            <w:vAlign w:val="center"/>
          </w:tcPr>
          <w:p w14:paraId="4D532E83" w14:textId="77777777" w:rsidR="002751D2" w:rsidRPr="00111042" w:rsidRDefault="002751D2" w:rsidP="00C35189">
            <w:pPr>
              <w:pStyle w:val="TableText1"/>
              <w:rPr>
                <w:rFonts w:ascii="Arial Narrow" w:eastAsiaTheme="majorEastAsia" w:hAnsi="Arial Narrow" w:cstheme="majorBidi"/>
                <w:szCs w:val="18"/>
                <w:lang w:eastAsia="en-AU"/>
              </w:rPr>
            </w:pPr>
            <w:r w:rsidRPr="00111042">
              <w:rPr>
                <w:rFonts w:ascii="Arial Narrow" w:eastAsiaTheme="majorEastAsia" w:hAnsi="Arial Narrow" w:cstheme="majorBidi"/>
                <w:szCs w:val="18"/>
                <w:lang w:eastAsia="en-AU"/>
              </w:rPr>
              <w:t>A Two-Part Seamless, Multi-Centre Randomized, Placebo-Controlled, Double-blind Study To Investigate The Safety, Tolerability, Pharmacokinetics, Pharmacodynamics And Efficacy Of Ro7034067 In Type II And III Spinal Muscular Atrophy Patients</w:t>
            </w:r>
          </w:p>
        </w:tc>
        <w:tc>
          <w:tcPr>
            <w:tcW w:w="1177" w:type="pct"/>
            <w:tcBorders>
              <w:bottom w:val="single" w:sz="4" w:space="0" w:color="auto"/>
            </w:tcBorders>
            <w:vAlign w:val="center"/>
          </w:tcPr>
          <w:p w14:paraId="0B2C3D6C" w14:textId="77777777" w:rsidR="002751D2" w:rsidRPr="00111042" w:rsidRDefault="002751D2" w:rsidP="00C35189">
            <w:pPr>
              <w:pStyle w:val="TableText1"/>
              <w:rPr>
                <w:rFonts w:ascii="Arial Narrow" w:eastAsiaTheme="majorEastAsia" w:hAnsi="Arial Narrow" w:cstheme="majorBidi"/>
                <w:szCs w:val="18"/>
                <w:lang w:eastAsia="en-AU"/>
              </w:rPr>
            </w:pPr>
            <w:r w:rsidRPr="00111042">
              <w:rPr>
                <w:rFonts w:ascii="Arial Narrow" w:eastAsiaTheme="majorEastAsia" w:hAnsi="Arial Narrow" w:cstheme="majorBidi"/>
                <w:szCs w:val="18"/>
                <w:lang w:eastAsia="en-AU"/>
              </w:rPr>
              <w:t xml:space="preserve">Primary Report Feb 20 Report no. 1099250 </w:t>
            </w:r>
            <w:r w:rsidRPr="00111042">
              <w:rPr>
                <w:rFonts w:ascii="Arial Narrow" w:eastAsiaTheme="majorEastAsia" w:hAnsi="Arial Narrow" w:cstheme="majorBidi"/>
                <w:szCs w:val="18"/>
                <w:lang w:eastAsia="en-AU"/>
              </w:rPr>
              <w:fldChar w:fldCharType="begin"/>
            </w:r>
            <w:r w:rsidRPr="00111042">
              <w:rPr>
                <w:rFonts w:ascii="Arial Narrow" w:eastAsiaTheme="majorEastAsia" w:hAnsi="Arial Narrow" w:cstheme="majorBidi"/>
                <w:szCs w:val="18"/>
                <w:lang w:eastAsia="en-AU"/>
              </w:rPr>
              <w:instrText xml:space="preserve"> ADDIN EN.CITE &lt;EndNote&gt;&lt;Cite&gt;&lt;Author&gt;SUNFISH PRIMARY CSR&lt;/Author&gt;&lt;Year&gt;2020&lt;/Year&gt;&lt;RecNum&gt;9&lt;/RecNum&gt;&lt;DisplayText&gt;(SUNFISH PRIMARY CSR 2020)&lt;/DisplayText&gt;&lt;record&gt;&lt;rec-number&gt;9&lt;/rec-number&gt;&lt;foreign-keys&gt;&lt;key app="EN" db-id="z5vztse069zeptear9b5as0i5z0fdztvdp0s" timestamp="1666129648"&gt;9&lt;/key&gt;&lt;/foreign-keys&gt;&lt;ref-type name="Journal Article"&gt;17&lt;/ref-type&gt;&lt;contributors&gt;&lt;authors&gt;&lt;author&gt;SUNFISH PRIMARY CSR,&lt;/author&gt;&lt;/authors&gt;&lt;/contributors&gt;&lt;titles&gt;&lt;title&gt;Primary CSR Study BP39055, (SUNFISH) A Two-Part Seamless, Multi-Center Randomized, Placebo-Controlled, Doubleblind Study To Investigate The Safety, Tolerability, Pharmacokinetics, Pharmacodynamics And Efficacy Of Ro7034067 In Type 2 And 3 Spinal Muscular Atrophy Patients. &lt;/title&gt;&lt;secondary-title&gt;Report No. 1099250 &lt;/secondary-title&gt;&lt;/titles&gt;&lt;periodical&gt;&lt;full-title&gt;Report No. 1099250&lt;/full-title&gt;&lt;/periodical&gt;&lt;volume&gt;February, 2020&lt;/volume&gt;&lt;dates&gt;&lt;year&gt;2020&lt;/year&gt;&lt;/dates&gt;&lt;urls&gt;&lt;/urls&gt;&lt;/record&gt;&lt;/Cite&gt;&lt;/EndNote&gt;</w:instrText>
            </w:r>
            <w:r w:rsidRPr="00111042">
              <w:rPr>
                <w:rFonts w:ascii="Arial Narrow" w:eastAsiaTheme="majorEastAsia" w:hAnsi="Arial Narrow" w:cstheme="majorBidi"/>
                <w:szCs w:val="18"/>
                <w:lang w:eastAsia="en-AU"/>
              </w:rPr>
              <w:fldChar w:fldCharType="separate"/>
            </w:r>
            <w:r w:rsidRPr="00111042">
              <w:rPr>
                <w:rFonts w:ascii="Arial Narrow" w:eastAsiaTheme="majorEastAsia" w:hAnsi="Arial Narrow" w:cstheme="majorBidi"/>
                <w:szCs w:val="18"/>
                <w:lang w:eastAsia="en-AU"/>
              </w:rPr>
              <w:t>(SUNFISH PRIMARY CSR 2020)</w:t>
            </w:r>
            <w:r w:rsidRPr="00111042">
              <w:rPr>
                <w:rFonts w:ascii="Arial Narrow" w:eastAsiaTheme="majorEastAsia" w:hAnsi="Arial Narrow" w:cstheme="majorBidi"/>
                <w:szCs w:val="18"/>
                <w:lang w:eastAsia="en-AU"/>
              </w:rPr>
              <w:fldChar w:fldCharType="end"/>
            </w:r>
            <w:r w:rsidRPr="00111042">
              <w:rPr>
                <w:rFonts w:ascii="Arial Narrow" w:eastAsiaTheme="majorEastAsia" w:hAnsi="Arial Narrow" w:cstheme="majorBidi"/>
                <w:szCs w:val="18"/>
                <w:lang w:eastAsia="en-AU"/>
              </w:rPr>
              <w:t>;</w:t>
            </w:r>
          </w:p>
          <w:p w14:paraId="3B3D05F1" w14:textId="77777777" w:rsidR="002751D2" w:rsidRPr="00111042" w:rsidRDefault="002751D2" w:rsidP="00C35189">
            <w:pPr>
              <w:pStyle w:val="TableText1"/>
              <w:rPr>
                <w:rFonts w:ascii="Arial Narrow" w:eastAsiaTheme="majorEastAsia" w:hAnsi="Arial Narrow" w:cstheme="majorBidi"/>
                <w:szCs w:val="18"/>
                <w:lang w:eastAsia="en-AU"/>
              </w:rPr>
            </w:pPr>
            <w:r w:rsidRPr="00111042">
              <w:rPr>
                <w:rFonts w:ascii="Arial Narrow" w:eastAsiaTheme="majorEastAsia" w:hAnsi="Arial Narrow" w:cstheme="majorBidi"/>
                <w:szCs w:val="18"/>
                <w:lang w:eastAsia="en-AU"/>
              </w:rPr>
              <w:t xml:space="preserve">June 20 Update Report no. 1101749 </w:t>
            </w:r>
            <w:r w:rsidRPr="00111042">
              <w:rPr>
                <w:rFonts w:ascii="Arial Narrow" w:eastAsiaTheme="majorEastAsia" w:hAnsi="Arial Narrow" w:cstheme="majorBidi"/>
                <w:szCs w:val="18"/>
                <w:lang w:eastAsia="en-AU"/>
              </w:rPr>
              <w:fldChar w:fldCharType="begin"/>
            </w:r>
            <w:r w:rsidRPr="00111042">
              <w:rPr>
                <w:rFonts w:ascii="Arial Narrow" w:eastAsiaTheme="majorEastAsia" w:hAnsi="Arial Narrow" w:cstheme="majorBidi"/>
                <w:szCs w:val="18"/>
                <w:lang w:eastAsia="en-AU"/>
              </w:rPr>
              <w:instrText xml:space="preserve"> ADDIN EN.CITE &lt;EndNote&gt;&lt;Cite&gt;&lt;Author&gt;SUNFISH Update CSR&lt;/Author&gt;&lt;Year&gt;2020&lt;/Year&gt;&lt;RecNum&gt;10&lt;/RecNum&gt;&lt;DisplayText&gt;(SUNFISH Update CSR 2020)&lt;/DisplayText&gt;&lt;record&gt;&lt;rec-number&gt;10&lt;/rec-number&gt;&lt;foreign-keys&gt;&lt;key app="EN" db-id="z5vztse069zeptear9b5as0i5z0fdztvdp0s" timestamp="1666129650"&gt;10&lt;/key&gt;&lt;/foreign-keys&gt;&lt;ref-type name="Journal Article"&gt;17&lt;/ref-type&gt;&lt;contributors&gt;&lt;authors&gt;&lt;author&gt;SUNFISH Update CSR,&lt;/author&gt;&lt;/authors&gt;&lt;/contributors&gt;&lt;titles&gt;&lt;title&gt;Update CSR Study BP39055, (Sunfish) A Two-Part Seamless, Multi-Center Randomized, Placebo-Controlled, Doubleblind Study To Investigate The Safety, Tolerability, Pharmacokinetics, Pharmacodynamics And Efficacy Of Ro7034067 In Type 2 And 3 Spinal Muscular Atrophy Patients.  &lt;/title&gt;&lt;secondary-title&gt;Report No. 1101749  June, 2020&lt;/secondary-title&gt;&lt;/titles&gt;&lt;periodical&gt;&lt;full-title&gt;Report No. 1101749  June, 2020&lt;/full-title&gt;&lt;/periodical&gt;&lt;dates&gt;&lt;year&gt;2020&lt;/year&gt;&lt;/dates&gt;&lt;urls&gt;&lt;/urls&gt;&lt;/record&gt;&lt;/Cite&gt;&lt;/EndNote&gt;</w:instrText>
            </w:r>
            <w:r w:rsidRPr="00111042">
              <w:rPr>
                <w:rFonts w:ascii="Arial Narrow" w:eastAsiaTheme="majorEastAsia" w:hAnsi="Arial Narrow" w:cstheme="majorBidi"/>
                <w:szCs w:val="18"/>
                <w:lang w:eastAsia="en-AU"/>
              </w:rPr>
              <w:fldChar w:fldCharType="separate"/>
            </w:r>
            <w:r w:rsidRPr="00111042">
              <w:rPr>
                <w:rFonts w:ascii="Arial Narrow" w:eastAsiaTheme="majorEastAsia" w:hAnsi="Arial Narrow" w:cstheme="majorBidi"/>
                <w:szCs w:val="18"/>
                <w:lang w:eastAsia="en-AU"/>
              </w:rPr>
              <w:t>(SUNFISH Update CSR 2020)</w:t>
            </w:r>
            <w:r w:rsidRPr="00111042">
              <w:rPr>
                <w:rFonts w:ascii="Arial Narrow" w:eastAsiaTheme="majorEastAsia" w:hAnsi="Arial Narrow" w:cstheme="majorBidi"/>
                <w:szCs w:val="18"/>
                <w:lang w:eastAsia="en-AU"/>
              </w:rPr>
              <w:fldChar w:fldCharType="end"/>
            </w:r>
            <w:r w:rsidRPr="00111042">
              <w:rPr>
                <w:rFonts w:ascii="Arial Narrow" w:eastAsiaTheme="majorEastAsia" w:hAnsi="Arial Narrow" w:cstheme="majorBidi"/>
                <w:szCs w:val="18"/>
                <w:lang w:eastAsia="en-AU"/>
              </w:rPr>
              <w:t>;</w:t>
            </w:r>
          </w:p>
          <w:p w14:paraId="2F19C0C0" w14:textId="77777777" w:rsidR="002751D2" w:rsidRPr="00111042" w:rsidRDefault="002751D2" w:rsidP="00C35189">
            <w:pPr>
              <w:pStyle w:val="TableText1"/>
              <w:rPr>
                <w:rFonts w:ascii="Arial Narrow" w:eastAsiaTheme="majorEastAsia" w:hAnsi="Arial Narrow" w:cstheme="majorBidi"/>
                <w:szCs w:val="18"/>
                <w:lang w:eastAsia="en-AU"/>
              </w:rPr>
            </w:pPr>
            <w:r w:rsidRPr="00111042">
              <w:rPr>
                <w:rFonts w:ascii="Arial Narrow" w:eastAsiaTheme="majorEastAsia" w:hAnsi="Arial Narrow" w:cstheme="majorBidi"/>
                <w:szCs w:val="18"/>
                <w:lang w:eastAsia="en-AU"/>
              </w:rPr>
              <w:t xml:space="preserve">March 21 Update Report no. 1105946 </w:t>
            </w:r>
            <w:r w:rsidRPr="00111042">
              <w:rPr>
                <w:rFonts w:ascii="Arial Narrow" w:eastAsiaTheme="majorEastAsia" w:hAnsi="Arial Narrow" w:cstheme="majorBidi"/>
                <w:szCs w:val="18"/>
                <w:lang w:eastAsia="en-AU"/>
              </w:rPr>
              <w:fldChar w:fldCharType="begin"/>
            </w:r>
            <w:r w:rsidRPr="00111042">
              <w:rPr>
                <w:rFonts w:ascii="Arial Narrow" w:eastAsiaTheme="majorEastAsia" w:hAnsi="Arial Narrow" w:cstheme="majorBidi"/>
                <w:szCs w:val="18"/>
                <w:lang w:eastAsia="en-AU"/>
              </w:rPr>
              <w:instrText xml:space="preserve"> ADDIN EN.CITE &lt;EndNote&gt;&lt;Cite&gt;&lt;Author&gt;SUNFISH Update CSR&lt;/Author&gt;&lt;Year&gt;2021&lt;/Year&gt;&lt;RecNum&gt;11&lt;/RecNum&gt;&lt;DisplayText&gt;(SUNFISH Update CSR 2021)&lt;/DisplayText&gt;&lt;record&gt;&lt;rec-number&gt;11&lt;/rec-number&gt;&lt;foreign-keys&gt;&lt;key app="EN" db-id="z5vztse069zeptear9b5as0i5z0fdztvdp0s" timestamp="1666129652"&gt;11&lt;/key&gt;&lt;/foreign-keys&gt;&lt;ref-type name="Journal Article"&gt;17&lt;/ref-type&gt;&lt;contributors&gt;&lt;authors&gt;&lt;author&gt;SUNFISH Update CSR,&lt;/author&gt;&lt;/authors&gt;&lt;/contributors&gt;&lt;titles&gt;&lt;title&gt;Update CSR Study BP39055 (SUNFISH), A Two-Part Seamless, Multi-Center Randomized, Placebo-Controlled, Doubleblind Study To Investigate The Safety, Tolerability, Pharmacokinetics, Pharmacodynamics And Efficacy Of Ro7034067 In Type 2 And 3 Spinal Muscular Atrophy Patients. &lt;/title&gt;&lt;secondary-title&gt;Report No. 1105946. March 2021&lt;/secondary-title&gt;&lt;/titles&gt;&lt;periodical&gt;&lt;full-title&gt;Report No. 1105946. March 2021&lt;/full-title&gt;&lt;/periodical&gt;&lt;dates&gt;&lt;year&gt;2021&lt;/year&gt;&lt;/dates&gt;&lt;urls&gt;&lt;/urls&gt;&lt;/record&gt;&lt;/Cite&gt;&lt;/EndNote&gt;</w:instrText>
            </w:r>
            <w:r w:rsidRPr="00111042">
              <w:rPr>
                <w:rFonts w:ascii="Arial Narrow" w:eastAsiaTheme="majorEastAsia" w:hAnsi="Arial Narrow" w:cstheme="majorBidi"/>
                <w:szCs w:val="18"/>
                <w:lang w:eastAsia="en-AU"/>
              </w:rPr>
              <w:fldChar w:fldCharType="separate"/>
            </w:r>
            <w:r w:rsidRPr="00111042">
              <w:rPr>
                <w:rFonts w:ascii="Arial Narrow" w:eastAsiaTheme="majorEastAsia" w:hAnsi="Arial Narrow" w:cstheme="majorBidi"/>
                <w:szCs w:val="18"/>
                <w:lang w:eastAsia="en-AU"/>
              </w:rPr>
              <w:t>(SUNFISH Update CSR 2021)</w:t>
            </w:r>
            <w:r w:rsidRPr="00111042">
              <w:rPr>
                <w:rFonts w:ascii="Arial Narrow" w:eastAsiaTheme="majorEastAsia" w:hAnsi="Arial Narrow" w:cstheme="majorBidi"/>
                <w:szCs w:val="18"/>
                <w:lang w:eastAsia="en-AU"/>
              </w:rPr>
              <w:fldChar w:fldCharType="end"/>
            </w:r>
            <w:r w:rsidRPr="00111042">
              <w:rPr>
                <w:rFonts w:ascii="Arial Narrow" w:eastAsiaTheme="majorEastAsia" w:hAnsi="Arial Narrow" w:cstheme="majorBidi"/>
                <w:szCs w:val="18"/>
                <w:lang w:eastAsia="en-AU"/>
              </w:rPr>
              <w:t>; Clinical Appendix</w:t>
            </w:r>
          </w:p>
          <w:p w14:paraId="0A044332" w14:textId="77777777" w:rsidR="002751D2" w:rsidRPr="00111042" w:rsidRDefault="002751D2" w:rsidP="00C35189">
            <w:pPr>
              <w:pStyle w:val="TableText0"/>
              <w:keepNext w:val="0"/>
              <w:rPr>
                <w:szCs w:val="18"/>
              </w:rPr>
            </w:pPr>
          </w:p>
        </w:tc>
      </w:tr>
      <w:tr w:rsidR="00B23D1A" w:rsidRPr="00111042" w14:paraId="79DB2A33" w14:textId="77777777" w:rsidTr="004C7359">
        <w:tc>
          <w:tcPr>
            <w:tcW w:w="796" w:type="pct"/>
            <w:vMerge/>
            <w:tcBorders>
              <w:top w:val="single" w:sz="4" w:space="0" w:color="auto"/>
              <w:bottom w:val="single" w:sz="4" w:space="0" w:color="auto"/>
            </w:tcBorders>
            <w:vAlign w:val="center"/>
          </w:tcPr>
          <w:p w14:paraId="704050DE" w14:textId="77777777" w:rsidR="002751D2" w:rsidRPr="00111042" w:rsidRDefault="002751D2" w:rsidP="00C35189">
            <w:pPr>
              <w:pStyle w:val="TableText0"/>
              <w:keepNext w:val="0"/>
            </w:pPr>
          </w:p>
        </w:tc>
        <w:tc>
          <w:tcPr>
            <w:tcW w:w="3027" w:type="pct"/>
            <w:tcBorders>
              <w:top w:val="single" w:sz="4" w:space="0" w:color="auto"/>
              <w:bottom w:val="single" w:sz="4" w:space="0" w:color="auto"/>
            </w:tcBorders>
            <w:vAlign w:val="center"/>
          </w:tcPr>
          <w:p w14:paraId="6E6B54B3" w14:textId="77777777" w:rsidR="002751D2" w:rsidRPr="00111042" w:rsidRDefault="002751D2" w:rsidP="00C35189">
            <w:pPr>
              <w:pStyle w:val="Tabletext"/>
              <w:rPr>
                <w:szCs w:val="18"/>
              </w:rPr>
            </w:pPr>
            <w:r w:rsidRPr="00111042">
              <w:rPr>
                <w:szCs w:val="18"/>
              </w:rPr>
              <w:t xml:space="preserve">Mercuri E et al. </w:t>
            </w:r>
            <w:r w:rsidRPr="00111042">
              <w:rPr>
                <w:noProof/>
              </w:rPr>
              <w:t>Safety and efficacy of once-daily risdiplam in type II and non-ambulant type III spinal muscular atrophy (SUNFISH Part 2): a phase 3, double-blind, randomised, placebo-controlled trial.</w:t>
            </w:r>
          </w:p>
        </w:tc>
        <w:tc>
          <w:tcPr>
            <w:tcW w:w="1177" w:type="pct"/>
            <w:tcBorders>
              <w:top w:val="single" w:sz="4" w:space="0" w:color="auto"/>
              <w:bottom w:val="single" w:sz="4" w:space="0" w:color="auto"/>
            </w:tcBorders>
            <w:vAlign w:val="center"/>
          </w:tcPr>
          <w:p w14:paraId="269D4134" w14:textId="77777777" w:rsidR="002751D2" w:rsidRPr="00111042" w:rsidRDefault="002751D2" w:rsidP="00C35189">
            <w:pPr>
              <w:pStyle w:val="TableText0"/>
              <w:keepNext w:val="0"/>
              <w:rPr>
                <w:szCs w:val="18"/>
              </w:rPr>
            </w:pPr>
            <w:r w:rsidRPr="00111042">
              <w:rPr>
                <w:i/>
                <w:noProof/>
              </w:rPr>
              <w:t>Lancet Neurol</w:t>
            </w:r>
            <w:r w:rsidRPr="00111042">
              <w:rPr>
                <w:noProof/>
              </w:rPr>
              <w:t>. 2022;21(1):42-52</w:t>
            </w:r>
          </w:p>
        </w:tc>
      </w:tr>
      <w:tr w:rsidR="00B23D1A" w:rsidRPr="00111042" w14:paraId="4F5F0B80" w14:textId="77777777" w:rsidTr="004C7359">
        <w:tc>
          <w:tcPr>
            <w:tcW w:w="796" w:type="pct"/>
            <w:vMerge/>
            <w:tcBorders>
              <w:top w:val="single" w:sz="4" w:space="0" w:color="auto"/>
              <w:bottom w:val="single" w:sz="4" w:space="0" w:color="auto"/>
            </w:tcBorders>
            <w:vAlign w:val="center"/>
          </w:tcPr>
          <w:p w14:paraId="67EEDD36" w14:textId="77777777" w:rsidR="002751D2" w:rsidRPr="00111042" w:rsidRDefault="002751D2" w:rsidP="00C35189">
            <w:pPr>
              <w:pStyle w:val="TableText0"/>
              <w:keepNext w:val="0"/>
            </w:pPr>
          </w:p>
        </w:tc>
        <w:tc>
          <w:tcPr>
            <w:tcW w:w="3027" w:type="pct"/>
            <w:tcBorders>
              <w:top w:val="single" w:sz="4" w:space="0" w:color="auto"/>
              <w:bottom w:val="single" w:sz="4" w:space="0" w:color="auto"/>
            </w:tcBorders>
            <w:vAlign w:val="center"/>
          </w:tcPr>
          <w:p w14:paraId="51A95607" w14:textId="77777777" w:rsidR="002751D2" w:rsidRPr="00111042" w:rsidRDefault="002751D2" w:rsidP="00C35189">
            <w:pPr>
              <w:pStyle w:val="TableText0"/>
              <w:keepNext w:val="0"/>
              <w:rPr>
                <w:rFonts w:eastAsia="Times New Roman" w:cs="Times New Roman"/>
                <w:bCs w:val="0"/>
                <w:noProof/>
                <w:snapToGrid w:val="0"/>
              </w:rPr>
            </w:pPr>
            <w:r w:rsidRPr="00111042">
              <w:rPr>
                <w:rFonts w:eastAsia="Times New Roman" w:cs="Times New Roman"/>
                <w:bCs w:val="0"/>
                <w:noProof/>
                <w:snapToGrid w:val="0"/>
              </w:rPr>
              <w:t>Deconinck, N. et al. SUNFISH: 3-year Efﬁcacy and Safety of Risdiplam in Types 2 and 3 Spinal Muscular Atrophy.</w:t>
            </w:r>
          </w:p>
        </w:tc>
        <w:tc>
          <w:tcPr>
            <w:tcW w:w="1177" w:type="pct"/>
            <w:tcBorders>
              <w:top w:val="single" w:sz="4" w:space="0" w:color="auto"/>
              <w:bottom w:val="single" w:sz="4" w:space="0" w:color="auto"/>
            </w:tcBorders>
            <w:vAlign w:val="center"/>
          </w:tcPr>
          <w:p w14:paraId="68563C95" w14:textId="77777777" w:rsidR="002751D2" w:rsidRPr="00111042" w:rsidRDefault="002751D2" w:rsidP="00C35189">
            <w:pPr>
              <w:pStyle w:val="TableText1"/>
              <w:rPr>
                <w:rFonts w:ascii="Arial Narrow" w:hAnsi="Arial Narrow" w:cs="Times New Roman"/>
                <w:bCs w:val="0"/>
                <w:noProof/>
                <w:snapToGrid w:val="0"/>
                <w:szCs w:val="24"/>
                <w:lang w:eastAsia="en-AU"/>
              </w:rPr>
            </w:pPr>
            <w:r w:rsidRPr="00111042">
              <w:rPr>
                <w:rFonts w:ascii="Arial Narrow" w:hAnsi="Arial Narrow" w:cs="Times New Roman"/>
                <w:bCs w:val="0"/>
                <w:i/>
                <w:iCs/>
                <w:noProof/>
                <w:snapToGrid w:val="0"/>
                <w:szCs w:val="24"/>
                <w:lang w:eastAsia="en-AU"/>
              </w:rPr>
              <w:t>Journal of Neuromuscular Diseases</w:t>
            </w:r>
            <w:r w:rsidRPr="00111042">
              <w:rPr>
                <w:rFonts w:ascii="Arial Narrow" w:hAnsi="Arial Narrow" w:cs="Times New Roman"/>
                <w:bCs w:val="0"/>
                <w:noProof/>
                <w:snapToGrid w:val="0"/>
                <w:szCs w:val="24"/>
                <w:lang w:eastAsia="en-AU"/>
              </w:rPr>
              <w:t>. 2022;PS06.01(9):S112-S13</w:t>
            </w:r>
          </w:p>
        </w:tc>
      </w:tr>
      <w:tr w:rsidR="00B23D1A" w:rsidRPr="00111042" w14:paraId="2D760683" w14:textId="77777777" w:rsidTr="004C7359">
        <w:tc>
          <w:tcPr>
            <w:tcW w:w="796" w:type="pct"/>
            <w:vMerge/>
            <w:tcBorders>
              <w:top w:val="single" w:sz="4" w:space="0" w:color="auto"/>
              <w:bottom w:val="single" w:sz="4" w:space="0" w:color="auto"/>
            </w:tcBorders>
            <w:vAlign w:val="center"/>
          </w:tcPr>
          <w:p w14:paraId="0C491282" w14:textId="77777777" w:rsidR="002751D2" w:rsidRPr="00111042" w:rsidRDefault="002751D2" w:rsidP="00C35189">
            <w:pPr>
              <w:pStyle w:val="TableText0"/>
              <w:keepNext w:val="0"/>
              <w:rPr>
                <w:rFonts w:eastAsia="Times New Roman" w:cs="Times New Roman"/>
                <w:bCs w:val="0"/>
                <w:noProof/>
                <w:snapToGrid w:val="0"/>
              </w:rPr>
            </w:pPr>
          </w:p>
        </w:tc>
        <w:tc>
          <w:tcPr>
            <w:tcW w:w="3027" w:type="pct"/>
            <w:tcBorders>
              <w:top w:val="single" w:sz="4" w:space="0" w:color="auto"/>
              <w:bottom w:val="single" w:sz="4" w:space="0" w:color="auto"/>
            </w:tcBorders>
            <w:vAlign w:val="center"/>
          </w:tcPr>
          <w:p w14:paraId="6A57B301" w14:textId="77777777" w:rsidR="002751D2" w:rsidRPr="00111042" w:rsidRDefault="002751D2" w:rsidP="00C35189">
            <w:pPr>
              <w:pStyle w:val="TableText0"/>
              <w:keepNext w:val="0"/>
              <w:rPr>
                <w:rFonts w:eastAsia="Times New Roman" w:cs="Times New Roman"/>
                <w:bCs w:val="0"/>
                <w:noProof/>
                <w:snapToGrid w:val="0"/>
              </w:rPr>
            </w:pPr>
            <w:r w:rsidRPr="00111042">
              <w:rPr>
                <w:rFonts w:eastAsia="Times New Roman" w:cs="Times New Roman"/>
                <w:bCs w:val="0"/>
                <w:noProof/>
                <w:snapToGrid w:val="0"/>
              </w:rPr>
              <w:t>Goemans, N. et al. SUNFISH: 3-year efficacy and safety of risdiplam in Types 2 and 3 spinal muscular atrophy</w:t>
            </w:r>
          </w:p>
        </w:tc>
        <w:tc>
          <w:tcPr>
            <w:tcW w:w="1177" w:type="pct"/>
            <w:tcBorders>
              <w:top w:val="single" w:sz="4" w:space="0" w:color="auto"/>
              <w:bottom w:val="single" w:sz="4" w:space="0" w:color="auto"/>
            </w:tcBorders>
            <w:vAlign w:val="center"/>
          </w:tcPr>
          <w:p w14:paraId="417B2CE4" w14:textId="77777777" w:rsidR="002751D2" w:rsidRPr="00111042" w:rsidRDefault="002751D2" w:rsidP="00C35189">
            <w:pPr>
              <w:pStyle w:val="TableText1"/>
              <w:rPr>
                <w:rFonts w:ascii="Arial Narrow" w:hAnsi="Arial Narrow" w:cs="Times New Roman"/>
                <w:bCs w:val="0"/>
                <w:noProof/>
                <w:snapToGrid w:val="0"/>
                <w:szCs w:val="24"/>
                <w:lang w:eastAsia="en-AU"/>
              </w:rPr>
            </w:pPr>
            <w:r w:rsidRPr="00111042">
              <w:rPr>
                <w:rFonts w:ascii="Arial Narrow" w:hAnsi="Arial Narrow" w:cs="Times New Roman"/>
                <w:bCs w:val="0"/>
                <w:i/>
                <w:iCs/>
                <w:noProof/>
                <w:snapToGrid w:val="0"/>
                <w:szCs w:val="24"/>
                <w:lang w:eastAsia="en-AU"/>
              </w:rPr>
              <w:t>European Journal of Neurology</w:t>
            </w:r>
            <w:r w:rsidRPr="00111042">
              <w:rPr>
                <w:rFonts w:ascii="Arial Narrow" w:hAnsi="Arial Narrow" w:cs="Times New Roman"/>
                <w:bCs w:val="0"/>
                <w:noProof/>
                <w:snapToGrid w:val="0"/>
                <w:szCs w:val="24"/>
                <w:lang w:eastAsia="en-AU"/>
              </w:rPr>
              <w:t>. 2022;29(278)</w:t>
            </w:r>
          </w:p>
        </w:tc>
      </w:tr>
      <w:tr w:rsidR="00B23D1A" w:rsidRPr="00111042" w14:paraId="2FD14616" w14:textId="77777777" w:rsidTr="00890494">
        <w:tc>
          <w:tcPr>
            <w:tcW w:w="796" w:type="pct"/>
            <w:vMerge/>
            <w:tcBorders>
              <w:top w:val="single" w:sz="4" w:space="0" w:color="auto"/>
              <w:bottom w:val="single" w:sz="4" w:space="0" w:color="auto"/>
            </w:tcBorders>
            <w:vAlign w:val="center"/>
          </w:tcPr>
          <w:p w14:paraId="23E4A7B5" w14:textId="77777777" w:rsidR="002751D2" w:rsidRPr="00111042" w:rsidRDefault="002751D2" w:rsidP="00C35189">
            <w:pPr>
              <w:pStyle w:val="TableText0"/>
              <w:keepNext w:val="0"/>
              <w:rPr>
                <w:rFonts w:eastAsia="Times New Roman" w:cs="Times New Roman"/>
                <w:bCs w:val="0"/>
                <w:noProof/>
                <w:snapToGrid w:val="0"/>
              </w:rPr>
            </w:pPr>
          </w:p>
        </w:tc>
        <w:tc>
          <w:tcPr>
            <w:tcW w:w="3027" w:type="pct"/>
            <w:tcBorders>
              <w:top w:val="single" w:sz="4" w:space="0" w:color="auto"/>
              <w:bottom w:val="single" w:sz="4" w:space="0" w:color="auto"/>
            </w:tcBorders>
            <w:vAlign w:val="center"/>
          </w:tcPr>
          <w:p w14:paraId="1602959C" w14:textId="77777777" w:rsidR="002751D2" w:rsidRPr="00111042" w:rsidRDefault="002751D2" w:rsidP="00C35189">
            <w:pPr>
              <w:pStyle w:val="TableText0"/>
              <w:keepNext w:val="0"/>
              <w:rPr>
                <w:rFonts w:eastAsia="Times New Roman" w:cs="Times New Roman"/>
                <w:bCs w:val="0"/>
                <w:noProof/>
                <w:snapToGrid w:val="0"/>
              </w:rPr>
            </w:pPr>
            <w:r w:rsidRPr="00111042">
              <w:rPr>
                <w:rFonts w:eastAsia="Times New Roman" w:cs="Times New Roman"/>
                <w:bCs w:val="0"/>
                <w:noProof/>
                <w:snapToGrid w:val="0"/>
              </w:rPr>
              <w:t>Baranello, G. et al. SUNFISH PART 2: 24-Month Efficacy And Safety Of Risdiplam In Type 2/3 SMA</w:t>
            </w:r>
          </w:p>
        </w:tc>
        <w:tc>
          <w:tcPr>
            <w:tcW w:w="1177" w:type="pct"/>
            <w:tcBorders>
              <w:top w:val="single" w:sz="4" w:space="0" w:color="auto"/>
              <w:bottom w:val="single" w:sz="4" w:space="0" w:color="auto"/>
            </w:tcBorders>
            <w:vAlign w:val="center"/>
          </w:tcPr>
          <w:p w14:paraId="7C3246C1" w14:textId="77777777" w:rsidR="002751D2" w:rsidRPr="00111042" w:rsidRDefault="002751D2" w:rsidP="00C35189">
            <w:pPr>
              <w:pStyle w:val="TableText1"/>
              <w:rPr>
                <w:rFonts w:ascii="Arial Narrow" w:hAnsi="Arial Narrow" w:cs="Times New Roman"/>
                <w:bCs w:val="0"/>
                <w:noProof/>
                <w:snapToGrid w:val="0"/>
                <w:szCs w:val="24"/>
                <w:lang w:eastAsia="en-AU"/>
              </w:rPr>
            </w:pPr>
            <w:r w:rsidRPr="00111042">
              <w:rPr>
                <w:rFonts w:ascii="Arial Narrow" w:hAnsi="Arial Narrow" w:cs="Times New Roman"/>
                <w:bCs w:val="0"/>
                <w:i/>
                <w:iCs/>
                <w:noProof/>
                <w:snapToGrid w:val="0"/>
                <w:szCs w:val="24"/>
                <w:lang w:eastAsia="en-AU"/>
              </w:rPr>
              <w:t>Journal of Neurology, Neurosurgery and Psychiatry</w:t>
            </w:r>
            <w:r w:rsidRPr="00111042">
              <w:rPr>
                <w:rFonts w:ascii="Arial Narrow" w:hAnsi="Arial Narrow" w:cs="Times New Roman"/>
                <w:bCs w:val="0"/>
                <w:noProof/>
                <w:snapToGrid w:val="0"/>
                <w:szCs w:val="24"/>
                <w:lang w:eastAsia="en-AU"/>
              </w:rPr>
              <w:t>. 2022b;93(95-96)</w:t>
            </w:r>
          </w:p>
        </w:tc>
      </w:tr>
      <w:tr w:rsidR="00B23D1A" w:rsidRPr="00111042" w14:paraId="75DECC66" w14:textId="77777777" w:rsidTr="00890494">
        <w:tc>
          <w:tcPr>
            <w:tcW w:w="796" w:type="pct"/>
            <w:vMerge/>
            <w:tcBorders>
              <w:top w:val="single" w:sz="4" w:space="0" w:color="auto"/>
              <w:bottom w:val="single" w:sz="4" w:space="0" w:color="auto"/>
            </w:tcBorders>
            <w:vAlign w:val="center"/>
          </w:tcPr>
          <w:p w14:paraId="0A7A8A18" w14:textId="77777777" w:rsidR="002751D2" w:rsidRPr="00111042" w:rsidRDefault="002751D2" w:rsidP="00C35189">
            <w:pPr>
              <w:pStyle w:val="TableText0"/>
              <w:keepNext w:val="0"/>
              <w:rPr>
                <w:rFonts w:eastAsia="Times New Roman" w:cs="Times New Roman"/>
                <w:bCs w:val="0"/>
                <w:noProof/>
                <w:snapToGrid w:val="0"/>
              </w:rPr>
            </w:pPr>
          </w:p>
        </w:tc>
        <w:tc>
          <w:tcPr>
            <w:tcW w:w="3027" w:type="pct"/>
            <w:tcBorders>
              <w:top w:val="single" w:sz="4" w:space="0" w:color="auto"/>
              <w:bottom w:val="single" w:sz="4" w:space="0" w:color="auto"/>
            </w:tcBorders>
            <w:vAlign w:val="center"/>
          </w:tcPr>
          <w:p w14:paraId="1A1074DE" w14:textId="77777777" w:rsidR="002751D2" w:rsidRPr="00111042" w:rsidRDefault="002751D2" w:rsidP="00C35189">
            <w:pPr>
              <w:pStyle w:val="TableText0"/>
              <w:keepNext w:val="0"/>
              <w:rPr>
                <w:rFonts w:eastAsia="Times New Roman" w:cs="Times New Roman"/>
                <w:bCs w:val="0"/>
                <w:noProof/>
                <w:snapToGrid w:val="0"/>
              </w:rPr>
            </w:pPr>
            <w:r w:rsidRPr="00111042">
              <w:rPr>
                <w:rFonts w:eastAsia="Times New Roman" w:cs="Times New Roman"/>
                <w:bCs w:val="0"/>
                <w:noProof/>
                <w:snapToGrid w:val="0"/>
              </w:rPr>
              <w:t>Servais, L et al. SUNFISH PART 2: Risdiplam In Type 2 And Type 3 SMA.</w:t>
            </w:r>
          </w:p>
        </w:tc>
        <w:tc>
          <w:tcPr>
            <w:tcW w:w="1177" w:type="pct"/>
            <w:tcBorders>
              <w:top w:val="single" w:sz="4" w:space="0" w:color="auto"/>
              <w:bottom w:val="single" w:sz="4" w:space="0" w:color="auto"/>
            </w:tcBorders>
            <w:vAlign w:val="center"/>
          </w:tcPr>
          <w:p w14:paraId="04601A54" w14:textId="77777777" w:rsidR="002751D2" w:rsidRPr="00111042" w:rsidRDefault="002751D2" w:rsidP="00C35189">
            <w:pPr>
              <w:pStyle w:val="TableText1"/>
              <w:rPr>
                <w:rFonts w:ascii="Arial Narrow" w:hAnsi="Arial Narrow" w:cs="Times New Roman"/>
                <w:bCs w:val="0"/>
                <w:noProof/>
                <w:snapToGrid w:val="0"/>
                <w:szCs w:val="24"/>
                <w:lang w:eastAsia="en-AU"/>
              </w:rPr>
            </w:pPr>
            <w:r w:rsidRPr="00111042">
              <w:rPr>
                <w:rFonts w:ascii="Arial Narrow" w:hAnsi="Arial Narrow" w:cs="Times New Roman"/>
                <w:bCs w:val="0"/>
                <w:i/>
                <w:iCs/>
                <w:noProof/>
                <w:snapToGrid w:val="0"/>
                <w:szCs w:val="24"/>
                <w:lang w:eastAsia="en-AU"/>
              </w:rPr>
              <w:t>Journal of Neurology, Neurosurgery and Psychiatry</w:t>
            </w:r>
            <w:r w:rsidRPr="00111042">
              <w:rPr>
                <w:rFonts w:ascii="Arial Narrow" w:hAnsi="Arial Narrow" w:cs="Times New Roman"/>
                <w:bCs w:val="0"/>
                <w:noProof/>
                <w:snapToGrid w:val="0"/>
                <w:szCs w:val="24"/>
                <w:lang w:eastAsia="en-AU"/>
              </w:rPr>
              <w:t>. 2022c;93(A87)</w:t>
            </w:r>
          </w:p>
        </w:tc>
      </w:tr>
      <w:tr w:rsidR="00B23D1A" w:rsidRPr="00111042" w14:paraId="617082A2" w14:textId="77777777" w:rsidTr="00890494">
        <w:trPr>
          <w:trHeight w:val="758"/>
        </w:trPr>
        <w:tc>
          <w:tcPr>
            <w:tcW w:w="796" w:type="pct"/>
            <w:tcBorders>
              <w:top w:val="single" w:sz="4" w:space="0" w:color="auto"/>
            </w:tcBorders>
            <w:vAlign w:val="center"/>
          </w:tcPr>
          <w:p w14:paraId="7F54549F" w14:textId="77777777" w:rsidR="002751D2" w:rsidRPr="00111042" w:rsidRDefault="002751D2" w:rsidP="00C35189">
            <w:pPr>
              <w:pStyle w:val="TableText0"/>
              <w:keepNext w:val="0"/>
            </w:pPr>
            <w:r w:rsidRPr="00111042">
              <w:lastRenderedPageBreak/>
              <w:t>JEWELFISH</w:t>
            </w:r>
          </w:p>
        </w:tc>
        <w:tc>
          <w:tcPr>
            <w:tcW w:w="3027" w:type="pct"/>
            <w:tcBorders>
              <w:top w:val="single" w:sz="4" w:space="0" w:color="auto"/>
            </w:tcBorders>
            <w:vAlign w:val="center"/>
          </w:tcPr>
          <w:p w14:paraId="613F436F" w14:textId="77777777" w:rsidR="002751D2" w:rsidRPr="00111042" w:rsidRDefault="002751D2" w:rsidP="00C35189">
            <w:pPr>
              <w:pStyle w:val="TableText0"/>
              <w:keepNext w:val="0"/>
            </w:pPr>
            <w:r w:rsidRPr="00111042">
              <w:t>An Open-Label Study To Investigate The Safety, Tolerability, And Pharmacokinetics/Pharmacodynamics Of Ro7034067 In Adult And Paediatric Patients With Spinal Muscular Atrophy</w:t>
            </w:r>
          </w:p>
        </w:tc>
        <w:tc>
          <w:tcPr>
            <w:tcW w:w="1177" w:type="pct"/>
            <w:tcBorders>
              <w:top w:val="single" w:sz="4" w:space="0" w:color="auto"/>
            </w:tcBorders>
            <w:vAlign w:val="center"/>
          </w:tcPr>
          <w:p w14:paraId="530AD3E9" w14:textId="77777777" w:rsidR="002751D2" w:rsidRPr="00111042" w:rsidRDefault="002751D2" w:rsidP="00C35189">
            <w:pPr>
              <w:pStyle w:val="TableText1"/>
            </w:pPr>
            <w:r w:rsidRPr="00111042">
              <w:rPr>
                <w:rFonts w:ascii="Arial Narrow" w:eastAsiaTheme="majorEastAsia" w:hAnsi="Arial Narrow" w:cstheme="majorBidi"/>
                <w:szCs w:val="24"/>
                <w:lang w:eastAsia="en-AU"/>
              </w:rPr>
              <w:fldChar w:fldCharType="begin"/>
            </w:r>
            <w:r w:rsidRPr="00111042">
              <w:rPr>
                <w:rFonts w:ascii="Arial Narrow" w:eastAsiaTheme="majorEastAsia" w:hAnsi="Arial Narrow" w:cstheme="majorBidi"/>
                <w:szCs w:val="24"/>
                <w:lang w:eastAsia="en-AU"/>
              </w:rPr>
              <w:instrText xml:space="preserve"> ADDIN EN.CITE &lt;EndNote&gt;&lt;Cite&gt;&lt;Author&gt;JEWELFISH Update CSR&lt;/Author&gt;&lt;Year&gt;2021&lt;/Year&gt;&lt;RecNum&gt;13&lt;/RecNum&gt;&lt;DisplayText&gt;(JEWELFISH Update CSR 2021)&lt;/DisplayText&gt;&lt;record&gt;&lt;rec-number&gt;13&lt;/rec-number&gt;&lt;foreign-keys&gt;&lt;key app="EN" db-id="z5vztse069zeptear9b5as0i5z0fdztvdp0s" timestamp="1666129656"&gt;13&lt;/key&gt;&lt;/foreign-keys&gt;&lt;ref-type name="Journal Article"&gt;17&lt;/ref-type&gt;&lt;contributors&gt;&lt;authors&gt;&lt;author&gt;JEWELFISH Update CSR,&lt;/author&gt;&lt;/authors&gt;&lt;/contributors&gt;&lt;titles&gt;&lt;title&gt;Study BP39054 (also known as JEWELFISH) is an ongoing open-label study to investigate the safety, tolerability, pharmacokinetics, and pharmacodynamics of risdiplam in adult and pediatric patients with SMA, previously enrolled in Study BP29420 (Moonfish) with the splicing modifier RO6885247 or previously treated with nusinersen, olesoxime (a Roche development molecule which has since been discontinued), or AVXS-101 (onasemogene abeparvovoec; a gene therapeutic). &lt;/title&gt;&lt;secondary-title&gt;CCOD Jan 2021&lt;/secondary-title&gt;&lt;/titles&gt;&lt;periodical&gt;&lt;full-title&gt;CCOD Jan 2021&lt;/full-title&gt;&lt;/periodical&gt;&lt;dates&gt;&lt;year&gt;2021&lt;/year&gt;&lt;/dates&gt;&lt;urls&gt;&lt;/urls&gt;&lt;/record&gt;&lt;/Cite&gt;&lt;/EndNote&gt;</w:instrText>
            </w:r>
            <w:r w:rsidRPr="00111042">
              <w:rPr>
                <w:rFonts w:ascii="Arial Narrow" w:eastAsiaTheme="majorEastAsia" w:hAnsi="Arial Narrow" w:cstheme="majorBidi"/>
                <w:szCs w:val="24"/>
                <w:lang w:eastAsia="en-AU"/>
              </w:rPr>
              <w:fldChar w:fldCharType="separate"/>
            </w:r>
            <w:r w:rsidRPr="00111042">
              <w:rPr>
                <w:rFonts w:ascii="Arial Narrow" w:eastAsiaTheme="majorEastAsia" w:hAnsi="Arial Narrow" w:cstheme="majorBidi"/>
                <w:szCs w:val="24"/>
                <w:lang w:eastAsia="en-AU"/>
              </w:rPr>
              <w:t>JEWELFISH Update CSR 2021</w:t>
            </w:r>
            <w:r w:rsidRPr="00111042">
              <w:rPr>
                <w:rFonts w:ascii="Arial Narrow" w:eastAsiaTheme="majorEastAsia" w:hAnsi="Arial Narrow" w:cstheme="majorBidi"/>
                <w:szCs w:val="24"/>
                <w:lang w:eastAsia="en-AU"/>
              </w:rPr>
              <w:fldChar w:fldCharType="end"/>
            </w:r>
            <w:r w:rsidRPr="00111042">
              <w:rPr>
                <w:rFonts w:ascii="Arial Narrow" w:eastAsiaTheme="majorEastAsia" w:hAnsi="Arial Narrow" w:cstheme="majorBidi"/>
                <w:szCs w:val="24"/>
                <w:lang w:eastAsia="en-AU"/>
              </w:rPr>
              <w:t>, Clinical Appendix</w:t>
            </w:r>
          </w:p>
        </w:tc>
      </w:tr>
      <w:tr w:rsidR="00B23D1A" w:rsidRPr="00111042" w14:paraId="0EF54D74" w14:textId="77777777" w:rsidTr="00C35189">
        <w:tc>
          <w:tcPr>
            <w:tcW w:w="5000" w:type="pct"/>
            <w:gridSpan w:val="3"/>
            <w:tcBorders>
              <w:top w:val="nil"/>
              <w:bottom w:val="single" w:sz="4" w:space="0" w:color="auto"/>
            </w:tcBorders>
            <w:vAlign w:val="center"/>
          </w:tcPr>
          <w:p w14:paraId="34507DC2" w14:textId="77777777" w:rsidR="002751D2" w:rsidRPr="00111042" w:rsidRDefault="002751D2" w:rsidP="00C35189">
            <w:pPr>
              <w:pStyle w:val="TableText0"/>
              <w:keepNext w:val="0"/>
              <w:rPr>
                <w:b/>
                <w:bCs w:val="0"/>
                <w:i/>
                <w:szCs w:val="18"/>
              </w:rPr>
            </w:pPr>
            <w:r w:rsidRPr="00111042">
              <w:rPr>
                <w:b/>
                <w:bCs w:val="0"/>
              </w:rPr>
              <w:t>Nusinersen studies</w:t>
            </w:r>
            <w:r w:rsidRPr="00111042">
              <w:t xml:space="preserve"> </w:t>
            </w:r>
            <w:r w:rsidRPr="00111042">
              <w:rPr>
                <w:b/>
                <w:bCs w:val="0"/>
              </w:rPr>
              <w:t>– Adult SMA population (Population 1)</w:t>
            </w:r>
          </w:p>
        </w:tc>
      </w:tr>
      <w:tr w:rsidR="00B23D1A" w:rsidRPr="00111042" w14:paraId="3E9A3715" w14:textId="77777777" w:rsidTr="00C35189">
        <w:tc>
          <w:tcPr>
            <w:tcW w:w="796" w:type="pct"/>
            <w:tcBorders>
              <w:top w:val="nil"/>
              <w:bottom w:val="single" w:sz="4" w:space="0" w:color="auto"/>
            </w:tcBorders>
            <w:vAlign w:val="center"/>
          </w:tcPr>
          <w:p w14:paraId="73A903AD" w14:textId="77777777" w:rsidR="002751D2" w:rsidRPr="00111042" w:rsidRDefault="002751D2" w:rsidP="00C35189">
            <w:pPr>
              <w:pStyle w:val="TableText0"/>
              <w:keepNext w:val="0"/>
            </w:pPr>
            <w:r w:rsidRPr="00111042">
              <w:t>Maggi 2020</w:t>
            </w:r>
          </w:p>
        </w:tc>
        <w:tc>
          <w:tcPr>
            <w:tcW w:w="3027" w:type="pct"/>
            <w:tcBorders>
              <w:top w:val="nil"/>
              <w:bottom w:val="single" w:sz="4" w:space="0" w:color="auto"/>
            </w:tcBorders>
            <w:vAlign w:val="center"/>
          </w:tcPr>
          <w:p w14:paraId="35FEE7F4" w14:textId="77777777" w:rsidR="002751D2" w:rsidRPr="00111042" w:rsidRDefault="002751D2" w:rsidP="00C35189">
            <w:pPr>
              <w:pStyle w:val="TableText0"/>
              <w:keepNext w:val="0"/>
              <w:rPr>
                <w:szCs w:val="18"/>
              </w:rPr>
            </w:pPr>
            <w:r w:rsidRPr="00111042">
              <w:rPr>
                <w:szCs w:val="18"/>
              </w:rPr>
              <w:t xml:space="preserve">Maggi, L. et al. </w:t>
            </w:r>
            <w:r w:rsidRPr="00111042">
              <w:t>Nusinersen safety and effects on motor function in adult spinal muscular atrophy type II and III.</w:t>
            </w:r>
          </w:p>
        </w:tc>
        <w:tc>
          <w:tcPr>
            <w:tcW w:w="1177" w:type="pct"/>
            <w:tcBorders>
              <w:top w:val="nil"/>
              <w:bottom w:val="single" w:sz="4" w:space="0" w:color="auto"/>
            </w:tcBorders>
            <w:vAlign w:val="center"/>
          </w:tcPr>
          <w:p w14:paraId="0F1548E5" w14:textId="77777777" w:rsidR="002751D2" w:rsidRPr="00111042" w:rsidRDefault="002751D2" w:rsidP="00C35189">
            <w:pPr>
              <w:pStyle w:val="TableText0"/>
              <w:keepNext w:val="0"/>
              <w:rPr>
                <w:i/>
                <w:szCs w:val="18"/>
              </w:rPr>
            </w:pPr>
            <w:r w:rsidRPr="00111042">
              <w:rPr>
                <w:i/>
                <w:iCs/>
              </w:rPr>
              <w:t>Journal of Neurology, Neurosurgery and Psychiatry</w:t>
            </w:r>
            <w:r w:rsidRPr="00111042">
              <w:t xml:space="preserve"> 2020;91(11):1166-1174</w:t>
            </w:r>
          </w:p>
        </w:tc>
      </w:tr>
      <w:tr w:rsidR="00B23D1A" w:rsidRPr="00111042" w14:paraId="50608398" w14:textId="77777777" w:rsidTr="00C35189">
        <w:tc>
          <w:tcPr>
            <w:tcW w:w="796" w:type="pct"/>
            <w:tcBorders>
              <w:top w:val="nil"/>
              <w:bottom w:val="single" w:sz="4" w:space="0" w:color="auto"/>
            </w:tcBorders>
            <w:vAlign w:val="center"/>
          </w:tcPr>
          <w:p w14:paraId="3D3FFBD1" w14:textId="77777777" w:rsidR="002751D2" w:rsidRPr="00111042" w:rsidRDefault="002751D2" w:rsidP="00C35189">
            <w:pPr>
              <w:pStyle w:val="TableText0"/>
              <w:keepNext w:val="0"/>
            </w:pPr>
            <w:r w:rsidRPr="00111042">
              <w:t>Hagenacker 2020</w:t>
            </w:r>
          </w:p>
        </w:tc>
        <w:tc>
          <w:tcPr>
            <w:tcW w:w="3027" w:type="pct"/>
            <w:tcBorders>
              <w:top w:val="nil"/>
              <w:bottom w:val="single" w:sz="4" w:space="0" w:color="auto"/>
            </w:tcBorders>
            <w:vAlign w:val="center"/>
          </w:tcPr>
          <w:p w14:paraId="5AAC5CF0" w14:textId="77777777" w:rsidR="002751D2" w:rsidRPr="00111042" w:rsidRDefault="002751D2" w:rsidP="00C35189">
            <w:pPr>
              <w:pStyle w:val="TableText0"/>
              <w:keepNext w:val="0"/>
              <w:rPr>
                <w:szCs w:val="18"/>
              </w:rPr>
            </w:pPr>
            <w:r w:rsidRPr="00111042">
              <w:rPr>
                <w:szCs w:val="18"/>
              </w:rPr>
              <w:t xml:space="preserve">Hagenacker, T et al. </w:t>
            </w:r>
            <w:r w:rsidRPr="00111042">
              <w:t>Nusinersen in adults with 5q spinal muscular atrophy: a non-interventional, multicentre, observational cohort study</w:t>
            </w:r>
          </w:p>
        </w:tc>
        <w:tc>
          <w:tcPr>
            <w:tcW w:w="1177" w:type="pct"/>
            <w:tcBorders>
              <w:top w:val="nil"/>
              <w:bottom w:val="single" w:sz="4" w:space="0" w:color="auto"/>
            </w:tcBorders>
            <w:vAlign w:val="center"/>
          </w:tcPr>
          <w:p w14:paraId="21763F20" w14:textId="77777777" w:rsidR="002751D2" w:rsidRPr="00111042" w:rsidRDefault="002751D2" w:rsidP="00C35189">
            <w:pPr>
              <w:pStyle w:val="TableText0"/>
              <w:keepNext w:val="0"/>
              <w:rPr>
                <w:i/>
                <w:szCs w:val="18"/>
              </w:rPr>
            </w:pPr>
            <w:r w:rsidRPr="00111042">
              <w:rPr>
                <w:i/>
                <w:iCs/>
              </w:rPr>
              <w:t>The Lancet Neurology</w:t>
            </w:r>
            <w:r w:rsidRPr="00111042">
              <w:t xml:space="preserve"> 2020; 19(4),317-325</w:t>
            </w:r>
          </w:p>
        </w:tc>
      </w:tr>
      <w:tr w:rsidR="00B23D1A" w:rsidRPr="00111042" w14:paraId="5994E9DD" w14:textId="77777777" w:rsidTr="00C35189">
        <w:tc>
          <w:tcPr>
            <w:tcW w:w="796" w:type="pct"/>
            <w:tcBorders>
              <w:top w:val="nil"/>
              <w:bottom w:val="single" w:sz="4" w:space="0" w:color="auto"/>
            </w:tcBorders>
            <w:vAlign w:val="center"/>
          </w:tcPr>
          <w:p w14:paraId="21A53750" w14:textId="77777777" w:rsidR="002751D2" w:rsidRPr="00111042" w:rsidRDefault="002751D2" w:rsidP="00C35189">
            <w:pPr>
              <w:pStyle w:val="TableText0"/>
              <w:keepNext w:val="0"/>
            </w:pPr>
            <w:r w:rsidRPr="00111042">
              <w:t>Pera 2021</w:t>
            </w:r>
          </w:p>
        </w:tc>
        <w:tc>
          <w:tcPr>
            <w:tcW w:w="3027" w:type="pct"/>
            <w:tcBorders>
              <w:top w:val="nil"/>
              <w:bottom w:val="single" w:sz="4" w:space="0" w:color="auto"/>
            </w:tcBorders>
            <w:vAlign w:val="center"/>
          </w:tcPr>
          <w:p w14:paraId="5A47AA6A" w14:textId="77777777" w:rsidR="002751D2" w:rsidRPr="00111042" w:rsidRDefault="002751D2" w:rsidP="00C35189">
            <w:pPr>
              <w:pStyle w:val="TableText0"/>
              <w:keepNext w:val="0"/>
              <w:rPr>
                <w:szCs w:val="18"/>
              </w:rPr>
            </w:pPr>
            <w:r w:rsidRPr="00111042">
              <w:rPr>
                <w:szCs w:val="18"/>
              </w:rPr>
              <w:t xml:space="preserve">Pera, M. et al. </w:t>
            </w:r>
            <w:r w:rsidRPr="00111042">
              <w:rPr>
                <w:noProof/>
              </w:rPr>
              <w:t>Nusinersen in pediatric and adult patients with type III spinal muscular atrophy.</w:t>
            </w:r>
          </w:p>
        </w:tc>
        <w:tc>
          <w:tcPr>
            <w:tcW w:w="1177" w:type="pct"/>
            <w:tcBorders>
              <w:top w:val="nil"/>
              <w:bottom w:val="single" w:sz="4" w:space="0" w:color="auto"/>
            </w:tcBorders>
            <w:vAlign w:val="center"/>
          </w:tcPr>
          <w:p w14:paraId="0A6180C0" w14:textId="77777777" w:rsidR="002751D2" w:rsidRPr="00111042" w:rsidRDefault="002751D2" w:rsidP="00C35189">
            <w:pPr>
              <w:pStyle w:val="TableText0"/>
              <w:keepNext w:val="0"/>
              <w:rPr>
                <w:i/>
                <w:szCs w:val="18"/>
              </w:rPr>
            </w:pPr>
            <w:r w:rsidRPr="00111042">
              <w:rPr>
                <w:i/>
                <w:iCs/>
                <w:noProof/>
              </w:rPr>
              <w:t>Ann Clin Transl Neurol</w:t>
            </w:r>
            <w:r w:rsidRPr="00111042">
              <w:rPr>
                <w:noProof/>
              </w:rPr>
              <w:t>. 2021;8(8):1622-34</w:t>
            </w:r>
          </w:p>
        </w:tc>
      </w:tr>
      <w:tr w:rsidR="00B23D1A" w:rsidRPr="00111042" w14:paraId="6DAF41D3" w14:textId="77777777" w:rsidTr="00C35189">
        <w:tc>
          <w:tcPr>
            <w:tcW w:w="5000" w:type="pct"/>
            <w:gridSpan w:val="3"/>
            <w:tcBorders>
              <w:top w:val="nil"/>
              <w:bottom w:val="single" w:sz="4" w:space="0" w:color="auto"/>
            </w:tcBorders>
            <w:vAlign w:val="center"/>
          </w:tcPr>
          <w:p w14:paraId="40DCB241" w14:textId="77777777" w:rsidR="002751D2" w:rsidRPr="00111042" w:rsidRDefault="002751D2" w:rsidP="00C35189">
            <w:pPr>
              <w:pStyle w:val="TableText0"/>
              <w:keepNext w:val="0"/>
              <w:rPr>
                <w:b/>
                <w:bCs w:val="0"/>
                <w:i/>
                <w:szCs w:val="18"/>
              </w:rPr>
            </w:pPr>
            <w:r w:rsidRPr="00111042">
              <w:rPr>
                <w:b/>
                <w:bCs w:val="0"/>
              </w:rPr>
              <w:t>Risdiplam studies</w:t>
            </w:r>
            <w:r w:rsidRPr="00111042">
              <w:t xml:space="preserve"> </w:t>
            </w:r>
            <w:r w:rsidRPr="00111042">
              <w:rPr>
                <w:b/>
                <w:bCs w:val="0"/>
              </w:rPr>
              <w:t>– Pre-symptomatic SMA population (Populations 2 and 3)</w:t>
            </w:r>
          </w:p>
        </w:tc>
      </w:tr>
      <w:tr w:rsidR="00B23D1A" w:rsidRPr="00111042" w14:paraId="07ABE903" w14:textId="77777777" w:rsidTr="00C35189">
        <w:tc>
          <w:tcPr>
            <w:tcW w:w="796" w:type="pct"/>
            <w:vMerge w:val="restart"/>
            <w:tcBorders>
              <w:top w:val="nil"/>
            </w:tcBorders>
            <w:vAlign w:val="center"/>
          </w:tcPr>
          <w:p w14:paraId="777D302A" w14:textId="77777777" w:rsidR="002751D2" w:rsidRPr="00111042" w:rsidRDefault="002751D2" w:rsidP="00C35189">
            <w:pPr>
              <w:pStyle w:val="TableText0"/>
              <w:keepNext w:val="0"/>
            </w:pPr>
            <w:r w:rsidRPr="00111042">
              <w:t>RAINBOWFISH</w:t>
            </w:r>
          </w:p>
        </w:tc>
        <w:tc>
          <w:tcPr>
            <w:tcW w:w="3027" w:type="pct"/>
            <w:tcBorders>
              <w:top w:val="nil"/>
              <w:bottom w:val="single" w:sz="4" w:space="0" w:color="auto"/>
            </w:tcBorders>
            <w:vAlign w:val="center"/>
          </w:tcPr>
          <w:p w14:paraId="18ADA67C" w14:textId="77777777" w:rsidR="002751D2" w:rsidRPr="00111042" w:rsidRDefault="002751D2" w:rsidP="00C35189">
            <w:pPr>
              <w:pStyle w:val="TableText0"/>
              <w:keepNext w:val="0"/>
            </w:pPr>
            <w:r w:rsidRPr="00111042">
              <w:t>Interim CSR Study BN40703, (RAINBOWFISH) An Open-Label Study Of Risdiplam In Infants With Genetically Diagnosed And Presymptomatic Spinal Muscular Atrophy</w:t>
            </w:r>
          </w:p>
        </w:tc>
        <w:tc>
          <w:tcPr>
            <w:tcW w:w="1177" w:type="pct"/>
            <w:tcBorders>
              <w:top w:val="nil"/>
              <w:bottom w:val="single" w:sz="4" w:space="0" w:color="auto"/>
            </w:tcBorders>
            <w:vAlign w:val="center"/>
          </w:tcPr>
          <w:p w14:paraId="58D893D3" w14:textId="32A25C58" w:rsidR="002751D2" w:rsidRPr="00111042" w:rsidRDefault="002751D2" w:rsidP="00C35189">
            <w:pPr>
              <w:pStyle w:val="TableText1"/>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Report No. 1109915 2021; October 2021 (Clinical Appendix)</w:t>
            </w:r>
          </w:p>
        </w:tc>
      </w:tr>
      <w:tr w:rsidR="00B23D1A" w:rsidRPr="00111042" w14:paraId="531C4E6D" w14:textId="77777777" w:rsidTr="00C35189">
        <w:tc>
          <w:tcPr>
            <w:tcW w:w="796" w:type="pct"/>
            <w:vMerge/>
            <w:vAlign w:val="center"/>
          </w:tcPr>
          <w:p w14:paraId="6916C605" w14:textId="77777777" w:rsidR="002751D2" w:rsidRPr="00111042" w:rsidRDefault="002751D2" w:rsidP="00C35189">
            <w:pPr>
              <w:pStyle w:val="TableText0"/>
              <w:keepNext w:val="0"/>
            </w:pPr>
          </w:p>
        </w:tc>
        <w:tc>
          <w:tcPr>
            <w:tcW w:w="3027" w:type="pct"/>
            <w:tcBorders>
              <w:top w:val="nil"/>
              <w:bottom w:val="single" w:sz="4" w:space="0" w:color="auto"/>
            </w:tcBorders>
            <w:vAlign w:val="center"/>
          </w:tcPr>
          <w:p w14:paraId="29B794EB" w14:textId="77777777" w:rsidR="002751D2" w:rsidRPr="00111042" w:rsidRDefault="002751D2" w:rsidP="00C35189">
            <w:pPr>
              <w:pStyle w:val="TableText0"/>
              <w:keepNext w:val="0"/>
            </w:pPr>
            <w:r w:rsidRPr="00111042">
              <w:t>Servais, L. et al. A study of risdiplam in infants with presymptomatic spinal muscular atrophy (SMA).</w:t>
            </w:r>
          </w:p>
        </w:tc>
        <w:tc>
          <w:tcPr>
            <w:tcW w:w="1177" w:type="pct"/>
            <w:tcBorders>
              <w:top w:val="nil"/>
              <w:bottom w:val="single" w:sz="4" w:space="0" w:color="auto"/>
            </w:tcBorders>
            <w:vAlign w:val="center"/>
          </w:tcPr>
          <w:p w14:paraId="02D8D2D1" w14:textId="77777777" w:rsidR="002751D2" w:rsidRPr="00111042" w:rsidRDefault="002751D2" w:rsidP="00C35189">
            <w:pPr>
              <w:pStyle w:val="TableText1"/>
              <w:rPr>
                <w:rFonts w:ascii="Arial Narrow" w:eastAsiaTheme="majorEastAsia" w:hAnsi="Arial Narrow" w:cstheme="majorBidi"/>
                <w:szCs w:val="24"/>
                <w:lang w:eastAsia="en-AU"/>
              </w:rPr>
            </w:pPr>
            <w:r w:rsidRPr="00111042">
              <w:rPr>
                <w:rFonts w:ascii="Arial Narrow" w:eastAsiaTheme="majorEastAsia" w:hAnsi="Arial Narrow" w:cstheme="majorBidi"/>
                <w:i/>
                <w:iCs/>
                <w:szCs w:val="24"/>
                <w:lang w:eastAsia="en-AU"/>
              </w:rPr>
              <w:t>Developmental Medicine and Child Neurology</w:t>
            </w:r>
            <w:r w:rsidRPr="00111042">
              <w:rPr>
                <w:rFonts w:ascii="Arial Narrow" w:eastAsiaTheme="majorEastAsia" w:hAnsi="Arial Narrow" w:cstheme="majorBidi"/>
                <w:szCs w:val="24"/>
                <w:lang w:eastAsia="en-AU"/>
              </w:rPr>
              <w:t>. 2022;Poster presentation, volume 64(71)</w:t>
            </w:r>
          </w:p>
        </w:tc>
      </w:tr>
      <w:tr w:rsidR="00B23D1A" w:rsidRPr="00111042" w14:paraId="0F0C7F4C" w14:textId="77777777" w:rsidTr="00C35189">
        <w:tc>
          <w:tcPr>
            <w:tcW w:w="796" w:type="pct"/>
            <w:vMerge/>
            <w:vAlign w:val="center"/>
          </w:tcPr>
          <w:p w14:paraId="7FF995C5" w14:textId="77777777" w:rsidR="002751D2" w:rsidRPr="00111042" w:rsidRDefault="002751D2" w:rsidP="00C35189">
            <w:pPr>
              <w:pStyle w:val="TableText0"/>
              <w:keepNext w:val="0"/>
            </w:pPr>
          </w:p>
        </w:tc>
        <w:tc>
          <w:tcPr>
            <w:tcW w:w="3027" w:type="pct"/>
            <w:tcBorders>
              <w:top w:val="nil"/>
              <w:bottom w:val="single" w:sz="4" w:space="0" w:color="auto"/>
            </w:tcBorders>
            <w:vAlign w:val="center"/>
          </w:tcPr>
          <w:p w14:paraId="24F3A62C" w14:textId="77777777" w:rsidR="002751D2" w:rsidRPr="00111042" w:rsidRDefault="002751D2" w:rsidP="00C35189">
            <w:pPr>
              <w:pStyle w:val="TableText0"/>
              <w:keepNext w:val="0"/>
            </w:pPr>
            <w:r w:rsidRPr="00111042">
              <w:t>Servais, L. et al. Preliminary Efficacy and Safety Data in Risdiplam-Treated Infants with Presymptomatic Spinal Muscular Atrophy.</w:t>
            </w:r>
          </w:p>
        </w:tc>
        <w:tc>
          <w:tcPr>
            <w:tcW w:w="1177" w:type="pct"/>
            <w:tcBorders>
              <w:top w:val="nil"/>
              <w:bottom w:val="single" w:sz="4" w:space="0" w:color="auto"/>
            </w:tcBorders>
            <w:vAlign w:val="center"/>
          </w:tcPr>
          <w:p w14:paraId="323AA659" w14:textId="77777777" w:rsidR="002751D2" w:rsidRPr="00111042" w:rsidRDefault="002751D2" w:rsidP="00C35189">
            <w:pPr>
              <w:pStyle w:val="TableText1"/>
              <w:rPr>
                <w:rFonts w:ascii="Arial Narrow" w:eastAsiaTheme="majorEastAsia" w:hAnsi="Arial Narrow" w:cstheme="majorBidi"/>
                <w:szCs w:val="24"/>
                <w:lang w:eastAsia="en-AU"/>
              </w:rPr>
            </w:pPr>
            <w:r w:rsidRPr="00111042">
              <w:rPr>
                <w:rFonts w:ascii="Arial Narrow" w:eastAsiaTheme="majorEastAsia" w:hAnsi="Arial Narrow" w:cstheme="majorBidi"/>
                <w:i/>
                <w:iCs/>
                <w:szCs w:val="24"/>
                <w:lang w:eastAsia="en-AU"/>
              </w:rPr>
              <w:t>Journal of Neuromuscular</w:t>
            </w:r>
            <w:r w:rsidRPr="00111042">
              <w:rPr>
                <w:rFonts w:ascii="Arial Narrow" w:eastAsiaTheme="majorEastAsia" w:hAnsi="Arial Narrow" w:cstheme="majorBidi"/>
                <w:szCs w:val="24"/>
                <w:lang w:eastAsia="en-AU"/>
              </w:rPr>
              <w:t xml:space="preserve"> Diseases. 2022b;9:S114-S15</w:t>
            </w:r>
          </w:p>
        </w:tc>
      </w:tr>
      <w:tr w:rsidR="00B23D1A" w:rsidRPr="00111042" w14:paraId="4F37A327" w14:textId="77777777" w:rsidTr="00C35189">
        <w:tc>
          <w:tcPr>
            <w:tcW w:w="796" w:type="pct"/>
            <w:vMerge/>
            <w:tcBorders>
              <w:bottom w:val="single" w:sz="4" w:space="0" w:color="auto"/>
            </w:tcBorders>
            <w:vAlign w:val="center"/>
          </w:tcPr>
          <w:p w14:paraId="6D7C4DB7" w14:textId="77777777" w:rsidR="002751D2" w:rsidRPr="00111042" w:rsidRDefault="002751D2" w:rsidP="00C35189">
            <w:pPr>
              <w:pStyle w:val="TableText0"/>
              <w:keepNext w:val="0"/>
            </w:pPr>
          </w:p>
        </w:tc>
        <w:tc>
          <w:tcPr>
            <w:tcW w:w="3027" w:type="pct"/>
            <w:tcBorders>
              <w:top w:val="nil"/>
              <w:bottom w:val="single" w:sz="4" w:space="0" w:color="auto"/>
            </w:tcBorders>
            <w:vAlign w:val="center"/>
          </w:tcPr>
          <w:p w14:paraId="54BE4DC8" w14:textId="77777777" w:rsidR="002751D2" w:rsidRPr="00111042" w:rsidRDefault="002751D2" w:rsidP="00C35189">
            <w:pPr>
              <w:pStyle w:val="TableText0"/>
              <w:keepNext w:val="0"/>
              <w:rPr>
                <w:szCs w:val="18"/>
              </w:rPr>
            </w:pPr>
            <w:r w:rsidRPr="00111042">
              <w:rPr>
                <w:szCs w:val="18"/>
              </w:rPr>
              <w:t xml:space="preserve">Finkel, R. et al. </w:t>
            </w:r>
            <w:r w:rsidRPr="00111042">
              <w:rPr>
                <w:noProof/>
              </w:rPr>
              <w:t>Preliminary Efficacy and Safety Data in Risdiplam-Treated Infants with Presymptomatic SMA.</w:t>
            </w:r>
          </w:p>
        </w:tc>
        <w:tc>
          <w:tcPr>
            <w:tcW w:w="1177" w:type="pct"/>
            <w:tcBorders>
              <w:top w:val="nil"/>
              <w:bottom w:val="single" w:sz="4" w:space="0" w:color="auto"/>
            </w:tcBorders>
            <w:vAlign w:val="center"/>
          </w:tcPr>
          <w:p w14:paraId="23BAC581" w14:textId="77777777" w:rsidR="002751D2" w:rsidRPr="00111042" w:rsidRDefault="002751D2" w:rsidP="00C35189">
            <w:pPr>
              <w:pStyle w:val="TableText0"/>
              <w:keepNext w:val="0"/>
              <w:rPr>
                <w:i/>
                <w:szCs w:val="18"/>
              </w:rPr>
            </w:pPr>
            <w:r w:rsidRPr="00111042">
              <w:rPr>
                <w:i/>
                <w:noProof/>
              </w:rPr>
              <w:t>Neurology</w:t>
            </w:r>
            <w:r w:rsidRPr="00111042">
              <w:rPr>
                <w:noProof/>
              </w:rPr>
              <w:t>. 2022;98.</w:t>
            </w:r>
          </w:p>
        </w:tc>
      </w:tr>
      <w:tr w:rsidR="00B23D1A" w:rsidRPr="00111042" w14:paraId="1DA25CDD" w14:textId="77777777" w:rsidTr="00C35189">
        <w:tc>
          <w:tcPr>
            <w:tcW w:w="5000" w:type="pct"/>
            <w:gridSpan w:val="3"/>
            <w:tcBorders>
              <w:top w:val="nil"/>
              <w:bottom w:val="single" w:sz="4" w:space="0" w:color="auto"/>
            </w:tcBorders>
            <w:vAlign w:val="center"/>
          </w:tcPr>
          <w:p w14:paraId="247AFF56" w14:textId="77777777" w:rsidR="002751D2" w:rsidRPr="00111042" w:rsidRDefault="002751D2" w:rsidP="00C35189">
            <w:pPr>
              <w:pStyle w:val="TableText0"/>
              <w:keepNext w:val="0"/>
              <w:rPr>
                <w:b/>
                <w:bCs w:val="0"/>
                <w:i/>
                <w:szCs w:val="18"/>
              </w:rPr>
            </w:pPr>
            <w:r w:rsidRPr="00111042">
              <w:rPr>
                <w:b/>
                <w:bCs w:val="0"/>
              </w:rPr>
              <w:t>Nusinersen studies</w:t>
            </w:r>
            <w:r w:rsidRPr="00111042">
              <w:t xml:space="preserve"> </w:t>
            </w:r>
            <w:r w:rsidRPr="00111042">
              <w:rPr>
                <w:b/>
                <w:bCs w:val="0"/>
              </w:rPr>
              <w:t>– Pre-symptomatic SMA population (Population 2)</w:t>
            </w:r>
          </w:p>
        </w:tc>
      </w:tr>
      <w:tr w:rsidR="00B23D1A" w:rsidRPr="00111042" w14:paraId="0EAEC5B8" w14:textId="77777777" w:rsidTr="00C35189">
        <w:tc>
          <w:tcPr>
            <w:tcW w:w="796" w:type="pct"/>
            <w:vMerge w:val="restart"/>
            <w:tcBorders>
              <w:top w:val="nil"/>
            </w:tcBorders>
            <w:vAlign w:val="center"/>
          </w:tcPr>
          <w:p w14:paraId="78D13CDC" w14:textId="77777777" w:rsidR="002751D2" w:rsidRPr="00111042" w:rsidRDefault="002751D2" w:rsidP="00C35189">
            <w:pPr>
              <w:pStyle w:val="TableText0"/>
              <w:keepNext w:val="0"/>
            </w:pPr>
            <w:r w:rsidRPr="00111042">
              <w:t>NURTURE</w:t>
            </w:r>
          </w:p>
        </w:tc>
        <w:tc>
          <w:tcPr>
            <w:tcW w:w="3027" w:type="pct"/>
            <w:tcBorders>
              <w:top w:val="nil"/>
              <w:bottom w:val="single" w:sz="4" w:space="0" w:color="auto"/>
            </w:tcBorders>
            <w:vAlign w:val="center"/>
          </w:tcPr>
          <w:p w14:paraId="0E18B511" w14:textId="77777777" w:rsidR="002751D2" w:rsidRPr="00111042" w:rsidRDefault="002751D2" w:rsidP="00C35189">
            <w:pPr>
              <w:pStyle w:val="TableText0"/>
              <w:keepNext w:val="0"/>
              <w:rPr>
                <w:szCs w:val="18"/>
              </w:rPr>
            </w:pPr>
            <w:r w:rsidRPr="00111042">
              <w:rPr>
                <w:szCs w:val="18"/>
              </w:rPr>
              <w:t xml:space="preserve">De Vivo, D. et al. </w:t>
            </w:r>
            <w:r w:rsidRPr="00111042">
              <w:rPr>
                <w:noProof/>
              </w:rPr>
              <w:t>Nusinersen initiated in infants during the presymptomatic stage of spinal muscular atrophy: Interim efficacy and safety results from the Phase 2 NURTURE study.</w:t>
            </w:r>
          </w:p>
        </w:tc>
        <w:tc>
          <w:tcPr>
            <w:tcW w:w="1177" w:type="pct"/>
            <w:tcBorders>
              <w:top w:val="nil"/>
              <w:bottom w:val="single" w:sz="4" w:space="0" w:color="auto"/>
            </w:tcBorders>
            <w:vAlign w:val="center"/>
          </w:tcPr>
          <w:p w14:paraId="64E70B70" w14:textId="77777777" w:rsidR="002751D2" w:rsidRPr="00111042" w:rsidRDefault="002751D2" w:rsidP="00C35189">
            <w:pPr>
              <w:pStyle w:val="TableText1"/>
              <w:rPr>
                <w:noProof/>
              </w:rPr>
            </w:pPr>
            <w:r w:rsidRPr="00111042">
              <w:rPr>
                <w:rFonts w:ascii="Arial Narrow" w:eastAsiaTheme="majorEastAsia" w:hAnsi="Arial Narrow" w:cstheme="majorBidi"/>
                <w:i/>
                <w:iCs/>
                <w:noProof/>
                <w:szCs w:val="24"/>
                <w:lang w:eastAsia="en-AU"/>
              </w:rPr>
              <w:t>Neuromuscul Disord</w:t>
            </w:r>
            <w:r w:rsidRPr="00111042">
              <w:rPr>
                <w:rFonts w:ascii="Arial Narrow" w:eastAsiaTheme="majorEastAsia" w:hAnsi="Arial Narrow" w:cstheme="majorBidi"/>
                <w:noProof/>
                <w:szCs w:val="24"/>
                <w:lang w:eastAsia="en-AU"/>
              </w:rPr>
              <w:t>. 2019;29(11):842-56</w:t>
            </w:r>
          </w:p>
        </w:tc>
      </w:tr>
      <w:tr w:rsidR="00B23D1A" w:rsidRPr="00111042" w14:paraId="7DB9D636" w14:textId="77777777" w:rsidTr="00C35189">
        <w:tc>
          <w:tcPr>
            <w:tcW w:w="796" w:type="pct"/>
            <w:vMerge/>
            <w:vAlign w:val="center"/>
          </w:tcPr>
          <w:p w14:paraId="61E3EB40" w14:textId="77777777" w:rsidR="002751D2" w:rsidRPr="00111042" w:rsidRDefault="002751D2" w:rsidP="00C35189">
            <w:pPr>
              <w:pStyle w:val="TableText0"/>
              <w:keepNext w:val="0"/>
            </w:pPr>
          </w:p>
        </w:tc>
        <w:tc>
          <w:tcPr>
            <w:tcW w:w="3027" w:type="pct"/>
            <w:tcBorders>
              <w:top w:val="nil"/>
              <w:bottom w:val="single" w:sz="4" w:space="0" w:color="auto"/>
            </w:tcBorders>
            <w:vAlign w:val="center"/>
          </w:tcPr>
          <w:p w14:paraId="7FC4D40F" w14:textId="77777777" w:rsidR="002751D2" w:rsidRPr="00111042" w:rsidRDefault="002751D2" w:rsidP="00C35189">
            <w:pPr>
              <w:pStyle w:val="TableText0"/>
              <w:keepNext w:val="0"/>
              <w:rPr>
                <w:szCs w:val="18"/>
              </w:rPr>
            </w:pPr>
            <w:r w:rsidRPr="00111042">
              <w:rPr>
                <w:noProof/>
              </w:rPr>
              <w:t>Crawford, T et al. Effect in Infants in the Presymptomatic Stage of SMA: 4.9</w:t>
            </w:r>
            <w:r w:rsidRPr="00111042">
              <w:rPr>
                <w:noProof/>
              </w:rPr>
              <w:noBreakHyphen/>
              <w:t>year Interim of the NUTURE Study</w:t>
            </w:r>
          </w:p>
        </w:tc>
        <w:tc>
          <w:tcPr>
            <w:tcW w:w="1177" w:type="pct"/>
            <w:tcBorders>
              <w:top w:val="nil"/>
              <w:bottom w:val="single" w:sz="4" w:space="0" w:color="auto"/>
            </w:tcBorders>
            <w:vAlign w:val="center"/>
          </w:tcPr>
          <w:p w14:paraId="3D082D2C" w14:textId="77777777" w:rsidR="002751D2" w:rsidRPr="00111042" w:rsidRDefault="002751D2" w:rsidP="00C35189">
            <w:pPr>
              <w:pStyle w:val="TableText1"/>
              <w:rPr>
                <w:noProof/>
              </w:rPr>
            </w:pPr>
            <w:r w:rsidRPr="00111042">
              <w:rPr>
                <w:rFonts w:ascii="Arial Narrow" w:eastAsiaTheme="majorEastAsia" w:hAnsi="Arial Narrow" w:cstheme="majorBidi"/>
                <w:noProof/>
                <w:szCs w:val="24"/>
                <w:lang w:eastAsia="en-AU"/>
              </w:rPr>
              <w:t>MDA (2022) Muscular Dystrophy Association - 4th Clinical and Scientific Conference. 2022;March 13-16, 2022, Nashville, TN(Abstract presentation)</w:t>
            </w:r>
          </w:p>
        </w:tc>
      </w:tr>
      <w:tr w:rsidR="00B23D1A" w:rsidRPr="00111042" w14:paraId="5D8A7DD4" w14:textId="77777777" w:rsidTr="00C35189">
        <w:tc>
          <w:tcPr>
            <w:tcW w:w="796" w:type="pct"/>
            <w:vMerge/>
            <w:tcBorders>
              <w:bottom w:val="single" w:sz="4" w:space="0" w:color="auto"/>
            </w:tcBorders>
            <w:vAlign w:val="center"/>
          </w:tcPr>
          <w:p w14:paraId="5D5BBEAA" w14:textId="77777777" w:rsidR="002751D2" w:rsidRPr="00111042" w:rsidRDefault="002751D2" w:rsidP="00C35189">
            <w:pPr>
              <w:pStyle w:val="TableText0"/>
              <w:keepNext w:val="0"/>
            </w:pPr>
          </w:p>
        </w:tc>
        <w:tc>
          <w:tcPr>
            <w:tcW w:w="3027" w:type="pct"/>
            <w:tcBorders>
              <w:top w:val="nil"/>
              <w:bottom w:val="single" w:sz="4" w:space="0" w:color="auto"/>
            </w:tcBorders>
            <w:vAlign w:val="center"/>
          </w:tcPr>
          <w:p w14:paraId="23AE7313" w14:textId="77777777" w:rsidR="002751D2" w:rsidRPr="00111042" w:rsidRDefault="002751D2" w:rsidP="00C35189">
            <w:pPr>
              <w:pStyle w:val="TableText0"/>
              <w:keepNext w:val="0"/>
              <w:rPr>
                <w:szCs w:val="18"/>
              </w:rPr>
            </w:pPr>
            <w:r w:rsidRPr="00111042">
              <w:rPr>
                <w:szCs w:val="18"/>
              </w:rPr>
              <w:t xml:space="preserve">Kirschner, J. et al. </w:t>
            </w:r>
            <w:r w:rsidRPr="00111042">
              <w:rPr>
                <w:noProof/>
              </w:rPr>
              <w:t>Impact of Nusinersen on Caregiver Experience and HRQoL in Presymptomatic SMA: NURTURE Study Results</w:t>
            </w:r>
          </w:p>
        </w:tc>
        <w:tc>
          <w:tcPr>
            <w:tcW w:w="1177" w:type="pct"/>
            <w:tcBorders>
              <w:top w:val="nil"/>
              <w:bottom w:val="single" w:sz="4" w:space="0" w:color="auto"/>
            </w:tcBorders>
            <w:vAlign w:val="center"/>
          </w:tcPr>
          <w:p w14:paraId="76816848" w14:textId="77777777" w:rsidR="002751D2" w:rsidRPr="00111042" w:rsidRDefault="002751D2" w:rsidP="00C35189">
            <w:pPr>
              <w:pStyle w:val="TableText0"/>
              <w:keepNext w:val="0"/>
              <w:rPr>
                <w:i/>
                <w:szCs w:val="18"/>
              </w:rPr>
            </w:pPr>
            <w:r w:rsidRPr="00111042">
              <w:rPr>
                <w:i/>
                <w:noProof/>
              </w:rPr>
              <w:t>Journal of Neuromuscular Diseases</w:t>
            </w:r>
            <w:r w:rsidRPr="00111042">
              <w:rPr>
                <w:noProof/>
              </w:rPr>
              <w:t>. 2022;9:S113-S14.</w:t>
            </w:r>
          </w:p>
        </w:tc>
      </w:tr>
      <w:tr w:rsidR="00B23D1A" w:rsidRPr="00111042" w14:paraId="43FE9CE8" w14:textId="77777777" w:rsidTr="00C35189">
        <w:tc>
          <w:tcPr>
            <w:tcW w:w="796" w:type="pct"/>
            <w:vMerge/>
            <w:tcBorders>
              <w:bottom w:val="single" w:sz="4" w:space="0" w:color="auto"/>
            </w:tcBorders>
            <w:vAlign w:val="center"/>
          </w:tcPr>
          <w:p w14:paraId="250A089B" w14:textId="77777777" w:rsidR="002751D2" w:rsidRPr="00111042" w:rsidRDefault="002751D2" w:rsidP="00C35189">
            <w:pPr>
              <w:pStyle w:val="TableText0"/>
              <w:keepNext w:val="0"/>
            </w:pPr>
          </w:p>
        </w:tc>
        <w:tc>
          <w:tcPr>
            <w:tcW w:w="3027" w:type="pct"/>
            <w:tcBorders>
              <w:top w:val="nil"/>
              <w:bottom w:val="single" w:sz="4" w:space="0" w:color="auto"/>
            </w:tcBorders>
            <w:vAlign w:val="center"/>
          </w:tcPr>
          <w:p w14:paraId="0CF8ECF1" w14:textId="77777777" w:rsidR="002751D2" w:rsidRPr="00111042" w:rsidRDefault="002751D2" w:rsidP="00C35189">
            <w:pPr>
              <w:pStyle w:val="TableText0"/>
              <w:keepNext w:val="0"/>
              <w:rPr>
                <w:noProof/>
              </w:rPr>
            </w:pPr>
            <w:r w:rsidRPr="00111042">
              <w:rPr>
                <w:noProof/>
              </w:rPr>
              <w:t xml:space="preserve">Strauss, K. et al. Onasemnogene abeparvovec for presymptomatic infants with three copies of </w:t>
            </w:r>
            <w:r w:rsidRPr="00111042">
              <w:rPr>
                <w:i/>
                <w:iCs/>
                <w:noProof/>
              </w:rPr>
              <w:t>SMN2</w:t>
            </w:r>
            <w:r w:rsidRPr="00111042">
              <w:rPr>
                <w:noProof/>
              </w:rPr>
              <w:t xml:space="preserve"> at risk for spinal muscular atrophy: the Phase III SPR1NT trial</w:t>
            </w:r>
          </w:p>
        </w:tc>
        <w:tc>
          <w:tcPr>
            <w:tcW w:w="1177" w:type="pct"/>
            <w:tcBorders>
              <w:top w:val="nil"/>
              <w:bottom w:val="single" w:sz="4" w:space="0" w:color="auto"/>
            </w:tcBorders>
            <w:vAlign w:val="center"/>
          </w:tcPr>
          <w:p w14:paraId="44A689BB" w14:textId="77777777" w:rsidR="002751D2" w:rsidRPr="00111042" w:rsidRDefault="002751D2" w:rsidP="00C35189">
            <w:pPr>
              <w:pStyle w:val="TableText0"/>
              <w:keepNext w:val="0"/>
              <w:rPr>
                <w:noProof/>
              </w:rPr>
            </w:pPr>
            <w:r w:rsidRPr="00111042">
              <w:rPr>
                <w:i/>
                <w:iCs/>
                <w:noProof/>
              </w:rPr>
              <w:t>Nat Med</w:t>
            </w:r>
            <w:r w:rsidRPr="00111042">
              <w:rPr>
                <w:noProof/>
              </w:rPr>
              <w:t>. 2022b;28(7):1390-97</w:t>
            </w:r>
          </w:p>
        </w:tc>
      </w:tr>
    </w:tbl>
    <w:p w14:paraId="1540AEA5" w14:textId="77777777" w:rsidR="009F2B52" w:rsidRPr="00111042" w:rsidRDefault="009F2B52" w:rsidP="009F2B52">
      <w:pPr>
        <w:pStyle w:val="FooterTableFigure"/>
      </w:pPr>
      <w:r w:rsidRPr="00111042">
        <w:t>Source: Tables 2.4 and 2.5 (p53-4) of the resubmission)</w:t>
      </w:r>
    </w:p>
    <w:p w14:paraId="57C63E2D" w14:textId="69BB5DAD" w:rsidR="002751D2" w:rsidRPr="00111042" w:rsidRDefault="002751D2" w:rsidP="002751D2">
      <w:pPr>
        <w:pStyle w:val="FooterTableFigure"/>
      </w:pPr>
      <w:r w:rsidRPr="00111042">
        <w:t>SMA = spinal muscular atrophy</w:t>
      </w:r>
    </w:p>
    <w:p w14:paraId="6B4C2899" w14:textId="3864C7E8" w:rsidR="002751D2" w:rsidRPr="00111042" w:rsidRDefault="002751D2" w:rsidP="002751D2">
      <w:pPr>
        <w:pStyle w:val="3-BodyText"/>
      </w:pPr>
      <w:r w:rsidRPr="00111042">
        <w:t xml:space="preserve">The key features of the included evidence are summarised in </w:t>
      </w:r>
      <w:r w:rsidR="006E51EC" w:rsidRPr="00111042">
        <w:fldChar w:fldCharType="begin"/>
      </w:r>
      <w:r w:rsidR="006E51EC" w:rsidRPr="00111042">
        <w:instrText xml:space="preserve"> REF _Ref121797705 \h  \* MERGEFORMAT </w:instrText>
      </w:r>
      <w:r w:rsidR="006E51EC" w:rsidRPr="00111042">
        <w:fldChar w:fldCharType="separate"/>
      </w:r>
      <w:r w:rsidR="00D45640" w:rsidRPr="00D45640">
        <w:t>Table 4</w:t>
      </w:r>
      <w:r w:rsidR="006E51EC" w:rsidRPr="00111042">
        <w:fldChar w:fldCharType="end"/>
      </w:r>
      <w:r w:rsidR="006E51EC" w:rsidRPr="00111042">
        <w:t>.</w:t>
      </w:r>
    </w:p>
    <w:p w14:paraId="63BE7722" w14:textId="11552047" w:rsidR="002751D2" w:rsidRPr="00111042" w:rsidRDefault="002751D2" w:rsidP="00F715C2">
      <w:pPr>
        <w:pStyle w:val="Caption"/>
        <w:rPr>
          <w:rStyle w:val="CommentReference"/>
          <w:rFonts w:eastAsiaTheme="majorEastAsia" w:cstheme="majorBidi"/>
          <w:b/>
          <w:szCs w:val="24"/>
        </w:rPr>
      </w:pPr>
      <w:bookmarkStart w:id="22" w:name="_Ref121797705"/>
      <w:r w:rsidRPr="00111042">
        <w:rPr>
          <w:rStyle w:val="CommentReference"/>
          <w:rFonts w:eastAsiaTheme="majorEastAsia" w:cstheme="majorBidi"/>
          <w:b/>
          <w:szCs w:val="24"/>
        </w:rPr>
        <w:lastRenderedPageBreak/>
        <w:t xml:space="preserve">Table </w:t>
      </w:r>
      <w:r w:rsidRPr="00111042">
        <w:rPr>
          <w:rStyle w:val="CommentReference"/>
          <w:rFonts w:eastAsiaTheme="majorEastAsia" w:cstheme="majorBidi"/>
          <w:b/>
          <w:szCs w:val="24"/>
        </w:rPr>
        <w:fldChar w:fldCharType="begin"/>
      </w:r>
      <w:r w:rsidRPr="00111042">
        <w:rPr>
          <w:rStyle w:val="CommentReference"/>
          <w:rFonts w:eastAsiaTheme="majorEastAsia" w:cstheme="majorBidi"/>
          <w:b/>
          <w:szCs w:val="24"/>
        </w:rPr>
        <w:instrText xml:space="preserve"> SEQ Table \* ARABIC </w:instrText>
      </w:r>
      <w:r w:rsidRPr="00111042">
        <w:rPr>
          <w:rStyle w:val="CommentReference"/>
          <w:rFonts w:eastAsiaTheme="majorEastAsia" w:cstheme="majorBidi"/>
          <w:b/>
          <w:szCs w:val="24"/>
        </w:rPr>
        <w:fldChar w:fldCharType="separate"/>
      </w:r>
      <w:r w:rsidR="00D45640">
        <w:rPr>
          <w:rStyle w:val="CommentReference"/>
          <w:rFonts w:eastAsiaTheme="majorEastAsia" w:cstheme="majorBidi"/>
          <w:b/>
          <w:noProof/>
          <w:szCs w:val="24"/>
        </w:rPr>
        <w:t>4</w:t>
      </w:r>
      <w:r w:rsidRPr="00111042">
        <w:rPr>
          <w:rStyle w:val="CommentReference"/>
          <w:rFonts w:eastAsiaTheme="majorEastAsia" w:cstheme="majorBidi"/>
          <w:b/>
          <w:szCs w:val="24"/>
        </w:rPr>
        <w:fldChar w:fldCharType="end"/>
      </w:r>
      <w:bookmarkEnd w:id="22"/>
      <w:r w:rsidRPr="00111042">
        <w:rPr>
          <w:rStyle w:val="CommentReference"/>
          <w:rFonts w:eastAsiaTheme="majorEastAsia" w:cstheme="majorBidi"/>
          <w:b/>
          <w:szCs w:val="24"/>
        </w:rPr>
        <w:t>: 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425"/>
        <w:gridCol w:w="2126"/>
        <w:gridCol w:w="709"/>
        <w:gridCol w:w="2552"/>
        <w:gridCol w:w="1792"/>
      </w:tblGrid>
      <w:tr w:rsidR="00B23D1A" w:rsidRPr="00111042" w14:paraId="2697C6AB" w14:textId="77777777" w:rsidTr="00BF45A3">
        <w:trPr>
          <w:cantSplit/>
          <w:tblHeader/>
        </w:trPr>
        <w:tc>
          <w:tcPr>
            <w:tcW w:w="1413" w:type="dxa"/>
            <w:shd w:val="clear" w:color="auto" w:fill="auto"/>
            <w:vAlign w:val="center"/>
          </w:tcPr>
          <w:p w14:paraId="1CED2F71" w14:textId="77777777" w:rsidR="002751D2" w:rsidRPr="00111042" w:rsidRDefault="002751D2" w:rsidP="00F715C2">
            <w:pPr>
              <w:pStyle w:val="In-tableHeading"/>
              <w:keepLines/>
              <w:rPr>
                <w:lang w:val="en-AU"/>
              </w:rPr>
            </w:pPr>
            <w:r w:rsidRPr="00111042">
              <w:rPr>
                <w:lang w:val="en-AU"/>
              </w:rPr>
              <w:t>Study</w:t>
            </w:r>
          </w:p>
        </w:tc>
        <w:tc>
          <w:tcPr>
            <w:tcW w:w="425" w:type="dxa"/>
            <w:shd w:val="clear" w:color="auto" w:fill="auto"/>
            <w:vAlign w:val="center"/>
          </w:tcPr>
          <w:p w14:paraId="5241BE98" w14:textId="77777777" w:rsidR="002751D2" w:rsidRPr="00111042" w:rsidRDefault="002751D2" w:rsidP="00F715C2">
            <w:pPr>
              <w:pStyle w:val="In-tableHeading"/>
              <w:keepLines/>
              <w:jc w:val="center"/>
              <w:rPr>
                <w:lang w:val="en-AU"/>
              </w:rPr>
            </w:pPr>
            <w:r w:rsidRPr="00111042">
              <w:rPr>
                <w:lang w:val="en-AU"/>
              </w:rPr>
              <w:t>N</w:t>
            </w:r>
          </w:p>
        </w:tc>
        <w:tc>
          <w:tcPr>
            <w:tcW w:w="2126" w:type="dxa"/>
            <w:shd w:val="clear" w:color="auto" w:fill="auto"/>
            <w:vAlign w:val="center"/>
          </w:tcPr>
          <w:p w14:paraId="3F399E11" w14:textId="77777777" w:rsidR="002751D2" w:rsidRPr="00111042" w:rsidRDefault="002751D2" w:rsidP="00F715C2">
            <w:pPr>
              <w:pStyle w:val="In-tableHeading"/>
              <w:keepLines/>
              <w:jc w:val="center"/>
              <w:rPr>
                <w:lang w:val="en-AU"/>
              </w:rPr>
            </w:pPr>
            <w:r w:rsidRPr="00111042">
              <w:rPr>
                <w:lang w:val="en-AU"/>
              </w:rPr>
              <w:t>Design/ duration</w:t>
            </w:r>
          </w:p>
        </w:tc>
        <w:tc>
          <w:tcPr>
            <w:tcW w:w="709" w:type="dxa"/>
            <w:shd w:val="clear" w:color="auto" w:fill="auto"/>
            <w:vAlign w:val="center"/>
          </w:tcPr>
          <w:p w14:paraId="2071CBA4" w14:textId="77777777" w:rsidR="002751D2" w:rsidRPr="00111042" w:rsidRDefault="002751D2" w:rsidP="00F715C2">
            <w:pPr>
              <w:pStyle w:val="In-tableHeading"/>
              <w:keepLines/>
              <w:jc w:val="center"/>
              <w:rPr>
                <w:vertAlign w:val="superscript"/>
                <w:lang w:val="en-AU"/>
              </w:rPr>
            </w:pPr>
            <w:r w:rsidRPr="00111042">
              <w:rPr>
                <w:lang w:val="en-AU"/>
              </w:rPr>
              <w:t xml:space="preserve">Risk of bias </w:t>
            </w:r>
            <w:r w:rsidRPr="00111042">
              <w:rPr>
                <w:vertAlign w:val="superscript"/>
                <w:lang w:val="en-AU"/>
              </w:rPr>
              <w:t>c</w:t>
            </w:r>
          </w:p>
        </w:tc>
        <w:tc>
          <w:tcPr>
            <w:tcW w:w="2552" w:type="dxa"/>
            <w:shd w:val="clear" w:color="auto" w:fill="auto"/>
            <w:vAlign w:val="center"/>
          </w:tcPr>
          <w:p w14:paraId="489E27C5" w14:textId="77777777" w:rsidR="002751D2" w:rsidRPr="00111042" w:rsidRDefault="002751D2" w:rsidP="00F715C2">
            <w:pPr>
              <w:pStyle w:val="In-tableHeading"/>
              <w:keepLines/>
              <w:jc w:val="center"/>
              <w:rPr>
                <w:lang w:val="en-AU"/>
              </w:rPr>
            </w:pPr>
            <w:r w:rsidRPr="00111042">
              <w:rPr>
                <w:lang w:val="en-AU"/>
              </w:rPr>
              <w:t>Patient population</w:t>
            </w:r>
          </w:p>
        </w:tc>
        <w:tc>
          <w:tcPr>
            <w:tcW w:w="1792" w:type="dxa"/>
            <w:shd w:val="clear" w:color="auto" w:fill="auto"/>
            <w:vAlign w:val="center"/>
          </w:tcPr>
          <w:p w14:paraId="76689E8F" w14:textId="77777777" w:rsidR="002751D2" w:rsidRPr="00111042" w:rsidRDefault="002751D2" w:rsidP="00F715C2">
            <w:pPr>
              <w:pStyle w:val="In-tableHeading"/>
              <w:keepLines/>
              <w:jc w:val="center"/>
              <w:rPr>
                <w:lang w:val="en-AU"/>
              </w:rPr>
            </w:pPr>
            <w:r w:rsidRPr="00111042">
              <w:rPr>
                <w:lang w:val="en-AU"/>
              </w:rPr>
              <w:t>Outcomes</w:t>
            </w:r>
          </w:p>
        </w:tc>
      </w:tr>
      <w:tr w:rsidR="00B23D1A" w:rsidRPr="00111042" w14:paraId="3D44560C" w14:textId="77777777" w:rsidTr="00BF45A3">
        <w:trPr>
          <w:cantSplit/>
        </w:trPr>
        <w:tc>
          <w:tcPr>
            <w:tcW w:w="0" w:type="auto"/>
            <w:gridSpan w:val="6"/>
            <w:shd w:val="clear" w:color="auto" w:fill="auto"/>
            <w:vAlign w:val="center"/>
          </w:tcPr>
          <w:p w14:paraId="27AD4532" w14:textId="77777777" w:rsidR="002751D2" w:rsidRPr="00111042" w:rsidRDefault="002751D2" w:rsidP="00F715C2">
            <w:pPr>
              <w:pStyle w:val="In-tableHeading"/>
              <w:keepLines/>
              <w:rPr>
                <w:lang w:val="en-AU"/>
              </w:rPr>
            </w:pPr>
            <w:r w:rsidRPr="00111042">
              <w:rPr>
                <w:lang w:val="en-AU"/>
              </w:rPr>
              <w:t>Population 1 (adult population) – risdiplam</w:t>
            </w:r>
          </w:p>
        </w:tc>
      </w:tr>
      <w:tr w:rsidR="00B23D1A" w:rsidRPr="00111042" w14:paraId="709222F7" w14:textId="77777777" w:rsidTr="00BF45A3">
        <w:trPr>
          <w:cantSplit/>
        </w:trPr>
        <w:tc>
          <w:tcPr>
            <w:tcW w:w="1413" w:type="dxa"/>
            <w:shd w:val="clear" w:color="auto" w:fill="B8CCE4" w:themeFill="accent1" w:themeFillTint="66"/>
            <w:vAlign w:val="center"/>
          </w:tcPr>
          <w:p w14:paraId="01A5DDC2" w14:textId="77777777" w:rsidR="002751D2" w:rsidRPr="00111042" w:rsidRDefault="002751D2" w:rsidP="00F715C2">
            <w:pPr>
              <w:pStyle w:val="TableText0"/>
              <w:keepLines/>
            </w:pPr>
            <w:r w:rsidRPr="00111042">
              <w:t>SUNFISH Part 1</w:t>
            </w:r>
          </w:p>
        </w:tc>
        <w:tc>
          <w:tcPr>
            <w:tcW w:w="425" w:type="dxa"/>
            <w:shd w:val="clear" w:color="auto" w:fill="B8CCE4" w:themeFill="accent1" w:themeFillTint="66"/>
            <w:vAlign w:val="center"/>
          </w:tcPr>
          <w:p w14:paraId="53391552" w14:textId="77777777" w:rsidR="002751D2" w:rsidRPr="00111042" w:rsidRDefault="002751D2" w:rsidP="00F715C2">
            <w:pPr>
              <w:pStyle w:val="TableText0"/>
              <w:keepLines/>
              <w:jc w:val="center"/>
            </w:pPr>
            <w:r w:rsidRPr="00111042">
              <w:t>51</w:t>
            </w:r>
          </w:p>
        </w:tc>
        <w:tc>
          <w:tcPr>
            <w:tcW w:w="2126" w:type="dxa"/>
            <w:shd w:val="clear" w:color="auto" w:fill="B8CCE4" w:themeFill="accent1" w:themeFillTint="66"/>
            <w:vAlign w:val="center"/>
          </w:tcPr>
          <w:p w14:paraId="4FF3CD52" w14:textId="77777777" w:rsidR="002751D2" w:rsidRPr="00111042" w:rsidRDefault="002751D2" w:rsidP="00F715C2">
            <w:pPr>
              <w:pStyle w:val="TableText0"/>
              <w:keepLines/>
              <w:jc w:val="center"/>
              <w:rPr>
                <w:vertAlign w:val="superscript"/>
              </w:rPr>
            </w:pPr>
            <w:r w:rsidRPr="00111042">
              <w:t xml:space="preserve">Phase 3, MC, R, DB, PC, 2 years </w:t>
            </w:r>
            <w:r w:rsidRPr="00111042">
              <w:rPr>
                <w:vertAlign w:val="superscript"/>
              </w:rPr>
              <w:t>a</w:t>
            </w:r>
          </w:p>
        </w:tc>
        <w:tc>
          <w:tcPr>
            <w:tcW w:w="709" w:type="dxa"/>
            <w:shd w:val="clear" w:color="auto" w:fill="B8CCE4" w:themeFill="accent1" w:themeFillTint="66"/>
            <w:vAlign w:val="center"/>
          </w:tcPr>
          <w:p w14:paraId="5718A29F" w14:textId="77777777" w:rsidR="002751D2" w:rsidRPr="000C053F" w:rsidRDefault="002751D2" w:rsidP="00F715C2">
            <w:pPr>
              <w:pStyle w:val="TableText0"/>
              <w:keepLines/>
              <w:jc w:val="center"/>
              <w:rPr>
                <w:iCs/>
              </w:rPr>
            </w:pPr>
            <w:r w:rsidRPr="000C053F">
              <w:rPr>
                <w:iCs/>
              </w:rPr>
              <w:t>Low</w:t>
            </w:r>
          </w:p>
        </w:tc>
        <w:tc>
          <w:tcPr>
            <w:tcW w:w="2552" w:type="dxa"/>
            <w:shd w:val="clear" w:color="auto" w:fill="B8CCE4" w:themeFill="accent1" w:themeFillTint="66"/>
            <w:vAlign w:val="center"/>
          </w:tcPr>
          <w:p w14:paraId="672393D0" w14:textId="77777777" w:rsidR="002751D2" w:rsidRPr="00111042" w:rsidRDefault="002751D2" w:rsidP="00F715C2">
            <w:pPr>
              <w:pStyle w:val="TableText0"/>
              <w:keepLines/>
              <w:jc w:val="center"/>
            </w:pPr>
            <w:r w:rsidRPr="00111042">
              <w:t>2-25 years-old, Type 2 or 3 SMA, ambulant or non-ambulant</w:t>
            </w:r>
          </w:p>
        </w:tc>
        <w:tc>
          <w:tcPr>
            <w:tcW w:w="1792" w:type="dxa"/>
            <w:shd w:val="clear" w:color="auto" w:fill="B8CCE4" w:themeFill="accent1" w:themeFillTint="66"/>
            <w:vAlign w:val="center"/>
          </w:tcPr>
          <w:p w14:paraId="5AEA7B89" w14:textId="77777777" w:rsidR="002751D2" w:rsidRPr="00111042" w:rsidRDefault="002751D2" w:rsidP="00F715C2">
            <w:pPr>
              <w:pStyle w:val="TableText0"/>
              <w:keepLines/>
              <w:jc w:val="center"/>
            </w:pPr>
            <w:r w:rsidRPr="00111042">
              <w:rPr>
                <w:szCs w:val="20"/>
              </w:rPr>
              <w:t>Safety, tolerability, PK and PD</w:t>
            </w:r>
          </w:p>
        </w:tc>
      </w:tr>
      <w:tr w:rsidR="00B23D1A" w:rsidRPr="00111042" w14:paraId="11726F46" w14:textId="77777777" w:rsidTr="00BF45A3">
        <w:trPr>
          <w:cantSplit/>
        </w:trPr>
        <w:tc>
          <w:tcPr>
            <w:tcW w:w="1413" w:type="dxa"/>
            <w:shd w:val="clear" w:color="auto" w:fill="B8CCE4" w:themeFill="accent1" w:themeFillTint="66"/>
            <w:vAlign w:val="center"/>
          </w:tcPr>
          <w:p w14:paraId="315442A9" w14:textId="77777777" w:rsidR="002751D2" w:rsidRPr="00111042" w:rsidRDefault="002751D2" w:rsidP="00F715C2">
            <w:pPr>
              <w:pStyle w:val="TableText0"/>
              <w:keepLines/>
            </w:pPr>
            <w:r w:rsidRPr="00111042">
              <w:t>SUNFISH Part 2</w:t>
            </w:r>
          </w:p>
        </w:tc>
        <w:tc>
          <w:tcPr>
            <w:tcW w:w="425" w:type="dxa"/>
            <w:shd w:val="clear" w:color="auto" w:fill="B8CCE4" w:themeFill="accent1" w:themeFillTint="66"/>
            <w:vAlign w:val="center"/>
          </w:tcPr>
          <w:p w14:paraId="088E1AA6" w14:textId="77777777" w:rsidR="002751D2" w:rsidRPr="00111042" w:rsidRDefault="002751D2" w:rsidP="00F715C2">
            <w:pPr>
              <w:pStyle w:val="TableText0"/>
              <w:keepLines/>
              <w:jc w:val="center"/>
            </w:pPr>
            <w:r w:rsidRPr="00111042">
              <w:t>180</w:t>
            </w:r>
          </w:p>
        </w:tc>
        <w:tc>
          <w:tcPr>
            <w:tcW w:w="2126" w:type="dxa"/>
            <w:shd w:val="clear" w:color="auto" w:fill="B8CCE4" w:themeFill="accent1" w:themeFillTint="66"/>
            <w:vAlign w:val="center"/>
          </w:tcPr>
          <w:p w14:paraId="4EA11032" w14:textId="77777777" w:rsidR="002751D2" w:rsidRPr="00111042" w:rsidRDefault="002751D2" w:rsidP="00F715C2">
            <w:pPr>
              <w:pStyle w:val="TableText0"/>
              <w:keepLines/>
              <w:jc w:val="center"/>
              <w:rPr>
                <w:vertAlign w:val="superscript"/>
              </w:rPr>
            </w:pPr>
            <w:r w:rsidRPr="00111042">
              <w:t xml:space="preserve">Phase 3, MC, R, DB, PC, 5 years, ongoing </w:t>
            </w:r>
            <w:r w:rsidRPr="00111042">
              <w:rPr>
                <w:vertAlign w:val="superscript"/>
              </w:rPr>
              <w:t>a</w:t>
            </w:r>
          </w:p>
        </w:tc>
        <w:tc>
          <w:tcPr>
            <w:tcW w:w="709" w:type="dxa"/>
            <w:shd w:val="clear" w:color="auto" w:fill="B8CCE4" w:themeFill="accent1" w:themeFillTint="66"/>
            <w:vAlign w:val="center"/>
          </w:tcPr>
          <w:p w14:paraId="13F7295B" w14:textId="77777777" w:rsidR="002751D2" w:rsidRPr="000C053F" w:rsidRDefault="002751D2" w:rsidP="00F715C2">
            <w:pPr>
              <w:pStyle w:val="TableText0"/>
              <w:keepLines/>
              <w:jc w:val="center"/>
              <w:rPr>
                <w:iCs/>
              </w:rPr>
            </w:pPr>
            <w:r w:rsidRPr="000C053F">
              <w:rPr>
                <w:iCs/>
              </w:rPr>
              <w:t>Low</w:t>
            </w:r>
          </w:p>
        </w:tc>
        <w:tc>
          <w:tcPr>
            <w:tcW w:w="2552" w:type="dxa"/>
            <w:shd w:val="clear" w:color="auto" w:fill="B8CCE4" w:themeFill="accent1" w:themeFillTint="66"/>
            <w:vAlign w:val="center"/>
          </w:tcPr>
          <w:p w14:paraId="0BFA3DB6" w14:textId="77777777" w:rsidR="002751D2" w:rsidRPr="00111042" w:rsidRDefault="002751D2" w:rsidP="00F715C2">
            <w:pPr>
              <w:pStyle w:val="TableText0"/>
              <w:keepLines/>
              <w:jc w:val="center"/>
            </w:pPr>
            <w:r w:rsidRPr="00111042">
              <w:t xml:space="preserve">2-25 years-old, Type 2 or </w:t>
            </w:r>
            <w:r w:rsidRPr="00111042">
              <w:rPr>
                <w:szCs w:val="20"/>
              </w:rPr>
              <w:t>non-ambulant Type 3 SMA</w:t>
            </w:r>
          </w:p>
        </w:tc>
        <w:tc>
          <w:tcPr>
            <w:tcW w:w="1792" w:type="dxa"/>
            <w:shd w:val="clear" w:color="auto" w:fill="B8CCE4" w:themeFill="accent1" w:themeFillTint="66"/>
            <w:vAlign w:val="center"/>
          </w:tcPr>
          <w:p w14:paraId="1A1E24B2" w14:textId="77777777" w:rsidR="002751D2" w:rsidRPr="00111042" w:rsidRDefault="002751D2" w:rsidP="00F715C2">
            <w:pPr>
              <w:pStyle w:val="TableText0"/>
              <w:keepLines/>
              <w:jc w:val="center"/>
            </w:pPr>
            <w:r w:rsidRPr="00111042">
              <w:rPr>
                <w:szCs w:val="20"/>
              </w:rPr>
              <w:t>MFM32, HFMSE, RULM</w:t>
            </w:r>
          </w:p>
        </w:tc>
      </w:tr>
      <w:tr w:rsidR="00B23D1A" w:rsidRPr="00111042" w14:paraId="612FE85B" w14:textId="77777777" w:rsidTr="00BF45A3">
        <w:trPr>
          <w:cantSplit/>
        </w:trPr>
        <w:tc>
          <w:tcPr>
            <w:tcW w:w="1413" w:type="dxa"/>
            <w:shd w:val="clear" w:color="auto" w:fill="B8CCE4" w:themeFill="accent1" w:themeFillTint="66"/>
            <w:vAlign w:val="center"/>
          </w:tcPr>
          <w:p w14:paraId="6E238327" w14:textId="77777777" w:rsidR="002751D2" w:rsidRPr="00111042" w:rsidRDefault="002751D2" w:rsidP="00F715C2">
            <w:pPr>
              <w:pStyle w:val="TableText0"/>
              <w:keepLines/>
            </w:pPr>
            <w:r w:rsidRPr="00111042">
              <w:t>JEWELFISH</w:t>
            </w:r>
          </w:p>
        </w:tc>
        <w:tc>
          <w:tcPr>
            <w:tcW w:w="425" w:type="dxa"/>
            <w:shd w:val="clear" w:color="auto" w:fill="B8CCE4" w:themeFill="accent1" w:themeFillTint="66"/>
            <w:vAlign w:val="center"/>
          </w:tcPr>
          <w:p w14:paraId="636B6E3F" w14:textId="77777777" w:rsidR="002751D2" w:rsidRPr="00111042" w:rsidRDefault="002751D2" w:rsidP="00F715C2">
            <w:pPr>
              <w:pStyle w:val="TableText0"/>
              <w:keepLines/>
              <w:jc w:val="center"/>
            </w:pPr>
            <w:r w:rsidRPr="00111042">
              <w:t>174</w:t>
            </w:r>
          </w:p>
        </w:tc>
        <w:tc>
          <w:tcPr>
            <w:tcW w:w="2126" w:type="dxa"/>
            <w:shd w:val="clear" w:color="auto" w:fill="B8CCE4" w:themeFill="accent1" w:themeFillTint="66"/>
            <w:vAlign w:val="center"/>
          </w:tcPr>
          <w:p w14:paraId="2B714320" w14:textId="5E46106F" w:rsidR="002751D2" w:rsidRPr="00111042" w:rsidRDefault="002751D2" w:rsidP="00F715C2">
            <w:pPr>
              <w:pStyle w:val="TableText0"/>
              <w:keepLines/>
              <w:jc w:val="center"/>
            </w:pPr>
            <w:r w:rsidRPr="00111042">
              <w:t>Phase 2, MC, Exploratory, NC, OL, single-arm, 5 years, ongoing</w:t>
            </w:r>
          </w:p>
        </w:tc>
        <w:tc>
          <w:tcPr>
            <w:tcW w:w="709" w:type="dxa"/>
            <w:shd w:val="clear" w:color="auto" w:fill="B8CCE4" w:themeFill="accent1" w:themeFillTint="66"/>
            <w:vAlign w:val="center"/>
          </w:tcPr>
          <w:p w14:paraId="3328ED1B" w14:textId="77777777" w:rsidR="002751D2" w:rsidRPr="000C053F" w:rsidRDefault="002751D2" w:rsidP="00F715C2">
            <w:pPr>
              <w:pStyle w:val="TableText0"/>
              <w:keepLines/>
              <w:jc w:val="center"/>
              <w:rPr>
                <w:iCs/>
              </w:rPr>
            </w:pPr>
            <w:r w:rsidRPr="000C053F">
              <w:rPr>
                <w:iCs/>
              </w:rPr>
              <w:t>High</w:t>
            </w:r>
          </w:p>
        </w:tc>
        <w:tc>
          <w:tcPr>
            <w:tcW w:w="2552" w:type="dxa"/>
            <w:shd w:val="clear" w:color="auto" w:fill="B8CCE4" w:themeFill="accent1" w:themeFillTint="66"/>
            <w:vAlign w:val="center"/>
          </w:tcPr>
          <w:p w14:paraId="441CED6A" w14:textId="77777777" w:rsidR="002751D2" w:rsidRPr="00111042" w:rsidRDefault="002751D2" w:rsidP="00F715C2">
            <w:pPr>
              <w:pStyle w:val="TableText0"/>
              <w:keepLines/>
              <w:jc w:val="center"/>
            </w:pPr>
            <w:r w:rsidRPr="00111042">
              <w:t>6 months-60 years-old; Type 1-3 SMA, previously-treated</w:t>
            </w:r>
          </w:p>
        </w:tc>
        <w:tc>
          <w:tcPr>
            <w:tcW w:w="1792" w:type="dxa"/>
            <w:shd w:val="clear" w:color="auto" w:fill="B8CCE4" w:themeFill="accent1" w:themeFillTint="66"/>
            <w:vAlign w:val="center"/>
          </w:tcPr>
          <w:p w14:paraId="24CCD5B9" w14:textId="77777777" w:rsidR="002751D2" w:rsidRPr="00111042" w:rsidRDefault="002751D2" w:rsidP="00F715C2">
            <w:pPr>
              <w:pStyle w:val="TableText0"/>
              <w:keepLines/>
              <w:jc w:val="center"/>
            </w:pPr>
            <w:r w:rsidRPr="00111042">
              <w:rPr>
                <w:szCs w:val="20"/>
              </w:rPr>
              <w:t>MFM32, HFMSE, RULM, 6MWT</w:t>
            </w:r>
          </w:p>
        </w:tc>
      </w:tr>
      <w:tr w:rsidR="00B23D1A" w:rsidRPr="00111042" w14:paraId="29B37F5B" w14:textId="77777777" w:rsidTr="00BF45A3">
        <w:trPr>
          <w:cantSplit/>
        </w:trPr>
        <w:tc>
          <w:tcPr>
            <w:tcW w:w="0" w:type="auto"/>
            <w:gridSpan w:val="6"/>
            <w:shd w:val="clear" w:color="auto" w:fill="FFFFFF" w:themeFill="background1"/>
            <w:vAlign w:val="center"/>
          </w:tcPr>
          <w:p w14:paraId="05F1D636" w14:textId="77777777" w:rsidR="002751D2" w:rsidRPr="000C053F" w:rsidRDefault="002751D2" w:rsidP="00F715C2">
            <w:pPr>
              <w:pStyle w:val="TableText0"/>
              <w:keepLines/>
              <w:rPr>
                <w:b/>
                <w:bCs w:val="0"/>
                <w:iCs/>
              </w:rPr>
            </w:pPr>
            <w:r w:rsidRPr="000C053F">
              <w:rPr>
                <w:b/>
                <w:bCs w:val="0"/>
                <w:iCs/>
              </w:rPr>
              <w:t>Population 1 (adult population) – nusinersen</w:t>
            </w:r>
          </w:p>
        </w:tc>
      </w:tr>
      <w:tr w:rsidR="00B23D1A" w:rsidRPr="00111042" w14:paraId="7303045E" w14:textId="77777777" w:rsidTr="00BF45A3">
        <w:trPr>
          <w:cantSplit/>
        </w:trPr>
        <w:tc>
          <w:tcPr>
            <w:tcW w:w="1413" w:type="dxa"/>
            <w:shd w:val="clear" w:color="auto" w:fill="B8CCE4" w:themeFill="accent1" w:themeFillTint="66"/>
            <w:vAlign w:val="center"/>
          </w:tcPr>
          <w:p w14:paraId="66298033" w14:textId="54022704" w:rsidR="002751D2" w:rsidRPr="00111042" w:rsidRDefault="002751D2" w:rsidP="00F715C2">
            <w:pPr>
              <w:pStyle w:val="TableText0"/>
              <w:keepLines/>
            </w:pPr>
            <w:r w:rsidRPr="00111042">
              <w:t>Maggi 2020</w:t>
            </w:r>
          </w:p>
        </w:tc>
        <w:tc>
          <w:tcPr>
            <w:tcW w:w="425" w:type="dxa"/>
            <w:shd w:val="clear" w:color="auto" w:fill="B8CCE4" w:themeFill="accent1" w:themeFillTint="66"/>
            <w:vAlign w:val="center"/>
          </w:tcPr>
          <w:p w14:paraId="612822EE" w14:textId="77777777" w:rsidR="002751D2" w:rsidRPr="00111042" w:rsidRDefault="002751D2" w:rsidP="00F715C2">
            <w:pPr>
              <w:pStyle w:val="TableText0"/>
              <w:keepLines/>
              <w:jc w:val="center"/>
            </w:pPr>
            <w:r w:rsidRPr="00111042">
              <w:t>116</w:t>
            </w:r>
          </w:p>
        </w:tc>
        <w:tc>
          <w:tcPr>
            <w:tcW w:w="2126" w:type="dxa"/>
            <w:shd w:val="clear" w:color="auto" w:fill="B8CCE4" w:themeFill="accent1" w:themeFillTint="66"/>
            <w:vAlign w:val="center"/>
          </w:tcPr>
          <w:p w14:paraId="5BD0EEB5" w14:textId="77777777" w:rsidR="002751D2" w:rsidRPr="00111042" w:rsidRDefault="002751D2" w:rsidP="00F715C2">
            <w:pPr>
              <w:pStyle w:val="TableText0"/>
              <w:keepLines/>
              <w:jc w:val="center"/>
            </w:pPr>
            <w:r w:rsidRPr="00111042">
              <w:t>Retrospective cohort, single-arm, 14 months</w:t>
            </w:r>
          </w:p>
        </w:tc>
        <w:tc>
          <w:tcPr>
            <w:tcW w:w="709" w:type="dxa"/>
            <w:shd w:val="clear" w:color="auto" w:fill="B8CCE4" w:themeFill="accent1" w:themeFillTint="66"/>
            <w:vAlign w:val="center"/>
          </w:tcPr>
          <w:p w14:paraId="79628552" w14:textId="77777777" w:rsidR="002751D2" w:rsidRPr="000C053F" w:rsidRDefault="002751D2" w:rsidP="00F715C2">
            <w:pPr>
              <w:pStyle w:val="TableText0"/>
              <w:keepLines/>
              <w:jc w:val="center"/>
              <w:rPr>
                <w:iCs/>
              </w:rPr>
            </w:pPr>
            <w:r w:rsidRPr="000C053F">
              <w:rPr>
                <w:iCs/>
              </w:rPr>
              <w:t>High</w:t>
            </w:r>
          </w:p>
        </w:tc>
        <w:tc>
          <w:tcPr>
            <w:tcW w:w="2552" w:type="dxa"/>
            <w:shd w:val="clear" w:color="auto" w:fill="B8CCE4" w:themeFill="accent1" w:themeFillTint="66"/>
            <w:vAlign w:val="center"/>
          </w:tcPr>
          <w:p w14:paraId="53A18663" w14:textId="77777777" w:rsidR="002751D2" w:rsidRPr="00111042" w:rsidRDefault="002751D2" w:rsidP="00F715C2">
            <w:pPr>
              <w:pStyle w:val="TableText0"/>
              <w:keepLines/>
              <w:jc w:val="center"/>
            </w:pPr>
            <w:r w:rsidRPr="00111042">
              <w:t>Type 2 or 3 SMA, nusinersen initiation &gt;17 years-old</w:t>
            </w:r>
          </w:p>
        </w:tc>
        <w:tc>
          <w:tcPr>
            <w:tcW w:w="1792" w:type="dxa"/>
            <w:shd w:val="clear" w:color="auto" w:fill="B8CCE4" w:themeFill="accent1" w:themeFillTint="66"/>
            <w:vAlign w:val="center"/>
          </w:tcPr>
          <w:p w14:paraId="76AD5782" w14:textId="77777777" w:rsidR="002751D2" w:rsidRPr="00111042" w:rsidRDefault="002751D2" w:rsidP="00F715C2">
            <w:pPr>
              <w:pStyle w:val="TableText0"/>
              <w:keepLines/>
              <w:jc w:val="center"/>
            </w:pPr>
            <w:r w:rsidRPr="00111042">
              <w:rPr>
                <w:szCs w:val="20"/>
              </w:rPr>
              <w:t>HFMSE, RULM, 6MWT</w:t>
            </w:r>
          </w:p>
        </w:tc>
      </w:tr>
      <w:tr w:rsidR="00B23D1A" w:rsidRPr="00111042" w14:paraId="2D838F95" w14:textId="77777777" w:rsidTr="00BF45A3">
        <w:trPr>
          <w:cantSplit/>
        </w:trPr>
        <w:tc>
          <w:tcPr>
            <w:tcW w:w="1413" w:type="dxa"/>
            <w:shd w:val="clear" w:color="auto" w:fill="B8CCE4" w:themeFill="accent1" w:themeFillTint="66"/>
            <w:vAlign w:val="center"/>
          </w:tcPr>
          <w:p w14:paraId="55CB8AF3" w14:textId="77777777" w:rsidR="002751D2" w:rsidRPr="00111042" w:rsidRDefault="002751D2" w:rsidP="00F715C2">
            <w:pPr>
              <w:pStyle w:val="TableText0"/>
              <w:keepLines/>
            </w:pPr>
            <w:r w:rsidRPr="00111042">
              <w:t>Hagenacker 2020</w:t>
            </w:r>
          </w:p>
        </w:tc>
        <w:tc>
          <w:tcPr>
            <w:tcW w:w="425" w:type="dxa"/>
            <w:shd w:val="clear" w:color="auto" w:fill="B8CCE4" w:themeFill="accent1" w:themeFillTint="66"/>
            <w:vAlign w:val="center"/>
          </w:tcPr>
          <w:p w14:paraId="7C9E6F67" w14:textId="77777777" w:rsidR="002751D2" w:rsidRPr="00111042" w:rsidRDefault="002751D2" w:rsidP="00F715C2">
            <w:pPr>
              <w:pStyle w:val="TableText0"/>
              <w:keepLines/>
              <w:jc w:val="center"/>
            </w:pPr>
            <w:r w:rsidRPr="00111042">
              <w:t>124</w:t>
            </w:r>
          </w:p>
        </w:tc>
        <w:tc>
          <w:tcPr>
            <w:tcW w:w="2126" w:type="dxa"/>
            <w:shd w:val="clear" w:color="auto" w:fill="B8CCE4" w:themeFill="accent1" w:themeFillTint="66"/>
            <w:vAlign w:val="center"/>
          </w:tcPr>
          <w:p w14:paraId="6524CE88" w14:textId="77777777" w:rsidR="002751D2" w:rsidRPr="00111042" w:rsidRDefault="002751D2" w:rsidP="00F715C2">
            <w:pPr>
              <w:pStyle w:val="TableText0"/>
              <w:keepLines/>
              <w:jc w:val="center"/>
            </w:pPr>
            <w:r w:rsidRPr="00111042">
              <w:t>Prospective, observational cohort, single-arm, 14 months</w:t>
            </w:r>
          </w:p>
        </w:tc>
        <w:tc>
          <w:tcPr>
            <w:tcW w:w="709" w:type="dxa"/>
            <w:shd w:val="clear" w:color="auto" w:fill="B8CCE4" w:themeFill="accent1" w:themeFillTint="66"/>
            <w:vAlign w:val="center"/>
          </w:tcPr>
          <w:p w14:paraId="50142B05" w14:textId="77777777" w:rsidR="002751D2" w:rsidRPr="000C053F" w:rsidRDefault="002751D2" w:rsidP="00F715C2">
            <w:pPr>
              <w:pStyle w:val="TableText0"/>
              <w:keepLines/>
              <w:jc w:val="center"/>
              <w:rPr>
                <w:iCs/>
              </w:rPr>
            </w:pPr>
            <w:r w:rsidRPr="000C053F">
              <w:rPr>
                <w:iCs/>
              </w:rPr>
              <w:t>High</w:t>
            </w:r>
          </w:p>
        </w:tc>
        <w:tc>
          <w:tcPr>
            <w:tcW w:w="2552" w:type="dxa"/>
            <w:shd w:val="clear" w:color="auto" w:fill="B8CCE4" w:themeFill="accent1" w:themeFillTint="66"/>
            <w:vAlign w:val="center"/>
          </w:tcPr>
          <w:p w14:paraId="30C34312" w14:textId="77777777" w:rsidR="002751D2" w:rsidRPr="00111042" w:rsidRDefault="002751D2" w:rsidP="00F715C2">
            <w:pPr>
              <w:pStyle w:val="TableText0"/>
              <w:keepLines/>
              <w:jc w:val="center"/>
            </w:pPr>
            <w:r w:rsidRPr="00111042">
              <w:t>16-65 years-old, SMA</w:t>
            </w:r>
          </w:p>
        </w:tc>
        <w:tc>
          <w:tcPr>
            <w:tcW w:w="1792" w:type="dxa"/>
            <w:shd w:val="clear" w:color="auto" w:fill="B8CCE4" w:themeFill="accent1" w:themeFillTint="66"/>
            <w:vAlign w:val="center"/>
          </w:tcPr>
          <w:p w14:paraId="4DF0E4BA" w14:textId="77777777" w:rsidR="002751D2" w:rsidRPr="00111042" w:rsidRDefault="002751D2" w:rsidP="00F715C2">
            <w:pPr>
              <w:pStyle w:val="TableText0"/>
              <w:keepLines/>
              <w:jc w:val="center"/>
            </w:pPr>
            <w:r w:rsidRPr="00111042">
              <w:rPr>
                <w:szCs w:val="20"/>
              </w:rPr>
              <w:t>HFMSE, RULM, 6MWT</w:t>
            </w:r>
          </w:p>
        </w:tc>
      </w:tr>
      <w:tr w:rsidR="00B23D1A" w:rsidRPr="00111042" w14:paraId="34A4C4CA" w14:textId="77777777" w:rsidTr="00BF45A3">
        <w:trPr>
          <w:cantSplit/>
        </w:trPr>
        <w:tc>
          <w:tcPr>
            <w:tcW w:w="1413" w:type="dxa"/>
            <w:shd w:val="clear" w:color="auto" w:fill="auto"/>
            <w:vAlign w:val="center"/>
          </w:tcPr>
          <w:p w14:paraId="2B282311" w14:textId="77777777" w:rsidR="002751D2" w:rsidRPr="00111042" w:rsidRDefault="002751D2" w:rsidP="00F715C2">
            <w:pPr>
              <w:pStyle w:val="TableText0"/>
              <w:keepLines/>
            </w:pPr>
            <w:r w:rsidRPr="00111042">
              <w:t>Pera 2021</w:t>
            </w:r>
          </w:p>
        </w:tc>
        <w:tc>
          <w:tcPr>
            <w:tcW w:w="425" w:type="dxa"/>
            <w:shd w:val="clear" w:color="auto" w:fill="auto"/>
            <w:vAlign w:val="center"/>
          </w:tcPr>
          <w:p w14:paraId="3DD61825" w14:textId="77777777" w:rsidR="002751D2" w:rsidRPr="00111042" w:rsidRDefault="002751D2" w:rsidP="00F715C2">
            <w:pPr>
              <w:pStyle w:val="TableText0"/>
              <w:keepLines/>
              <w:jc w:val="center"/>
            </w:pPr>
            <w:r w:rsidRPr="00111042">
              <w:t>67</w:t>
            </w:r>
          </w:p>
        </w:tc>
        <w:tc>
          <w:tcPr>
            <w:tcW w:w="2126" w:type="dxa"/>
            <w:shd w:val="clear" w:color="auto" w:fill="auto"/>
            <w:vAlign w:val="center"/>
          </w:tcPr>
          <w:p w14:paraId="59691C88" w14:textId="77777777" w:rsidR="002751D2" w:rsidRPr="00111042" w:rsidRDefault="002751D2" w:rsidP="00F715C2">
            <w:pPr>
              <w:pStyle w:val="TableText0"/>
              <w:keepLines/>
              <w:jc w:val="center"/>
            </w:pPr>
            <w:r w:rsidRPr="00111042">
              <w:t>International registry, 12 months</w:t>
            </w:r>
          </w:p>
        </w:tc>
        <w:tc>
          <w:tcPr>
            <w:tcW w:w="709" w:type="dxa"/>
            <w:shd w:val="clear" w:color="auto" w:fill="auto"/>
            <w:vAlign w:val="center"/>
          </w:tcPr>
          <w:p w14:paraId="3078661F" w14:textId="77777777" w:rsidR="002751D2" w:rsidRPr="000C053F" w:rsidRDefault="002751D2" w:rsidP="00F715C2">
            <w:pPr>
              <w:pStyle w:val="TableText0"/>
              <w:keepLines/>
              <w:jc w:val="center"/>
              <w:rPr>
                <w:iCs/>
              </w:rPr>
            </w:pPr>
            <w:r w:rsidRPr="000C053F">
              <w:rPr>
                <w:iCs/>
              </w:rPr>
              <w:t>High</w:t>
            </w:r>
          </w:p>
        </w:tc>
        <w:tc>
          <w:tcPr>
            <w:tcW w:w="2552" w:type="dxa"/>
            <w:shd w:val="clear" w:color="auto" w:fill="auto"/>
            <w:vAlign w:val="center"/>
          </w:tcPr>
          <w:p w14:paraId="15F28F80" w14:textId="77777777" w:rsidR="002751D2" w:rsidRPr="00111042" w:rsidRDefault="002751D2" w:rsidP="00F715C2">
            <w:pPr>
              <w:pStyle w:val="TableText0"/>
              <w:keepLines/>
              <w:jc w:val="center"/>
            </w:pPr>
            <w:r w:rsidRPr="00111042">
              <w:t>Type 3 SMA, on nusinersen for ≥12 months</w:t>
            </w:r>
          </w:p>
        </w:tc>
        <w:tc>
          <w:tcPr>
            <w:tcW w:w="1792" w:type="dxa"/>
            <w:shd w:val="clear" w:color="auto" w:fill="auto"/>
            <w:vAlign w:val="center"/>
          </w:tcPr>
          <w:p w14:paraId="1577EBFB" w14:textId="77777777" w:rsidR="002751D2" w:rsidRPr="00111042" w:rsidRDefault="002751D2" w:rsidP="00F715C2">
            <w:pPr>
              <w:pStyle w:val="TableText0"/>
              <w:keepLines/>
              <w:jc w:val="center"/>
            </w:pPr>
            <w:r w:rsidRPr="00111042">
              <w:rPr>
                <w:szCs w:val="20"/>
              </w:rPr>
              <w:t>HFMSE, RULM, 6MWT</w:t>
            </w:r>
          </w:p>
        </w:tc>
      </w:tr>
      <w:tr w:rsidR="00B23D1A" w:rsidRPr="00111042" w14:paraId="1679E2BC" w14:textId="77777777" w:rsidTr="00BF45A3">
        <w:trPr>
          <w:cantSplit/>
        </w:trPr>
        <w:tc>
          <w:tcPr>
            <w:tcW w:w="0" w:type="auto"/>
            <w:gridSpan w:val="6"/>
            <w:shd w:val="clear" w:color="auto" w:fill="auto"/>
            <w:vAlign w:val="center"/>
          </w:tcPr>
          <w:p w14:paraId="301E5399" w14:textId="77777777" w:rsidR="002751D2" w:rsidRPr="000C053F" w:rsidRDefault="002751D2" w:rsidP="00F715C2">
            <w:pPr>
              <w:pStyle w:val="TableText0"/>
              <w:keepLines/>
              <w:rPr>
                <w:b/>
                <w:bCs w:val="0"/>
                <w:iCs/>
              </w:rPr>
            </w:pPr>
            <w:r w:rsidRPr="000C053F">
              <w:rPr>
                <w:b/>
                <w:bCs w:val="0"/>
                <w:iCs/>
              </w:rPr>
              <w:t>Population 2 and 3 (pre-symptomatic population) – risdiplam</w:t>
            </w:r>
          </w:p>
        </w:tc>
      </w:tr>
      <w:tr w:rsidR="00B23D1A" w:rsidRPr="00111042" w14:paraId="16F6B044" w14:textId="77777777" w:rsidTr="00BF45A3">
        <w:trPr>
          <w:cantSplit/>
        </w:trPr>
        <w:tc>
          <w:tcPr>
            <w:tcW w:w="1413" w:type="dxa"/>
            <w:shd w:val="clear" w:color="auto" w:fill="auto"/>
            <w:vAlign w:val="center"/>
          </w:tcPr>
          <w:p w14:paraId="5CFC0B14" w14:textId="77777777" w:rsidR="002751D2" w:rsidRPr="00111042" w:rsidRDefault="002751D2" w:rsidP="00F715C2">
            <w:pPr>
              <w:pStyle w:val="TableText0"/>
              <w:keepLines/>
            </w:pPr>
            <w:r w:rsidRPr="00111042">
              <w:t>RAINBOWFISH</w:t>
            </w:r>
          </w:p>
        </w:tc>
        <w:tc>
          <w:tcPr>
            <w:tcW w:w="425" w:type="dxa"/>
            <w:shd w:val="clear" w:color="auto" w:fill="auto"/>
            <w:vAlign w:val="center"/>
          </w:tcPr>
          <w:p w14:paraId="4C41F4BA" w14:textId="77777777" w:rsidR="002751D2" w:rsidRPr="00111042" w:rsidRDefault="002751D2" w:rsidP="00F715C2">
            <w:pPr>
              <w:pStyle w:val="TableText0"/>
              <w:keepLines/>
              <w:jc w:val="center"/>
            </w:pPr>
            <w:r w:rsidRPr="00111042">
              <w:t>18</w:t>
            </w:r>
          </w:p>
        </w:tc>
        <w:tc>
          <w:tcPr>
            <w:tcW w:w="2126" w:type="dxa"/>
            <w:shd w:val="clear" w:color="auto" w:fill="auto"/>
            <w:vAlign w:val="center"/>
          </w:tcPr>
          <w:p w14:paraId="19566415" w14:textId="77777777" w:rsidR="002751D2" w:rsidRPr="00111042" w:rsidRDefault="002751D2" w:rsidP="00F715C2">
            <w:pPr>
              <w:pStyle w:val="TableText0"/>
              <w:keepLines/>
              <w:jc w:val="center"/>
            </w:pPr>
            <w:r w:rsidRPr="00111042">
              <w:t>Phase 2, MC, OL, single-arm, 5 years, ongoing</w:t>
            </w:r>
          </w:p>
        </w:tc>
        <w:tc>
          <w:tcPr>
            <w:tcW w:w="709" w:type="dxa"/>
            <w:shd w:val="clear" w:color="auto" w:fill="auto"/>
            <w:vAlign w:val="center"/>
          </w:tcPr>
          <w:p w14:paraId="224A2B4F" w14:textId="77777777" w:rsidR="002751D2" w:rsidRPr="000C053F" w:rsidRDefault="002751D2" w:rsidP="00F715C2">
            <w:pPr>
              <w:pStyle w:val="TableText0"/>
              <w:keepLines/>
              <w:jc w:val="center"/>
              <w:rPr>
                <w:iCs/>
              </w:rPr>
            </w:pPr>
            <w:r w:rsidRPr="000C053F">
              <w:rPr>
                <w:iCs/>
              </w:rPr>
              <w:t>High</w:t>
            </w:r>
          </w:p>
        </w:tc>
        <w:tc>
          <w:tcPr>
            <w:tcW w:w="2552" w:type="dxa"/>
            <w:shd w:val="clear" w:color="auto" w:fill="auto"/>
            <w:vAlign w:val="center"/>
          </w:tcPr>
          <w:p w14:paraId="126C3996" w14:textId="77777777" w:rsidR="002751D2" w:rsidRPr="00111042" w:rsidRDefault="002751D2" w:rsidP="00F715C2">
            <w:pPr>
              <w:pStyle w:val="TableText0"/>
              <w:keepLines/>
              <w:jc w:val="center"/>
            </w:pPr>
            <w:r w:rsidRPr="00111042">
              <w:rPr>
                <w:szCs w:val="20"/>
              </w:rPr>
              <w:t>≤6 weeks-old, pre-symptomatic, genetically-diagnosed SMA</w:t>
            </w:r>
          </w:p>
        </w:tc>
        <w:tc>
          <w:tcPr>
            <w:tcW w:w="1792" w:type="dxa"/>
            <w:shd w:val="clear" w:color="auto" w:fill="auto"/>
            <w:vAlign w:val="center"/>
          </w:tcPr>
          <w:p w14:paraId="5CE9F8B2" w14:textId="77777777" w:rsidR="002751D2" w:rsidRPr="00111042" w:rsidRDefault="002751D2" w:rsidP="00F715C2">
            <w:pPr>
              <w:pStyle w:val="TableText0"/>
              <w:keepLines/>
              <w:jc w:val="center"/>
            </w:pPr>
            <w:r w:rsidRPr="00111042">
              <w:rPr>
                <w:szCs w:val="20"/>
              </w:rPr>
              <w:t>OS, event-free survival, HINE-2, CHOP-INTEND, BSID-III</w:t>
            </w:r>
          </w:p>
        </w:tc>
      </w:tr>
      <w:tr w:rsidR="00B23D1A" w:rsidRPr="00111042" w14:paraId="4EEB453F" w14:textId="77777777" w:rsidTr="00BF45A3">
        <w:trPr>
          <w:cantSplit/>
        </w:trPr>
        <w:tc>
          <w:tcPr>
            <w:tcW w:w="0" w:type="auto"/>
            <w:gridSpan w:val="6"/>
            <w:shd w:val="clear" w:color="auto" w:fill="auto"/>
            <w:vAlign w:val="center"/>
          </w:tcPr>
          <w:p w14:paraId="10D4CDE3" w14:textId="77777777" w:rsidR="002751D2" w:rsidRPr="000C053F" w:rsidRDefault="002751D2" w:rsidP="00F715C2">
            <w:pPr>
              <w:pStyle w:val="TableText0"/>
              <w:keepLines/>
              <w:rPr>
                <w:iCs/>
              </w:rPr>
            </w:pPr>
            <w:r w:rsidRPr="000C053F">
              <w:rPr>
                <w:b/>
                <w:bCs w:val="0"/>
                <w:iCs/>
              </w:rPr>
              <w:t>Population 2 (pre-symptomatic population) – nusinersen</w:t>
            </w:r>
          </w:p>
        </w:tc>
      </w:tr>
      <w:tr w:rsidR="00B23D1A" w:rsidRPr="00111042" w14:paraId="6E6D9E55" w14:textId="77777777" w:rsidTr="00BF45A3">
        <w:trPr>
          <w:cantSplit/>
        </w:trPr>
        <w:tc>
          <w:tcPr>
            <w:tcW w:w="1413" w:type="dxa"/>
            <w:shd w:val="clear" w:color="auto" w:fill="B8CCE4" w:themeFill="accent1" w:themeFillTint="66"/>
            <w:vAlign w:val="center"/>
          </w:tcPr>
          <w:p w14:paraId="32CC5C2D" w14:textId="77777777" w:rsidR="002751D2" w:rsidRPr="00111042" w:rsidRDefault="002751D2" w:rsidP="00F715C2">
            <w:pPr>
              <w:pStyle w:val="TableText0"/>
              <w:keepLines/>
            </w:pPr>
            <w:r w:rsidRPr="00111042">
              <w:t>NURTURE</w:t>
            </w:r>
          </w:p>
        </w:tc>
        <w:tc>
          <w:tcPr>
            <w:tcW w:w="425" w:type="dxa"/>
            <w:shd w:val="clear" w:color="auto" w:fill="B8CCE4" w:themeFill="accent1" w:themeFillTint="66"/>
            <w:vAlign w:val="center"/>
          </w:tcPr>
          <w:p w14:paraId="64F8FF77" w14:textId="77777777" w:rsidR="002751D2" w:rsidRPr="00111042" w:rsidRDefault="002751D2" w:rsidP="00F715C2">
            <w:pPr>
              <w:pStyle w:val="TableText0"/>
              <w:keepLines/>
              <w:jc w:val="center"/>
            </w:pPr>
            <w:r w:rsidRPr="00111042">
              <w:t>25</w:t>
            </w:r>
          </w:p>
        </w:tc>
        <w:tc>
          <w:tcPr>
            <w:tcW w:w="2126" w:type="dxa"/>
            <w:shd w:val="clear" w:color="auto" w:fill="B8CCE4" w:themeFill="accent1" w:themeFillTint="66"/>
            <w:vAlign w:val="center"/>
          </w:tcPr>
          <w:p w14:paraId="3F6D5F42" w14:textId="77777777" w:rsidR="002751D2" w:rsidRPr="00111042" w:rsidRDefault="002751D2" w:rsidP="00F715C2">
            <w:pPr>
              <w:pStyle w:val="TableText0"/>
              <w:keepLines/>
              <w:jc w:val="center"/>
            </w:pPr>
            <w:r w:rsidRPr="00111042">
              <w:t>Phase 2, MC, OL, single-arm, 5 years, ongoing</w:t>
            </w:r>
          </w:p>
        </w:tc>
        <w:tc>
          <w:tcPr>
            <w:tcW w:w="709" w:type="dxa"/>
            <w:shd w:val="clear" w:color="auto" w:fill="B8CCE4" w:themeFill="accent1" w:themeFillTint="66"/>
            <w:vAlign w:val="center"/>
          </w:tcPr>
          <w:p w14:paraId="61EC3773" w14:textId="77777777" w:rsidR="002751D2" w:rsidRPr="000C053F" w:rsidRDefault="002751D2" w:rsidP="00F715C2">
            <w:pPr>
              <w:pStyle w:val="TableText0"/>
              <w:keepLines/>
              <w:jc w:val="center"/>
              <w:rPr>
                <w:iCs/>
              </w:rPr>
            </w:pPr>
            <w:r w:rsidRPr="000C053F">
              <w:rPr>
                <w:iCs/>
              </w:rPr>
              <w:t>High</w:t>
            </w:r>
          </w:p>
        </w:tc>
        <w:tc>
          <w:tcPr>
            <w:tcW w:w="2552" w:type="dxa"/>
            <w:shd w:val="clear" w:color="auto" w:fill="B8CCE4" w:themeFill="accent1" w:themeFillTint="66"/>
            <w:vAlign w:val="center"/>
          </w:tcPr>
          <w:p w14:paraId="3E1813C4" w14:textId="09647141" w:rsidR="002751D2" w:rsidRPr="00111042" w:rsidRDefault="002751D2" w:rsidP="00F715C2">
            <w:pPr>
              <w:pStyle w:val="TableText0"/>
              <w:keepLines/>
              <w:jc w:val="center"/>
            </w:pPr>
            <w:r w:rsidRPr="00111042">
              <w:rPr>
                <w:szCs w:val="20"/>
              </w:rPr>
              <w:t xml:space="preserve">≤6 weeks-old, pre-symptomatic, genetically-diagnosed SMA, 2 or 3 </w:t>
            </w:r>
            <w:r w:rsidR="00AF346B" w:rsidRPr="00AF346B">
              <w:rPr>
                <w:i/>
                <w:szCs w:val="20"/>
              </w:rPr>
              <w:t>SMN2</w:t>
            </w:r>
            <w:r w:rsidRPr="00111042">
              <w:rPr>
                <w:szCs w:val="20"/>
              </w:rPr>
              <w:t xml:space="preserve"> gene copies</w:t>
            </w:r>
          </w:p>
        </w:tc>
        <w:tc>
          <w:tcPr>
            <w:tcW w:w="1792" w:type="dxa"/>
            <w:shd w:val="clear" w:color="auto" w:fill="B8CCE4" w:themeFill="accent1" w:themeFillTint="66"/>
            <w:vAlign w:val="center"/>
          </w:tcPr>
          <w:p w14:paraId="3CBB09A4" w14:textId="77777777" w:rsidR="002751D2" w:rsidRPr="00111042" w:rsidRDefault="002751D2" w:rsidP="00F715C2">
            <w:pPr>
              <w:pStyle w:val="TableText0"/>
              <w:keepLines/>
              <w:jc w:val="center"/>
            </w:pPr>
            <w:r w:rsidRPr="00111042">
              <w:rPr>
                <w:szCs w:val="20"/>
              </w:rPr>
              <w:t>OS, event-free survival, HINE-2, CHOP-INTEND</w:t>
            </w:r>
          </w:p>
        </w:tc>
      </w:tr>
    </w:tbl>
    <w:p w14:paraId="7CF0BD8F" w14:textId="77777777" w:rsidR="009F2B52" w:rsidRPr="000C053F" w:rsidRDefault="009F2B52" w:rsidP="009F2B52">
      <w:pPr>
        <w:pStyle w:val="TableFooter"/>
        <w:keepNext/>
        <w:keepLines/>
      </w:pPr>
      <w:r w:rsidRPr="000C053F">
        <w:t>Source: Section 2.3 (p58-76 of the resubmission)</w:t>
      </w:r>
    </w:p>
    <w:p w14:paraId="7E602733" w14:textId="280066AB" w:rsidR="002751D2" w:rsidRPr="00111042" w:rsidRDefault="002751D2" w:rsidP="00F715C2">
      <w:pPr>
        <w:pStyle w:val="TableFooter"/>
        <w:keepNext/>
        <w:keepLines/>
      </w:pPr>
      <w:r w:rsidRPr="00111042">
        <w:t xml:space="preserve">DB = double blind; GMFM = Gross Motor Function Measure; HFMS=Hammersmith Functional Motor Scale; HFMSE=Hammersmith Functional Motor Scale– Expanded; 6MWT=6 min walking test; NR=not reported; </w:t>
      </w:r>
      <w:r w:rsidR="00652288" w:rsidRPr="00111042">
        <w:t xml:space="preserve">MFM32=motor function measure 32; </w:t>
      </w:r>
      <w:r w:rsidRPr="00111042">
        <w:t>MVICT = Maximal Voluntary Isometric Muscle Contraction Testing; MC = multicentre; NC = non-comparative; PC = placebo-controlled; OL = open-label; OS = overall survival; R = randomised; RULM=Revised Upper Limb Module; SMA=spinal muscular atrophy, SMAFRS = modified SMA function rating scale; ULM = Upper Limb Module</w:t>
      </w:r>
    </w:p>
    <w:p w14:paraId="49CCC756" w14:textId="70DAA227" w:rsidR="002751D2" w:rsidRPr="00111042" w:rsidRDefault="002751D2" w:rsidP="00F715C2">
      <w:pPr>
        <w:pStyle w:val="TableFooter"/>
        <w:keepNext/>
        <w:keepLines/>
      </w:pPr>
      <w:r w:rsidRPr="00111042">
        <w:t xml:space="preserve">Blue shaded cells indicate </w:t>
      </w:r>
      <w:r w:rsidR="008C52A3" w:rsidRPr="00111042">
        <w:t xml:space="preserve">trials </w:t>
      </w:r>
      <w:r w:rsidRPr="00111042">
        <w:t>previous considered by PBAC</w:t>
      </w:r>
      <w:r w:rsidR="008C52A3" w:rsidRPr="00111042">
        <w:t>, but at an earlier data cut</w:t>
      </w:r>
      <w:r w:rsidR="00DD41F7" w:rsidRPr="00111042">
        <w:t xml:space="preserve"> or different subgroup</w:t>
      </w:r>
      <w:r w:rsidR="008C52A3" w:rsidRPr="00111042">
        <w:t xml:space="preserve"> for SUNFISH part 2, JEWELFISH and NURTURE</w:t>
      </w:r>
    </w:p>
    <w:p w14:paraId="5008192A" w14:textId="77777777" w:rsidR="002751D2" w:rsidRPr="00111042" w:rsidRDefault="002751D2" w:rsidP="00F715C2">
      <w:pPr>
        <w:pStyle w:val="TableFooter"/>
        <w:keepNext/>
        <w:keepLines/>
      </w:pPr>
      <w:r w:rsidRPr="00111042">
        <w:t>a – Only the first part was double-blinded and placebo-controlled. SUNFISH Part 1 was a dose-finding study whereby an open-label extension component of the pivotal risdiplam dosage followed the initial blinded placebo-controlled dose-finding component.</w:t>
      </w:r>
    </w:p>
    <w:p w14:paraId="61BA41D0" w14:textId="77777777" w:rsidR="002751D2" w:rsidRPr="00111042" w:rsidRDefault="002751D2" w:rsidP="00F715C2">
      <w:pPr>
        <w:pStyle w:val="TableFooter"/>
        <w:keepNext/>
        <w:keepLines/>
      </w:pPr>
      <w:r w:rsidRPr="00111042">
        <w:t>b – Only the first 12 months of SUNFISH 2 was placebo-controlled. After this placebo patients switched to risdiplam in a blinded manner for 12 months. Following this was a 3-year open-label extension component</w:t>
      </w:r>
    </w:p>
    <w:p w14:paraId="1E832AFA" w14:textId="54059694" w:rsidR="002751D2" w:rsidRPr="004C7359" w:rsidRDefault="002751D2" w:rsidP="004C7359">
      <w:pPr>
        <w:pStyle w:val="TableFooter"/>
        <w:keepNext/>
        <w:keepLines/>
        <w:spacing w:after="120"/>
      </w:pPr>
      <w:r w:rsidRPr="000C053F">
        <w:t>c – All studies other than SUNFISH were single-arm, open-label, non-comparative studies and therefore considered as high risk of bias</w:t>
      </w:r>
    </w:p>
    <w:p w14:paraId="2914731E" w14:textId="77777777" w:rsidR="002751D2" w:rsidRPr="00111042" w:rsidRDefault="002751D2" w:rsidP="002751D2">
      <w:pPr>
        <w:pStyle w:val="3-BodyText"/>
        <w:numPr>
          <w:ilvl w:val="0"/>
          <w:numId w:val="0"/>
        </w:numPr>
        <w:ind w:left="720" w:hanging="720"/>
        <w:rPr>
          <w:u w:val="single"/>
        </w:rPr>
      </w:pPr>
      <w:r w:rsidRPr="00111042">
        <w:rPr>
          <w:u w:val="single"/>
        </w:rPr>
        <w:t>Population 1 – adult population</w:t>
      </w:r>
    </w:p>
    <w:p w14:paraId="268D5499" w14:textId="399EA9F6" w:rsidR="002751D2" w:rsidRPr="000C053F" w:rsidRDefault="002751D2" w:rsidP="002751D2">
      <w:pPr>
        <w:pStyle w:val="3-BodyText"/>
      </w:pPr>
      <w:r w:rsidRPr="00111042">
        <w:t xml:space="preserve">SUNFISH enrolled SMA patients aged 2-25 years with Type 2 and non-ambulant Type 3 SMA. </w:t>
      </w:r>
      <w:r w:rsidRPr="000C053F">
        <w:t>The requested population includes all adults with Types 1-3, including Type 3 ambulant patients. The PBAC has previously noted these heterogeneity issues in the requested adult population (</w:t>
      </w:r>
      <w:r w:rsidR="006B7A34">
        <w:t>p</w:t>
      </w:r>
      <w:r w:rsidRPr="000C053F">
        <w:t>ara 6.</w:t>
      </w:r>
      <w:r w:rsidR="003A3347">
        <w:t>28</w:t>
      </w:r>
      <w:r w:rsidRPr="000C053F">
        <w:t>, risdiplam</w:t>
      </w:r>
      <w:r w:rsidR="006B7A34">
        <w:t xml:space="preserve"> PSD</w:t>
      </w:r>
      <w:r w:rsidRPr="000C053F">
        <w:t xml:space="preserve">, March 2021 PBAC meeting). JEWELFISH </w:t>
      </w:r>
      <w:r w:rsidR="00CD46F5" w:rsidRPr="000C053F">
        <w:t xml:space="preserve">enrolled </w:t>
      </w:r>
      <w:r w:rsidRPr="000C053F">
        <w:t>patients aged 6 months to 60 years who have previously had DMT treatment for SMA</w:t>
      </w:r>
      <w:r w:rsidR="00092CC6" w:rsidRPr="000C053F">
        <w:t xml:space="preserve">, with </w:t>
      </w:r>
      <w:r w:rsidRPr="000C053F">
        <w:t>any Type of SMA</w:t>
      </w:r>
      <w:r w:rsidR="00092CC6" w:rsidRPr="000C053F">
        <w:t xml:space="preserve">. These criteria were </w:t>
      </w:r>
      <w:r w:rsidRPr="000C053F">
        <w:t xml:space="preserve">inconsistent with the requested population which required patients to have had no previous treatment with a DMT, </w:t>
      </w:r>
      <w:r w:rsidR="00092CC6" w:rsidRPr="000C053F">
        <w:t xml:space="preserve">and restricted use only to </w:t>
      </w:r>
      <w:r w:rsidRPr="000C053F">
        <w:t>patients age</w:t>
      </w:r>
      <w:r w:rsidR="00092CC6" w:rsidRPr="000C053F">
        <w:t>d above 19 years and symptom onset prior to 18 years of age (i.e.</w:t>
      </w:r>
      <w:r w:rsidRPr="000C053F">
        <w:t xml:space="preserve"> Type 1-3</w:t>
      </w:r>
      <w:r w:rsidR="00092CC6" w:rsidRPr="000C053F">
        <w:t xml:space="preserve"> SMA)</w:t>
      </w:r>
      <w:r w:rsidRPr="000C053F">
        <w:t>.</w:t>
      </w:r>
      <w:r w:rsidR="002733C2" w:rsidRPr="000C053F">
        <w:t xml:space="preserve"> Only data from patients aged 18</w:t>
      </w:r>
      <w:r w:rsidR="00EE554D">
        <w:t xml:space="preserve"> years</w:t>
      </w:r>
      <w:r w:rsidR="002733C2" w:rsidRPr="000C053F">
        <w:t xml:space="preserve"> and above were used to inform the clinical comparison. </w:t>
      </w:r>
    </w:p>
    <w:p w14:paraId="40BD33B5" w14:textId="47093224" w:rsidR="00E32ABA" w:rsidRPr="000C053F" w:rsidRDefault="007B5185" w:rsidP="00EF6F92">
      <w:pPr>
        <w:pStyle w:val="3-BodyText"/>
      </w:pPr>
      <w:r w:rsidRPr="00111042">
        <w:lastRenderedPageBreak/>
        <w:t>T</w:t>
      </w:r>
      <w:r w:rsidR="002751D2" w:rsidRPr="00111042">
        <w:t>he nusinersen studies used to inform population 1 were real-world studies</w:t>
      </w:r>
      <w:r w:rsidR="00237828">
        <w:t xml:space="preserve"> (single</w:t>
      </w:r>
      <w:r w:rsidR="00237828">
        <w:noBreakHyphen/>
        <w:t>arm retrospective/prospective cohort studies and registry data)</w:t>
      </w:r>
      <w:r w:rsidRPr="00111042">
        <w:t xml:space="preserve"> and had </w:t>
      </w:r>
      <w:r w:rsidR="002751D2" w:rsidRPr="00111042">
        <w:t xml:space="preserve">eligibility criteria </w:t>
      </w:r>
      <w:r w:rsidRPr="00111042">
        <w:t xml:space="preserve">which </w:t>
      </w:r>
      <w:r w:rsidR="002751D2" w:rsidRPr="00111042">
        <w:t xml:space="preserve">were less restrictive than in SUNFISH and JEWELFISH. </w:t>
      </w:r>
      <w:r w:rsidR="002751D2" w:rsidRPr="000C053F">
        <w:t>There w</w:t>
      </w:r>
      <w:r w:rsidR="006B7A34">
        <w:t>as a</w:t>
      </w:r>
      <w:r w:rsidR="002751D2" w:rsidRPr="000C053F">
        <w:t xml:space="preserve"> notable degree of heterogeneity across the risdiplam and nusinersen studies with respect to age, ambulation status, </w:t>
      </w:r>
      <w:r w:rsidR="00260B56" w:rsidRPr="000C053F">
        <w:t xml:space="preserve">previous treatment, </w:t>
      </w:r>
      <w:r w:rsidR="002751D2" w:rsidRPr="000C053F">
        <w:t>degree of disease progression and extent of baseline function</w:t>
      </w:r>
      <w:r w:rsidR="00720E0E">
        <w:t>,</w:t>
      </w:r>
      <w:r w:rsidR="006B7A34">
        <w:t xml:space="preserve"> as</w:t>
      </w:r>
      <w:r w:rsidR="002751D2" w:rsidRPr="000C053F">
        <w:t xml:space="preserve"> previously noted </w:t>
      </w:r>
      <w:r w:rsidR="006B7A34">
        <w:t>for the nusinersen studies</w:t>
      </w:r>
      <w:r w:rsidR="002751D2" w:rsidRPr="000C053F">
        <w:t xml:space="preserve"> (</w:t>
      </w:r>
      <w:r w:rsidR="006B7A34">
        <w:t>p</w:t>
      </w:r>
      <w:r w:rsidR="002751D2" w:rsidRPr="000C053F">
        <w:t>ara 6.34</w:t>
      </w:r>
      <w:r w:rsidR="00720E0E">
        <w:t xml:space="preserve"> and</w:t>
      </w:r>
      <w:r w:rsidR="002751D2" w:rsidRPr="000C053F">
        <w:t xml:space="preserve"> 7.08, </w:t>
      </w:r>
      <w:r w:rsidR="00720E0E">
        <w:t>n</w:t>
      </w:r>
      <w:r w:rsidR="002751D2" w:rsidRPr="000C053F">
        <w:t xml:space="preserve">usinersen PSD, March </w:t>
      </w:r>
      <w:r w:rsidR="00720E0E">
        <w:t>20</w:t>
      </w:r>
      <w:r w:rsidR="002751D2" w:rsidRPr="000C053F">
        <w:t>22</w:t>
      </w:r>
      <w:r w:rsidR="00720E0E">
        <w:t xml:space="preserve"> PBAC meeting</w:t>
      </w:r>
      <w:r w:rsidR="002751D2" w:rsidRPr="000C053F">
        <w:t>). Mean baseline</w:t>
      </w:r>
      <w:r w:rsidR="00A6418D" w:rsidRPr="000C053F">
        <w:t xml:space="preserve"> Hammersmith Functional Motor Scale</w:t>
      </w:r>
      <w:r w:rsidR="002751D2" w:rsidRPr="000C053F">
        <w:t xml:space="preserve"> </w:t>
      </w:r>
      <w:r w:rsidR="00A6418D" w:rsidRPr="000C053F">
        <w:t>(</w:t>
      </w:r>
      <w:r w:rsidR="002751D2" w:rsidRPr="000C053F">
        <w:t>HFMSE</w:t>
      </w:r>
      <w:r w:rsidR="00A6418D" w:rsidRPr="000C053F">
        <w:t>)</w:t>
      </w:r>
      <w:r w:rsidR="002751D2" w:rsidRPr="000C053F">
        <w:t xml:space="preserve"> scores in the primary nusinersen studies (2</w:t>
      </w:r>
      <w:r w:rsidR="007F446F">
        <w:t>4</w:t>
      </w:r>
      <w:r w:rsidR="002751D2" w:rsidRPr="000C053F">
        <w:t xml:space="preserve">-29) </w:t>
      </w:r>
      <w:r w:rsidR="008517CF" w:rsidRPr="000C053F">
        <w:t xml:space="preserve">were </w:t>
      </w:r>
      <w:r w:rsidR="002751D2" w:rsidRPr="000C053F">
        <w:t xml:space="preserve">substantially higher than in the risdiplam studies, </w:t>
      </w:r>
      <w:r w:rsidR="007F446F">
        <w:t xml:space="preserve">(9-10) </w:t>
      </w:r>
      <w:r w:rsidR="002751D2" w:rsidRPr="000C053F">
        <w:t>with a correspondingly lower proportion with scoliosis (1</w:t>
      </w:r>
      <w:r w:rsidR="007F446F">
        <w:t>4</w:t>
      </w:r>
      <w:r w:rsidR="002751D2" w:rsidRPr="000C053F">
        <w:t>-25%</w:t>
      </w:r>
      <w:r w:rsidR="007F446F">
        <w:t xml:space="preserve"> vs 85-93%</w:t>
      </w:r>
      <w:r w:rsidR="002751D2" w:rsidRPr="000C053F">
        <w:t>) and lower proportion with Type 2 SMA (0-35%</w:t>
      </w:r>
      <w:r w:rsidR="007F446F">
        <w:t xml:space="preserve"> vs more than 50%</w:t>
      </w:r>
      <w:r w:rsidR="002751D2" w:rsidRPr="000C053F">
        <w:t>).</w:t>
      </w:r>
      <w:r w:rsidR="0089329C" w:rsidRPr="000C053F">
        <w:t xml:space="preserve"> Additionally, there were notable differences in the timing of outcome assessments. This caused a large degree of uncertainty in the interpretation of all naïve comparisons between the studies.</w:t>
      </w:r>
      <w:r w:rsidR="002751D2" w:rsidRPr="000C053F">
        <w:t xml:space="preserve"> </w:t>
      </w:r>
    </w:p>
    <w:p w14:paraId="01C39F5B" w14:textId="09DB8A15" w:rsidR="00BF45A3" w:rsidRPr="000C053F" w:rsidRDefault="00BF45A3" w:rsidP="002751D2">
      <w:pPr>
        <w:pStyle w:val="3-BodyText"/>
      </w:pPr>
      <w:r w:rsidRPr="000C053F">
        <w:t xml:space="preserve">None of the studies included any adjustments for multiple testing from measuring the outcome at several timepoints. </w:t>
      </w:r>
      <w:r w:rsidR="00F761CB" w:rsidRPr="000C053F">
        <w:t xml:space="preserve">In </w:t>
      </w:r>
      <w:r w:rsidRPr="000C053F">
        <w:t>SUNFISH part 2</w:t>
      </w:r>
      <w:r w:rsidR="00F761CB" w:rsidRPr="000C053F">
        <w:t xml:space="preserve">, </w:t>
      </w:r>
      <w:r w:rsidR="000F0391" w:rsidRPr="000C053F">
        <w:t xml:space="preserve">the primary outcome </w:t>
      </w:r>
      <w:r w:rsidR="00F761CB" w:rsidRPr="000C053F">
        <w:t xml:space="preserve">was </w:t>
      </w:r>
      <w:r w:rsidR="0095245F" w:rsidRPr="000C053F">
        <w:t xml:space="preserve">change from baseline in </w:t>
      </w:r>
      <w:r w:rsidR="00652288" w:rsidRPr="000C053F">
        <w:t>the motor function measure (</w:t>
      </w:r>
      <w:r w:rsidR="000F0391" w:rsidRPr="000C053F">
        <w:t>MFM32</w:t>
      </w:r>
      <w:r w:rsidR="00652288" w:rsidRPr="000C053F">
        <w:t>)</w:t>
      </w:r>
      <w:r w:rsidR="000F0391" w:rsidRPr="000C053F">
        <w:t xml:space="preserve"> </w:t>
      </w:r>
      <w:r w:rsidR="0095245F" w:rsidRPr="000C053F">
        <w:t>at 12 months</w:t>
      </w:r>
      <w:r w:rsidR="00F761CB" w:rsidRPr="000C053F">
        <w:t xml:space="preserve"> and </w:t>
      </w:r>
      <w:r w:rsidR="0095245F" w:rsidRPr="000C053F">
        <w:t xml:space="preserve">all </w:t>
      </w:r>
      <w:r w:rsidR="00F761CB" w:rsidRPr="000C053F">
        <w:t xml:space="preserve">other </w:t>
      </w:r>
      <w:r w:rsidR="0095245F" w:rsidRPr="000C053F">
        <w:t xml:space="preserve">outcomes relied upon by the submission were considered exploratory outcomes. </w:t>
      </w:r>
      <w:r w:rsidR="00F761CB" w:rsidRPr="000C053F">
        <w:t>All efficacy outcomes in JEWELFISH were also considered exploratory.</w:t>
      </w:r>
    </w:p>
    <w:p w14:paraId="0C3FDB54" w14:textId="14EE7F02" w:rsidR="002751D2" w:rsidRPr="000C053F" w:rsidRDefault="00E32ABA" w:rsidP="002751D2">
      <w:pPr>
        <w:pStyle w:val="3-BodyText"/>
      </w:pPr>
      <w:r w:rsidRPr="00111042">
        <w:t xml:space="preserve">Follow-up in both risdiplam and nusinersen studies </w:t>
      </w:r>
      <w:r w:rsidR="008517CF" w:rsidRPr="00111042">
        <w:t>w</w:t>
      </w:r>
      <w:r w:rsidR="008517CF">
        <w:t>as</w:t>
      </w:r>
      <w:r w:rsidR="008517CF" w:rsidRPr="00111042">
        <w:t xml:space="preserve"> </w:t>
      </w:r>
      <w:r w:rsidRPr="00111042">
        <w:t xml:space="preserve">limited, with a maximum follow-up of 24 months in </w:t>
      </w:r>
      <w:r w:rsidR="00EE554D">
        <w:t xml:space="preserve">the </w:t>
      </w:r>
      <w:r w:rsidRPr="00111042">
        <w:t>risdiplam studies and a maximum follow-up of 1</w:t>
      </w:r>
      <w:r w:rsidR="00657BB6" w:rsidRPr="00111042">
        <w:t>4</w:t>
      </w:r>
      <w:r w:rsidRPr="00111042">
        <w:t xml:space="preserve"> months in </w:t>
      </w:r>
      <w:r w:rsidR="00EE554D">
        <w:t xml:space="preserve">the </w:t>
      </w:r>
      <w:r w:rsidRPr="00111042">
        <w:t xml:space="preserve">nusinersen studies. </w:t>
      </w:r>
      <w:r w:rsidRPr="000C053F">
        <w:t xml:space="preserve">Given the lifelong nature of SMA, </w:t>
      </w:r>
      <w:r w:rsidR="00720E0E">
        <w:t>this</w:t>
      </w:r>
      <w:r w:rsidRPr="000C053F">
        <w:t xml:space="preserve"> represent</w:t>
      </w:r>
      <w:r w:rsidR="00720E0E">
        <w:t>s</w:t>
      </w:r>
      <w:r w:rsidRPr="000C053F">
        <w:t xml:space="preserve"> an important area of uncertainty in regard to long-term treatment benefit</w:t>
      </w:r>
      <w:r w:rsidR="002751D2" w:rsidRPr="000C053F">
        <w:t xml:space="preserve"> </w:t>
      </w:r>
      <w:r w:rsidR="00657BB6" w:rsidRPr="000C053F">
        <w:t xml:space="preserve">associated with </w:t>
      </w:r>
      <w:r w:rsidR="003C1CAB" w:rsidRPr="000C053F">
        <w:t xml:space="preserve">both risdiplam and nusinersen. </w:t>
      </w:r>
    </w:p>
    <w:p w14:paraId="08CDCFDB" w14:textId="2EA784CA" w:rsidR="002751D2" w:rsidRPr="00111042" w:rsidRDefault="002751D2" w:rsidP="002751D2">
      <w:pPr>
        <w:pStyle w:val="3-BodyText"/>
      </w:pPr>
      <w:r w:rsidRPr="00111042">
        <w:t>The HFSME and Revised Upper Limb Module (RULM) outcome measures in the adult subgroups were used to undertake efficacy comparisons</w:t>
      </w:r>
      <w:r w:rsidR="007B5185" w:rsidRPr="00111042">
        <w:t xml:space="preserve"> in population 1</w:t>
      </w:r>
      <w:r w:rsidRPr="00111042">
        <w:t xml:space="preserve">. </w:t>
      </w:r>
      <w:r w:rsidRPr="000C053F">
        <w:t>The PBAC has previously considered these outcomes and has noted that recent publications suggest the HFMSE and RULM may not be meaningful outcome measures for severely affected individuals (</w:t>
      </w:r>
      <w:r w:rsidR="00720E0E">
        <w:t>p</w:t>
      </w:r>
      <w:r w:rsidRPr="000C053F">
        <w:t>ara 7.4, nusinersen</w:t>
      </w:r>
      <w:r w:rsidR="00720E0E">
        <w:t xml:space="preserve"> PSD</w:t>
      </w:r>
      <w:r w:rsidRPr="000C053F">
        <w:t xml:space="preserve">, July 2021 PBAC meeting). </w:t>
      </w:r>
    </w:p>
    <w:p w14:paraId="449D2BB5" w14:textId="77777777" w:rsidR="004D434C" w:rsidRPr="00111042" w:rsidRDefault="004D434C" w:rsidP="004D434C">
      <w:pPr>
        <w:pStyle w:val="3-BodyText"/>
      </w:pPr>
      <w:r w:rsidRPr="00111042">
        <w:rPr>
          <w:snapToGrid/>
        </w:rPr>
        <w:t xml:space="preserve">The </w:t>
      </w:r>
      <w:r w:rsidRPr="00111042">
        <w:t>HFMSE contains a series of assessments designed to assess important functional abilities, including standing, transfers, ambulation, and proximal and axial function. The HFMSE total score scale contains 33 items, which are scored on a 3-point Likert-type scale (0</w:t>
      </w:r>
      <w:r w:rsidRPr="00111042">
        <w:sym w:font="Symbol" w:char="F02D"/>
      </w:r>
      <w:r w:rsidRPr="00111042">
        <w:t>2) and summed to derive the total score, with lower scores indicating greater impairment.</w:t>
      </w:r>
    </w:p>
    <w:p w14:paraId="40FF7214" w14:textId="4E39F675" w:rsidR="00FB6DBE" w:rsidRPr="00111042" w:rsidRDefault="00810463" w:rsidP="002751D2">
      <w:pPr>
        <w:pStyle w:val="3-BodyText"/>
      </w:pPr>
      <w:r w:rsidRPr="00111042">
        <w:t xml:space="preserve">The </w:t>
      </w:r>
      <w:r w:rsidRPr="00111042">
        <w:rPr>
          <w:snapToGrid/>
        </w:rPr>
        <w:t xml:space="preserve">RULM </w:t>
      </w:r>
      <w:r w:rsidRPr="00111042">
        <w:t>test</w:t>
      </w:r>
      <w:r w:rsidRPr="00111042">
        <w:rPr>
          <w:snapToGrid/>
        </w:rPr>
        <w:t xml:space="preserve"> is an outcome measure specifically developed to assess upper limb functional abilities in SMA patients.</w:t>
      </w:r>
      <w:r w:rsidR="00A8291C" w:rsidRPr="00111042">
        <w:rPr>
          <w:snapToGrid/>
        </w:rPr>
        <w:t xml:space="preserve"> The test assesses important aspects of upper limb function</w:t>
      </w:r>
      <w:r w:rsidR="009B2210" w:rsidRPr="00111042">
        <w:rPr>
          <w:snapToGrid/>
        </w:rPr>
        <w:t xml:space="preserve">. </w:t>
      </w:r>
      <w:r w:rsidR="00A8291C" w:rsidRPr="00111042">
        <w:rPr>
          <w:snapToGrid/>
        </w:rPr>
        <w:t>Items are scored either 0, 1 or 2, with 0 indicating cannot complete the task independently and, 1 can complete independently with a modified method, and 2 completes task without assistance. The total score ranges from 0 to 37 with higher scores indicating greater functional abilities.</w:t>
      </w:r>
    </w:p>
    <w:p w14:paraId="069AFBA5" w14:textId="263A86FF" w:rsidR="002751D2" w:rsidRPr="00111042" w:rsidRDefault="002751D2" w:rsidP="00BA28ED">
      <w:pPr>
        <w:pStyle w:val="3-BodyText"/>
      </w:pPr>
      <w:r w:rsidRPr="00111042">
        <w:t xml:space="preserve">The </w:t>
      </w:r>
      <w:r w:rsidR="00381F60" w:rsidRPr="00111042">
        <w:t>resubmission</w:t>
      </w:r>
      <w:r w:rsidRPr="00111042">
        <w:t xml:space="preserve"> did not nominate </w:t>
      </w:r>
      <w:r w:rsidR="0082262B" w:rsidRPr="00111042">
        <w:t>minimal clinically important differences (</w:t>
      </w:r>
      <w:r w:rsidRPr="00111042">
        <w:t>MCIDs</w:t>
      </w:r>
      <w:r w:rsidR="0082262B" w:rsidRPr="00111042">
        <w:t>)</w:t>
      </w:r>
      <w:r w:rsidRPr="00111042">
        <w:t xml:space="preserve"> for these outcomes, </w:t>
      </w:r>
      <w:r w:rsidR="00BA28ED">
        <w:t xml:space="preserve">noting </w:t>
      </w:r>
      <w:r w:rsidR="00BA28ED" w:rsidRPr="00111042">
        <w:t xml:space="preserve">a lack of published non-inferiority margins in SMA and </w:t>
      </w:r>
      <w:r w:rsidR="00BA28ED" w:rsidRPr="00111042">
        <w:lastRenderedPageBreak/>
        <w:t xml:space="preserve">given the lack of precision in the confidence estimates for the naïve comparisons due to small study population. </w:t>
      </w:r>
      <w:r w:rsidR="00BA28ED">
        <w:t xml:space="preserve">The resubmission also </w:t>
      </w:r>
      <w:r w:rsidRPr="00111042">
        <w:t>not</w:t>
      </w:r>
      <w:r w:rsidR="00BA28ED">
        <w:t>ed</w:t>
      </w:r>
      <w:r w:rsidRPr="00111042">
        <w:t xml:space="preserve"> that information from patient and clinician focus groups conducted at the beginning of 2022 for the nusinersen PBAC </w:t>
      </w:r>
      <w:r w:rsidR="00381F60" w:rsidRPr="00111042">
        <w:t>resubmission</w:t>
      </w:r>
      <w:r w:rsidRPr="00111042">
        <w:t xml:space="preserve"> considered that changes in scores from these outcome measures should not be used in isolation to determine treatment effectiveness. </w:t>
      </w:r>
      <w:r w:rsidR="00BA28ED" w:rsidRPr="000C053F">
        <w:t xml:space="preserve">ESC has previously considered </w:t>
      </w:r>
      <w:r w:rsidR="004B72ED">
        <w:t xml:space="preserve">the importance of these outcomes in terms of </w:t>
      </w:r>
      <w:r w:rsidR="00BA28ED" w:rsidRPr="000C053F">
        <w:t>clinically meaningful benefit in adult patients was unclear (</w:t>
      </w:r>
      <w:r w:rsidR="00BA28ED">
        <w:t>p</w:t>
      </w:r>
      <w:r w:rsidR="00BA28ED" w:rsidRPr="000C053F">
        <w:t xml:space="preserve">ara 6.22, nusinersen </w:t>
      </w:r>
      <w:r w:rsidR="00BA28ED">
        <w:t>PSD</w:t>
      </w:r>
      <w:r w:rsidR="00BA28ED" w:rsidRPr="000C053F">
        <w:t>, March 2022 PBAC meeting).</w:t>
      </w:r>
      <w:r w:rsidR="00BA28ED">
        <w:t xml:space="preserve"> </w:t>
      </w:r>
      <w:r w:rsidR="00936C6E" w:rsidRPr="000C053F">
        <w:t>W</w:t>
      </w:r>
      <w:r w:rsidR="0082262B" w:rsidRPr="000C053F">
        <w:t xml:space="preserve">ithout an established non-inferiority </w:t>
      </w:r>
      <w:r w:rsidR="00924994" w:rsidRPr="000C053F">
        <w:t>margin,</w:t>
      </w:r>
      <w:r w:rsidR="0082262B" w:rsidRPr="000C053F">
        <w:t xml:space="preserve"> it was unclear whether any claim of non-inferiority wou</w:t>
      </w:r>
      <w:r w:rsidR="00580D31" w:rsidRPr="000C053F">
        <w:t>ld be robust.</w:t>
      </w:r>
      <w:r w:rsidR="00580D31" w:rsidRPr="00BA28ED">
        <w:rPr>
          <w:i/>
          <w:iCs/>
        </w:rPr>
        <w:t xml:space="preserve"> </w:t>
      </w:r>
    </w:p>
    <w:p w14:paraId="02B4AFD4" w14:textId="2852958F" w:rsidR="002751D2" w:rsidRPr="00111042" w:rsidRDefault="002751D2" w:rsidP="002751D2">
      <w:pPr>
        <w:pStyle w:val="3-BodyText"/>
        <w:numPr>
          <w:ilvl w:val="0"/>
          <w:numId w:val="0"/>
        </w:numPr>
        <w:rPr>
          <w:u w:val="single"/>
        </w:rPr>
      </w:pPr>
      <w:r w:rsidRPr="00111042">
        <w:rPr>
          <w:u w:val="single"/>
        </w:rPr>
        <w:t>Population 2 - pre-symptomatic 1</w:t>
      </w:r>
      <w:r w:rsidR="00BA28ED">
        <w:rPr>
          <w:u w:val="single"/>
        </w:rPr>
        <w:t>-</w:t>
      </w:r>
      <w:r w:rsidRPr="00111042">
        <w:rPr>
          <w:u w:val="single"/>
        </w:rPr>
        <w:t xml:space="preserve">2 </w:t>
      </w:r>
      <w:r w:rsidRPr="00111042">
        <w:rPr>
          <w:i/>
          <w:iCs/>
          <w:u w:val="single"/>
        </w:rPr>
        <w:t>SMN2</w:t>
      </w:r>
      <w:r w:rsidRPr="00111042">
        <w:rPr>
          <w:u w:val="single"/>
        </w:rPr>
        <w:t xml:space="preserve"> gene cop</w:t>
      </w:r>
      <w:r w:rsidR="00BA28ED">
        <w:rPr>
          <w:u w:val="single"/>
        </w:rPr>
        <w:t>ies</w:t>
      </w:r>
    </w:p>
    <w:p w14:paraId="29307D92" w14:textId="19BD5F68" w:rsidR="002751D2" w:rsidRPr="00111042" w:rsidRDefault="002751D2" w:rsidP="005254DB">
      <w:pPr>
        <w:pStyle w:val="3-BodyText"/>
      </w:pPr>
      <w:r w:rsidRPr="00111042">
        <w:t xml:space="preserve">RAINBOWFISH and NURTURE enrolled patients aged </w:t>
      </w:r>
      <w:r w:rsidRPr="00111042">
        <w:rPr>
          <w:rFonts w:cs="Calibri"/>
        </w:rPr>
        <w:t>≤</w:t>
      </w:r>
      <w:r w:rsidRPr="00111042">
        <w:t xml:space="preserve">6 weeks. </w:t>
      </w:r>
      <w:r w:rsidRPr="000C053F">
        <w:t xml:space="preserve">Under the requested restrictions </w:t>
      </w:r>
      <w:r w:rsidR="005C08EB" w:rsidRPr="000C053F">
        <w:t xml:space="preserve">any </w:t>
      </w:r>
      <w:r w:rsidRPr="000C053F">
        <w:t>patient aged &lt;36 months would be eligible for treatment.</w:t>
      </w:r>
      <w:r w:rsidRPr="00111042">
        <w:rPr>
          <w:i/>
          <w:iCs/>
        </w:rPr>
        <w:t xml:space="preserve"> </w:t>
      </w:r>
      <w:r w:rsidRPr="00111042">
        <w:t xml:space="preserve">RAINBOWFISH did not enrol patients based on </w:t>
      </w:r>
      <w:r w:rsidRPr="00111042">
        <w:rPr>
          <w:i/>
          <w:iCs/>
        </w:rPr>
        <w:t>SMN2</w:t>
      </w:r>
      <w:r w:rsidRPr="00111042">
        <w:t xml:space="preserve"> gene copy number</w:t>
      </w:r>
      <w:r w:rsidR="005254DB">
        <w:t xml:space="preserve"> and neither trial </w:t>
      </w:r>
      <w:r w:rsidR="005254DB" w:rsidRPr="00111042">
        <w:t>enrol</w:t>
      </w:r>
      <w:r w:rsidR="005254DB">
        <w:t>led</w:t>
      </w:r>
      <w:r w:rsidR="005254DB" w:rsidRPr="00111042">
        <w:t xml:space="preserve"> any patients with one copy of the </w:t>
      </w:r>
      <w:r w:rsidR="00AF346B" w:rsidRPr="00AF346B">
        <w:rPr>
          <w:i/>
        </w:rPr>
        <w:t>SMN2</w:t>
      </w:r>
      <w:r w:rsidR="005254DB" w:rsidRPr="00111042">
        <w:t xml:space="preserve"> gene. </w:t>
      </w:r>
      <w:r w:rsidRPr="000C053F">
        <w:t xml:space="preserve">As such, only 7/18 (39%) of patients who had </w:t>
      </w:r>
      <w:r w:rsidRPr="000C053F">
        <w:rPr>
          <w:rFonts w:cs="Calibri"/>
        </w:rPr>
        <w:t>≤</w:t>
      </w:r>
      <w:r w:rsidRPr="000C053F">
        <w:t xml:space="preserve">2 </w:t>
      </w:r>
      <w:r w:rsidRPr="00BA28ED">
        <w:rPr>
          <w:i/>
          <w:iCs/>
        </w:rPr>
        <w:t>SMN2</w:t>
      </w:r>
      <w:r w:rsidRPr="000C053F">
        <w:t xml:space="preserve"> gene copies were applicable to the requested population.</w:t>
      </w:r>
      <w:r w:rsidR="00FC307B" w:rsidRPr="00111042">
        <w:rPr>
          <w:i/>
          <w:iCs/>
        </w:rPr>
        <w:t xml:space="preserve"> </w:t>
      </w:r>
      <w:r w:rsidR="00FC307B" w:rsidRPr="00111042">
        <w:t>NURTURE enrolled patients with two (n=15</w:t>
      </w:r>
      <w:r w:rsidR="00BA28ED">
        <w:t>, 60%</w:t>
      </w:r>
      <w:r w:rsidR="00FC307B" w:rsidRPr="00111042">
        <w:t xml:space="preserve">) and three (n=10) copies of </w:t>
      </w:r>
      <w:r w:rsidR="00FC307B" w:rsidRPr="00111042">
        <w:rPr>
          <w:i/>
          <w:iCs/>
        </w:rPr>
        <w:t>SMN2</w:t>
      </w:r>
      <w:r w:rsidR="00FC307B" w:rsidRPr="00111042">
        <w:t xml:space="preserve"> only. </w:t>
      </w:r>
    </w:p>
    <w:p w14:paraId="2D5FCA10" w14:textId="471D6546" w:rsidR="00EF1AC0" w:rsidRPr="000C053F" w:rsidRDefault="00EF1AC0" w:rsidP="002751D2">
      <w:pPr>
        <w:pStyle w:val="3-BodyText"/>
      </w:pPr>
      <w:r w:rsidRPr="000C053F">
        <w:t>RAINBOWFISH patients had slightly lower motor functioning scores than NURTURE patients</w:t>
      </w:r>
      <w:r w:rsidR="00AC554F" w:rsidRPr="000C053F">
        <w:t xml:space="preserve"> at baseline</w:t>
      </w:r>
      <w:r w:rsidRPr="000C053F">
        <w:t>, but it was unclear if this difference was meaningful as the standard deviation</w:t>
      </w:r>
      <w:r w:rsidR="00EF014C">
        <w:t>s</w:t>
      </w:r>
      <w:r w:rsidRPr="000C053F">
        <w:t xml:space="preserve"> of all measures were large due to the small sample sizes. Additionally, the subgroup of patients with two copies of the </w:t>
      </w:r>
      <w:r w:rsidRPr="00EF014C">
        <w:rPr>
          <w:i/>
          <w:iCs/>
        </w:rPr>
        <w:t>SMN2</w:t>
      </w:r>
      <w:r w:rsidRPr="000C053F">
        <w:t xml:space="preserve"> gene had a sample size of</w:t>
      </w:r>
      <w:r w:rsidR="00AC554F" w:rsidRPr="000C053F">
        <w:t xml:space="preserve"> only</w:t>
      </w:r>
      <w:r w:rsidRPr="000C053F">
        <w:t xml:space="preserve"> 7 </w:t>
      </w:r>
      <w:r w:rsidR="00EF014C">
        <w:t xml:space="preserve">patients </w:t>
      </w:r>
      <w:r w:rsidRPr="000C053F">
        <w:t>in RAINBOWFISH and 15 in NURTURE.</w:t>
      </w:r>
    </w:p>
    <w:p w14:paraId="444E1D36" w14:textId="02FC5AF0" w:rsidR="002751D2" w:rsidRPr="000C053F" w:rsidRDefault="003E22B4" w:rsidP="002751D2">
      <w:pPr>
        <w:pStyle w:val="3-BodyText"/>
      </w:pPr>
      <w:r>
        <w:t>I</w:t>
      </w:r>
      <w:r w:rsidRPr="00111042">
        <w:t>n population 2</w:t>
      </w:r>
      <w:r>
        <w:t xml:space="preserve"> t</w:t>
      </w:r>
      <w:r w:rsidR="002751D2" w:rsidRPr="00111042">
        <w:t xml:space="preserve">he </w:t>
      </w:r>
      <w:r w:rsidRPr="00111042">
        <w:t xml:space="preserve">clinical comparison </w:t>
      </w:r>
      <w:r>
        <w:t xml:space="preserve">was based on </w:t>
      </w:r>
      <w:r w:rsidR="002751D2" w:rsidRPr="00111042">
        <w:t xml:space="preserve">outcomes of event-free survival, overall survival, </w:t>
      </w:r>
      <w:r w:rsidR="00F37091" w:rsidRPr="00111042">
        <w:t>Hammersmith Infant Neurological Exam (</w:t>
      </w:r>
      <w:r w:rsidR="002751D2" w:rsidRPr="00111042">
        <w:t>HINE</w:t>
      </w:r>
      <w:r w:rsidR="00F37091" w:rsidRPr="00111042">
        <w:t>)</w:t>
      </w:r>
      <w:r w:rsidR="002751D2" w:rsidRPr="00111042">
        <w:t xml:space="preserve">-2 total score change from baseline, Children's Hospital of Philadelphia Infant Test of Neuromuscular Disorders (CHOP-INTEND) total score change from baseline and individual motor milestones. </w:t>
      </w:r>
      <w:r w:rsidR="002751D2" w:rsidRPr="000C053F">
        <w:t xml:space="preserve">The PBAC has previously considered CHOP-INTEND and HINE-2 at the March 2021 PBAC meeting </w:t>
      </w:r>
      <w:r>
        <w:t>(</w:t>
      </w:r>
      <w:r w:rsidR="002751D2" w:rsidRPr="000C053F">
        <w:t>risdiplam</w:t>
      </w:r>
      <w:r>
        <w:t>)</w:t>
      </w:r>
      <w:r w:rsidR="002751D2" w:rsidRPr="000C053F">
        <w:t>.</w:t>
      </w:r>
    </w:p>
    <w:p w14:paraId="22CD64BD" w14:textId="440DD453" w:rsidR="0038620A" w:rsidRPr="00111042" w:rsidRDefault="0038620A" w:rsidP="0038620A">
      <w:pPr>
        <w:pStyle w:val="3-BodyText"/>
      </w:pPr>
      <w:r w:rsidRPr="00111042">
        <w:t xml:space="preserve">The HINE was developed to assess neurological function for infants. Specifically, the HINE-2 consists of 8 items that assess incremental changes in head control, sitting, voluntary grasp, ability to kick, rolling, crawling, </w:t>
      </w:r>
      <w:r w:rsidR="00924994" w:rsidRPr="00111042">
        <w:t>standing,</w:t>
      </w:r>
      <w:r w:rsidRPr="00111042">
        <w:t xml:space="preserve"> and walking. The HINE module is shorter and includes less items of the motor component of the Bayley Scales on Infant and Toddler Development that includes many items that are not relevant to Type I SMA. </w:t>
      </w:r>
    </w:p>
    <w:p w14:paraId="20159208" w14:textId="1B912158" w:rsidR="0014640F" w:rsidRPr="00111042" w:rsidRDefault="0014640F" w:rsidP="00DA225D">
      <w:pPr>
        <w:pStyle w:val="3-BodyText"/>
      </w:pPr>
      <w:r w:rsidRPr="00111042">
        <w:t xml:space="preserve">The CHOP-INTEND was designed to measure motor function in weak infants with neuromuscular disease. The CHOP-INTEND is a physical therapy assessment designed for, validated, and shown to be reliable in SMA Type I. </w:t>
      </w:r>
      <w:r w:rsidR="002733C2" w:rsidRPr="00111042">
        <w:t>CHOP-INTEND consists of 16 items, each assessing a specific motor task, with a total score range of 0 to 61, with higher scores consistent with better motor function</w:t>
      </w:r>
      <w:r w:rsidRPr="00111042">
        <w:t xml:space="preserve">. The achievement and maintenance of scores &gt; 40 points </w:t>
      </w:r>
      <w:r w:rsidR="00924994">
        <w:t>are</w:t>
      </w:r>
      <w:r w:rsidRPr="00111042">
        <w:t xml:space="preserve"> considered to be clinically meaningful because </w:t>
      </w:r>
      <w:r w:rsidRPr="00111042">
        <w:lastRenderedPageBreak/>
        <w:t>patients with SMA Type I rarely achieve and never maintain this level of motor function.</w:t>
      </w:r>
    </w:p>
    <w:p w14:paraId="48FEDEA6" w14:textId="68269016" w:rsidR="002751D2" w:rsidRPr="000C053F" w:rsidRDefault="002751D2" w:rsidP="002751D2">
      <w:pPr>
        <w:pStyle w:val="3-BodyText"/>
      </w:pPr>
      <w:r w:rsidRPr="00111042">
        <w:t xml:space="preserve">The </w:t>
      </w:r>
      <w:r w:rsidR="00381F60" w:rsidRPr="00111042">
        <w:t>resubmission</w:t>
      </w:r>
      <w:r w:rsidRPr="00111042">
        <w:t xml:space="preserve"> did not nominate MCIDs for these outcomes due uncertainty around the magnitude of incremental benefit from pre-symptomatic initiation of treatment compared with symptomatic treatment</w:t>
      </w:r>
      <w:r w:rsidR="003E22B4">
        <w:t>,</w:t>
      </w:r>
      <w:r w:rsidRPr="00111042">
        <w:t xml:space="preserve"> which remains an outstanding issue without new clinical data (</w:t>
      </w:r>
      <w:r w:rsidR="003E22B4">
        <w:t>p</w:t>
      </w:r>
      <w:r w:rsidRPr="00111042">
        <w:t>ara 6.17</w:t>
      </w:r>
      <w:r w:rsidR="003E22B4">
        <w:t xml:space="preserve"> and </w:t>
      </w:r>
      <w:r w:rsidRPr="00111042">
        <w:t xml:space="preserve">7.03, </w:t>
      </w:r>
      <w:r w:rsidR="003E22B4">
        <w:t>n</w:t>
      </w:r>
      <w:r w:rsidRPr="00111042">
        <w:t>usinersen PSD, July 20</w:t>
      </w:r>
      <w:r w:rsidR="00276AE5">
        <w:t>21</w:t>
      </w:r>
      <w:r w:rsidRPr="00111042">
        <w:t xml:space="preserve">). The </w:t>
      </w:r>
      <w:r w:rsidR="00381F60" w:rsidRPr="00111042">
        <w:t>resubmission</w:t>
      </w:r>
      <w:r w:rsidRPr="00111042">
        <w:t xml:space="preserve"> also did not nominate non-inferiority thresholds for </w:t>
      </w:r>
      <w:r w:rsidR="003E22B4">
        <w:t xml:space="preserve">these </w:t>
      </w:r>
      <w:r w:rsidRPr="00111042">
        <w:t xml:space="preserve">outcomes </w:t>
      </w:r>
      <w:r w:rsidR="003E22B4">
        <w:t>and</w:t>
      </w:r>
      <w:r w:rsidR="002733C2" w:rsidRPr="000C053F">
        <w:t xml:space="preserve"> without an established non-inferiority margin it was unclear whether any claim of non-inferiority would be robust.</w:t>
      </w:r>
    </w:p>
    <w:p w14:paraId="4A4FE085" w14:textId="25F2C8A5" w:rsidR="00B60939" w:rsidRPr="00111042" w:rsidRDefault="00B60939" w:rsidP="00EC5836">
      <w:pPr>
        <w:pStyle w:val="4-SubsectionHeading"/>
      </w:pPr>
      <w:bookmarkStart w:id="23" w:name="_Toc22897641"/>
      <w:bookmarkStart w:id="24" w:name="_Toc124937755"/>
      <w:r w:rsidRPr="00111042">
        <w:t>Comparative effectiveness</w:t>
      </w:r>
      <w:bookmarkEnd w:id="23"/>
      <w:bookmarkEnd w:id="24"/>
    </w:p>
    <w:p w14:paraId="4382082C" w14:textId="58D362BD" w:rsidR="006D2C5C" w:rsidRPr="00111042" w:rsidRDefault="000B7422" w:rsidP="006D2C5C">
      <w:pPr>
        <w:pStyle w:val="3-BodyText"/>
        <w:numPr>
          <w:ilvl w:val="0"/>
          <w:numId w:val="0"/>
        </w:numPr>
        <w:ind w:left="720" w:hanging="720"/>
        <w:rPr>
          <w:u w:val="single"/>
        </w:rPr>
      </w:pPr>
      <w:r w:rsidRPr="00111042">
        <w:rPr>
          <w:u w:val="single"/>
        </w:rPr>
        <w:t>Population 1 (adult population)</w:t>
      </w:r>
    </w:p>
    <w:p w14:paraId="42C3851A" w14:textId="1E28F6BE" w:rsidR="00B32063" w:rsidRPr="00111042" w:rsidRDefault="00B32063" w:rsidP="002C208D">
      <w:pPr>
        <w:pStyle w:val="3-BodyText"/>
      </w:pPr>
      <w:r w:rsidRPr="00111042">
        <w:t xml:space="preserve">Due to the lack of direct comparative trials of risdiplam versus nusinersen, or trials with a common comparator arm, the </w:t>
      </w:r>
      <w:r w:rsidR="00381F60" w:rsidRPr="00111042">
        <w:t>resubmission</w:t>
      </w:r>
      <w:r w:rsidRPr="00111042">
        <w:t xml:space="preserve"> presented naïve numerical comparisons of risdiplam versus nusinersen in the adult population.</w:t>
      </w:r>
    </w:p>
    <w:p w14:paraId="65B94459" w14:textId="11F6CCA0" w:rsidR="002C208D" w:rsidRPr="00111042" w:rsidRDefault="002C1D9F" w:rsidP="002C208D">
      <w:pPr>
        <w:pStyle w:val="3-BodyText"/>
      </w:pPr>
      <w:r w:rsidRPr="00111042">
        <w:fldChar w:fldCharType="begin"/>
      </w:r>
      <w:r w:rsidRPr="00111042">
        <w:instrText xml:space="preserve"> REF _Ref121767356 \h </w:instrText>
      </w:r>
      <w:r w:rsidRPr="00111042">
        <w:fldChar w:fldCharType="separate"/>
      </w:r>
      <w:r w:rsidR="00D45640" w:rsidRPr="00111042">
        <w:t xml:space="preserve">Table </w:t>
      </w:r>
      <w:r w:rsidR="00D45640">
        <w:rPr>
          <w:noProof/>
        </w:rPr>
        <w:t>5</w:t>
      </w:r>
      <w:r w:rsidRPr="00111042">
        <w:fldChar w:fldCharType="end"/>
      </w:r>
      <w:r w:rsidR="002533CE" w:rsidRPr="00111042">
        <w:t xml:space="preserve"> </w:t>
      </w:r>
      <w:r w:rsidR="002C208D" w:rsidRPr="00111042">
        <w:t>presents the</w:t>
      </w:r>
      <w:r w:rsidR="002B6EF3" w:rsidRPr="00111042">
        <w:t xml:space="preserve"> HFMSE</w:t>
      </w:r>
      <w:r w:rsidR="002C208D" w:rsidRPr="00111042">
        <w:t xml:space="preserve"> </w:t>
      </w:r>
      <w:r w:rsidR="006068AE" w:rsidRPr="00111042">
        <w:t xml:space="preserve">mean </w:t>
      </w:r>
      <w:r w:rsidR="002C208D" w:rsidRPr="00111042">
        <w:t xml:space="preserve">change from baseline adult subgroup results </w:t>
      </w:r>
      <w:r w:rsidR="009376B3" w:rsidRPr="00111042">
        <w:t>used to inform the naïve numerical comparisons</w:t>
      </w:r>
      <w:r w:rsidR="002C208D" w:rsidRPr="00111042">
        <w:t>.</w:t>
      </w:r>
    </w:p>
    <w:p w14:paraId="63DB2AF0" w14:textId="412D33F8" w:rsidR="00AF6EAE" w:rsidRPr="00111042" w:rsidRDefault="000D72AD" w:rsidP="007A0C8E">
      <w:pPr>
        <w:pStyle w:val="Caption"/>
      </w:pPr>
      <w:bookmarkStart w:id="25" w:name="_Ref121767356"/>
      <w:r w:rsidRPr="00111042">
        <w:t xml:space="preserve">Table </w:t>
      </w:r>
      <w:r w:rsidR="00D45640">
        <w:fldChar w:fldCharType="begin"/>
      </w:r>
      <w:r w:rsidR="00D45640">
        <w:instrText xml:space="preserve"> SEQ Table \* ARABIC </w:instrText>
      </w:r>
      <w:r w:rsidR="00D45640">
        <w:fldChar w:fldCharType="separate"/>
      </w:r>
      <w:r w:rsidR="00D45640">
        <w:rPr>
          <w:noProof/>
        </w:rPr>
        <w:t>5</w:t>
      </w:r>
      <w:r w:rsidR="00D45640">
        <w:rPr>
          <w:noProof/>
        </w:rPr>
        <w:fldChar w:fldCharType="end"/>
      </w:r>
      <w:bookmarkEnd w:id="25"/>
      <w:r w:rsidR="00AF6EAE" w:rsidRPr="00111042">
        <w:t xml:space="preserve">: HFMSE mean difference versus baseline in </w:t>
      </w:r>
      <w:r w:rsidR="006773E6" w:rsidRPr="00111042">
        <w:t>studies used for naïve numerical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919"/>
        <w:gridCol w:w="1170"/>
        <w:gridCol w:w="1170"/>
        <w:gridCol w:w="1232"/>
        <w:gridCol w:w="1170"/>
        <w:gridCol w:w="1234"/>
      </w:tblGrid>
      <w:tr w:rsidR="00B23D1A" w:rsidRPr="00111042" w14:paraId="1487F25F" w14:textId="77777777" w:rsidTr="00C35189">
        <w:trPr>
          <w:cantSplit/>
          <w:trHeight w:val="20"/>
          <w:tblHeader/>
        </w:trPr>
        <w:tc>
          <w:tcPr>
            <w:tcW w:w="622" w:type="pct"/>
            <w:vMerge w:val="restart"/>
            <w:vAlign w:val="center"/>
          </w:tcPr>
          <w:p w14:paraId="6A0B1EB7" w14:textId="77777777" w:rsidR="00AF6EAE" w:rsidRPr="00111042" w:rsidRDefault="00AF6EAE" w:rsidP="007A0C8E">
            <w:pPr>
              <w:pStyle w:val="In-tableHeading"/>
              <w:keepLines/>
              <w:rPr>
                <w:lang w:val="en-AU"/>
              </w:rPr>
            </w:pPr>
          </w:p>
        </w:tc>
        <w:tc>
          <w:tcPr>
            <w:tcW w:w="1064" w:type="pct"/>
            <w:vAlign w:val="center"/>
          </w:tcPr>
          <w:p w14:paraId="47A6310A" w14:textId="77777777" w:rsidR="00AF6EAE" w:rsidRPr="00111042" w:rsidRDefault="00AF6EAE" w:rsidP="007A0C8E">
            <w:pPr>
              <w:pStyle w:val="In-tableHeading"/>
              <w:keepLines/>
              <w:jc w:val="center"/>
              <w:rPr>
                <w:lang w:val="en-AU"/>
              </w:rPr>
            </w:pPr>
            <w:r w:rsidRPr="00111042">
              <w:rPr>
                <w:lang w:val="en-AU"/>
              </w:rPr>
              <w:t>HFMSE Total Score</w:t>
            </w:r>
          </w:p>
        </w:tc>
        <w:tc>
          <w:tcPr>
            <w:tcW w:w="3314" w:type="pct"/>
            <w:gridSpan w:val="5"/>
            <w:vAlign w:val="center"/>
          </w:tcPr>
          <w:p w14:paraId="4DB42F50" w14:textId="77777777" w:rsidR="00AF6EAE" w:rsidRPr="00111042" w:rsidRDefault="00AF6EAE" w:rsidP="007A0C8E">
            <w:pPr>
              <w:pStyle w:val="In-tableHeading"/>
              <w:keepLines/>
              <w:jc w:val="center"/>
              <w:rPr>
                <w:lang w:val="en-AU"/>
              </w:rPr>
            </w:pPr>
            <w:r w:rsidRPr="00111042">
              <w:rPr>
                <w:lang w:val="en-AU"/>
              </w:rPr>
              <w:t>HFMSE difference versus baseline</w:t>
            </w:r>
          </w:p>
        </w:tc>
      </w:tr>
      <w:tr w:rsidR="00B23D1A" w:rsidRPr="00111042" w14:paraId="1A1D5D81" w14:textId="77777777" w:rsidTr="00C35189">
        <w:trPr>
          <w:cantSplit/>
          <w:trHeight w:val="20"/>
          <w:tblHeader/>
        </w:trPr>
        <w:tc>
          <w:tcPr>
            <w:tcW w:w="622" w:type="pct"/>
            <w:vMerge/>
            <w:vAlign w:val="center"/>
          </w:tcPr>
          <w:p w14:paraId="3E69E5FA" w14:textId="77777777" w:rsidR="00AF6EAE" w:rsidRPr="00111042" w:rsidRDefault="00AF6EAE" w:rsidP="007A0C8E">
            <w:pPr>
              <w:pStyle w:val="TableText0"/>
              <w:keepLines/>
              <w:rPr>
                <w:b/>
                <w:bCs w:val="0"/>
              </w:rPr>
            </w:pPr>
          </w:p>
        </w:tc>
        <w:tc>
          <w:tcPr>
            <w:tcW w:w="1064" w:type="pct"/>
            <w:vAlign w:val="center"/>
          </w:tcPr>
          <w:p w14:paraId="7FA87BE3" w14:textId="77777777" w:rsidR="00AF6EAE" w:rsidRPr="00111042" w:rsidRDefault="00AF6EAE" w:rsidP="007A0C8E">
            <w:pPr>
              <w:pStyle w:val="TableText0"/>
              <w:keepLines/>
              <w:jc w:val="center"/>
              <w:rPr>
                <w:b/>
                <w:bCs w:val="0"/>
              </w:rPr>
            </w:pPr>
            <w:r w:rsidRPr="00111042">
              <w:rPr>
                <w:b/>
                <w:bCs w:val="0"/>
              </w:rPr>
              <w:t>Baseline</w:t>
            </w:r>
          </w:p>
        </w:tc>
        <w:tc>
          <w:tcPr>
            <w:tcW w:w="649" w:type="pct"/>
            <w:vAlign w:val="center"/>
          </w:tcPr>
          <w:p w14:paraId="7DA5AC05" w14:textId="77777777" w:rsidR="00AF6EAE" w:rsidRPr="00111042" w:rsidRDefault="00AF6EAE" w:rsidP="007A0C8E">
            <w:pPr>
              <w:pStyle w:val="TableText0"/>
              <w:keepLines/>
              <w:jc w:val="center"/>
              <w:rPr>
                <w:b/>
                <w:bCs w:val="0"/>
              </w:rPr>
            </w:pPr>
            <w:r w:rsidRPr="00111042">
              <w:rPr>
                <w:b/>
                <w:bCs w:val="0"/>
              </w:rPr>
              <w:t>Month 6</w:t>
            </w:r>
          </w:p>
        </w:tc>
        <w:tc>
          <w:tcPr>
            <w:tcW w:w="649" w:type="pct"/>
            <w:vAlign w:val="center"/>
          </w:tcPr>
          <w:p w14:paraId="57C5460F" w14:textId="77777777" w:rsidR="00AF6EAE" w:rsidRPr="00111042" w:rsidRDefault="00AF6EAE" w:rsidP="007A0C8E">
            <w:pPr>
              <w:pStyle w:val="TableText0"/>
              <w:keepLines/>
              <w:jc w:val="center"/>
              <w:rPr>
                <w:b/>
                <w:bCs w:val="0"/>
              </w:rPr>
            </w:pPr>
            <w:r w:rsidRPr="00111042">
              <w:rPr>
                <w:b/>
                <w:bCs w:val="0"/>
              </w:rPr>
              <w:t>Month 10</w:t>
            </w:r>
          </w:p>
        </w:tc>
        <w:tc>
          <w:tcPr>
            <w:tcW w:w="683" w:type="pct"/>
            <w:vAlign w:val="center"/>
          </w:tcPr>
          <w:p w14:paraId="461D8C3C" w14:textId="77777777" w:rsidR="00AF6EAE" w:rsidRPr="00111042" w:rsidRDefault="00AF6EAE" w:rsidP="007A0C8E">
            <w:pPr>
              <w:pStyle w:val="TableText0"/>
              <w:keepLines/>
              <w:jc w:val="center"/>
              <w:rPr>
                <w:b/>
                <w:bCs w:val="0"/>
              </w:rPr>
            </w:pPr>
            <w:r w:rsidRPr="00111042">
              <w:rPr>
                <w:b/>
                <w:bCs w:val="0"/>
              </w:rPr>
              <w:t>Month 12</w:t>
            </w:r>
          </w:p>
        </w:tc>
        <w:tc>
          <w:tcPr>
            <w:tcW w:w="649" w:type="pct"/>
            <w:vAlign w:val="center"/>
          </w:tcPr>
          <w:p w14:paraId="7699AB04" w14:textId="77777777" w:rsidR="00AF6EAE" w:rsidRPr="00111042" w:rsidRDefault="00AF6EAE" w:rsidP="007A0C8E">
            <w:pPr>
              <w:pStyle w:val="TableText0"/>
              <w:keepLines/>
              <w:jc w:val="center"/>
              <w:rPr>
                <w:b/>
                <w:bCs w:val="0"/>
              </w:rPr>
            </w:pPr>
            <w:r w:rsidRPr="00111042">
              <w:rPr>
                <w:b/>
                <w:bCs w:val="0"/>
              </w:rPr>
              <w:t>Month 14</w:t>
            </w:r>
          </w:p>
        </w:tc>
        <w:tc>
          <w:tcPr>
            <w:tcW w:w="684" w:type="pct"/>
            <w:vAlign w:val="center"/>
          </w:tcPr>
          <w:p w14:paraId="0042B4C3" w14:textId="77777777" w:rsidR="00AF6EAE" w:rsidRPr="00111042" w:rsidRDefault="00AF6EAE" w:rsidP="007A0C8E">
            <w:pPr>
              <w:pStyle w:val="TableText0"/>
              <w:keepLines/>
              <w:jc w:val="center"/>
              <w:rPr>
                <w:b/>
                <w:bCs w:val="0"/>
              </w:rPr>
            </w:pPr>
            <w:r w:rsidRPr="00111042">
              <w:rPr>
                <w:b/>
                <w:bCs w:val="0"/>
              </w:rPr>
              <w:t>Month 24</w:t>
            </w:r>
          </w:p>
        </w:tc>
      </w:tr>
      <w:tr w:rsidR="00B23D1A" w:rsidRPr="00111042" w14:paraId="4CFC4498" w14:textId="77777777" w:rsidTr="00C35189">
        <w:trPr>
          <w:trHeight w:val="20"/>
        </w:trPr>
        <w:tc>
          <w:tcPr>
            <w:tcW w:w="5000" w:type="pct"/>
            <w:gridSpan w:val="7"/>
            <w:vAlign w:val="center"/>
          </w:tcPr>
          <w:p w14:paraId="7398EE56" w14:textId="77777777" w:rsidR="00AF6EAE" w:rsidRPr="00111042" w:rsidRDefault="00AF6EAE" w:rsidP="007A0C8E">
            <w:pPr>
              <w:pStyle w:val="TableText0"/>
              <w:keepLines/>
              <w:rPr>
                <w:b/>
                <w:bCs w:val="0"/>
              </w:rPr>
            </w:pPr>
            <w:r w:rsidRPr="00111042">
              <w:rPr>
                <w:b/>
                <w:bCs w:val="0"/>
              </w:rPr>
              <w:t>SUNFISH Part 2 (18-25 years)</w:t>
            </w:r>
          </w:p>
        </w:tc>
      </w:tr>
      <w:tr w:rsidR="00B23D1A" w:rsidRPr="00111042" w14:paraId="693D1283" w14:textId="77777777" w:rsidTr="00C35189">
        <w:trPr>
          <w:trHeight w:val="20"/>
        </w:trPr>
        <w:tc>
          <w:tcPr>
            <w:tcW w:w="622" w:type="pct"/>
            <w:shd w:val="clear" w:color="auto" w:fill="auto"/>
            <w:vAlign w:val="center"/>
          </w:tcPr>
          <w:p w14:paraId="04E06818" w14:textId="77777777" w:rsidR="00AF6EAE" w:rsidRPr="00111042" w:rsidRDefault="00AF6EAE" w:rsidP="007A0C8E">
            <w:pPr>
              <w:pStyle w:val="TableText0"/>
              <w:keepLines/>
            </w:pPr>
            <w:r w:rsidRPr="00111042">
              <w:t>N</w:t>
            </w:r>
          </w:p>
        </w:tc>
        <w:tc>
          <w:tcPr>
            <w:tcW w:w="1064" w:type="pct"/>
            <w:shd w:val="clear" w:color="auto" w:fill="C6D9F1" w:themeFill="text2" w:themeFillTint="33"/>
            <w:vAlign w:val="center"/>
          </w:tcPr>
          <w:p w14:paraId="30061146" w14:textId="77777777" w:rsidR="00AF6EAE" w:rsidRPr="00111042" w:rsidRDefault="00AF6EAE" w:rsidP="007A0C8E">
            <w:pPr>
              <w:pStyle w:val="TableText0"/>
              <w:keepLines/>
              <w:jc w:val="center"/>
            </w:pPr>
            <w:r w:rsidRPr="00111042">
              <w:t>14</w:t>
            </w:r>
          </w:p>
        </w:tc>
        <w:tc>
          <w:tcPr>
            <w:tcW w:w="649" w:type="pct"/>
            <w:shd w:val="clear" w:color="auto" w:fill="auto"/>
            <w:vAlign w:val="center"/>
          </w:tcPr>
          <w:p w14:paraId="73D178E0" w14:textId="77777777" w:rsidR="00AF6EAE" w:rsidRPr="00111042" w:rsidRDefault="00AF6EAE" w:rsidP="007A0C8E">
            <w:pPr>
              <w:pStyle w:val="TableText0"/>
              <w:keepLines/>
              <w:jc w:val="center"/>
            </w:pPr>
            <w:r w:rsidRPr="00111042">
              <w:t>-</w:t>
            </w:r>
          </w:p>
        </w:tc>
        <w:tc>
          <w:tcPr>
            <w:tcW w:w="649" w:type="pct"/>
            <w:shd w:val="clear" w:color="auto" w:fill="auto"/>
            <w:vAlign w:val="center"/>
          </w:tcPr>
          <w:p w14:paraId="46173065" w14:textId="77777777" w:rsidR="00AF6EAE" w:rsidRPr="00111042" w:rsidRDefault="00AF6EAE" w:rsidP="007A0C8E">
            <w:pPr>
              <w:pStyle w:val="TableText0"/>
              <w:keepLines/>
              <w:jc w:val="center"/>
            </w:pPr>
            <w:r w:rsidRPr="00111042">
              <w:t>-</w:t>
            </w:r>
          </w:p>
        </w:tc>
        <w:tc>
          <w:tcPr>
            <w:tcW w:w="683" w:type="pct"/>
            <w:vAlign w:val="center"/>
          </w:tcPr>
          <w:p w14:paraId="02A878D3" w14:textId="77777777" w:rsidR="00AF6EAE" w:rsidRPr="00111042" w:rsidRDefault="00AF6EAE" w:rsidP="007A0C8E">
            <w:pPr>
              <w:pStyle w:val="TableText0"/>
              <w:keepLines/>
              <w:jc w:val="center"/>
            </w:pPr>
            <w:r w:rsidRPr="00111042">
              <w:t>14</w:t>
            </w:r>
          </w:p>
        </w:tc>
        <w:tc>
          <w:tcPr>
            <w:tcW w:w="649" w:type="pct"/>
            <w:vAlign w:val="center"/>
          </w:tcPr>
          <w:p w14:paraId="142FD9DF" w14:textId="77777777" w:rsidR="00AF6EAE" w:rsidRPr="00111042" w:rsidRDefault="00AF6EAE" w:rsidP="007A0C8E">
            <w:pPr>
              <w:pStyle w:val="TableText0"/>
              <w:keepLines/>
              <w:jc w:val="center"/>
            </w:pPr>
            <w:r w:rsidRPr="00111042">
              <w:t>-</w:t>
            </w:r>
          </w:p>
        </w:tc>
        <w:tc>
          <w:tcPr>
            <w:tcW w:w="684" w:type="pct"/>
            <w:vAlign w:val="center"/>
          </w:tcPr>
          <w:p w14:paraId="0AC601BB" w14:textId="77777777" w:rsidR="00AF6EAE" w:rsidRPr="00111042" w:rsidRDefault="00AF6EAE" w:rsidP="007A0C8E">
            <w:pPr>
              <w:pStyle w:val="TableText0"/>
              <w:keepLines/>
              <w:jc w:val="center"/>
            </w:pPr>
            <w:r w:rsidRPr="00111042">
              <w:t>10</w:t>
            </w:r>
          </w:p>
        </w:tc>
      </w:tr>
      <w:tr w:rsidR="00B23D1A" w:rsidRPr="00111042" w14:paraId="3700C6F9" w14:textId="77777777" w:rsidTr="00C35189">
        <w:trPr>
          <w:trHeight w:val="20"/>
        </w:trPr>
        <w:tc>
          <w:tcPr>
            <w:tcW w:w="622" w:type="pct"/>
            <w:shd w:val="clear" w:color="auto" w:fill="auto"/>
            <w:vAlign w:val="center"/>
          </w:tcPr>
          <w:p w14:paraId="66FC128A" w14:textId="77777777" w:rsidR="00AF6EAE" w:rsidRPr="00111042" w:rsidRDefault="00AF6EAE" w:rsidP="007A0C8E">
            <w:pPr>
              <w:pStyle w:val="TableText0"/>
              <w:keepLines/>
            </w:pPr>
            <w:r w:rsidRPr="00111042">
              <w:t>Mean (SD)</w:t>
            </w:r>
          </w:p>
        </w:tc>
        <w:tc>
          <w:tcPr>
            <w:tcW w:w="1064" w:type="pct"/>
            <w:shd w:val="clear" w:color="auto" w:fill="C6D9F1" w:themeFill="text2" w:themeFillTint="33"/>
            <w:vAlign w:val="center"/>
          </w:tcPr>
          <w:p w14:paraId="6F602800" w14:textId="77777777" w:rsidR="00AF6EAE" w:rsidRPr="00111042" w:rsidRDefault="00AF6EAE" w:rsidP="007A0C8E">
            <w:pPr>
              <w:pStyle w:val="TableText0"/>
              <w:keepLines/>
              <w:jc w:val="center"/>
            </w:pPr>
            <w:r w:rsidRPr="00111042">
              <w:t>9.79 (9.45)</w:t>
            </w:r>
          </w:p>
        </w:tc>
        <w:tc>
          <w:tcPr>
            <w:tcW w:w="649" w:type="pct"/>
            <w:shd w:val="clear" w:color="auto" w:fill="auto"/>
            <w:vAlign w:val="center"/>
          </w:tcPr>
          <w:p w14:paraId="56EB691B" w14:textId="77777777" w:rsidR="00AF6EAE" w:rsidRPr="00111042" w:rsidRDefault="00AF6EAE" w:rsidP="007A0C8E">
            <w:pPr>
              <w:pStyle w:val="TableText0"/>
              <w:keepLines/>
              <w:jc w:val="center"/>
            </w:pPr>
            <w:r w:rsidRPr="00111042">
              <w:t>-</w:t>
            </w:r>
          </w:p>
        </w:tc>
        <w:tc>
          <w:tcPr>
            <w:tcW w:w="649" w:type="pct"/>
            <w:shd w:val="clear" w:color="auto" w:fill="auto"/>
            <w:vAlign w:val="center"/>
          </w:tcPr>
          <w:p w14:paraId="202C1A3C" w14:textId="77777777" w:rsidR="00AF6EAE" w:rsidRPr="00111042" w:rsidRDefault="00AF6EAE" w:rsidP="007A0C8E">
            <w:pPr>
              <w:pStyle w:val="TableText0"/>
              <w:keepLines/>
              <w:jc w:val="center"/>
            </w:pPr>
            <w:r w:rsidRPr="00111042">
              <w:t>-</w:t>
            </w:r>
          </w:p>
        </w:tc>
        <w:tc>
          <w:tcPr>
            <w:tcW w:w="683" w:type="pct"/>
            <w:vAlign w:val="center"/>
          </w:tcPr>
          <w:p w14:paraId="56F73913" w14:textId="77777777" w:rsidR="00AF6EAE" w:rsidRPr="00111042" w:rsidRDefault="00AF6EAE" w:rsidP="007A0C8E">
            <w:pPr>
              <w:pStyle w:val="TableText0"/>
              <w:keepLines/>
              <w:jc w:val="center"/>
            </w:pPr>
            <w:r w:rsidRPr="00111042">
              <w:t>-0.64 (1.69)</w:t>
            </w:r>
          </w:p>
        </w:tc>
        <w:tc>
          <w:tcPr>
            <w:tcW w:w="649" w:type="pct"/>
            <w:vAlign w:val="center"/>
          </w:tcPr>
          <w:p w14:paraId="65558077" w14:textId="77777777" w:rsidR="00AF6EAE" w:rsidRPr="00111042" w:rsidRDefault="00AF6EAE" w:rsidP="007A0C8E">
            <w:pPr>
              <w:pStyle w:val="TableText0"/>
              <w:keepLines/>
              <w:jc w:val="center"/>
            </w:pPr>
            <w:r w:rsidRPr="00111042">
              <w:t>-</w:t>
            </w:r>
          </w:p>
        </w:tc>
        <w:tc>
          <w:tcPr>
            <w:tcW w:w="684" w:type="pct"/>
            <w:vAlign w:val="center"/>
          </w:tcPr>
          <w:p w14:paraId="1C2E4B05" w14:textId="77777777" w:rsidR="00AF6EAE" w:rsidRPr="00111042" w:rsidRDefault="00AF6EAE" w:rsidP="007A0C8E">
            <w:pPr>
              <w:pStyle w:val="TableText0"/>
              <w:keepLines/>
              <w:jc w:val="center"/>
            </w:pPr>
            <w:r w:rsidRPr="00111042">
              <w:t>-0.50 (3.50)</w:t>
            </w:r>
          </w:p>
        </w:tc>
      </w:tr>
      <w:tr w:rsidR="00B23D1A" w:rsidRPr="00111042" w14:paraId="62B7A7E2" w14:textId="77777777" w:rsidTr="00C35189">
        <w:trPr>
          <w:trHeight w:val="20"/>
        </w:trPr>
        <w:tc>
          <w:tcPr>
            <w:tcW w:w="622" w:type="pct"/>
            <w:vAlign w:val="center"/>
          </w:tcPr>
          <w:p w14:paraId="33DE153A" w14:textId="77777777" w:rsidR="00AF6EAE" w:rsidRPr="00111042" w:rsidRDefault="00AF6EAE" w:rsidP="007A0C8E">
            <w:pPr>
              <w:pStyle w:val="TableText0"/>
              <w:keepLines/>
            </w:pPr>
            <w:r w:rsidRPr="00111042">
              <w:t>95% CI</w:t>
            </w:r>
          </w:p>
        </w:tc>
        <w:tc>
          <w:tcPr>
            <w:tcW w:w="1064" w:type="pct"/>
            <w:vAlign w:val="center"/>
          </w:tcPr>
          <w:p w14:paraId="69E11295" w14:textId="77777777" w:rsidR="00AF6EAE" w:rsidRPr="00111042" w:rsidRDefault="00AF6EAE" w:rsidP="007A0C8E">
            <w:pPr>
              <w:pStyle w:val="TableText0"/>
              <w:keepLines/>
              <w:jc w:val="center"/>
            </w:pPr>
            <w:r w:rsidRPr="00111042">
              <w:t>(4.33, 15.24)</w:t>
            </w:r>
          </w:p>
        </w:tc>
        <w:tc>
          <w:tcPr>
            <w:tcW w:w="649" w:type="pct"/>
            <w:vAlign w:val="center"/>
          </w:tcPr>
          <w:p w14:paraId="7A92C706" w14:textId="77777777" w:rsidR="00AF6EAE" w:rsidRPr="00111042" w:rsidRDefault="00AF6EAE" w:rsidP="007A0C8E">
            <w:pPr>
              <w:pStyle w:val="TableText0"/>
              <w:keepLines/>
              <w:jc w:val="center"/>
            </w:pPr>
            <w:r w:rsidRPr="00111042">
              <w:t>-</w:t>
            </w:r>
          </w:p>
        </w:tc>
        <w:tc>
          <w:tcPr>
            <w:tcW w:w="649" w:type="pct"/>
            <w:vAlign w:val="center"/>
          </w:tcPr>
          <w:p w14:paraId="6BEA3CC5" w14:textId="77777777" w:rsidR="00AF6EAE" w:rsidRPr="00111042" w:rsidRDefault="00AF6EAE" w:rsidP="007A0C8E">
            <w:pPr>
              <w:pStyle w:val="TableText0"/>
              <w:keepLines/>
              <w:jc w:val="center"/>
            </w:pPr>
            <w:r w:rsidRPr="00111042">
              <w:t>-</w:t>
            </w:r>
          </w:p>
        </w:tc>
        <w:tc>
          <w:tcPr>
            <w:tcW w:w="683" w:type="pct"/>
            <w:vAlign w:val="center"/>
          </w:tcPr>
          <w:p w14:paraId="142A3AB2" w14:textId="77777777" w:rsidR="00AF6EAE" w:rsidRPr="00111042" w:rsidRDefault="00AF6EAE" w:rsidP="007A0C8E">
            <w:pPr>
              <w:pStyle w:val="TableText0"/>
              <w:keepLines/>
              <w:jc w:val="center"/>
            </w:pPr>
            <w:r w:rsidRPr="00111042">
              <w:t>(-1.62, 0.33)</w:t>
            </w:r>
          </w:p>
        </w:tc>
        <w:tc>
          <w:tcPr>
            <w:tcW w:w="649" w:type="pct"/>
            <w:vAlign w:val="center"/>
          </w:tcPr>
          <w:p w14:paraId="331A6C26" w14:textId="77777777" w:rsidR="00AF6EAE" w:rsidRPr="00111042" w:rsidRDefault="00AF6EAE" w:rsidP="007A0C8E">
            <w:pPr>
              <w:pStyle w:val="TableText0"/>
              <w:keepLines/>
              <w:jc w:val="center"/>
            </w:pPr>
            <w:r w:rsidRPr="00111042">
              <w:t>-</w:t>
            </w:r>
          </w:p>
        </w:tc>
        <w:tc>
          <w:tcPr>
            <w:tcW w:w="684" w:type="pct"/>
            <w:vAlign w:val="center"/>
          </w:tcPr>
          <w:p w14:paraId="17B3AB19" w14:textId="77777777" w:rsidR="00AF6EAE" w:rsidRPr="00111042" w:rsidRDefault="00AF6EAE" w:rsidP="007A0C8E">
            <w:pPr>
              <w:pStyle w:val="TableText0"/>
              <w:keepLines/>
              <w:jc w:val="center"/>
            </w:pPr>
            <w:r w:rsidRPr="00111042">
              <w:t>(-3.01, 2.01)</w:t>
            </w:r>
          </w:p>
        </w:tc>
      </w:tr>
      <w:tr w:rsidR="00B23D1A" w:rsidRPr="00111042" w14:paraId="2114AC92" w14:textId="77777777" w:rsidTr="00C35189">
        <w:trPr>
          <w:trHeight w:val="20"/>
        </w:trPr>
        <w:tc>
          <w:tcPr>
            <w:tcW w:w="5000" w:type="pct"/>
            <w:gridSpan w:val="7"/>
            <w:vAlign w:val="center"/>
          </w:tcPr>
          <w:p w14:paraId="3AB08615" w14:textId="77777777" w:rsidR="00AF6EAE" w:rsidRPr="00111042" w:rsidRDefault="00AF6EAE" w:rsidP="007A0C8E">
            <w:pPr>
              <w:pStyle w:val="TableText0"/>
              <w:keepLines/>
              <w:rPr>
                <w:b/>
                <w:bCs w:val="0"/>
              </w:rPr>
            </w:pPr>
            <w:r w:rsidRPr="00111042">
              <w:rPr>
                <w:b/>
                <w:bCs w:val="0"/>
              </w:rPr>
              <w:t>JEWELFISH (≥18 years)</w:t>
            </w:r>
          </w:p>
        </w:tc>
      </w:tr>
      <w:tr w:rsidR="00B23D1A" w:rsidRPr="00111042" w14:paraId="60C65751" w14:textId="77777777" w:rsidTr="00C35189">
        <w:trPr>
          <w:trHeight w:val="20"/>
        </w:trPr>
        <w:tc>
          <w:tcPr>
            <w:tcW w:w="622" w:type="pct"/>
            <w:vAlign w:val="center"/>
          </w:tcPr>
          <w:p w14:paraId="312D27D2" w14:textId="77777777" w:rsidR="00AF6EAE" w:rsidRPr="00111042" w:rsidRDefault="00AF6EAE" w:rsidP="007A0C8E">
            <w:pPr>
              <w:pStyle w:val="TableText0"/>
              <w:keepLines/>
            </w:pPr>
            <w:r w:rsidRPr="00111042">
              <w:t>N</w:t>
            </w:r>
          </w:p>
        </w:tc>
        <w:tc>
          <w:tcPr>
            <w:tcW w:w="1064" w:type="pct"/>
            <w:vAlign w:val="center"/>
          </w:tcPr>
          <w:p w14:paraId="2C5D6168" w14:textId="77777777" w:rsidR="00AF6EAE" w:rsidRPr="00111042" w:rsidRDefault="00AF6EAE" w:rsidP="007A0C8E">
            <w:pPr>
              <w:pStyle w:val="TableText0"/>
              <w:keepLines/>
              <w:jc w:val="center"/>
            </w:pPr>
            <w:r w:rsidRPr="00111042">
              <w:t>62</w:t>
            </w:r>
          </w:p>
        </w:tc>
        <w:tc>
          <w:tcPr>
            <w:tcW w:w="649" w:type="pct"/>
            <w:vAlign w:val="center"/>
          </w:tcPr>
          <w:p w14:paraId="156E9C83" w14:textId="77777777" w:rsidR="00AF6EAE" w:rsidRPr="00111042" w:rsidRDefault="00AF6EAE" w:rsidP="007A0C8E">
            <w:pPr>
              <w:pStyle w:val="TableText0"/>
              <w:keepLines/>
              <w:jc w:val="center"/>
            </w:pPr>
            <w:r w:rsidRPr="00111042">
              <w:t>-</w:t>
            </w:r>
          </w:p>
        </w:tc>
        <w:tc>
          <w:tcPr>
            <w:tcW w:w="649" w:type="pct"/>
            <w:vAlign w:val="center"/>
          </w:tcPr>
          <w:p w14:paraId="4F771D3D" w14:textId="77777777" w:rsidR="00AF6EAE" w:rsidRPr="00111042" w:rsidRDefault="00AF6EAE" w:rsidP="007A0C8E">
            <w:pPr>
              <w:pStyle w:val="TableText0"/>
              <w:keepLines/>
              <w:jc w:val="center"/>
            </w:pPr>
            <w:r w:rsidRPr="00111042">
              <w:t>-</w:t>
            </w:r>
          </w:p>
        </w:tc>
        <w:tc>
          <w:tcPr>
            <w:tcW w:w="683" w:type="pct"/>
            <w:vAlign w:val="center"/>
          </w:tcPr>
          <w:p w14:paraId="27A98A39" w14:textId="77777777" w:rsidR="00AF6EAE" w:rsidRPr="00111042" w:rsidRDefault="00AF6EAE" w:rsidP="007A0C8E">
            <w:pPr>
              <w:pStyle w:val="TableText0"/>
              <w:keepLines/>
              <w:jc w:val="center"/>
            </w:pPr>
            <w:r w:rsidRPr="00111042">
              <w:t>52</w:t>
            </w:r>
          </w:p>
        </w:tc>
        <w:tc>
          <w:tcPr>
            <w:tcW w:w="649" w:type="pct"/>
            <w:vAlign w:val="center"/>
          </w:tcPr>
          <w:p w14:paraId="2E28771D" w14:textId="77777777" w:rsidR="00AF6EAE" w:rsidRPr="00111042" w:rsidRDefault="00AF6EAE" w:rsidP="007A0C8E">
            <w:pPr>
              <w:pStyle w:val="TableText0"/>
              <w:keepLines/>
              <w:jc w:val="center"/>
            </w:pPr>
            <w:r w:rsidRPr="00111042">
              <w:t>-</w:t>
            </w:r>
          </w:p>
        </w:tc>
        <w:tc>
          <w:tcPr>
            <w:tcW w:w="684" w:type="pct"/>
            <w:vAlign w:val="center"/>
          </w:tcPr>
          <w:p w14:paraId="616E552C" w14:textId="77777777" w:rsidR="00AF6EAE" w:rsidRPr="00111042" w:rsidRDefault="00AF6EAE" w:rsidP="007A0C8E">
            <w:pPr>
              <w:pStyle w:val="TableText0"/>
              <w:keepLines/>
              <w:jc w:val="center"/>
            </w:pPr>
            <w:r w:rsidRPr="00111042">
              <w:t>46</w:t>
            </w:r>
          </w:p>
        </w:tc>
      </w:tr>
      <w:tr w:rsidR="00B23D1A" w:rsidRPr="00111042" w14:paraId="2ECA9EDE" w14:textId="77777777" w:rsidTr="00C35189">
        <w:trPr>
          <w:trHeight w:val="20"/>
        </w:trPr>
        <w:tc>
          <w:tcPr>
            <w:tcW w:w="622" w:type="pct"/>
            <w:vAlign w:val="center"/>
          </w:tcPr>
          <w:p w14:paraId="3410B291" w14:textId="77777777" w:rsidR="00AF6EAE" w:rsidRPr="00111042" w:rsidRDefault="00AF6EAE" w:rsidP="007A0C8E">
            <w:pPr>
              <w:pStyle w:val="TableText0"/>
              <w:keepLines/>
            </w:pPr>
            <w:r w:rsidRPr="00111042">
              <w:t>Mean (SD)</w:t>
            </w:r>
          </w:p>
        </w:tc>
        <w:tc>
          <w:tcPr>
            <w:tcW w:w="1064" w:type="pct"/>
            <w:vAlign w:val="center"/>
          </w:tcPr>
          <w:p w14:paraId="7F9F2CFA" w14:textId="77777777" w:rsidR="00AF6EAE" w:rsidRPr="00111042" w:rsidRDefault="00AF6EAE" w:rsidP="007A0C8E">
            <w:pPr>
              <w:pStyle w:val="TableText0"/>
              <w:keepLines/>
              <w:jc w:val="center"/>
            </w:pPr>
            <w:r w:rsidRPr="00111042">
              <w:t>9.02 (12.40)</w:t>
            </w:r>
          </w:p>
        </w:tc>
        <w:tc>
          <w:tcPr>
            <w:tcW w:w="649" w:type="pct"/>
            <w:vAlign w:val="center"/>
          </w:tcPr>
          <w:p w14:paraId="188D7DE4" w14:textId="77777777" w:rsidR="00AF6EAE" w:rsidRPr="00111042" w:rsidRDefault="00AF6EAE" w:rsidP="007A0C8E">
            <w:pPr>
              <w:pStyle w:val="TableText0"/>
              <w:keepLines/>
              <w:jc w:val="center"/>
            </w:pPr>
            <w:r w:rsidRPr="00111042">
              <w:t>-</w:t>
            </w:r>
          </w:p>
        </w:tc>
        <w:tc>
          <w:tcPr>
            <w:tcW w:w="649" w:type="pct"/>
            <w:vAlign w:val="center"/>
          </w:tcPr>
          <w:p w14:paraId="07234C1A" w14:textId="77777777" w:rsidR="00AF6EAE" w:rsidRPr="00111042" w:rsidRDefault="00AF6EAE" w:rsidP="007A0C8E">
            <w:pPr>
              <w:pStyle w:val="TableText0"/>
              <w:keepLines/>
              <w:jc w:val="center"/>
            </w:pPr>
            <w:r w:rsidRPr="00111042">
              <w:t>-</w:t>
            </w:r>
          </w:p>
        </w:tc>
        <w:tc>
          <w:tcPr>
            <w:tcW w:w="683" w:type="pct"/>
            <w:vAlign w:val="center"/>
          </w:tcPr>
          <w:p w14:paraId="702B44BA" w14:textId="77777777" w:rsidR="00AF6EAE" w:rsidRPr="00111042" w:rsidRDefault="00AF6EAE" w:rsidP="007A0C8E">
            <w:pPr>
              <w:pStyle w:val="TableText0"/>
              <w:keepLines/>
              <w:jc w:val="center"/>
            </w:pPr>
            <w:r w:rsidRPr="00111042">
              <w:t>0.35 (1.94)</w:t>
            </w:r>
          </w:p>
        </w:tc>
        <w:tc>
          <w:tcPr>
            <w:tcW w:w="649" w:type="pct"/>
            <w:vAlign w:val="center"/>
          </w:tcPr>
          <w:p w14:paraId="46F8981E" w14:textId="77777777" w:rsidR="00AF6EAE" w:rsidRPr="00111042" w:rsidRDefault="00AF6EAE" w:rsidP="007A0C8E">
            <w:pPr>
              <w:pStyle w:val="TableText0"/>
              <w:keepLines/>
              <w:jc w:val="center"/>
            </w:pPr>
            <w:r w:rsidRPr="00111042">
              <w:t>-</w:t>
            </w:r>
          </w:p>
        </w:tc>
        <w:tc>
          <w:tcPr>
            <w:tcW w:w="684" w:type="pct"/>
            <w:vAlign w:val="center"/>
          </w:tcPr>
          <w:p w14:paraId="49F09D2D" w14:textId="77777777" w:rsidR="00AF6EAE" w:rsidRPr="00111042" w:rsidRDefault="00AF6EAE" w:rsidP="007A0C8E">
            <w:pPr>
              <w:pStyle w:val="TableText0"/>
              <w:keepLines/>
              <w:jc w:val="center"/>
            </w:pPr>
            <w:r w:rsidRPr="00111042">
              <w:t>0.37 (1.96)</w:t>
            </w:r>
          </w:p>
        </w:tc>
      </w:tr>
      <w:tr w:rsidR="00B23D1A" w:rsidRPr="00111042" w14:paraId="39F08FB2" w14:textId="77777777" w:rsidTr="00C35189">
        <w:trPr>
          <w:trHeight w:val="20"/>
        </w:trPr>
        <w:tc>
          <w:tcPr>
            <w:tcW w:w="622" w:type="pct"/>
            <w:vAlign w:val="center"/>
          </w:tcPr>
          <w:p w14:paraId="2E3D641F" w14:textId="77777777" w:rsidR="00AF6EAE" w:rsidRPr="00111042" w:rsidRDefault="00AF6EAE" w:rsidP="007A0C8E">
            <w:pPr>
              <w:pStyle w:val="TableText0"/>
              <w:keepLines/>
            </w:pPr>
            <w:r w:rsidRPr="00111042">
              <w:t>Median</w:t>
            </w:r>
          </w:p>
        </w:tc>
        <w:tc>
          <w:tcPr>
            <w:tcW w:w="1064" w:type="pct"/>
            <w:vAlign w:val="center"/>
          </w:tcPr>
          <w:p w14:paraId="0436B8F4" w14:textId="77777777" w:rsidR="00AF6EAE" w:rsidRPr="00111042" w:rsidRDefault="00AF6EAE" w:rsidP="007A0C8E">
            <w:pPr>
              <w:pStyle w:val="TableText0"/>
              <w:keepLines/>
              <w:jc w:val="center"/>
            </w:pPr>
            <w:r w:rsidRPr="00111042">
              <w:t>4.0</w:t>
            </w:r>
          </w:p>
        </w:tc>
        <w:tc>
          <w:tcPr>
            <w:tcW w:w="649" w:type="pct"/>
            <w:vAlign w:val="center"/>
          </w:tcPr>
          <w:p w14:paraId="42622B41" w14:textId="77777777" w:rsidR="00AF6EAE" w:rsidRPr="00111042" w:rsidRDefault="00AF6EAE" w:rsidP="007A0C8E">
            <w:pPr>
              <w:pStyle w:val="TableText0"/>
              <w:keepLines/>
              <w:jc w:val="center"/>
            </w:pPr>
            <w:r w:rsidRPr="00111042">
              <w:t>-</w:t>
            </w:r>
          </w:p>
        </w:tc>
        <w:tc>
          <w:tcPr>
            <w:tcW w:w="649" w:type="pct"/>
            <w:vAlign w:val="center"/>
          </w:tcPr>
          <w:p w14:paraId="4B222272" w14:textId="77777777" w:rsidR="00AF6EAE" w:rsidRPr="00111042" w:rsidRDefault="00AF6EAE" w:rsidP="007A0C8E">
            <w:pPr>
              <w:pStyle w:val="TableText0"/>
              <w:keepLines/>
              <w:jc w:val="center"/>
            </w:pPr>
            <w:r w:rsidRPr="00111042">
              <w:t>-</w:t>
            </w:r>
          </w:p>
        </w:tc>
        <w:tc>
          <w:tcPr>
            <w:tcW w:w="683" w:type="pct"/>
            <w:vAlign w:val="center"/>
          </w:tcPr>
          <w:p w14:paraId="77905457" w14:textId="77777777" w:rsidR="00AF6EAE" w:rsidRPr="00111042" w:rsidRDefault="00AF6EAE" w:rsidP="007A0C8E">
            <w:pPr>
              <w:pStyle w:val="TableText0"/>
              <w:keepLines/>
              <w:jc w:val="center"/>
            </w:pPr>
            <w:r w:rsidRPr="00111042">
              <w:t>0</w:t>
            </w:r>
          </w:p>
        </w:tc>
        <w:tc>
          <w:tcPr>
            <w:tcW w:w="649" w:type="pct"/>
            <w:vAlign w:val="center"/>
          </w:tcPr>
          <w:p w14:paraId="77008124" w14:textId="77777777" w:rsidR="00AF6EAE" w:rsidRPr="00111042" w:rsidRDefault="00AF6EAE" w:rsidP="007A0C8E">
            <w:pPr>
              <w:pStyle w:val="TableText0"/>
              <w:keepLines/>
              <w:jc w:val="center"/>
            </w:pPr>
            <w:r w:rsidRPr="00111042">
              <w:t>-</w:t>
            </w:r>
          </w:p>
        </w:tc>
        <w:tc>
          <w:tcPr>
            <w:tcW w:w="684" w:type="pct"/>
            <w:vAlign w:val="center"/>
          </w:tcPr>
          <w:p w14:paraId="696745E0" w14:textId="77777777" w:rsidR="00AF6EAE" w:rsidRPr="00111042" w:rsidRDefault="00AF6EAE" w:rsidP="007A0C8E">
            <w:pPr>
              <w:pStyle w:val="TableText0"/>
              <w:keepLines/>
              <w:jc w:val="center"/>
            </w:pPr>
            <w:r w:rsidRPr="00111042">
              <w:t>0</w:t>
            </w:r>
          </w:p>
        </w:tc>
      </w:tr>
      <w:tr w:rsidR="00B23D1A" w:rsidRPr="00111042" w14:paraId="5D8FAE73" w14:textId="77777777" w:rsidTr="00C35189">
        <w:trPr>
          <w:trHeight w:val="20"/>
        </w:trPr>
        <w:tc>
          <w:tcPr>
            <w:tcW w:w="622" w:type="pct"/>
            <w:vAlign w:val="center"/>
          </w:tcPr>
          <w:p w14:paraId="5CC57A07" w14:textId="77777777" w:rsidR="00AF6EAE" w:rsidRPr="00111042" w:rsidRDefault="00AF6EAE" w:rsidP="007A0C8E">
            <w:pPr>
              <w:pStyle w:val="TableText0"/>
              <w:keepLines/>
            </w:pPr>
            <w:r w:rsidRPr="00111042">
              <w:t>95% CI</w:t>
            </w:r>
          </w:p>
        </w:tc>
        <w:tc>
          <w:tcPr>
            <w:tcW w:w="1064" w:type="pct"/>
            <w:vAlign w:val="center"/>
          </w:tcPr>
          <w:p w14:paraId="1EE73AA2" w14:textId="77777777" w:rsidR="00AF6EAE" w:rsidRPr="00111042" w:rsidRDefault="00AF6EAE" w:rsidP="007A0C8E">
            <w:pPr>
              <w:pStyle w:val="TableText0"/>
              <w:keepLines/>
              <w:jc w:val="center"/>
            </w:pPr>
            <w:r w:rsidRPr="00111042">
              <w:t>(5.87, 12.17)</w:t>
            </w:r>
          </w:p>
        </w:tc>
        <w:tc>
          <w:tcPr>
            <w:tcW w:w="649" w:type="pct"/>
            <w:vAlign w:val="center"/>
          </w:tcPr>
          <w:p w14:paraId="27C11565" w14:textId="77777777" w:rsidR="00AF6EAE" w:rsidRPr="00111042" w:rsidRDefault="00AF6EAE" w:rsidP="007A0C8E">
            <w:pPr>
              <w:pStyle w:val="TableText0"/>
              <w:keepLines/>
              <w:jc w:val="center"/>
            </w:pPr>
            <w:r w:rsidRPr="00111042">
              <w:t>-</w:t>
            </w:r>
          </w:p>
        </w:tc>
        <w:tc>
          <w:tcPr>
            <w:tcW w:w="649" w:type="pct"/>
            <w:vAlign w:val="center"/>
          </w:tcPr>
          <w:p w14:paraId="355E948A" w14:textId="77777777" w:rsidR="00AF6EAE" w:rsidRPr="00111042" w:rsidRDefault="00AF6EAE" w:rsidP="007A0C8E">
            <w:pPr>
              <w:pStyle w:val="TableText0"/>
              <w:keepLines/>
              <w:jc w:val="center"/>
            </w:pPr>
            <w:r w:rsidRPr="00111042">
              <w:t>-</w:t>
            </w:r>
          </w:p>
        </w:tc>
        <w:tc>
          <w:tcPr>
            <w:tcW w:w="683" w:type="pct"/>
            <w:vAlign w:val="center"/>
          </w:tcPr>
          <w:p w14:paraId="08754B9A" w14:textId="77777777" w:rsidR="00AF6EAE" w:rsidRPr="00111042" w:rsidRDefault="00AF6EAE" w:rsidP="007A0C8E">
            <w:pPr>
              <w:pStyle w:val="TableText0"/>
              <w:keepLines/>
              <w:jc w:val="center"/>
            </w:pPr>
            <w:r w:rsidRPr="00111042">
              <w:t>(-0.19, 0.89)</w:t>
            </w:r>
          </w:p>
        </w:tc>
        <w:tc>
          <w:tcPr>
            <w:tcW w:w="649" w:type="pct"/>
            <w:vAlign w:val="center"/>
          </w:tcPr>
          <w:p w14:paraId="16E201C7" w14:textId="77777777" w:rsidR="00AF6EAE" w:rsidRPr="00111042" w:rsidRDefault="00AF6EAE" w:rsidP="007A0C8E">
            <w:pPr>
              <w:pStyle w:val="TableText0"/>
              <w:keepLines/>
              <w:jc w:val="center"/>
            </w:pPr>
            <w:r w:rsidRPr="00111042">
              <w:t>-</w:t>
            </w:r>
          </w:p>
        </w:tc>
        <w:tc>
          <w:tcPr>
            <w:tcW w:w="684" w:type="pct"/>
            <w:vAlign w:val="center"/>
          </w:tcPr>
          <w:p w14:paraId="776AF6EC" w14:textId="77777777" w:rsidR="00AF6EAE" w:rsidRPr="00111042" w:rsidRDefault="00AF6EAE" w:rsidP="007A0C8E">
            <w:pPr>
              <w:pStyle w:val="TableText0"/>
              <w:keepLines/>
              <w:jc w:val="center"/>
            </w:pPr>
            <w:r w:rsidRPr="00111042">
              <w:t>(-0.21, 0.95)</w:t>
            </w:r>
          </w:p>
        </w:tc>
      </w:tr>
      <w:tr w:rsidR="00B23D1A" w:rsidRPr="003E22B4" w14:paraId="2CFD157D" w14:textId="77777777" w:rsidTr="00C35189">
        <w:trPr>
          <w:trHeight w:val="20"/>
        </w:trPr>
        <w:tc>
          <w:tcPr>
            <w:tcW w:w="622" w:type="pct"/>
            <w:vAlign w:val="center"/>
          </w:tcPr>
          <w:p w14:paraId="6C244F36" w14:textId="77777777" w:rsidR="00AF6EAE" w:rsidRPr="003E22B4" w:rsidRDefault="00AF6EAE" w:rsidP="007A0C8E">
            <w:pPr>
              <w:pStyle w:val="TableText0"/>
              <w:keepLines/>
            </w:pPr>
            <w:r w:rsidRPr="003E22B4">
              <w:t>p-value</w:t>
            </w:r>
          </w:p>
        </w:tc>
        <w:tc>
          <w:tcPr>
            <w:tcW w:w="1064" w:type="pct"/>
            <w:vAlign w:val="center"/>
          </w:tcPr>
          <w:p w14:paraId="47FFB7DD" w14:textId="77777777" w:rsidR="00AF6EAE" w:rsidRPr="003E22B4" w:rsidRDefault="00AF6EAE" w:rsidP="007A0C8E">
            <w:pPr>
              <w:pStyle w:val="TableText0"/>
              <w:keepLines/>
              <w:jc w:val="center"/>
            </w:pPr>
          </w:p>
        </w:tc>
        <w:tc>
          <w:tcPr>
            <w:tcW w:w="649" w:type="pct"/>
            <w:vAlign w:val="center"/>
          </w:tcPr>
          <w:p w14:paraId="383D6CD5" w14:textId="77777777" w:rsidR="00AF6EAE" w:rsidRPr="003E22B4" w:rsidRDefault="00AF6EAE" w:rsidP="007A0C8E">
            <w:pPr>
              <w:pStyle w:val="TableText0"/>
              <w:keepLines/>
              <w:jc w:val="center"/>
            </w:pPr>
            <w:r w:rsidRPr="003E22B4">
              <w:t>-</w:t>
            </w:r>
          </w:p>
        </w:tc>
        <w:tc>
          <w:tcPr>
            <w:tcW w:w="649" w:type="pct"/>
            <w:vAlign w:val="center"/>
          </w:tcPr>
          <w:p w14:paraId="2784EF29" w14:textId="77777777" w:rsidR="00AF6EAE" w:rsidRPr="003E22B4" w:rsidRDefault="00AF6EAE" w:rsidP="007A0C8E">
            <w:pPr>
              <w:pStyle w:val="TableText0"/>
              <w:keepLines/>
              <w:jc w:val="center"/>
            </w:pPr>
            <w:r w:rsidRPr="003E22B4">
              <w:t>-</w:t>
            </w:r>
          </w:p>
        </w:tc>
        <w:tc>
          <w:tcPr>
            <w:tcW w:w="683" w:type="pct"/>
            <w:vAlign w:val="center"/>
          </w:tcPr>
          <w:p w14:paraId="31D7D22F" w14:textId="77777777" w:rsidR="00AF6EAE" w:rsidRPr="003E22B4" w:rsidRDefault="00AF6EAE" w:rsidP="007A0C8E">
            <w:pPr>
              <w:pStyle w:val="TableText0"/>
              <w:keepLines/>
              <w:jc w:val="center"/>
            </w:pPr>
            <w:r w:rsidRPr="003E22B4">
              <w:t>0.20</w:t>
            </w:r>
          </w:p>
        </w:tc>
        <w:tc>
          <w:tcPr>
            <w:tcW w:w="649" w:type="pct"/>
            <w:vAlign w:val="center"/>
          </w:tcPr>
          <w:p w14:paraId="3FA72A31" w14:textId="77777777" w:rsidR="00AF6EAE" w:rsidRPr="003E22B4" w:rsidRDefault="00AF6EAE" w:rsidP="007A0C8E">
            <w:pPr>
              <w:pStyle w:val="TableText0"/>
              <w:keepLines/>
              <w:jc w:val="center"/>
            </w:pPr>
            <w:r w:rsidRPr="003E22B4">
              <w:t>-</w:t>
            </w:r>
          </w:p>
        </w:tc>
        <w:tc>
          <w:tcPr>
            <w:tcW w:w="684" w:type="pct"/>
            <w:vAlign w:val="center"/>
          </w:tcPr>
          <w:p w14:paraId="0B0A80D5" w14:textId="77777777" w:rsidR="00AF6EAE" w:rsidRPr="003E22B4" w:rsidRDefault="00AF6EAE" w:rsidP="007A0C8E">
            <w:pPr>
              <w:pStyle w:val="TableText0"/>
              <w:keepLines/>
              <w:jc w:val="center"/>
            </w:pPr>
            <w:r w:rsidRPr="003E22B4">
              <w:t>0.21</w:t>
            </w:r>
          </w:p>
        </w:tc>
      </w:tr>
      <w:tr w:rsidR="00B23D1A" w:rsidRPr="00111042" w14:paraId="7C5CC17D" w14:textId="77777777" w:rsidTr="00C35189">
        <w:trPr>
          <w:trHeight w:val="20"/>
        </w:trPr>
        <w:tc>
          <w:tcPr>
            <w:tcW w:w="5000" w:type="pct"/>
            <w:gridSpan w:val="7"/>
            <w:vAlign w:val="center"/>
          </w:tcPr>
          <w:p w14:paraId="042E3966" w14:textId="07C29427" w:rsidR="00AF6EAE" w:rsidRPr="00111042" w:rsidRDefault="00AF6EAE" w:rsidP="007A0C8E">
            <w:pPr>
              <w:pStyle w:val="TableText0"/>
              <w:keepLines/>
              <w:rPr>
                <w:b/>
                <w:bCs w:val="0"/>
              </w:rPr>
            </w:pPr>
            <w:r w:rsidRPr="00111042">
              <w:rPr>
                <w:b/>
                <w:bCs w:val="0"/>
              </w:rPr>
              <w:t>Hagenacker 2020</w:t>
            </w:r>
            <w:r w:rsidR="00E659AD" w:rsidRPr="00111042">
              <w:rPr>
                <w:b/>
                <w:bCs w:val="0"/>
              </w:rPr>
              <w:t xml:space="preserve"> </w:t>
            </w:r>
            <w:r w:rsidR="003E22B4">
              <w:rPr>
                <w:b/>
                <w:bCs w:val="0"/>
                <w:vertAlign w:val="superscript"/>
              </w:rPr>
              <w:t>a</w:t>
            </w:r>
            <w:r w:rsidR="003E22B4" w:rsidRPr="00111042">
              <w:rPr>
                <w:b/>
                <w:bCs w:val="0"/>
              </w:rPr>
              <w:t xml:space="preserve"> </w:t>
            </w:r>
            <w:r w:rsidRPr="00111042">
              <w:rPr>
                <w:b/>
                <w:bCs w:val="0"/>
              </w:rPr>
              <w:t>(Nusinersen primary study)</w:t>
            </w:r>
          </w:p>
        </w:tc>
      </w:tr>
      <w:tr w:rsidR="00B23D1A" w:rsidRPr="003E22B4" w14:paraId="4AC91E0C" w14:textId="77777777" w:rsidTr="00C35189">
        <w:trPr>
          <w:trHeight w:val="20"/>
        </w:trPr>
        <w:tc>
          <w:tcPr>
            <w:tcW w:w="622" w:type="pct"/>
            <w:vAlign w:val="center"/>
          </w:tcPr>
          <w:p w14:paraId="0D77C489" w14:textId="5A15BE44" w:rsidR="00AF6EAE" w:rsidRPr="003E22B4" w:rsidRDefault="00AF6EAE" w:rsidP="007A0C8E">
            <w:pPr>
              <w:pStyle w:val="TableText0"/>
              <w:keepLines/>
              <w:rPr>
                <w:vertAlign w:val="superscript"/>
              </w:rPr>
            </w:pPr>
            <w:r w:rsidRPr="003E22B4">
              <w:t xml:space="preserve">N </w:t>
            </w:r>
            <w:r w:rsidR="000B42E1" w:rsidRPr="003E22B4">
              <w:rPr>
                <w:vertAlign w:val="superscript"/>
              </w:rPr>
              <w:t>a</w:t>
            </w:r>
          </w:p>
        </w:tc>
        <w:tc>
          <w:tcPr>
            <w:tcW w:w="1064" w:type="pct"/>
            <w:shd w:val="clear" w:color="auto" w:fill="auto"/>
            <w:vAlign w:val="center"/>
          </w:tcPr>
          <w:p w14:paraId="46BB7371" w14:textId="77777777" w:rsidR="00AF6EAE" w:rsidRPr="003E22B4" w:rsidRDefault="00AF6EAE" w:rsidP="007A0C8E">
            <w:pPr>
              <w:pStyle w:val="TableText0"/>
              <w:keepLines/>
              <w:jc w:val="center"/>
            </w:pPr>
            <w:r w:rsidRPr="003E22B4">
              <w:t>173</w:t>
            </w:r>
          </w:p>
        </w:tc>
        <w:tc>
          <w:tcPr>
            <w:tcW w:w="649" w:type="pct"/>
            <w:shd w:val="clear" w:color="auto" w:fill="auto"/>
            <w:vAlign w:val="center"/>
          </w:tcPr>
          <w:p w14:paraId="20488E52" w14:textId="77777777" w:rsidR="00AF6EAE" w:rsidRPr="003E22B4" w:rsidRDefault="00AF6EAE" w:rsidP="007A0C8E">
            <w:pPr>
              <w:pStyle w:val="TableText0"/>
              <w:keepLines/>
              <w:jc w:val="center"/>
            </w:pPr>
            <w:r w:rsidRPr="003E22B4">
              <w:t>124</w:t>
            </w:r>
          </w:p>
        </w:tc>
        <w:tc>
          <w:tcPr>
            <w:tcW w:w="649" w:type="pct"/>
            <w:shd w:val="clear" w:color="auto" w:fill="auto"/>
            <w:vAlign w:val="center"/>
          </w:tcPr>
          <w:p w14:paraId="1A889238" w14:textId="77777777" w:rsidR="00AF6EAE" w:rsidRPr="003E22B4" w:rsidRDefault="00AF6EAE" w:rsidP="007A0C8E">
            <w:pPr>
              <w:pStyle w:val="TableText0"/>
              <w:keepLines/>
              <w:jc w:val="center"/>
            </w:pPr>
            <w:r w:rsidRPr="003E22B4">
              <w:t>92</w:t>
            </w:r>
          </w:p>
        </w:tc>
        <w:tc>
          <w:tcPr>
            <w:tcW w:w="683" w:type="pct"/>
            <w:vAlign w:val="center"/>
          </w:tcPr>
          <w:p w14:paraId="045E2B31" w14:textId="77777777" w:rsidR="00AF6EAE" w:rsidRPr="003E22B4" w:rsidRDefault="00AF6EAE" w:rsidP="007A0C8E">
            <w:pPr>
              <w:pStyle w:val="TableText0"/>
              <w:keepLines/>
              <w:jc w:val="center"/>
            </w:pPr>
            <w:r w:rsidRPr="003E22B4">
              <w:t>-</w:t>
            </w:r>
          </w:p>
        </w:tc>
        <w:tc>
          <w:tcPr>
            <w:tcW w:w="649" w:type="pct"/>
            <w:shd w:val="clear" w:color="auto" w:fill="C6D9F1" w:themeFill="text2" w:themeFillTint="33"/>
            <w:vAlign w:val="center"/>
          </w:tcPr>
          <w:p w14:paraId="2BAB96CC" w14:textId="5771BD1B" w:rsidR="00AF6EAE" w:rsidRPr="003E22B4" w:rsidRDefault="00AF6EAE" w:rsidP="007A0C8E">
            <w:pPr>
              <w:pStyle w:val="TableText0"/>
              <w:keepLines/>
              <w:jc w:val="center"/>
            </w:pPr>
            <w:r w:rsidRPr="003E22B4">
              <w:t>57</w:t>
            </w:r>
          </w:p>
        </w:tc>
        <w:tc>
          <w:tcPr>
            <w:tcW w:w="684" w:type="pct"/>
            <w:vAlign w:val="center"/>
          </w:tcPr>
          <w:p w14:paraId="70C4D916" w14:textId="77777777" w:rsidR="00AF6EAE" w:rsidRPr="003E22B4" w:rsidRDefault="00AF6EAE" w:rsidP="007A0C8E">
            <w:pPr>
              <w:pStyle w:val="TableText0"/>
              <w:keepLines/>
              <w:jc w:val="center"/>
            </w:pPr>
            <w:r w:rsidRPr="003E22B4">
              <w:t>-</w:t>
            </w:r>
          </w:p>
        </w:tc>
      </w:tr>
      <w:tr w:rsidR="00B23D1A" w:rsidRPr="00111042" w14:paraId="7D05382C" w14:textId="77777777" w:rsidTr="00C35189">
        <w:trPr>
          <w:trHeight w:val="20"/>
        </w:trPr>
        <w:tc>
          <w:tcPr>
            <w:tcW w:w="622" w:type="pct"/>
            <w:vAlign w:val="center"/>
          </w:tcPr>
          <w:p w14:paraId="20929258" w14:textId="77777777" w:rsidR="00AF6EAE" w:rsidRPr="00111042" w:rsidRDefault="00AF6EAE" w:rsidP="007A0C8E">
            <w:pPr>
              <w:pStyle w:val="TableText0"/>
              <w:keepLines/>
              <w:rPr>
                <w:i/>
                <w:iCs/>
              </w:rPr>
            </w:pPr>
            <w:r w:rsidRPr="00111042">
              <w:t>Mean (SD)</w:t>
            </w:r>
          </w:p>
        </w:tc>
        <w:tc>
          <w:tcPr>
            <w:tcW w:w="1064" w:type="pct"/>
            <w:shd w:val="clear" w:color="auto" w:fill="auto"/>
            <w:vAlign w:val="center"/>
          </w:tcPr>
          <w:p w14:paraId="32050798" w14:textId="77777777" w:rsidR="00AF6EAE" w:rsidRPr="00111042" w:rsidRDefault="00AF6EAE" w:rsidP="007A0C8E">
            <w:pPr>
              <w:pStyle w:val="TableText1"/>
              <w:keepNext/>
              <w:keepLines/>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23.85 (12.16)</w:t>
            </w:r>
          </w:p>
        </w:tc>
        <w:tc>
          <w:tcPr>
            <w:tcW w:w="649" w:type="pct"/>
            <w:shd w:val="clear" w:color="auto" w:fill="auto"/>
            <w:vAlign w:val="center"/>
          </w:tcPr>
          <w:p w14:paraId="060132F4" w14:textId="77777777" w:rsidR="00AF6EAE" w:rsidRPr="00111042" w:rsidRDefault="00AF6EAE" w:rsidP="007A0C8E">
            <w:pPr>
              <w:pStyle w:val="TableText0"/>
              <w:keepLines/>
              <w:jc w:val="center"/>
            </w:pPr>
            <w:r w:rsidRPr="00111042">
              <w:t>1.73 (NR)</w:t>
            </w:r>
          </w:p>
        </w:tc>
        <w:tc>
          <w:tcPr>
            <w:tcW w:w="649" w:type="pct"/>
            <w:shd w:val="clear" w:color="auto" w:fill="auto"/>
            <w:vAlign w:val="center"/>
          </w:tcPr>
          <w:p w14:paraId="770C8138" w14:textId="77777777" w:rsidR="00AF6EAE" w:rsidRPr="00111042" w:rsidRDefault="00AF6EAE" w:rsidP="007A0C8E">
            <w:pPr>
              <w:pStyle w:val="TableText1"/>
              <w:keepNext/>
              <w:keepLines/>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2.58 (NR)</w:t>
            </w:r>
          </w:p>
        </w:tc>
        <w:tc>
          <w:tcPr>
            <w:tcW w:w="683" w:type="pct"/>
            <w:vAlign w:val="center"/>
          </w:tcPr>
          <w:p w14:paraId="35C64598" w14:textId="77777777" w:rsidR="00AF6EAE" w:rsidRPr="00111042" w:rsidRDefault="00AF6EAE" w:rsidP="007A0C8E">
            <w:pPr>
              <w:pStyle w:val="TableText0"/>
              <w:keepLines/>
              <w:jc w:val="center"/>
            </w:pPr>
            <w:r w:rsidRPr="00111042">
              <w:t>-</w:t>
            </w:r>
          </w:p>
        </w:tc>
        <w:tc>
          <w:tcPr>
            <w:tcW w:w="649" w:type="pct"/>
            <w:shd w:val="clear" w:color="auto" w:fill="C6D9F1" w:themeFill="text2" w:themeFillTint="33"/>
            <w:vAlign w:val="center"/>
          </w:tcPr>
          <w:p w14:paraId="1268A2A0" w14:textId="77777777" w:rsidR="00AF6EAE" w:rsidRPr="00111042" w:rsidRDefault="00AF6EAE" w:rsidP="007A0C8E">
            <w:pPr>
              <w:pStyle w:val="TableText1"/>
              <w:keepNext/>
              <w:keepLines/>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3.12 (NR)</w:t>
            </w:r>
          </w:p>
        </w:tc>
        <w:tc>
          <w:tcPr>
            <w:tcW w:w="684" w:type="pct"/>
            <w:vAlign w:val="center"/>
          </w:tcPr>
          <w:p w14:paraId="533395C3" w14:textId="77777777" w:rsidR="00AF6EAE" w:rsidRPr="00111042" w:rsidRDefault="00AF6EAE" w:rsidP="007A0C8E">
            <w:pPr>
              <w:pStyle w:val="TableText0"/>
              <w:keepLines/>
              <w:jc w:val="center"/>
            </w:pPr>
            <w:r w:rsidRPr="00111042">
              <w:t>-</w:t>
            </w:r>
          </w:p>
        </w:tc>
      </w:tr>
      <w:tr w:rsidR="00B23D1A" w:rsidRPr="00111042" w14:paraId="27587109" w14:textId="77777777" w:rsidTr="00C35189">
        <w:trPr>
          <w:trHeight w:val="20"/>
        </w:trPr>
        <w:tc>
          <w:tcPr>
            <w:tcW w:w="622" w:type="pct"/>
            <w:vAlign w:val="center"/>
          </w:tcPr>
          <w:p w14:paraId="4C48E41F" w14:textId="77777777" w:rsidR="00AF6EAE" w:rsidRPr="00111042" w:rsidRDefault="00AF6EAE" w:rsidP="007A0C8E">
            <w:pPr>
              <w:pStyle w:val="TableText0"/>
              <w:keepLines/>
              <w:rPr>
                <w:i/>
                <w:iCs/>
              </w:rPr>
            </w:pPr>
            <w:r w:rsidRPr="00111042">
              <w:t>Median</w:t>
            </w:r>
          </w:p>
        </w:tc>
        <w:tc>
          <w:tcPr>
            <w:tcW w:w="1064" w:type="pct"/>
            <w:shd w:val="clear" w:color="auto" w:fill="auto"/>
            <w:vAlign w:val="center"/>
          </w:tcPr>
          <w:p w14:paraId="23646815" w14:textId="77777777" w:rsidR="00AF6EAE" w:rsidRPr="00111042" w:rsidRDefault="00AF6EAE" w:rsidP="007A0C8E">
            <w:pPr>
              <w:pStyle w:val="TableText0"/>
              <w:keepLines/>
              <w:jc w:val="center"/>
            </w:pPr>
            <w:r w:rsidRPr="00111042">
              <w:t>NR</w:t>
            </w:r>
          </w:p>
        </w:tc>
        <w:tc>
          <w:tcPr>
            <w:tcW w:w="649" w:type="pct"/>
            <w:shd w:val="clear" w:color="auto" w:fill="auto"/>
            <w:vAlign w:val="center"/>
          </w:tcPr>
          <w:p w14:paraId="5DF9B9E8" w14:textId="77777777" w:rsidR="00AF6EAE" w:rsidRPr="00111042" w:rsidRDefault="00AF6EAE" w:rsidP="007A0C8E">
            <w:pPr>
              <w:pStyle w:val="TableText0"/>
              <w:keepLines/>
              <w:jc w:val="center"/>
            </w:pPr>
            <w:r w:rsidRPr="00111042">
              <w:t>NR</w:t>
            </w:r>
          </w:p>
        </w:tc>
        <w:tc>
          <w:tcPr>
            <w:tcW w:w="649" w:type="pct"/>
            <w:shd w:val="clear" w:color="auto" w:fill="auto"/>
            <w:vAlign w:val="center"/>
          </w:tcPr>
          <w:p w14:paraId="505DCFAC" w14:textId="77777777" w:rsidR="00AF6EAE" w:rsidRPr="00111042" w:rsidRDefault="00AF6EAE" w:rsidP="007A0C8E">
            <w:pPr>
              <w:pStyle w:val="TableText0"/>
              <w:keepLines/>
              <w:jc w:val="center"/>
            </w:pPr>
            <w:r w:rsidRPr="00111042">
              <w:t>NR</w:t>
            </w:r>
          </w:p>
        </w:tc>
        <w:tc>
          <w:tcPr>
            <w:tcW w:w="683" w:type="pct"/>
            <w:vAlign w:val="center"/>
          </w:tcPr>
          <w:p w14:paraId="39F4E3E2" w14:textId="77777777" w:rsidR="00AF6EAE" w:rsidRPr="00111042" w:rsidRDefault="00AF6EAE" w:rsidP="007A0C8E">
            <w:pPr>
              <w:pStyle w:val="TableText0"/>
              <w:keepLines/>
              <w:jc w:val="center"/>
            </w:pPr>
            <w:r w:rsidRPr="00111042">
              <w:t>-</w:t>
            </w:r>
          </w:p>
        </w:tc>
        <w:tc>
          <w:tcPr>
            <w:tcW w:w="649" w:type="pct"/>
            <w:shd w:val="clear" w:color="auto" w:fill="C6D9F1" w:themeFill="text2" w:themeFillTint="33"/>
            <w:vAlign w:val="center"/>
          </w:tcPr>
          <w:p w14:paraId="02D72C3F" w14:textId="77777777" w:rsidR="00AF6EAE" w:rsidRPr="00111042" w:rsidRDefault="00AF6EAE" w:rsidP="007A0C8E">
            <w:pPr>
              <w:pStyle w:val="TableText0"/>
              <w:keepLines/>
              <w:jc w:val="center"/>
            </w:pPr>
            <w:r w:rsidRPr="00111042">
              <w:t>NR</w:t>
            </w:r>
          </w:p>
        </w:tc>
        <w:tc>
          <w:tcPr>
            <w:tcW w:w="684" w:type="pct"/>
            <w:vAlign w:val="center"/>
          </w:tcPr>
          <w:p w14:paraId="13C929E2" w14:textId="77777777" w:rsidR="00AF6EAE" w:rsidRPr="00111042" w:rsidRDefault="00AF6EAE" w:rsidP="007A0C8E">
            <w:pPr>
              <w:pStyle w:val="TableText0"/>
              <w:keepLines/>
              <w:jc w:val="center"/>
            </w:pPr>
            <w:r w:rsidRPr="00111042">
              <w:t>-</w:t>
            </w:r>
          </w:p>
        </w:tc>
      </w:tr>
      <w:tr w:rsidR="00B23D1A" w:rsidRPr="00111042" w14:paraId="6F25E998" w14:textId="77777777" w:rsidTr="00C35189">
        <w:trPr>
          <w:trHeight w:val="20"/>
        </w:trPr>
        <w:tc>
          <w:tcPr>
            <w:tcW w:w="622" w:type="pct"/>
            <w:vAlign w:val="center"/>
          </w:tcPr>
          <w:p w14:paraId="06F53E04" w14:textId="77777777" w:rsidR="00AF6EAE" w:rsidRPr="00111042" w:rsidRDefault="00AF6EAE" w:rsidP="007A0C8E">
            <w:pPr>
              <w:pStyle w:val="TableText0"/>
              <w:keepLines/>
              <w:rPr>
                <w:i/>
                <w:iCs/>
              </w:rPr>
            </w:pPr>
            <w:r w:rsidRPr="00111042">
              <w:t>95% CI</w:t>
            </w:r>
          </w:p>
        </w:tc>
        <w:tc>
          <w:tcPr>
            <w:tcW w:w="1064" w:type="pct"/>
            <w:shd w:val="clear" w:color="auto" w:fill="auto"/>
            <w:vAlign w:val="center"/>
          </w:tcPr>
          <w:p w14:paraId="0958C778" w14:textId="77777777" w:rsidR="00AF6EAE" w:rsidRPr="00111042" w:rsidRDefault="00AF6EAE" w:rsidP="007A0C8E">
            <w:pPr>
              <w:pStyle w:val="TableText0"/>
              <w:keepLines/>
              <w:jc w:val="center"/>
            </w:pPr>
            <w:r w:rsidRPr="00111042">
              <w:t>NR</w:t>
            </w:r>
          </w:p>
        </w:tc>
        <w:tc>
          <w:tcPr>
            <w:tcW w:w="649" w:type="pct"/>
            <w:shd w:val="clear" w:color="auto" w:fill="auto"/>
            <w:vAlign w:val="center"/>
          </w:tcPr>
          <w:p w14:paraId="2DE8F9EC" w14:textId="77777777" w:rsidR="00AF6EAE" w:rsidRPr="00111042" w:rsidRDefault="00AF6EAE" w:rsidP="007A0C8E">
            <w:pPr>
              <w:pStyle w:val="TableText0"/>
              <w:keepLines/>
              <w:jc w:val="center"/>
            </w:pPr>
            <w:r w:rsidRPr="00111042">
              <w:t>(1.05, 2.41)</w:t>
            </w:r>
          </w:p>
        </w:tc>
        <w:tc>
          <w:tcPr>
            <w:tcW w:w="649" w:type="pct"/>
            <w:shd w:val="clear" w:color="auto" w:fill="auto"/>
            <w:vAlign w:val="center"/>
          </w:tcPr>
          <w:p w14:paraId="5DC89678" w14:textId="77777777" w:rsidR="00AF6EAE" w:rsidRPr="00111042" w:rsidRDefault="00AF6EAE" w:rsidP="007A0C8E">
            <w:pPr>
              <w:pStyle w:val="TableText0"/>
              <w:keepLines/>
              <w:jc w:val="center"/>
            </w:pPr>
            <w:r w:rsidRPr="00111042">
              <w:t>(1.76, 3.39)</w:t>
            </w:r>
          </w:p>
        </w:tc>
        <w:tc>
          <w:tcPr>
            <w:tcW w:w="683" w:type="pct"/>
            <w:vAlign w:val="center"/>
          </w:tcPr>
          <w:p w14:paraId="73415B39" w14:textId="77777777" w:rsidR="00AF6EAE" w:rsidRPr="00111042" w:rsidRDefault="00AF6EAE" w:rsidP="007A0C8E">
            <w:pPr>
              <w:pStyle w:val="TableText0"/>
              <w:keepLines/>
              <w:jc w:val="center"/>
            </w:pPr>
            <w:r w:rsidRPr="00111042">
              <w:t>-</w:t>
            </w:r>
          </w:p>
        </w:tc>
        <w:tc>
          <w:tcPr>
            <w:tcW w:w="649" w:type="pct"/>
            <w:shd w:val="clear" w:color="auto" w:fill="C6D9F1" w:themeFill="text2" w:themeFillTint="33"/>
            <w:vAlign w:val="center"/>
          </w:tcPr>
          <w:p w14:paraId="2D558D8C" w14:textId="77777777" w:rsidR="00AF6EAE" w:rsidRPr="00111042" w:rsidRDefault="00AF6EAE" w:rsidP="007A0C8E">
            <w:pPr>
              <w:pStyle w:val="TableText0"/>
              <w:keepLines/>
              <w:jc w:val="center"/>
            </w:pPr>
            <w:r w:rsidRPr="00111042">
              <w:t>(2.06, 4.19)</w:t>
            </w:r>
          </w:p>
        </w:tc>
        <w:tc>
          <w:tcPr>
            <w:tcW w:w="684" w:type="pct"/>
            <w:vAlign w:val="center"/>
          </w:tcPr>
          <w:p w14:paraId="462406CE" w14:textId="77777777" w:rsidR="00AF6EAE" w:rsidRPr="00111042" w:rsidRDefault="00AF6EAE" w:rsidP="007A0C8E">
            <w:pPr>
              <w:pStyle w:val="TableText0"/>
              <w:keepLines/>
              <w:jc w:val="center"/>
            </w:pPr>
            <w:r w:rsidRPr="00111042">
              <w:t>-</w:t>
            </w:r>
          </w:p>
        </w:tc>
      </w:tr>
      <w:tr w:rsidR="00B23D1A" w:rsidRPr="00111042" w14:paraId="5EB18584" w14:textId="77777777" w:rsidTr="00C35189">
        <w:trPr>
          <w:trHeight w:val="20"/>
        </w:trPr>
        <w:tc>
          <w:tcPr>
            <w:tcW w:w="5000" w:type="pct"/>
            <w:gridSpan w:val="7"/>
            <w:vAlign w:val="center"/>
          </w:tcPr>
          <w:p w14:paraId="1C7F677A" w14:textId="77777777" w:rsidR="00AF6EAE" w:rsidRPr="00111042" w:rsidRDefault="00AF6EAE" w:rsidP="007A0C8E">
            <w:pPr>
              <w:pStyle w:val="TableText0"/>
              <w:keepLines/>
              <w:rPr>
                <w:b/>
                <w:bCs w:val="0"/>
              </w:rPr>
            </w:pPr>
            <w:r w:rsidRPr="00111042">
              <w:rPr>
                <w:b/>
                <w:bCs w:val="0"/>
              </w:rPr>
              <w:t>Maggi 2020 (Nusinersen primary study)</w:t>
            </w:r>
          </w:p>
        </w:tc>
      </w:tr>
      <w:tr w:rsidR="00B23D1A" w:rsidRPr="00111042" w14:paraId="2D512272" w14:textId="77777777" w:rsidTr="00C35189">
        <w:trPr>
          <w:trHeight w:val="20"/>
        </w:trPr>
        <w:tc>
          <w:tcPr>
            <w:tcW w:w="622" w:type="pct"/>
            <w:vAlign w:val="center"/>
          </w:tcPr>
          <w:p w14:paraId="5B5BFCC2" w14:textId="77777777" w:rsidR="00AF6EAE" w:rsidRPr="00111042" w:rsidRDefault="00AF6EAE" w:rsidP="007A0C8E">
            <w:pPr>
              <w:pStyle w:val="TableText0"/>
              <w:keepLines/>
              <w:rPr>
                <w:i/>
                <w:iCs/>
              </w:rPr>
            </w:pPr>
            <w:r w:rsidRPr="00111042">
              <w:t>N</w:t>
            </w:r>
          </w:p>
        </w:tc>
        <w:tc>
          <w:tcPr>
            <w:tcW w:w="1064" w:type="pct"/>
            <w:shd w:val="clear" w:color="auto" w:fill="C6D9F1" w:themeFill="text2" w:themeFillTint="33"/>
            <w:vAlign w:val="center"/>
          </w:tcPr>
          <w:p w14:paraId="72FC7637" w14:textId="77777777" w:rsidR="00AF6EAE" w:rsidRPr="00111042" w:rsidRDefault="00AF6EAE" w:rsidP="007A0C8E">
            <w:pPr>
              <w:pStyle w:val="TableText0"/>
              <w:keepLines/>
              <w:jc w:val="center"/>
            </w:pPr>
            <w:r w:rsidRPr="00111042">
              <w:t>116</w:t>
            </w:r>
          </w:p>
        </w:tc>
        <w:tc>
          <w:tcPr>
            <w:tcW w:w="649" w:type="pct"/>
            <w:shd w:val="clear" w:color="auto" w:fill="C6D9F1" w:themeFill="text2" w:themeFillTint="33"/>
            <w:vAlign w:val="center"/>
          </w:tcPr>
          <w:p w14:paraId="5A5010B8" w14:textId="77777777" w:rsidR="00AF6EAE" w:rsidRPr="00111042" w:rsidRDefault="00AF6EAE" w:rsidP="007A0C8E">
            <w:pPr>
              <w:pStyle w:val="TableText0"/>
              <w:keepLines/>
              <w:jc w:val="center"/>
            </w:pPr>
            <w:r w:rsidRPr="00111042">
              <w:t>116</w:t>
            </w:r>
          </w:p>
        </w:tc>
        <w:tc>
          <w:tcPr>
            <w:tcW w:w="649" w:type="pct"/>
            <w:shd w:val="clear" w:color="auto" w:fill="C6D9F1" w:themeFill="text2" w:themeFillTint="33"/>
            <w:vAlign w:val="center"/>
          </w:tcPr>
          <w:p w14:paraId="4C9E3CAF" w14:textId="77777777" w:rsidR="00AF6EAE" w:rsidRPr="00111042" w:rsidRDefault="00AF6EAE" w:rsidP="007A0C8E">
            <w:pPr>
              <w:pStyle w:val="TableText0"/>
              <w:keepLines/>
              <w:jc w:val="center"/>
            </w:pPr>
            <w:r w:rsidRPr="00111042">
              <w:t>84</w:t>
            </w:r>
          </w:p>
        </w:tc>
        <w:tc>
          <w:tcPr>
            <w:tcW w:w="683" w:type="pct"/>
            <w:vAlign w:val="center"/>
          </w:tcPr>
          <w:p w14:paraId="6D8AD73E" w14:textId="77777777" w:rsidR="00AF6EAE" w:rsidRPr="00111042" w:rsidRDefault="00AF6EAE" w:rsidP="007A0C8E">
            <w:pPr>
              <w:pStyle w:val="TableText0"/>
              <w:keepLines/>
              <w:jc w:val="center"/>
            </w:pPr>
            <w:r w:rsidRPr="00111042">
              <w:t>-</w:t>
            </w:r>
          </w:p>
        </w:tc>
        <w:tc>
          <w:tcPr>
            <w:tcW w:w="649" w:type="pct"/>
            <w:shd w:val="clear" w:color="auto" w:fill="C6D9F1" w:themeFill="text2" w:themeFillTint="33"/>
            <w:vAlign w:val="center"/>
          </w:tcPr>
          <w:p w14:paraId="02706548" w14:textId="77777777" w:rsidR="00AF6EAE" w:rsidRPr="00111042" w:rsidRDefault="00AF6EAE" w:rsidP="007A0C8E">
            <w:pPr>
              <w:pStyle w:val="TableText0"/>
              <w:keepLines/>
              <w:jc w:val="center"/>
            </w:pPr>
            <w:r w:rsidRPr="00111042">
              <w:t>51</w:t>
            </w:r>
          </w:p>
        </w:tc>
        <w:tc>
          <w:tcPr>
            <w:tcW w:w="684" w:type="pct"/>
            <w:vAlign w:val="center"/>
          </w:tcPr>
          <w:p w14:paraId="2CEA2318" w14:textId="77777777" w:rsidR="00AF6EAE" w:rsidRPr="00111042" w:rsidRDefault="00AF6EAE" w:rsidP="007A0C8E">
            <w:pPr>
              <w:pStyle w:val="TableText0"/>
              <w:keepLines/>
              <w:jc w:val="center"/>
            </w:pPr>
            <w:r w:rsidRPr="00111042">
              <w:t>-</w:t>
            </w:r>
          </w:p>
        </w:tc>
      </w:tr>
      <w:tr w:rsidR="00B23D1A" w:rsidRPr="00111042" w14:paraId="2630A7F5" w14:textId="77777777" w:rsidTr="00C35189">
        <w:trPr>
          <w:trHeight w:val="20"/>
        </w:trPr>
        <w:tc>
          <w:tcPr>
            <w:tcW w:w="622" w:type="pct"/>
            <w:vAlign w:val="center"/>
          </w:tcPr>
          <w:p w14:paraId="1CA327EA" w14:textId="77777777" w:rsidR="00AF6EAE" w:rsidRPr="00111042" w:rsidRDefault="00AF6EAE" w:rsidP="007A0C8E">
            <w:pPr>
              <w:pStyle w:val="TableText0"/>
              <w:keepLines/>
              <w:rPr>
                <w:i/>
                <w:iCs/>
              </w:rPr>
            </w:pPr>
            <w:r w:rsidRPr="00111042">
              <w:t>Mean (SD)</w:t>
            </w:r>
          </w:p>
        </w:tc>
        <w:tc>
          <w:tcPr>
            <w:tcW w:w="1064" w:type="pct"/>
            <w:shd w:val="clear" w:color="auto" w:fill="C6D9F1" w:themeFill="text2" w:themeFillTint="33"/>
            <w:vAlign w:val="center"/>
          </w:tcPr>
          <w:p w14:paraId="3A3EEDD6" w14:textId="77777777" w:rsidR="00AF6EAE" w:rsidRPr="00111042" w:rsidRDefault="00AF6EAE" w:rsidP="007A0C8E">
            <w:pPr>
              <w:pStyle w:val="TableText0"/>
              <w:keepLines/>
              <w:jc w:val="center"/>
            </w:pPr>
            <w:r w:rsidRPr="00111042">
              <w:t>26.5 (21.7)</w:t>
            </w:r>
          </w:p>
        </w:tc>
        <w:tc>
          <w:tcPr>
            <w:tcW w:w="649" w:type="pct"/>
            <w:shd w:val="clear" w:color="auto" w:fill="C6D9F1" w:themeFill="text2" w:themeFillTint="33"/>
            <w:vAlign w:val="center"/>
          </w:tcPr>
          <w:p w14:paraId="1B36FC91" w14:textId="77777777" w:rsidR="00AF6EAE" w:rsidRPr="00111042" w:rsidRDefault="00AF6EAE" w:rsidP="007A0C8E">
            <w:pPr>
              <w:pStyle w:val="TableText0"/>
              <w:keepLines/>
              <w:jc w:val="center"/>
            </w:pPr>
            <w:r w:rsidRPr="00111042">
              <w:t>1.33 (2.29)</w:t>
            </w:r>
          </w:p>
        </w:tc>
        <w:tc>
          <w:tcPr>
            <w:tcW w:w="649" w:type="pct"/>
            <w:shd w:val="clear" w:color="auto" w:fill="C6D9F1" w:themeFill="text2" w:themeFillTint="33"/>
            <w:vAlign w:val="center"/>
          </w:tcPr>
          <w:p w14:paraId="278407A4" w14:textId="77777777" w:rsidR="00AF6EAE" w:rsidRPr="00111042" w:rsidRDefault="00AF6EAE" w:rsidP="007A0C8E">
            <w:pPr>
              <w:pStyle w:val="TableText0"/>
              <w:keepLines/>
              <w:jc w:val="center"/>
            </w:pPr>
            <w:r w:rsidRPr="00111042">
              <w:t>2.29 (2.75)</w:t>
            </w:r>
          </w:p>
        </w:tc>
        <w:tc>
          <w:tcPr>
            <w:tcW w:w="683" w:type="pct"/>
            <w:vAlign w:val="center"/>
          </w:tcPr>
          <w:p w14:paraId="0F25E491" w14:textId="77777777" w:rsidR="00AF6EAE" w:rsidRPr="00111042" w:rsidRDefault="00AF6EAE" w:rsidP="007A0C8E">
            <w:pPr>
              <w:pStyle w:val="TableText0"/>
              <w:keepLines/>
              <w:jc w:val="center"/>
            </w:pPr>
            <w:r w:rsidRPr="00111042">
              <w:t>-</w:t>
            </w:r>
          </w:p>
        </w:tc>
        <w:tc>
          <w:tcPr>
            <w:tcW w:w="649" w:type="pct"/>
            <w:shd w:val="clear" w:color="auto" w:fill="C6D9F1" w:themeFill="text2" w:themeFillTint="33"/>
            <w:vAlign w:val="center"/>
          </w:tcPr>
          <w:p w14:paraId="3BBE34D1" w14:textId="77777777" w:rsidR="00AF6EAE" w:rsidRPr="00111042" w:rsidRDefault="00AF6EAE" w:rsidP="007A0C8E">
            <w:pPr>
              <w:pStyle w:val="TableText0"/>
              <w:keepLines/>
              <w:jc w:val="center"/>
            </w:pPr>
            <w:r w:rsidRPr="00111042">
              <w:t>2.69 (2.92)</w:t>
            </w:r>
          </w:p>
        </w:tc>
        <w:tc>
          <w:tcPr>
            <w:tcW w:w="684" w:type="pct"/>
            <w:vAlign w:val="center"/>
          </w:tcPr>
          <w:p w14:paraId="0AFCFADD" w14:textId="77777777" w:rsidR="00AF6EAE" w:rsidRPr="00111042" w:rsidRDefault="00AF6EAE" w:rsidP="007A0C8E">
            <w:pPr>
              <w:pStyle w:val="TableText0"/>
              <w:keepLines/>
              <w:jc w:val="center"/>
            </w:pPr>
            <w:r w:rsidRPr="00111042">
              <w:t>-</w:t>
            </w:r>
          </w:p>
        </w:tc>
      </w:tr>
      <w:tr w:rsidR="00B23D1A" w:rsidRPr="00111042" w14:paraId="4E7E48D5" w14:textId="77777777" w:rsidTr="00C35189">
        <w:trPr>
          <w:trHeight w:val="20"/>
        </w:trPr>
        <w:tc>
          <w:tcPr>
            <w:tcW w:w="622" w:type="pct"/>
            <w:vAlign w:val="center"/>
          </w:tcPr>
          <w:p w14:paraId="33A83A45" w14:textId="77777777" w:rsidR="00AF6EAE" w:rsidRPr="00111042" w:rsidRDefault="00AF6EAE" w:rsidP="007A0C8E">
            <w:pPr>
              <w:pStyle w:val="TableText0"/>
              <w:keepLines/>
              <w:rPr>
                <w:i/>
                <w:iCs/>
              </w:rPr>
            </w:pPr>
            <w:r w:rsidRPr="00111042">
              <w:t>Median</w:t>
            </w:r>
          </w:p>
        </w:tc>
        <w:tc>
          <w:tcPr>
            <w:tcW w:w="1064" w:type="pct"/>
            <w:shd w:val="clear" w:color="auto" w:fill="C6D9F1" w:themeFill="text2" w:themeFillTint="33"/>
            <w:vAlign w:val="center"/>
          </w:tcPr>
          <w:p w14:paraId="57D041DB" w14:textId="77777777" w:rsidR="00AF6EAE" w:rsidRPr="00111042" w:rsidRDefault="00AF6EAE" w:rsidP="007A0C8E">
            <w:pPr>
              <w:pStyle w:val="TableText0"/>
              <w:keepLines/>
              <w:jc w:val="center"/>
            </w:pPr>
            <w:r w:rsidRPr="00111042">
              <w:t>22.5</w:t>
            </w:r>
          </w:p>
        </w:tc>
        <w:tc>
          <w:tcPr>
            <w:tcW w:w="649" w:type="pct"/>
            <w:shd w:val="clear" w:color="auto" w:fill="C6D9F1" w:themeFill="text2" w:themeFillTint="33"/>
            <w:vAlign w:val="center"/>
          </w:tcPr>
          <w:p w14:paraId="6B7B51C3" w14:textId="77777777" w:rsidR="00AF6EAE" w:rsidRPr="00111042" w:rsidRDefault="00AF6EAE" w:rsidP="007A0C8E">
            <w:pPr>
              <w:pStyle w:val="TableText0"/>
              <w:keepLines/>
              <w:jc w:val="center"/>
            </w:pPr>
            <w:r w:rsidRPr="00111042">
              <w:t>1</w:t>
            </w:r>
          </w:p>
        </w:tc>
        <w:tc>
          <w:tcPr>
            <w:tcW w:w="649" w:type="pct"/>
            <w:shd w:val="clear" w:color="auto" w:fill="C6D9F1" w:themeFill="text2" w:themeFillTint="33"/>
            <w:vAlign w:val="center"/>
          </w:tcPr>
          <w:p w14:paraId="74FC928F" w14:textId="77777777" w:rsidR="00AF6EAE" w:rsidRPr="00111042" w:rsidRDefault="00AF6EAE" w:rsidP="007A0C8E">
            <w:pPr>
              <w:pStyle w:val="TableText0"/>
              <w:keepLines/>
              <w:jc w:val="center"/>
            </w:pPr>
            <w:r w:rsidRPr="00111042">
              <w:t>1</w:t>
            </w:r>
          </w:p>
        </w:tc>
        <w:tc>
          <w:tcPr>
            <w:tcW w:w="683" w:type="pct"/>
            <w:vAlign w:val="center"/>
          </w:tcPr>
          <w:p w14:paraId="188F675F" w14:textId="77777777" w:rsidR="00AF6EAE" w:rsidRPr="00111042" w:rsidRDefault="00AF6EAE" w:rsidP="007A0C8E">
            <w:pPr>
              <w:pStyle w:val="TableText0"/>
              <w:keepLines/>
              <w:jc w:val="center"/>
            </w:pPr>
            <w:r w:rsidRPr="00111042">
              <w:t>-</w:t>
            </w:r>
          </w:p>
        </w:tc>
        <w:tc>
          <w:tcPr>
            <w:tcW w:w="649" w:type="pct"/>
            <w:shd w:val="clear" w:color="auto" w:fill="C6D9F1" w:themeFill="text2" w:themeFillTint="33"/>
            <w:vAlign w:val="center"/>
          </w:tcPr>
          <w:p w14:paraId="507D5EE2" w14:textId="77777777" w:rsidR="00AF6EAE" w:rsidRPr="00111042" w:rsidRDefault="00AF6EAE" w:rsidP="007A0C8E">
            <w:pPr>
              <w:pStyle w:val="TableText0"/>
              <w:keepLines/>
              <w:jc w:val="center"/>
            </w:pPr>
            <w:r w:rsidRPr="00111042">
              <w:t>2</w:t>
            </w:r>
          </w:p>
        </w:tc>
        <w:tc>
          <w:tcPr>
            <w:tcW w:w="684" w:type="pct"/>
            <w:vAlign w:val="center"/>
          </w:tcPr>
          <w:p w14:paraId="74ADE6DB" w14:textId="77777777" w:rsidR="00AF6EAE" w:rsidRPr="00111042" w:rsidRDefault="00AF6EAE" w:rsidP="007A0C8E">
            <w:pPr>
              <w:pStyle w:val="TableText0"/>
              <w:keepLines/>
              <w:jc w:val="center"/>
            </w:pPr>
            <w:r w:rsidRPr="00111042">
              <w:t>-</w:t>
            </w:r>
          </w:p>
        </w:tc>
      </w:tr>
      <w:tr w:rsidR="00B23D1A" w:rsidRPr="00111042" w14:paraId="002184DA" w14:textId="77777777" w:rsidTr="00C35189">
        <w:trPr>
          <w:trHeight w:val="20"/>
        </w:trPr>
        <w:tc>
          <w:tcPr>
            <w:tcW w:w="622" w:type="pct"/>
            <w:vAlign w:val="center"/>
          </w:tcPr>
          <w:p w14:paraId="5DBCF529" w14:textId="77777777" w:rsidR="00AF6EAE" w:rsidRPr="00111042" w:rsidRDefault="00AF6EAE" w:rsidP="007A0C8E">
            <w:pPr>
              <w:pStyle w:val="TableText0"/>
              <w:keepLines/>
              <w:rPr>
                <w:i/>
                <w:iCs/>
              </w:rPr>
            </w:pPr>
            <w:r w:rsidRPr="00111042">
              <w:t>Range</w:t>
            </w:r>
          </w:p>
        </w:tc>
        <w:tc>
          <w:tcPr>
            <w:tcW w:w="1064" w:type="pct"/>
            <w:shd w:val="clear" w:color="auto" w:fill="C6D9F1" w:themeFill="text2" w:themeFillTint="33"/>
            <w:vAlign w:val="center"/>
          </w:tcPr>
          <w:p w14:paraId="3516014F" w14:textId="77777777" w:rsidR="00AF6EAE" w:rsidRPr="00111042" w:rsidRDefault="00AF6EAE" w:rsidP="007A0C8E">
            <w:pPr>
              <w:pStyle w:val="TableText0"/>
              <w:keepLines/>
              <w:jc w:val="center"/>
            </w:pPr>
            <w:r w:rsidRPr="00111042">
              <w:t>(0, 64)</w:t>
            </w:r>
          </w:p>
        </w:tc>
        <w:tc>
          <w:tcPr>
            <w:tcW w:w="649" w:type="pct"/>
            <w:shd w:val="clear" w:color="auto" w:fill="C6D9F1" w:themeFill="text2" w:themeFillTint="33"/>
            <w:vAlign w:val="center"/>
          </w:tcPr>
          <w:p w14:paraId="283CFE41" w14:textId="77777777" w:rsidR="00AF6EAE" w:rsidRPr="00111042" w:rsidRDefault="00AF6EAE" w:rsidP="007A0C8E">
            <w:pPr>
              <w:pStyle w:val="TableText0"/>
              <w:keepLines/>
              <w:jc w:val="center"/>
            </w:pPr>
            <w:r w:rsidRPr="00111042">
              <w:t>(-5, 8)</w:t>
            </w:r>
          </w:p>
        </w:tc>
        <w:tc>
          <w:tcPr>
            <w:tcW w:w="649" w:type="pct"/>
            <w:shd w:val="clear" w:color="auto" w:fill="C6D9F1" w:themeFill="text2" w:themeFillTint="33"/>
            <w:vAlign w:val="center"/>
          </w:tcPr>
          <w:p w14:paraId="46F2D330" w14:textId="77777777" w:rsidR="00AF6EAE" w:rsidRPr="00111042" w:rsidRDefault="00AF6EAE" w:rsidP="007A0C8E">
            <w:pPr>
              <w:pStyle w:val="TableText0"/>
              <w:keepLines/>
              <w:jc w:val="center"/>
            </w:pPr>
            <w:r w:rsidRPr="00111042">
              <w:t>(-3, 9)</w:t>
            </w:r>
          </w:p>
        </w:tc>
        <w:tc>
          <w:tcPr>
            <w:tcW w:w="683" w:type="pct"/>
            <w:vAlign w:val="center"/>
          </w:tcPr>
          <w:p w14:paraId="6C9CAE87" w14:textId="77777777" w:rsidR="00AF6EAE" w:rsidRPr="00111042" w:rsidRDefault="00AF6EAE" w:rsidP="007A0C8E">
            <w:pPr>
              <w:pStyle w:val="TableText0"/>
              <w:keepLines/>
              <w:jc w:val="center"/>
            </w:pPr>
            <w:r w:rsidRPr="00111042">
              <w:t>-</w:t>
            </w:r>
          </w:p>
        </w:tc>
        <w:tc>
          <w:tcPr>
            <w:tcW w:w="649" w:type="pct"/>
            <w:shd w:val="clear" w:color="auto" w:fill="C6D9F1" w:themeFill="text2" w:themeFillTint="33"/>
            <w:vAlign w:val="center"/>
          </w:tcPr>
          <w:p w14:paraId="51E065EE" w14:textId="77777777" w:rsidR="00AF6EAE" w:rsidRPr="00111042" w:rsidRDefault="00AF6EAE" w:rsidP="007A0C8E">
            <w:pPr>
              <w:pStyle w:val="TableText0"/>
              <w:keepLines/>
              <w:jc w:val="center"/>
            </w:pPr>
            <w:r w:rsidRPr="00111042">
              <w:t>(-3, 11)</w:t>
            </w:r>
          </w:p>
        </w:tc>
        <w:tc>
          <w:tcPr>
            <w:tcW w:w="684" w:type="pct"/>
            <w:vAlign w:val="center"/>
          </w:tcPr>
          <w:p w14:paraId="28B34317" w14:textId="77777777" w:rsidR="00AF6EAE" w:rsidRPr="00111042" w:rsidRDefault="00AF6EAE" w:rsidP="007A0C8E">
            <w:pPr>
              <w:pStyle w:val="TableText0"/>
              <w:keepLines/>
              <w:jc w:val="center"/>
            </w:pPr>
            <w:r w:rsidRPr="00111042">
              <w:t>-</w:t>
            </w:r>
          </w:p>
        </w:tc>
      </w:tr>
      <w:tr w:rsidR="00B23D1A" w:rsidRPr="003E22B4" w14:paraId="0CA2136B" w14:textId="77777777" w:rsidTr="00C35189">
        <w:trPr>
          <w:trHeight w:val="20"/>
        </w:trPr>
        <w:tc>
          <w:tcPr>
            <w:tcW w:w="5000" w:type="pct"/>
            <w:gridSpan w:val="7"/>
            <w:vAlign w:val="center"/>
          </w:tcPr>
          <w:p w14:paraId="20F25B37" w14:textId="77777777" w:rsidR="00AF6EAE" w:rsidRPr="003E22B4" w:rsidRDefault="00AF6EAE" w:rsidP="007A0C8E">
            <w:pPr>
              <w:pStyle w:val="TableText0"/>
              <w:keepLines/>
              <w:rPr>
                <w:b/>
                <w:bCs w:val="0"/>
              </w:rPr>
            </w:pPr>
            <w:r w:rsidRPr="003E22B4">
              <w:rPr>
                <w:b/>
                <w:bCs w:val="0"/>
              </w:rPr>
              <w:t>Pera 2021 (Nusinersen primary study) (adult subgroup)</w:t>
            </w:r>
          </w:p>
        </w:tc>
      </w:tr>
      <w:tr w:rsidR="00B23D1A" w:rsidRPr="00111042" w14:paraId="4D7AB9AA" w14:textId="77777777" w:rsidTr="00C35189">
        <w:trPr>
          <w:trHeight w:val="20"/>
        </w:trPr>
        <w:tc>
          <w:tcPr>
            <w:tcW w:w="622" w:type="pct"/>
            <w:vAlign w:val="center"/>
          </w:tcPr>
          <w:p w14:paraId="40CFA7D8" w14:textId="77777777" w:rsidR="00AF6EAE" w:rsidRPr="00111042" w:rsidRDefault="00AF6EAE" w:rsidP="007A0C8E">
            <w:pPr>
              <w:pStyle w:val="TableText0"/>
              <w:keepLines/>
              <w:rPr>
                <w:i/>
                <w:iCs/>
              </w:rPr>
            </w:pPr>
            <w:r w:rsidRPr="00111042">
              <w:t>N</w:t>
            </w:r>
          </w:p>
        </w:tc>
        <w:tc>
          <w:tcPr>
            <w:tcW w:w="1064" w:type="pct"/>
            <w:vAlign w:val="center"/>
          </w:tcPr>
          <w:p w14:paraId="7966D73E" w14:textId="77777777" w:rsidR="00AF6EAE" w:rsidRPr="00111042" w:rsidRDefault="00AF6EAE" w:rsidP="007A0C8E">
            <w:pPr>
              <w:pStyle w:val="TableText0"/>
              <w:keepLines/>
              <w:jc w:val="center"/>
            </w:pPr>
            <w:r w:rsidRPr="00111042">
              <w:t>45</w:t>
            </w:r>
          </w:p>
        </w:tc>
        <w:tc>
          <w:tcPr>
            <w:tcW w:w="649" w:type="pct"/>
            <w:vAlign w:val="center"/>
          </w:tcPr>
          <w:p w14:paraId="795C5430" w14:textId="77777777" w:rsidR="00AF6EAE" w:rsidRPr="00111042" w:rsidRDefault="00AF6EAE" w:rsidP="007A0C8E">
            <w:pPr>
              <w:pStyle w:val="TableText0"/>
              <w:keepLines/>
              <w:jc w:val="center"/>
            </w:pPr>
            <w:r w:rsidRPr="00111042">
              <w:t>-</w:t>
            </w:r>
          </w:p>
        </w:tc>
        <w:tc>
          <w:tcPr>
            <w:tcW w:w="649" w:type="pct"/>
            <w:vAlign w:val="center"/>
          </w:tcPr>
          <w:p w14:paraId="6616C094" w14:textId="77777777" w:rsidR="00AF6EAE" w:rsidRPr="00111042" w:rsidRDefault="00AF6EAE" w:rsidP="007A0C8E">
            <w:pPr>
              <w:pStyle w:val="TableText0"/>
              <w:keepLines/>
              <w:jc w:val="center"/>
            </w:pPr>
            <w:r w:rsidRPr="00111042">
              <w:t>-</w:t>
            </w:r>
          </w:p>
        </w:tc>
        <w:tc>
          <w:tcPr>
            <w:tcW w:w="683" w:type="pct"/>
            <w:vAlign w:val="center"/>
          </w:tcPr>
          <w:p w14:paraId="11E6D372" w14:textId="77777777" w:rsidR="00AF6EAE" w:rsidRPr="00111042" w:rsidRDefault="00AF6EAE" w:rsidP="007A0C8E">
            <w:pPr>
              <w:pStyle w:val="TableText0"/>
              <w:keepLines/>
              <w:jc w:val="center"/>
            </w:pPr>
            <w:r w:rsidRPr="00111042">
              <w:t>45</w:t>
            </w:r>
          </w:p>
        </w:tc>
        <w:tc>
          <w:tcPr>
            <w:tcW w:w="649" w:type="pct"/>
            <w:vAlign w:val="center"/>
          </w:tcPr>
          <w:p w14:paraId="5F4A828C" w14:textId="77777777" w:rsidR="00AF6EAE" w:rsidRPr="00111042" w:rsidRDefault="00AF6EAE" w:rsidP="007A0C8E">
            <w:pPr>
              <w:pStyle w:val="TableText0"/>
              <w:keepLines/>
              <w:jc w:val="center"/>
            </w:pPr>
            <w:r w:rsidRPr="00111042">
              <w:t>-</w:t>
            </w:r>
          </w:p>
        </w:tc>
        <w:tc>
          <w:tcPr>
            <w:tcW w:w="684" w:type="pct"/>
            <w:vAlign w:val="center"/>
          </w:tcPr>
          <w:p w14:paraId="487F0F4C" w14:textId="77777777" w:rsidR="00AF6EAE" w:rsidRPr="00111042" w:rsidRDefault="00AF6EAE" w:rsidP="007A0C8E">
            <w:pPr>
              <w:pStyle w:val="TableText0"/>
              <w:keepLines/>
              <w:jc w:val="center"/>
            </w:pPr>
            <w:r w:rsidRPr="00111042">
              <w:t>-</w:t>
            </w:r>
          </w:p>
        </w:tc>
      </w:tr>
      <w:tr w:rsidR="00B23D1A" w:rsidRPr="00111042" w14:paraId="14F897C6" w14:textId="77777777" w:rsidTr="00C35189">
        <w:trPr>
          <w:trHeight w:val="20"/>
        </w:trPr>
        <w:tc>
          <w:tcPr>
            <w:tcW w:w="622" w:type="pct"/>
            <w:vAlign w:val="center"/>
          </w:tcPr>
          <w:p w14:paraId="78318D8A" w14:textId="77777777" w:rsidR="00AF6EAE" w:rsidRPr="00111042" w:rsidRDefault="00AF6EAE" w:rsidP="007A0C8E">
            <w:pPr>
              <w:pStyle w:val="TableText0"/>
              <w:keepLines/>
              <w:rPr>
                <w:i/>
                <w:iCs/>
              </w:rPr>
            </w:pPr>
            <w:r w:rsidRPr="00111042">
              <w:t>Mean (SD)</w:t>
            </w:r>
          </w:p>
        </w:tc>
        <w:tc>
          <w:tcPr>
            <w:tcW w:w="1064" w:type="pct"/>
            <w:vAlign w:val="center"/>
          </w:tcPr>
          <w:p w14:paraId="200FDEB8" w14:textId="77777777" w:rsidR="00AF6EAE" w:rsidRPr="00111042" w:rsidRDefault="00AF6EAE" w:rsidP="007A0C8E">
            <w:pPr>
              <w:pStyle w:val="TableText1"/>
              <w:keepNext/>
              <w:keepLines/>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30.75 (NR)</w:t>
            </w:r>
          </w:p>
        </w:tc>
        <w:tc>
          <w:tcPr>
            <w:tcW w:w="649" w:type="pct"/>
            <w:vAlign w:val="center"/>
          </w:tcPr>
          <w:p w14:paraId="1BE00ECA" w14:textId="77777777" w:rsidR="00AF6EAE" w:rsidRPr="00111042" w:rsidRDefault="00AF6EAE" w:rsidP="007A0C8E">
            <w:pPr>
              <w:pStyle w:val="TableText0"/>
              <w:keepLines/>
              <w:jc w:val="center"/>
            </w:pPr>
            <w:r w:rsidRPr="00111042">
              <w:t>-</w:t>
            </w:r>
          </w:p>
        </w:tc>
        <w:tc>
          <w:tcPr>
            <w:tcW w:w="649" w:type="pct"/>
            <w:vAlign w:val="center"/>
          </w:tcPr>
          <w:p w14:paraId="7DA41BF8" w14:textId="77777777" w:rsidR="00AF6EAE" w:rsidRPr="00111042" w:rsidRDefault="00AF6EAE" w:rsidP="007A0C8E">
            <w:pPr>
              <w:pStyle w:val="TableText0"/>
              <w:keepLines/>
              <w:jc w:val="center"/>
            </w:pPr>
            <w:r w:rsidRPr="00111042">
              <w:t>-</w:t>
            </w:r>
          </w:p>
        </w:tc>
        <w:tc>
          <w:tcPr>
            <w:tcW w:w="683" w:type="pct"/>
            <w:vAlign w:val="center"/>
          </w:tcPr>
          <w:p w14:paraId="1BD1E8F7" w14:textId="77777777" w:rsidR="00AF6EAE" w:rsidRPr="00111042" w:rsidRDefault="00AF6EAE" w:rsidP="007A0C8E">
            <w:pPr>
              <w:pStyle w:val="TableText1"/>
              <w:keepNext/>
              <w:keepLines/>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0.79 (NR)</w:t>
            </w:r>
          </w:p>
        </w:tc>
        <w:tc>
          <w:tcPr>
            <w:tcW w:w="649" w:type="pct"/>
            <w:vAlign w:val="center"/>
          </w:tcPr>
          <w:p w14:paraId="5EE3068C" w14:textId="77777777" w:rsidR="00AF6EAE" w:rsidRPr="00111042" w:rsidRDefault="00AF6EAE" w:rsidP="007A0C8E">
            <w:pPr>
              <w:pStyle w:val="TableText0"/>
              <w:keepLines/>
              <w:jc w:val="center"/>
            </w:pPr>
            <w:r w:rsidRPr="00111042">
              <w:t>-</w:t>
            </w:r>
          </w:p>
        </w:tc>
        <w:tc>
          <w:tcPr>
            <w:tcW w:w="684" w:type="pct"/>
            <w:vAlign w:val="center"/>
          </w:tcPr>
          <w:p w14:paraId="467F1940" w14:textId="77777777" w:rsidR="00AF6EAE" w:rsidRPr="00111042" w:rsidRDefault="00AF6EAE" w:rsidP="007A0C8E">
            <w:pPr>
              <w:pStyle w:val="TableText0"/>
              <w:keepLines/>
              <w:jc w:val="center"/>
            </w:pPr>
            <w:r w:rsidRPr="00111042">
              <w:t>-</w:t>
            </w:r>
          </w:p>
        </w:tc>
      </w:tr>
      <w:tr w:rsidR="00B23D1A" w:rsidRPr="00111042" w14:paraId="2C1D702E" w14:textId="77777777" w:rsidTr="00C35189">
        <w:trPr>
          <w:trHeight w:val="20"/>
        </w:trPr>
        <w:tc>
          <w:tcPr>
            <w:tcW w:w="622" w:type="pct"/>
            <w:vAlign w:val="center"/>
          </w:tcPr>
          <w:p w14:paraId="1FE35382" w14:textId="77777777" w:rsidR="00AF6EAE" w:rsidRPr="00111042" w:rsidRDefault="00AF6EAE" w:rsidP="007A0C8E">
            <w:pPr>
              <w:pStyle w:val="TableText0"/>
              <w:keepLines/>
              <w:rPr>
                <w:i/>
                <w:iCs/>
              </w:rPr>
            </w:pPr>
            <w:r w:rsidRPr="00111042">
              <w:t>IQR</w:t>
            </w:r>
          </w:p>
        </w:tc>
        <w:tc>
          <w:tcPr>
            <w:tcW w:w="1064" w:type="pct"/>
            <w:vAlign w:val="center"/>
          </w:tcPr>
          <w:p w14:paraId="6F076E20" w14:textId="77777777" w:rsidR="00AF6EAE" w:rsidRPr="00111042" w:rsidRDefault="00AF6EAE" w:rsidP="007A0C8E">
            <w:pPr>
              <w:pStyle w:val="TableText0"/>
              <w:keepLines/>
              <w:jc w:val="center"/>
            </w:pPr>
            <w:r w:rsidRPr="00111042">
              <w:t>(29.97, 31.53)</w:t>
            </w:r>
          </w:p>
        </w:tc>
        <w:tc>
          <w:tcPr>
            <w:tcW w:w="649" w:type="pct"/>
            <w:vAlign w:val="center"/>
          </w:tcPr>
          <w:p w14:paraId="0B18C1E8" w14:textId="77777777" w:rsidR="00AF6EAE" w:rsidRPr="00111042" w:rsidRDefault="00AF6EAE" w:rsidP="007A0C8E">
            <w:pPr>
              <w:pStyle w:val="TableText0"/>
              <w:keepLines/>
              <w:jc w:val="center"/>
            </w:pPr>
            <w:r w:rsidRPr="00111042">
              <w:t>-</w:t>
            </w:r>
          </w:p>
        </w:tc>
        <w:tc>
          <w:tcPr>
            <w:tcW w:w="649" w:type="pct"/>
            <w:vAlign w:val="center"/>
          </w:tcPr>
          <w:p w14:paraId="4FD3938F" w14:textId="77777777" w:rsidR="00AF6EAE" w:rsidRPr="00111042" w:rsidRDefault="00AF6EAE" w:rsidP="007A0C8E">
            <w:pPr>
              <w:pStyle w:val="TableText0"/>
              <w:keepLines/>
              <w:jc w:val="center"/>
            </w:pPr>
            <w:r w:rsidRPr="00111042">
              <w:t>-</w:t>
            </w:r>
          </w:p>
        </w:tc>
        <w:tc>
          <w:tcPr>
            <w:tcW w:w="683" w:type="pct"/>
            <w:vAlign w:val="center"/>
          </w:tcPr>
          <w:p w14:paraId="02D0AA39" w14:textId="77777777" w:rsidR="00AF6EAE" w:rsidRPr="00111042" w:rsidRDefault="00AF6EAE" w:rsidP="007A0C8E">
            <w:pPr>
              <w:pStyle w:val="TableText0"/>
              <w:keepLines/>
              <w:jc w:val="center"/>
            </w:pPr>
            <w:r w:rsidRPr="00111042">
              <w:t>(0.29, 1.87)</w:t>
            </w:r>
          </w:p>
        </w:tc>
        <w:tc>
          <w:tcPr>
            <w:tcW w:w="649" w:type="pct"/>
            <w:vAlign w:val="center"/>
          </w:tcPr>
          <w:p w14:paraId="1A1EF4F2" w14:textId="77777777" w:rsidR="00AF6EAE" w:rsidRPr="00111042" w:rsidRDefault="00AF6EAE" w:rsidP="007A0C8E">
            <w:pPr>
              <w:pStyle w:val="TableText0"/>
              <w:keepLines/>
              <w:jc w:val="center"/>
            </w:pPr>
            <w:r w:rsidRPr="00111042">
              <w:t>-</w:t>
            </w:r>
          </w:p>
        </w:tc>
        <w:tc>
          <w:tcPr>
            <w:tcW w:w="684" w:type="pct"/>
            <w:vAlign w:val="center"/>
          </w:tcPr>
          <w:p w14:paraId="30A7B026" w14:textId="77777777" w:rsidR="00AF6EAE" w:rsidRPr="00111042" w:rsidRDefault="00AF6EAE" w:rsidP="007A0C8E">
            <w:pPr>
              <w:pStyle w:val="TableText0"/>
              <w:keepLines/>
              <w:jc w:val="center"/>
            </w:pPr>
            <w:r w:rsidRPr="00111042">
              <w:t>-</w:t>
            </w:r>
          </w:p>
        </w:tc>
      </w:tr>
    </w:tbl>
    <w:p w14:paraId="5352D69D" w14:textId="77777777" w:rsidR="009F2B52" w:rsidRPr="000C053F" w:rsidRDefault="009F2B52" w:rsidP="009F2B52">
      <w:pPr>
        <w:pStyle w:val="FooterTableFigure"/>
        <w:keepNext/>
        <w:keepLines/>
      </w:pPr>
      <w:r w:rsidRPr="00111042">
        <w:t>Source: Tables 2.24, 2.27 and 2.30 of the resubmission (p94-8</w:t>
      </w:r>
      <w:r w:rsidRPr="000C053F">
        <w:t>); JEWELFISH ‘Adult subgroup – eff_jewelfish_2y_chg’pdf</w:t>
      </w:r>
    </w:p>
    <w:p w14:paraId="06784F40" w14:textId="77777777" w:rsidR="00AF6EAE" w:rsidRPr="00111042" w:rsidRDefault="00AF6EAE" w:rsidP="007A0C8E">
      <w:pPr>
        <w:pStyle w:val="FooterTableFigure"/>
        <w:keepNext/>
        <w:keepLines/>
        <w:rPr>
          <w:szCs w:val="18"/>
          <w:lang w:eastAsia="en-US"/>
        </w:rPr>
      </w:pPr>
      <w:r w:rsidRPr="00111042">
        <w:rPr>
          <w:szCs w:val="18"/>
          <w:lang w:eastAsia="en-US"/>
        </w:rPr>
        <w:t xml:space="preserve">CI=confidence interval; </w:t>
      </w:r>
      <w:r w:rsidRPr="00111042">
        <w:t>HFMSE= Hammersmith Functional Motor Scale – Expanded</w:t>
      </w:r>
      <w:r w:rsidRPr="00111042">
        <w:rPr>
          <w:szCs w:val="18"/>
          <w:lang w:eastAsia="en-US"/>
        </w:rPr>
        <w:t>; SD=Standard deviation; n=number of patients</w:t>
      </w:r>
    </w:p>
    <w:p w14:paraId="36E8C34F" w14:textId="2F076DF7" w:rsidR="00AF6EAE" w:rsidRPr="003E22B4" w:rsidRDefault="003E22B4" w:rsidP="007A0C8E">
      <w:pPr>
        <w:pStyle w:val="FooterTableFigure"/>
        <w:keepNext/>
        <w:keepLines/>
      </w:pPr>
      <w:r>
        <w:t>a</w:t>
      </w:r>
      <w:r w:rsidR="001B6E62" w:rsidRPr="003E22B4">
        <w:t xml:space="preserve"> - Included patients aged 16-65 years old</w:t>
      </w:r>
      <w:r w:rsidR="00AF6EAE" w:rsidRPr="003E22B4">
        <w:t xml:space="preserve"> </w:t>
      </w:r>
    </w:p>
    <w:p w14:paraId="3673709F" w14:textId="3655CF78" w:rsidR="002733C2" w:rsidRPr="00111042" w:rsidRDefault="002733C2" w:rsidP="00D370AA">
      <w:pPr>
        <w:pStyle w:val="FooterTableFigure"/>
        <w:keepLines/>
        <w:rPr>
          <w:i/>
          <w:iCs/>
        </w:rPr>
      </w:pPr>
      <w:r w:rsidRPr="00111042">
        <w:t>Blue shaded cells indicate trials previous considered by PBAC</w:t>
      </w:r>
    </w:p>
    <w:p w14:paraId="56D2436F" w14:textId="64A84F65" w:rsidR="00FF5CBA" w:rsidRPr="000C053F" w:rsidRDefault="001C1087" w:rsidP="00EC5836">
      <w:pPr>
        <w:pStyle w:val="3-BodyText"/>
      </w:pPr>
      <w:r w:rsidRPr="000C053F">
        <w:lastRenderedPageBreak/>
        <w:t>The sample sizes in SUNFISH Part 2 were small (n=14 at month 12 and n=10 at week 24).</w:t>
      </w:r>
      <w:r w:rsidR="004772B9" w:rsidRPr="000C053F">
        <w:t xml:space="preserve"> The only comparable result </w:t>
      </w:r>
      <w:r w:rsidR="009F2B52">
        <w:t>with</w:t>
      </w:r>
      <w:r w:rsidR="004772B9" w:rsidRPr="000C053F">
        <w:t xml:space="preserve"> respect to timing of assessment post-baseline between risdiplam and nusinersen studies was at month 12 for SUNFISH Part 2 and JEWELFISH versus Pera (2021).</w:t>
      </w:r>
    </w:p>
    <w:p w14:paraId="3FBF7C52" w14:textId="4DED44EE" w:rsidR="00936AC6" w:rsidRPr="000C053F" w:rsidRDefault="00936AC6" w:rsidP="00EC5836">
      <w:pPr>
        <w:pStyle w:val="3-BodyText"/>
      </w:pPr>
      <w:r w:rsidRPr="000C053F">
        <w:t xml:space="preserve">Overall, it was likely reasonable to conclude that adult patients treated with nusinersen did not experience any decline in HFMSE function at up to 14 months of treatment based on the point estimates, though the magnitude of improvement (if any) was highly uncertain. Comparatively, adult patients treated with risdiplam experienced no change or minor decline in HFMSE function at up to 24 months of follow-up based on the point estimates, and any improvement over time was of a smaller magnitude than reported in the primary nusinersen studies. However, the clinical significance of </w:t>
      </w:r>
      <w:r w:rsidR="00265090">
        <w:t>any</w:t>
      </w:r>
      <w:r w:rsidR="00265090" w:rsidRPr="000C053F">
        <w:t xml:space="preserve"> </w:t>
      </w:r>
      <w:r w:rsidRPr="000C053F">
        <w:t>difference was highly uncertain given the numerous heterogeneity issues between the included studies.</w:t>
      </w:r>
    </w:p>
    <w:p w14:paraId="4768C1A0" w14:textId="0175EE19" w:rsidR="006F7F23" w:rsidRPr="00111042" w:rsidRDefault="00622EE4" w:rsidP="00A82536">
      <w:pPr>
        <w:pStyle w:val="3-BodyText"/>
      </w:pPr>
      <w:r w:rsidRPr="00111042">
        <w:fldChar w:fldCharType="begin"/>
      </w:r>
      <w:r w:rsidRPr="00111042">
        <w:instrText xml:space="preserve"> REF _Ref121768466 \h </w:instrText>
      </w:r>
      <w:r w:rsidRPr="00111042">
        <w:fldChar w:fldCharType="separate"/>
      </w:r>
      <w:r w:rsidR="00D45640" w:rsidRPr="00111042">
        <w:t xml:space="preserve">Table </w:t>
      </w:r>
      <w:r w:rsidR="00D45640">
        <w:rPr>
          <w:noProof/>
        </w:rPr>
        <w:t>6</w:t>
      </w:r>
      <w:r w:rsidRPr="00111042">
        <w:fldChar w:fldCharType="end"/>
      </w:r>
      <w:r w:rsidR="006068AE" w:rsidRPr="00111042">
        <w:t xml:space="preserve"> presents the </w:t>
      </w:r>
      <w:r w:rsidR="00DD41F7" w:rsidRPr="00111042">
        <w:t xml:space="preserve">RULM </w:t>
      </w:r>
      <w:r w:rsidR="00933B8D" w:rsidRPr="00111042">
        <w:t xml:space="preserve">mean </w:t>
      </w:r>
      <w:r w:rsidR="006068AE" w:rsidRPr="00111042">
        <w:t>change from baseline adult subgroup results used to inform the naïve numerical comparisons</w:t>
      </w:r>
      <w:r w:rsidR="006F7F23" w:rsidRPr="00111042">
        <w:t>.</w:t>
      </w:r>
      <w:r w:rsidR="00A82536" w:rsidRPr="00111042">
        <w:tab/>
      </w:r>
    </w:p>
    <w:p w14:paraId="791D1435" w14:textId="1BE95C9B" w:rsidR="006F7F23" w:rsidRPr="00111042" w:rsidRDefault="006F7F23" w:rsidP="006F7F23">
      <w:pPr>
        <w:pStyle w:val="Caption"/>
      </w:pPr>
      <w:bookmarkStart w:id="26" w:name="_Ref121768466"/>
      <w:r w:rsidRPr="00111042">
        <w:t xml:space="preserve">Table </w:t>
      </w:r>
      <w:r w:rsidR="00D45640">
        <w:fldChar w:fldCharType="begin"/>
      </w:r>
      <w:r w:rsidR="00D45640">
        <w:instrText xml:space="preserve"> SEQ Table \* ARABIC </w:instrText>
      </w:r>
      <w:r w:rsidR="00D45640">
        <w:fldChar w:fldCharType="separate"/>
      </w:r>
      <w:r w:rsidR="00D45640">
        <w:rPr>
          <w:noProof/>
        </w:rPr>
        <w:t>6</w:t>
      </w:r>
      <w:r w:rsidR="00D45640">
        <w:rPr>
          <w:noProof/>
        </w:rPr>
        <w:fldChar w:fldCharType="end"/>
      </w:r>
      <w:bookmarkEnd w:id="26"/>
      <w:r w:rsidRPr="00111042">
        <w:t xml:space="preserve"> RULM mean difference versus baseline in studies used for naïve numerical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919"/>
        <w:gridCol w:w="1170"/>
        <w:gridCol w:w="1170"/>
        <w:gridCol w:w="1232"/>
        <w:gridCol w:w="1170"/>
        <w:gridCol w:w="1234"/>
      </w:tblGrid>
      <w:tr w:rsidR="00B23D1A" w:rsidRPr="00111042" w14:paraId="6CEE4FD3" w14:textId="77777777" w:rsidTr="004D6CA1">
        <w:trPr>
          <w:trHeight w:val="20"/>
        </w:trPr>
        <w:tc>
          <w:tcPr>
            <w:tcW w:w="622" w:type="pct"/>
            <w:vMerge w:val="restart"/>
            <w:vAlign w:val="center"/>
          </w:tcPr>
          <w:p w14:paraId="6B9D1CCD" w14:textId="77777777" w:rsidR="006F7F23" w:rsidRPr="00111042" w:rsidRDefault="006F7F23" w:rsidP="004D6CA1">
            <w:pPr>
              <w:pStyle w:val="In-tableHeading"/>
              <w:rPr>
                <w:lang w:val="en-AU"/>
              </w:rPr>
            </w:pPr>
          </w:p>
        </w:tc>
        <w:tc>
          <w:tcPr>
            <w:tcW w:w="1064" w:type="pct"/>
            <w:vAlign w:val="center"/>
          </w:tcPr>
          <w:p w14:paraId="0566E5E1" w14:textId="77777777" w:rsidR="006F7F23" w:rsidRPr="00111042" w:rsidRDefault="006F7F23" w:rsidP="004D6CA1">
            <w:pPr>
              <w:pStyle w:val="In-tableHeading"/>
              <w:jc w:val="center"/>
              <w:rPr>
                <w:lang w:val="en-AU"/>
              </w:rPr>
            </w:pPr>
            <w:r w:rsidRPr="00111042">
              <w:rPr>
                <w:lang w:val="en-AU"/>
              </w:rPr>
              <w:t>RULM Total Score</w:t>
            </w:r>
          </w:p>
        </w:tc>
        <w:tc>
          <w:tcPr>
            <w:tcW w:w="3314" w:type="pct"/>
            <w:gridSpan w:val="5"/>
            <w:vAlign w:val="center"/>
          </w:tcPr>
          <w:p w14:paraId="578D9086" w14:textId="77777777" w:rsidR="006F7F23" w:rsidRPr="00111042" w:rsidRDefault="006F7F23" w:rsidP="004D6CA1">
            <w:pPr>
              <w:pStyle w:val="In-tableHeading"/>
              <w:jc w:val="center"/>
              <w:rPr>
                <w:lang w:val="en-AU"/>
              </w:rPr>
            </w:pPr>
            <w:r w:rsidRPr="00111042">
              <w:rPr>
                <w:lang w:val="en-AU"/>
              </w:rPr>
              <w:t>RULM difference versus baseline</w:t>
            </w:r>
          </w:p>
        </w:tc>
      </w:tr>
      <w:tr w:rsidR="00B23D1A" w:rsidRPr="00111042" w14:paraId="3B61589F" w14:textId="77777777" w:rsidTr="004D6CA1">
        <w:trPr>
          <w:trHeight w:val="20"/>
        </w:trPr>
        <w:tc>
          <w:tcPr>
            <w:tcW w:w="622" w:type="pct"/>
            <w:vMerge/>
            <w:vAlign w:val="center"/>
          </w:tcPr>
          <w:p w14:paraId="0D79481E" w14:textId="77777777" w:rsidR="006F7F23" w:rsidRPr="00111042" w:rsidRDefault="006F7F23" w:rsidP="004D6CA1">
            <w:pPr>
              <w:pStyle w:val="TableText0"/>
              <w:rPr>
                <w:b/>
                <w:bCs w:val="0"/>
              </w:rPr>
            </w:pPr>
          </w:p>
        </w:tc>
        <w:tc>
          <w:tcPr>
            <w:tcW w:w="1064" w:type="pct"/>
            <w:vAlign w:val="center"/>
          </w:tcPr>
          <w:p w14:paraId="00D0611F" w14:textId="77777777" w:rsidR="006F7F23" w:rsidRPr="00111042" w:rsidRDefault="006F7F23" w:rsidP="004D6CA1">
            <w:pPr>
              <w:pStyle w:val="TableText0"/>
              <w:jc w:val="center"/>
              <w:rPr>
                <w:b/>
                <w:bCs w:val="0"/>
              </w:rPr>
            </w:pPr>
            <w:r w:rsidRPr="00111042">
              <w:rPr>
                <w:b/>
                <w:bCs w:val="0"/>
              </w:rPr>
              <w:t>Baseline</w:t>
            </w:r>
          </w:p>
        </w:tc>
        <w:tc>
          <w:tcPr>
            <w:tcW w:w="649" w:type="pct"/>
            <w:vAlign w:val="center"/>
          </w:tcPr>
          <w:p w14:paraId="552A9AE8" w14:textId="77777777" w:rsidR="006F7F23" w:rsidRPr="00111042" w:rsidRDefault="006F7F23" w:rsidP="004D6CA1">
            <w:pPr>
              <w:pStyle w:val="TableText0"/>
              <w:jc w:val="center"/>
              <w:rPr>
                <w:b/>
                <w:bCs w:val="0"/>
              </w:rPr>
            </w:pPr>
            <w:r w:rsidRPr="00111042">
              <w:rPr>
                <w:b/>
                <w:bCs w:val="0"/>
              </w:rPr>
              <w:t>Month 6</w:t>
            </w:r>
          </w:p>
        </w:tc>
        <w:tc>
          <w:tcPr>
            <w:tcW w:w="649" w:type="pct"/>
            <w:vAlign w:val="center"/>
          </w:tcPr>
          <w:p w14:paraId="5E859C68" w14:textId="77777777" w:rsidR="006F7F23" w:rsidRPr="00111042" w:rsidRDefault="006F7F23" w:rsidP="004D6CA1">
            <w:pPr>
              <w:pStyle w:val="TableText0"/>
              <w:jc w:val="center"/>
              <w:rPr>
                <w:b/>
                <w:bCs w:val="0"/>
              </w:rPr>
            </w:pPr>
            <w:r w:rsidRPr="00111042">
              <w:rPr>
                <w:b/>
                <w:bCs w:val="0"/>
              </w:rPr>
              <w:t>Month 10</w:t>
            </w:r>
          </w:p>
        </w:tc>
        <w:tc>
          <w:tcPr>
            <w:tcW w:w="683" w:type="pct"/>
            <w:vAlign w:val="center"/>
          </w:tcPr>
          <w:p w14:paraId="46CE3D30" w14:textId="77777777" w:rsidR="006F7F23" w:rsidRPr="00111042" w:rsidRDefault="006F7F23" w:rsidP="004D6CA1">
            <w:pPr>
              <w:pStyle w:val="TableText0"/>
              <w:jc w:val="center"/>
              <w:rPr>
                <w:b/>
                <w:bCs w:val="0"/>
              </w:rPr>
            </w:pPr>
            <w:r w:rsidRPr="00111042">
              <w:rPr>
                <w:b/>
                <w:bCs w:val="0"/>
              </w:rPr>
              <w:t>Month 12</w:t>
            </w:r>
          </w:p>
        </w:tc>
        <w:tc>
          <w:tcPr>
            <w:tcW w:w="649" w:type="pct"/>
            <w:vAlign w:val="center"/>
          </w:tcPr>
          <w:p w14:paraId="710E3A7E" w14:textId="77777777" w:rsidR="006F7F23" w:rsidRPr="00111042" w:rsidRDefault="006F7F23" w:rsidP="004D6CA1">
            <w:pPr>
              <w:pStyle w:val="TableText0"/>
              <w:jc w:val="center"/>
              <w:rPr>
                <w:b/>
                <w:bCs w:val="0"/>
              </w:rPr>
            </w:pPr>
            <w:r w:rsidRPr="00111042">
              <w:rPr>
                <w:b/>
                <w:bCs w:val="0"/>
              </w:rPr>
              <w:t>Month 14</w:t>
            </w:r>
          </w:p>
        </w:tc>
        <w:tc>
          <w:tcPr>
            <w:tcW w:w="684" w:type="pct"/>
            <w:vAlign w:val="center"/>
          </w:tcPr>
          <w:p w14:paraId="49E6EEBB" w14:textId="77777777" w:rsidR="006F7F23" w:rsidRPr="00111042" w:rsidRDefault="006F7F23" w:rsidP="004D6CA1">
            <w:pPr>
              <w:pStyle w:val="TableText0"/>
              <w:jc w:val="center"/>
              <w:rPr>
                <w:b/>
                <w:bCs w:val="0"/>
              </w:rPr>
            </w:pPr>
            <w:r w:rsidRPr="00111042">
              <w:rPr>
                <w:b/>
                <w:bCs w:val="0"/>
              </w:rPr>
              <w:t>Month 24</w:t>
            </w:r>
          </w:p>
        </w:tc>
      </w:tr>
      <w:tr w:rsidR="00B23D1A" w:rsidRPr="00111042" w14:paraId="0CC1CB2F" w14:textId="77777777" w:rsidTr="004D6CA1">
        <w:trPr>
          <w:trHeight w:val="20"/>
        </w:trPr>
        <w:tc>
          <w:tcPr>
            <w:tcW w:w="5000" w:type="pct"/>
            <w:gridSpan w:val="7"/>
            <w:vAlign w:val="center"/>
          </w:tcPr>
          <w:p w14:paraId="209199B0" w14:textId="77777777" w:rsidR="006F7F23" w:rsidRPr="00111042" w:rsidRDefault="006F7F23" w:rsidP="004D6CA1">
            <w:pPr>
              <w:pStyle w:val="TableText0"/>
              <w:rPr>
                <w:b/>
                <w:bCs w:val="0"/>
              </w:rPr>
            </w:pPr>
            <w:r w:rsidRPr="00111042">
              <w:rPr>
                <w:b/>
                <w:bCs w:val="0"/>
              </w:rPr>
              <w:t>SUNFISH Part 2 (18-25 years) - RISDIPLAM</w:t>
            </w:r>
          </w:p>
        </w:tc>
      </w:tr>
      <w:tr w:rsidR="004D6CA1" w:rsidRPr="00111042" w14:paraId="61EB3B9B" w14:textId="77777777" w:rsidTr="004D6CA1">
        <w:trPr>
          <w:trHeight w:val="20"/>
        </w:trPr>
        <w:tc>
          <w:tcPr>
            <w:tcW w:w="622" w:type="pct"/>
            <w:shd w:val="clear" w:color="auto" w:fill="auto"/>
            <w:vAlign w:val="center"/>
          </w:tcPr>
          <w:p w14:paraId="019C802D" w14:textId="77777777" w:rsidR="004D6CA1" w:rsidRPr="00111042" w:rsidRDefault="004D6CA1" w:rsidP="004D6CA1">
            <w:pPr>
              <w:pStyle w:val="TableText0"/>
            </w:pPr>
            <w:r w:rsidRPr="00111042">
              <w:t>N</w:t>
            </w:r>
          </w:p>
        </w:tc>
        <w:tc>
          <w:tcPr>
            <w:tcW w:w="1064" w:type="pct"/>
            <w:shd w:val="clear" w:color="auto" w:fill="FFFFFF" w:themeFill="background1"/>
            <w:vAlign w:val="center"/>
          </w:tcPr>
          <w:p w14:paraId="6BEDF75E" w14:textId="77777777" w:rsidR="004D6CA1" w:rsidRPr="00111042" w:rsidRDefault="004D6CA1" w:rsidP="004D6CA1">
            <w:pPr>
              <w:pStyle w:val="TableText0"/>
              <w:jc w:val="center"/>
            </w:pPr>
            <w:r w:rsidRPr="00111042">
              <w:t>14</w:t>
            </w:r>
          </w:p>
        </w:tc>
        <w:tc>
          <w:tcPr>
            <w:tcW w:w="649" w:type="pct"/>
            <w:shd w:val="clear" w:color="auto" w:fill="auto"/>
            <w:vAlign w:val="center"/>
          </w:tcPr>
          <w:p w14:paraId="2337B3C2" w14:textId="2141D631" w:rsidR="004D6CA1" w:rsidRPr="00111042" w:rsidRDefault="004D6CA1" w:rsidP="004D6CA1">
            <w:pPr>
              <w:pStyle w:val="TableText0"/>
              <w:jc w:val="center"/>
            </w:pPr>
            <w:r>
              <w:t>-</w:t>
            </w:r>
          </w:p>
        </w:tc>
        <w:tc>
          <w:tcPr>
            <w:tcW w:w="649" w:type="pct"/>
            <w:shd w:val="clear" w:color="auto" w:fill="auto"/>
            <w:vAlign w:val="center"/>
          </w:tcPr>
          <w:p w14:paraId="2AF7D9FE" w14:textId="4ED4BE33" w:rsidR="004D6CA1" w:rsidRPr="00111042" w:rsidRDefault="004D6CA1" w:rsidP="004D6CA1">
            <w:pPr>
              <w:pStyle w:val="TableText0"/>
              <w:jc w:val="center"/>
            </w:pPr>
            <w:r>
              <w:t>-</w:t>
            </w:r>
          </w:p>
        </w:tc>
        <w:tc>
          <w:tcPr>
            <w:tcW w:w="683" w:type="pct"/>
            <w:vAlign w:val="center"/>
          </w:tcPr>
          <w:p w14:paraId="0172A7D0" w14:textId="77777777" w:rsidR="004D6CA1" w:rsidRPr="00111042" w:rsidRDefault="004D6CA1" w:rsidP="004D6CA1">
            <w:pPr>
              <w:pStyle w:val="TableText0"/>
              <w:jc w:val="center"/>
            </w:pPr>
            <w:r w:rsidRPr="00111042">
              <w:t>14</w:t>
            </w:r>
          </w:p>
        </w:tc>
        <w:tc>
          <w:tcPr>
            <w:tcW w:w="649" w:type="pct"/>
            <w:vAlign w:val="center"/>
          </w:tcPr>
          <w:p w14:paraId="269C956E" w14:textId="1FC9AEE2" w:rsidR="004D6CA1" w:rsidRPr="00111042" w:rsidRDefault="004D6CA1" w:rsidP="004D6CA1">
            <w:pPr>
              <w:pStyle w:val="TableText0"/>
              <w:jc w:val="center"/>
            </w:pPr>
            <w:r>
              <w:t>-</w:t>
            </w:r>
          </w:p>
        </w:tc>
        <w:tc>
          <w:tcPr>
            <w:tcW w:w="684" w:type="pct"/>
            <w:vAlign w:val="center"/>
          </w:tcPr>
          <w:p w14:paraId="601D5FA6" w14:textId="77777777" w:rsidR="004D6CA1" w:rsidRPr="00111042" w:rsidRDefault="004D6CA1" w:rsidP="004D6CA1">
            <w:pPr>
              <w:pStyle w:val="TableText0"/>
              <w:jc w:val="center"/>
            </w:pPr>
            <w:r w:rsidRPr="00111042">
              <w:t>10</w:t>
            </w:r>
          </w:p>
        </w:tc>
      </w:tr>
      <w:tr w:rsidR="004D6CA1" w:rsidRPr="00111042" w14:paraId="2D8AC02C" w14:textId="77777777" w:rsidTr="004D6CA1">
        <w:trPr>
          <w:trHeight w:val="20"/>
        </w:trPr>
        <w:tc>
          <w:tcPr>
            <w:tcW w:w="622" w:type="pct"/>
            <w:shd w:val="clear" w:color="auto" w:fill="auto"/>
            <w:vAlign w:val="center"/>
          </w:tcPr>
          <w:p w14:paraId="185A98CE" w14:textId="77777777" w:rsidR="004D6CA1" w:rsidRPr="00111042" w:rsidRDefault="004D6CA1" w:rsidP="004D6CA1">
            <w:pPr>
              <w:pStyle w:val="TableText0"/>
            </w:pPr>
            <w:r w:rsidRPr="00111042">
              <w:t>Mean (SD)</w:t>
            </w:r>
          </w:p>
        </w:tc>
        <w:tc>
          <w:tcPr>
            <w:tcW w:w="1064" w:type="pct"/>
            <w:shd w:val="clear" w:color="auto" w:fill="FFFFFF" w:themeFill="background1"/>
            <w:vAlign w:val="center"/>
          </w:tcPr>
          <w:p w14:paraId="66A4D519"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18.21 (6.59)</w:t>
            </w:r>
          </w:p>
        </w:tc>
        <w:tc>
          <w:tcPr>
            <w:tcW w:w="649" w:type="pct"/>
            <w:shd w:val="clear" w:color="auto" w:fill="auto"/>
            <w:vAlign w:val="center"/>
          </w:tcPr>
          <w:p w14:paraId="5C901E1C" w14:textId="13ED5499" w:rsidR="004D6CA1" w:rsidRPr="00111042" w:rsidRDefault="004D6CA1" w:rsidP="004D6CA1">
            <w:pPr>
              <w:pStyle w:val="TableText0"/>
              <w:jc w:val="center"/>
            </w:pPr>
            <w:r>
              <w:t>-</w:t>
            </w:r>
          </w:p>
        </w:tc>
        <w:tc>
          <w:tcPr>
            <w:tcW w:w="649" w:type="pct"/>
            <w:shd w:val="clear" w:color="auto" w:fill="auto"/>
            <w:vAlign w:val="center"/>
          </w:tcPr>
          <w:p w14:paraId="1FE005F2" w14:textId="150CEE78" w:rsidR="004D6CA1" w:rsidRPr="00111042" w:rsidRDefault="004D6CA1" w:rsidP="004D6CA1">
            <w:pPr>
              <w:pStyle w:val="TableText0"/>
              <w:jc w:val="center"/>
            </w:pPr>
            <w:r>
              <w:t>-</w:t>
            </w:r>
          </w:p>
        </w:tc>
        <w:tc>
          <w:tcPr>
            <w:tcW w:w="683" w:type="pct"/>
            <w:vAlign w:val="center"/>
          </w:tcPr>
          <w:p w14:paraId="7050CC5C"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1.29 (2.13)</w:t>
            </w:r>
          </w:p>
        </w:tc>
        <w:tc>
          <w:tcPr>
            <w:tcW w:w="649" w:type="pct"/>
            <w:vAlign w:val="center"/>
          </w:tcPr>
          <w:p w14:paraId="66BCCF25" w14:textId="1746DFEF" w:rsidR="004D6CA1" w:rsidRPr="00111042" w:rsidRDefault="004D6CA1" w:rsidP="004D6CA1">
            <w:pPr>
              <w:pStyle w:val="TableText0"/>
              <w:jc w:val="center"/>
            </w:pPr>
            <w:r>
              <w:t>-</w:t>
            </w:r>
          </w:p>
        </w:tc>
        <w:tc>
          <w:tcPr>
            <w:tcW w:w="684" w:type="pct"/>
            <w:vAlign w:val="center"/>
          </w:tcPr>
          <w:p w14:paraId="7463A3AB"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1.50 (2.88)</w:t>
            </w:r>
          </w:p>
        </w:tc>
      </w:tr>
      <w:tr w:rsidR="004D6CA1" w:rsidRPr="00111042" w14:paraId="4EE33204" w14:textId="77777777" w:rsidTr="004D6CA1">
        <w:trPr>
          <w:trHeight w:val="20"/>
        </w:trPr>
        <w:tc>
          <w:tcPr>
            <w:tcW w:w="622" w:type="pct"/>
            <w:vAlign w:val="center"/>
          </w:tcPr>
          <w:p w14:paraId="3EFB24F0" w14:textId="77777777" w:rsidR="004D6CA1" w:rsidRPr="00111042" w:rsidRDefault="004D6CA1" w:rsidP="004D6CA1">
            <w:pPr>
              <w:pStyle w:val="TableText0"/>
            </w:pPr>
            <w:r w:rsidRPr="00111042">
              <w:t>95% CI</w:t>
            </w:r>
          </w:p>
        </w:tc>
        <w:tc>
          <w:tcPr>
            <w:tcW w:w="1064" w:type="pct"/>
            <w:vAlign w:val="center"/>
          </w:tcPr>
          <w:p w14:paraId="43C4D391" w14:textId="77777777" w:rsidR="004D6CA1" w:rsidRPr="00111042" w:rsidRDefault="004D6CA1" w:rsidP="004D6CA1">
            <w:pPr>
              <w:pStyle w:val="TableText0"/>
              <w:jc w:val="center"/>
            </w:pPr>
            <w:r w:rsidRPr="00111042">
              <w:t>(14.41, 22.02)</w:t>
            </w:r>
          </w:p>
        </w:tc>
        <w:tc>
          <w:tcPr>
            <w:tcW w:w="649" w:type="pct"/>
            <w:vAlign w:val="center"/>
          </w:tcPr>
          <w:p w14:paraId="70F54D58" w14:textId="7077C00B" w:rsidR="004D6CA1" w:rsidRPr="00111042" w:rsidRDefault="004D6CA1" w:rsidP="004D6CA1">
            <w:pPr>
              <w:pStyle w:val="TableText0"/>
              <w:jc w:val="center"/>
            </w:pPr>
            <w:r>
              <w:t>-</w:t>
            </w:r>
          </w:p>
        </w:tc>
        <w:tc>
          <w:tcPr>
            <w:tcW w:w="649" w:type="pct"/>
            <w:vAlign w:val="center"/>
          </w:tcPr>
          <w:p w14:paraId="0DA529D9" w14:textId="629D094F" w:rsidR="004D6CA1" w:rsidRPr="00111042" w:rsidRDefault="004D6CA1" w:rsidP="004D6CA1">
            <w:pPr>
              <w:pStyle w:val="TableText0"/>
              <w:jc w:val="center"/>
            </w:pPr>
            <w:r>
              <w:t>-</w:t>
            </w:r>
          </w:p>
        </w:tc>
        <w:tc>
          <w:tcPr>
            <w:tcW w:w="683" w:type="pct"/>
            <w:vAlign w:val="center"/>
          </w:tcPr>
          <w:p w14:paraId="14432D7F" w14:textId="77777777" w:rsidR="004D6CA1" w:rsidRPr="00111042" w:rsidRDefault="004D6CA1" w:rsidP="004D6CA1">
            <w:pPr>
              <w:pStyle w:val="TableText0"/>
              <w:jc w:val="center"/>
            </w:pPr>
            <w:r w:rsidRPr="00111042">
              <w:t>(0.06, 2.51)</w:t>
            </w:r>
          </w:p>
        </w:tc>
        <w:tc>
          <w:tcPr>
            <w:tcW w:w="649" w:type="pct"/>
            <w:vAlign w:val="center"/>
          </w:tcPr>
          <w:p w14:paraId="7035156F" w14:textId="15098069" w:rsidR="004D6CA1" w:rsidRPr="00111042" w:rsidRDefault="004D6CA1" w:rsidP="004D6CA1">
            <w:pPr>
              <w:pStyle w:val="TableText0"/>
              <w:jc w:val="center"/>
            </w:pPr>
            <w:r>
              <w:t>-</w:t>
            </w:r>
          </w:p>
        </w:tc>
        <w:tc>
          <w:tcPr>
            <w:tcW w:w="684" w:type="pct"/>
            <w:vAlign w:val="center"/>
          </w:tcPr>
          <w:p w14:paraId="3F843B49"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(-0.56, 3.56)</w:t>
            </w:r>
          </w:p>
        </w:tc>
      </w:tr>
      <w:tr w:rsidR="004D6CA1" w:rsidRPr="00111042" w14:paraId="6844F8D2" w14:textId="77777777" w:rsidTr="004D6CA1">
        <w:trPr>
          <w:trHeight w:val="20"/>
        </w:trPr>
        <w:tc>
          <w:tcPr>
            <w:tcW w:w="5000" w:type="pct"/>
            <w:gridSpan w:val="7"/>
            <w:vAlign w:val="center"/>
          </w:tcPr>
          <w:p w14:paraId="7D029CC4" w14:textId="77777777" w:rsidR="004D6CA1" w:rsidRPr="00111042" w:rsidRDefault="004D6CA1" w:rsidP="004D6CA1">
            <w:pPr>
              <w:pStyle w:val="TableText0"/>
              <w:rPr>
                <w:b/>
                <w:bCs w:val="0"/>
              </w:rPr>
            </w:pPr>
            <w:r w:rsidRPr="00111042">
              <w:rPr>
                <w:b/>
                <w:bCs w:val="0"/>
              </w:rPr>
              <w:t>JEWELFISH (≥18 years) - RISDIPLAM</w:t>
            </w:r>
          </w:p>
        </w:tc>
      </w:tr>
      <w:tr w:rsidR="004D6CA1" w:rsidRPr="00111042" w14:paraId="0508FC15" w14:textId="77777777" w:rsidTr="004D6CA1">
        <w:trPr>
          <w:trHeight w:val="20"/>
        </w:trPr>
        <w:tc>
          <w:tcPr>
            <w:tcW w:w="622" w:type="pct"/>
            <w:vAlign w:val="center"/>
          </w:tcPr>
          <w:p w14:paraId="390A869A" w14:textId="77777777" w:rsidR="004D6CA1" w:rsidRPr="00111042" w:rsidRDefault="004D6CA1" w:rsidP="004D6CA1">
            <w:pPr>
              <w:pStyle w:val="TableText0"/>
            </w:pPr>
            <w:r w:rsidRPr="00111042">
              <w:t>N</w:t>
            </w:r>
          </w:p>
        </w:tc>
        <w:tc>
          <w:tcPr>
            <w:tcW w:w="1064" w:type="pct"/>
            <w:vAlign w:val="center"/>
          </w:tcPr>
          <w:p w14:paraId="63DA9484" w14:textId="77777777" w:rsidR="004D6CA1" w:rsidRPr="00111042" w:rsidRDefault="004D6CA1" w:rsidP="004D6CA1">
            <w:pPr>
              <w:pStyle w:val="TableText0"/>
              <w:jc w:val="center"/>
            </w:pPr>
            <w:r w:rsidRPr="00111042">
              <w:t>62</w:t>
            </w:r>
          </w:p>
        </w:tc>
        <w:tc>
          <w:tcPr>
            <w:tcW w:w="649" w:type="pct"/>
            <w:vAlign w:val="center"/>
          </w:tcPr>
          <w:p w14:paraId="53806C3C" w14:textId="18AA1324" w:rsidR="004D6CA1" w:rsidRPr="00111042" w:rsidRDefault="004D6CA1" w:rsidP="004D6CA1">
            <w:pPr>
              <w:pStyle w:val="TableText0"/>
              <w:jc w:val="center"/>
            </w:pPr>
            <w:r>
              <w:t>-</w:t>
            </w:r>
          </w:p>
        </w:tc>
        <w:tc>
          <w:tcPr>
            <w:tcW w:w="649" w:type="pct"/>
            <w:vAlign w:val="center"/>
          </w:tcPr>
          <w:p w14:paraId="00C5234D" w14:textId="2823EAAB" w:rsidR="004D6CA1" w:rsidRPr="00111042" w:rsidRDefault="004D6CA1" w:rsidP="004D6CA1">
            <w:pPr>
              <w:pStyle w:val="TableText0"/>
              <w:jc w:val="center"/>
            </w:pPr>
            <w:r>
              <w:t>-</w:t>
            </w:r>
          </w:p>
        </w:tc>
        <w:tc>
          <w:tcPr>
            <w:tcW w:w="683" w:type="pct"/>
            <w:vAlign w:val="center"/>
          </w:tcPr>
          <w:p w14:paraId="25E7EADC" w14:textId="77777777" w:rsidR="004D6CA1" w:rsidRPr="00111042" w:rsidRDefault="004D6CA1" w:rsidP="004D6CA1">
            <w:pPr>
              <w:pStyle w:val="TableText0"/>
              <w:jc w:val="center"/>
            </w:pPr>
            <w:r w:rsidRPr="00111042">
              <w:t>52</w:t>
            </w:r>
          </w:p>
        </w:tc>
        <w:tc>
          <w:tcPr>
            <w:tcW w:w="649" w:type="pct"/>
            <w:vAlign w:val="center"/>
          </w:tcPr>
          <w:p w14:paraId="4D29C201" w14:textId="568819CE" w:rsidR="004D6CA1" w:rsidRPr="00111042" w:rsidRDefault="004D6CA1" w:rsidP="004D6CA1">
            <w:pPr>
              <w:pStyle w:val="TableText0"/>
              <w:jc w:val="center"/>
            </w:pPr>
            <w:r>
              <w:t>-</w:t>
            </w:r>
          </w:p>
        </w:tc>
        <w:tc>
          <w:tcPr>
            <w:tcW w:w="684" w:type="pct"/>
            <w:vAlign w:val="center"/>
          </w:tcPr>
          <w:p w14:paraId="56047BAA" w14:textId="77777777" w:rsidR="004D6CA1" w:rsidRPr="00111042" w:rsidRDefault="004D6CA1" w:rsidP="004D6CA1">
            <w:pPr>
              <w:pStyle w:val="TableText0"/>
              <w:jc w:val="center"/>
            </w:pPr>
            <w:r w:rsidRPr="00111042">
              <w:t>47</w:t>
            </w:r>
          </w:p>
        </w:tc>
      </w:tr>
      <w:tr w:rsidR="004D6CA1" w:rsidRPr="00111042" w14:paraId="5985664F" w14:textId="77777777" w:rsidTr="004D6CA1">
        <w:trPr>
          <w:trHeight w:val="20"/>
        </w:trPr>
        <w:tc>
          <w:tcPr>
            <w:tcW w:w="622" w:type="pct"/>
            <w:vAlign w:val="center"/>
          </w:tcPr>
          <w:p w14:paraId="44BB6481" w14:textId="77777777" w:rsidR="004D6CA1" w:rsidRPr="00111042" w:rsidRDefault="004D6CA1" w:rsidP="004D6CA1">
            <w:pPr>
              <w:pStyle w:val="TableText0"/>
            </w:pPr>
            <w:r w:rsidRPr="00111042">
              <w:t>Mean (SD)</w:t>
            </w:r>
          </w:p>
        </w:tc>
        <w:tc>
          <w:tcPr>
            <w:tcW w:w="1064" w:type="pct"/>
            <w:vAlign w:val="center"/>
          </w:tcPr>
          <w:p w14:paraId="640B8F83"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15.11 (9.50)</w:t>
            </w:r>
          </w:p>
        </w:tc>
        <w:tc>
          <w:tcPr>
            <w:tcW w:w="649" w:type="pct"/>
            <w:vAlign w:val="center"/>
          </w:tcPr>
          <w:p w14:paraId="2A8D8EF3" w14:textId="4FACFCC8" w:rsidR="004D6CA1" w:rsidRPr="00111042" w:rsidRDefault="004D6CA1" w:rsidP="004D6CA1">
            <w:pPr>
              <w:pStyle w:val="TableText0"/>
              <w:jc w:val="center"/>
            </w:pPr>
            <w:r>
              <w:t>-</w:t>
            </w:r>
          </w:p>
        </w:tc>
        <w:tc>
          <w:tcPr>
            <w:tcW w:w="649" w:type="pct"/>
            <w:vAlign w:val="center"/>
          </w:tcPr>
          <w:p w14:paraId="13B1CB82" w14:textId="04EE6C01" w:rsidR="004D6CA1" w:rsidRPr="00111042" w:rsidRDefault="004D6CA1" w:rsidP="004D6CA1">
            <w:pPr>
              <w:pStyle w:val="TableText0"/>
              <w:jc w:val="center"/>
            </w:pPr>
            <w:r>
              <w:t>-</w:t>
            </w:r>
          </w:p>
        </w:tc>
        <w:tc>
          <w:tcPr>
            <w:tcW w:w="683" w:type="pct"/>
            <w:vAlign w:val="center"/>
          </w:tcPr>
          <w:p w14:paraId="26D8FBCA"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-0.50 (2.97)</w:t>
            </w:r>
          </w:p>
        </w:tc>
        <w:tc>
          <w:tcPr>
            <w:tcW w:w="649" w:type="pct"/>
            <w:vAlign w:val="center"/>
          </w:tcPr>
          <w:p w14:paraId="6D404BBF" w14:textId="3E52E0C8" w:rsidR="004D6CA1" w:rsidRPr="00111042" w:rsidRDefault="004D6CA1" w:rsidP="004D6CA1">
            <w:pPr>
              <w:pStyle w:val="TableText0"/>
              <w:jc w:val="center"/>
            </w:pPr>
            <w:r>
              <w:t>-</w:t>
            </w:r>
          </w:p>
        </w:tc>
        <w:tc>
          <w:tcPr>
            <w:tcW w:w="684" w:type="pct"/>
            <w:vAlign w:val="center"/>
          </w:tcPr>
          <w:p w14:paraId="56A6D6A5"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0.17 (2.80)</w:t>
            </w:r>
          </w:p>
        </w:tc>
      </w:tr>
      <w:tr w:rsidR="004D6CA1" w:rsidRPr="00111042" w14:paraId="2BA576CA" w14:textId="77777777" w:rsidTr="004D6CA1">
        <w:trPr>
          <w:trHeight w:val="20"/>
        </w:trPr>
        <w:tc>
          <w:tcPr>
            <w:tcW w:w="622" w:type="pct"/>
            <w:vAlign w:val="center"/>
          </w:tcPr>
          <w:p w14:paraId="6DB2D3E4" w14:textId="77777777" w:rsidR="004D6CA1" w:rsidRPr="00111042" w:rsidRDefault="004D6CA1" w:rsidP="004D6CA1">
            <w:pPr>
              <w:pStyle w:val="TableText0"/>
            </w:pPr>
            <w:r w:rsidRPr="00111042">
              <w:t>Median</w:t>
            </w:r>
          </w:p>
        </w:tc>
        <w:tc>
          <w:tcPr>
            <w:tcW w:w="1064" w:type="pct"/>
            <w:vAlign w:val="center"/>
          </w:tcPr>
          <w:p w14:paraId="0077C0F3" w14:textId="77777777" w:rsidR="004D6CA1" w:rsidRPr="00111042" w:rsidRDefault="004D6CA1" w:rsidP="004D6CA1">
            <w:pPr>
              <w:pStyle w:val="TableText0"/>
              <w:jc w:val="center"/>
            </w:pPr>
            <w:r w:rsidRPr="00111042">
              <w:t>16</w:t>
            </w:r>
          </w:p>
        </w:tc>
        <w:tc>
          <w:tcPr>
            <w:tcW w:w="649" w:type="pct"/>
            <w:vAlign w:val="center"/>
          </w:tcPr>
          <w:p w14:paraId="0D31EC25" w14:textId="3425847E" w:rsidR="004D6CA1" w:rsidRPr="00111042" w:rsidRDefault="004D6CA1" w:rsidP="004D6CA1">
            <w:pPr>
              <w:pStyle w:val="TableText0"/>
              <w:jc w:val="center"/>
            </w:pPr>
            <w:r>
              <w:t>-</w:t>
            </w:r>
          </w:p>
        </w:tc>
        <w:tc>
          <w:tcPr>
            <w:tcW w:w="649" w:type="pct"/>
            <w:vAlign w:val="center"/>
          </w:tcPr>
          <w:p w14:paraId="4F3CEDF5" w14:textId="6D8411EF" w:rsidR="004D6CA1" w:rsidRPr="00111042" w:rsidRDefault="004D6CA1" w:rsidP="004D6CA1">
            <w:pPr>
              <w:pStyle w:val="TableText0"/>
              <w:jc w:val="center"/>
            </w:pPr>
            <w:r>
              <w:t>-</w:t>
            </w:r>
          </w:p>
        </w:tc>
        <w:tc>
          <w:tcPr>
            <w:tcW w:w="683" w:type="pct"/>
            <w:vAlign w:val="center"/>
          </w:tcPr>
          <w:p w14:paraId="6F819CEA" w14:textId="77777777" w:rsidR="004D6CA1" w:rsidRPr="00111042" w:rsidRDefault="004D6CA1" w:rsidP="004D6CA1">
            <w:pPr>
              <w:pStyle w:val="TableText0"/>
              <w:jc w:val="center"/>
            </w:pPr>
            <w:r w:rsidRPr="00111042">
              <w:t>0</w:t>
            </w:r>
          </w:p>
        </w:tc>
        <w:tc>
          <w:tcPr>
            <w:tcW w:w="649" w:type="pct"/>
            <w:vAlign w:val="center"/>
          </w:tcPr>
          <w:p w14:paraId="5A6DBB7C" w14:textId="441EE843" w:rsidR="004D6CA1" w:rsidRPr="00111042" w:rsidRDefault="004D6CA1" w:rsidP="004D6CA1">
            <w:pPr>
              <w:pStyle w:val="TableText0"/>
              <w:jc w:val="center"/>
            </w:pPr>
            <w:r>
              <w:t>-</w:t>
            </w:r>
          </w:p>
        </w:tc>
        <w:tc>
          <w:tcPr>
            <w:tcW w:w="684" w:type="pct"/>
            <w:vAlign w:val="center"/>
          </w:tcPr>
          <w:p w14:paraId="3EBE7544" w14:textId="77777777" w:rsidR="004D6CA1" w:rsidRPr="00111042" w:rsidRDefault="004D6CA1" w:rsidP="004D6CA1">
            <w:pPr>
              <w:pStyle w:val="TableText0"/>
              <w:jc w:val="center"/>
            </w:pPr>
            <w:r w:rsidRPr="00111042">
              <w:t>0</w:t>
            </w:r>
          </w:p>
        </w:tc>
      </w:tr>
      <w:tr w:rsidR="004D6CA1" w:rsidRPr="00111042" w14:paraId="7F923323" w14:textId="77777777" w:rsidTr="004D6CA1">
        <w:trPr>
          <w:trHeight w:val="20"/>
        </w:trPr>
        <w:tc>
          <w:tcPr>
            <w:tcW w:w="622" w:type="pct"/>
            <w:vAlign w:val="center"/>
          </w:tcPr>
          <w:p w14:paraId="05CAE8FF" w14:textId="77777777" w:rsidR="004D6CA1" w:rsidRPr="00111042" w:rsidRDefault="004D6CA1" w:rsidP="004D6CA1">
            <w:pPr>
              <w:pStyle w:val="TableText0"/>
            </w:pPr>
            <w:r w:rsidRPr="00111042">
              <w:t>95% CI</w:t>
            </w:r>
          </w:p>
        </w:tc>
        <w:tc>
          <w:tcPr>
            <w:tcW w:w="1064" w:type="pct"/>
            <w:vAlign w:val="center"/>
          </w:tcPr>
          <w:p w14:paraId="5459284C" w14:textId="77777777" w:rsidR="004D6CA1" w:rsidRPr="00111042" w:rsidRDefault="004D6CA1" w:rsidP="004D6CA1">
            <w:pPr>
              <w:pStyle w:val="TableText0"/>
              <w:jc w:val="center"/>
            </w:pPr>
            <w:r w:rsidRPr="00111042">
              <w:t>(12.70, 17.53)</w:t>
            </w:r>
          </w:p>
        </w:tc>
        <w:tc>
          <w:tcPr>
            <w:tcW w:w="649" w:type="pct"/>
            <w:vAlign w:val="center"/>
          </w:tcPr>
          <w:p w14:paraId="7B6BC525" w14:textId="1E5897DD" w:rsidR="004D6CA1" w:rsidRPr="00111042" w:rsidRDefault="004D6CA1" w:rsidP="004D6CA1">
            <w:pPr>
              <w:pStyle w:val="TableText0"/>
              <w:jc w:val="center"/>
            </w:pPr>
            <w:r>
              <w:t>-</w:t>
            </w:r>
          </w:p>
        </w:tc>
        <w:tc>
          <w:tcPr>
            <w:tcW w:w="649" w:type="pct"/>
            <w:vAlign w:val="center"/>
          </w:tcPr>
          <w:p w14:paraId="70771EF7" w14:textId="7EB0E778" w:rsidR="004D6CA1" w:rsidRPr="00111042" w:rsidRDefault="004D6CA1" w:rsidP="004D6CA1">
            <w:pPr>
              <w:pStyle w:val="TableText0"/>
              <w:jc w:val="center"/>
            </w:pPr>
            <w:r>
              <w:t>-</w:t>
            </w:r>
          </w:p>
        </w:tc>
        <w:tc>
          <w:tcPr>
            <w:tcW w:w="683" w:type="pct"/>
            <w:vAlign w:val="center"/>
          </w:tcPr>
          <w:p w14:paraId="24EBD3C2" w14:textId="77777777" w:rsidR="004D6CA1" w:rsidRPr="00111042" w:rsidRDefault="004D6CA1" w:rsidP="004D6CA1">
            <w:pPr>
              <w:pStyle w:val="TableText0"/>
              <w:jc w:val="center"/>
            </w:pPr>
            <w:r w:rsidRPr="00111042">
              <w:t>(-1.31, 0.31)</w:t>
            </w:r>
          </w:p>
        </w:tc>
        <w:tc>
          <w:tcPr>
            <w:tcW w:w="649" w:type="pct"/>
            <w:vAlign w:val="center"/>
          </w:tcPr>
          <w:p w14:paraId="06276DDB" w14:textId="70C1358B" w:rsidR="004D6CA1" w:rsidRPr="00111042" w:rsidRDefault="004D6CA1" w:rsidP="004D6CA1">
            <w:pPr>
              <w:pStyle w:val="TableText0"/>
              <w:jc w:val="center"/>
            </w:pPr>
            <w:r>
              <w:t>-</w:t>
            </w:r>
          </w:p>
        </w:tc>
        <w:tc>
          <w:tcPr>
            <w:tcW w:w="684" w:type="pct"/>
            <w:vAlign w:val="center"/>
          </w:tcPr>
          <w:p w14:paraId="31AE1CC3" w14:textId="77777777" w:rsidR="004D6CA1" w:rsidRPr="00111042" w:rsidRDefault="004D6CA1" w:rsidP="004D6CA1">
            <w:pPr>
              <w:pStyle w:val="TableText0"/>
              <w:jc w:val="center"/>
            </w:pPr>
            <w:r w:rsidRPr="00111042">
              <w:t>(-0.65, 0.99)</w:t>
            </w:r>
          </w:p>
        </w:tc>
      </w:tr>
      <w:tr w:rsidR="004D6CA1" w:rsidRPr="00111042" w14:paraId="4282C2FD" w14:textId="77777777" w:rsidTr="004D6CA1">
        <w:trPr>
          <w:trHeight w:val="20"/>
        </w:trPr>
        <w:tc>
          <w:tcPr>
            <w:tcW w:w="622" w:type="pct"/>
            <w:vAlign w:val="center"/>
          </w:tcPr>
          <w:p w14:paraId="26C0BECD" w14:textId="77777777" w:rsidR="004D6CA1" w:rsidRPr="00111042" w:rsidRDefault="004D6CA1" w:rsidP="004D6CA1">
            <w:pPr>
              <w:pStyle w:val="TableText0"/>
              <w:rPr>
                <w:i/>
                <w:iCs/>
              </w:rPr>
            </w:pPr>
            <w:r w:rsidRPr="00111042">
              <w:rPr>
                <w:i/>
                <w:iCs/>
              </w:rPr>
              <w:t>p-value</w:t>
            </w:r>
          </w:p>
        </w:tc>
        <w:tc>
          <w:tcPr>
            <w:tcW w:w="1064" w:type="pct"/>
            <w:vAlign w:val="center"/>
          </w:tcPr>
          <w:p w14:paraId="4B648654" w14:textId="77777777" w:rsidR="004D6CA1" w:rsidRPr="00111042" w:rsidRDefault="004D6CA1" w:rsidP="004D6CA1">
            <w:pPr>
              <w:pStyle w:val="TableText0"/>
              <w:jc w:val="center"/>
            </w:pPr>
          </w:p>
        </w:tc>
        <w:tc>
          <w:tcPr>
            <w:tcW w:w="649" w:type="pct"/>
            <w:vAlign w:val="center"/>
          </w:tcPr>
          <w:p w14:paraId="6A8225C5" w14:textId="47C6B4B4" w:rsidR="004D6CA1" w:rsidRPr="00111042" w:rsidRDefault="004D6CA1" w:rsidP="004D6CA1">
            <w:pPr>
              <w:pStyle w:val="TableText0"/>
              <w:jc w:val="center"/>
              <w:rPr>
                <w:i/>
                <w:iCs/>
              </w:rPr>
            </w:pPr>
            <w:r>
              <w:t>-</w:t>
            </w:r>
          </w:p>
        </w:tc>
        <w:tc>
          <w:tcPr>
            <w:tcW w:w="649" w:type="pct"/>
            <w:vAlign w:val="center"/>
          </w:tcPr>
          <w:p w14:paraId="1DEFEDEE" w14:textId="63ACEB4A" w:rsidR="004D6CA1" w:rsidRPr="00111042" w:rsidRDefault="004D6CA1" w:rsidP="004D6CA1">
            <w:pPr>
              <w:pStyle w:val="TableText0"/>
              <w:jc w:val="center"/>
              <w:rPr>
                <w:i/>
                <w:iCs/>
              </w:rPr>
            </w:pPr>
            <w:r>
              <w:t>-</w:t>
            </w:r>
          </w:p>
        </w:tc>
        <w:tc>
          <w:tcPr>
            <w:tcW w:w="683" w:type="pct"/>
            <w:vAlign w:val="center"/>
          </w:tcPr>
          <w:p w14:paraId="18878480" w14:textId="77777777" w:rsidR="004D6CA1" w:rsidRPr="00111042" w:rsidRDefault="004D6CA1" w:rsidP="004D6CA1">
            <w:pPr>
              <w:pStyle w:val="TableText0"/>
              <w:jc w:val="center"/>
              <w:rPr>
                <w:i/>
                <w:iCs/>
              </w:rPr>
            </w:pPr>
            <w:r w:rsidRPr="00111042">
              <w:rPr>
                <w:i/>
                <w:iCs/>
              </w:rPr>
              <w:t>0.22</w:t>
            </w:r>
          </w:p>
        </w:tc>
        <w:tc>
          <w:tcPr>
            <w:tcW w:w="649" w:type="pct"/>
            <w:vAlign w:val="center"/>
          </w:tcPr>
          <w:p w14:paraId="21F2EF74" w14:textId="3F300238" w:rsidR="004D6CA1" w:rsidRPr="00111042" w:rsidRDefault="004D6CA1" w:rsidP="004D6CA1">
            <w:pPr>
              <w:pStyle w:val="TableText0"/>
              <w:jc w:val="center"/>
              <w:rPr>
                <w:i/>
                <w:iCs/>
              </w:rPr>
            </w:pPr>
            <w:r>
              <w:t>-</w:t>
            </w:r>
          </w:p>
        </w:tc>
        <w:tc>
          <w:tcPr>
            <w:tcW w:w="684" w:type="pct"/>
            <w:vAlign w:val="center"/>
          </w:tcPr>
          <w:p w14:paraId="7FD8FD85" w14:textId="77777777" w:rsidR="004D6CA1" w:rsidRPr="00111042" w:rsidRDefault="004D6CA1" w:rsidP="004D6CA1">
            <w:pPr>
              <w:pStyle w:val="TableText0"/>
              <w:jc w:val="center"/>
              <w:rPr>
                <w:i/>
                <w:iCs/>
              </w:rPr>
            </w:pPr>
            <w:r w:rsidRPr="00111042">
              <w:rPr>
                <w:i/>
                <w:iCs/>
              </w:rPr>
              <w:t>0.68</w:t>
            </w:r>
          </w:p>
        </w:tc>
      </w:tr>
      <w:tr w:rsidR="004D6CA1" w:rsidRPr="00111042" w14:paraId="058D7F22" w14:textId="77777777" w:rsidTr="004D6CA1">
        <w:trPr>
          <w:trHeight w:val="20"/>
        </w:trPr>
        <w:tc>
          <w:tcPr>
            <w:tcW w:w="5000" w:type="pct"/>
            <w:gridSpan w:val="7"/>
            <w:vAlign w:val="center"/>
          </w:tcPr>
          <w:p w14:paraId="2D7F3E80" w14:textId="77777777" w:rsidR="004D6CA1" w:rsidRPr="00111042" w:rsidRDefault="004D6CA1" w:rsidP="004D6CA1">
            <w:pPr>
              <w:pStyle w:val="TableText0"/>
              <w:rPr>
                <w:b/>
                <w:bCs w:val="0"/>
              </w:rPr>
            </w:pPr>
            <w:r w:rsidRPr="00111042">
              <w:rPr>
                <w:b/>
                <w:bCs w:val="0"/>
              </w:rPr>
              <w:t xml:space="preserve">Hagenacker 2020 </w:t>
            </w:r>
            <w:r w:rsidRPr="00111042">
              <w:rPr>
                <w:b/>
                <w:bCs w:val="0"/>
                <w:vertAlign w:val="superscript"/>
              </w:rPr>
              <w:t>a</w:t>
            </w:r>
            <w:r w:rsidRPr="00111042">
              <w:rPr>
                <w:b/>
                <w:bCs w:val="0"/>
              </w:rPr>
              <w:t xml:space="preserve"> - NUSINERSEN</w:t>
            </w:r>
          </w:p>
        </w:tc>
      </w:tr>
      <w:tr w:rsidR="004D6CA1" w:rsidRPr="00111042" w14:paraId="7E05E211" w14:textId="77777777" w:rsidTr="004D6CA1">
        <w:trPr>
          <w:trHeight w:val="58"/>
        </w:trPr>
        <w:tc>
          <w:tcPr>
            <w:tcW w:w="622" w:type="pct"/>
            <w:vAlign w:val="center"/>
          </w:tcPr>
          <w:p w14:paraId="2052EB88" w14:textId="77777777" w:rsidR="004D6CA1" w:rsidRPr="00111042" w:rsidRDefault="004D6CA1" w:rsidP="004D6CA1">
            <w:pPr>
              <w:pStyle w:val="TableText0"/>
              <w:rPr>
                <w:i/>
                <w:iCs/>
              </w:rPr>
            </w:pPr>
            <w:r w:rsidRPr="00111042">
              <w:t>N</w:t>
            </w:r>
          </w:p>
        </w:tc>
        <w:tc>
          <w:tcPr>
            <w:tcW w:w="1064" w:type="pct"/>
            <w:shd w:val="clear" w:color="auto" w:fill="C6D9F1" w:themeFill="text2" w:themeFillTint="33"/>
            <w:vAlign w:val="center"/>
          </w:tcPr>
          <w:p w14:paraId="28229261"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173</w:t>
            </w:r>
          </w:p>
        </w:tc>
        <w:tc>
          <w:tcPr>
            <w:tcW w:w="649" w:type="pct"/>
            <w:shd w:val="clear" w:color="auto" w:fill="C6D9F1" w:themeFill="text2" w:themeFillTint="33"/>
            <w:vAlign w:val="center"/>
          </w:tcPr>
          <w:p w14:paraId="51566223"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120</w:t>
            </w:r>
          </w:p>
        </w:tc>
        <w:tc>
          <w:tcPr>
            <w:tcW w:w="649" w:type="pct"/>
            <w:shd w:val="clear" w:color="auto" w:fill="C6D9F1" w:themeFill="text2" w:themeFillTint="33"/>
            <w:vAlign w:val="center"/>
          </w:tcPr>
          <w:p w14:paraId="79FFBCD1"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90</w:t>
            </w:r>
          </w:p>
        </w:tc>
        <w:tc>
          <w:tcPr>
            <w:tcW w:w="683" w:type="pct"/>
            <w:vAlign w:val="center"/>
          </w:tcPr>
          <w:p w14:paraId="62FB918A" w14:textId="5C160BB2"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t>-</w:t>
            </w:r>
          </w:p>
        </w:tc>
        <w:tc>
          <w:tcPr>
            <w:tcW w:w="649" w:type="pct"/>
            <w:shd w:val="clear" w:color="auto" w:fill="C6D9F1" w:themeFill="text2" w:themeFillTint="33"/>
            <w:vAlign w:val="center"/>
          </w:tcPr>
          <w:p w14:paraId="680B3F76"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58</w:t>
            </w:r>
          </w:p>
        </w:tc>
        <w:tc>
          <w:tcPr>
            <w:tcW w:w="684" w:type="pct"/>
            <w:vAlign w:val="center"/>
          </w:tcPr>
          <w:p w14:paraId="128E7407" w14:textId="0DC610B6" w:rsidR="004D6CA1" w:rsidRPr="00111042" w:rsidRDefault="004D6CA1" w:rsidP="004D6CA1">
            <w:pPr>
              <w:pStyle w:val="TableText0"/>
              <w:jc w:val="center"/>
            </w:pPr>
            <w:r>
              <w:t>-</w:t>
            </w:r>
          </w:p>
        </w:tc>
      </w:tr>
      <w:tr w:rsidR="004D6CA1" w:rsidRPr="00111042" w14:paraId="0F710CD4" w14:textId="77777777" w:rsidTr="004D6CA1">
        <w:trPr>
          <w:trHeight w:val="20"/>
        </w:trPr>
        <w:tc>
          <w:tcPr>
            <w:tcW w:w="622" w:type="pct"/>
            <w:vAlign w:val="center"/>
          </w:tcPr>
          <w:p w14:paraId="42BEA8DA" w14:textId="77777777" w:rsidR="004D6CA1" w:rsidRPr="00111042" w:rsidRDefault="004D6CA1" w:rsidP="004D6CA1">
            <w:pPr>
              <w:pStyle w:val="TableText0"/>
              <w:rPr>
                <w:i/>
                <w:iCs/>
              </w:rPr>
            </w:pPr>
            <w:r w:rsidRPr="00111042">
              <w:t>Mean (SD)</w:t>
            </w:r>
          </w:p>
        </w:tc>
        <w:tc>
          <w:tcPr>
            <w:tcW w:w="1064" w:type="pct"/>
            <w:shd w:val="clear" w:color="auto" w:fill="C6D9F1" w:themeFill="text2" w:themeFillTint="33"/>
            <w:vAlign w:val="center"/>
          </w:tcPr>
          <w:p w14:paraId="276084A5"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20.87 (13.27)</w:t>
            </w:r>
          </w:p>
        </w:tc>
        <w:tc>
          <w:tcPr>
            <w:tcW w:w="649" w:type="pct"/>
            <w:shd w:val="clear" w:color="auto" w:fill="C6D9F1" w:themeFill="text2" w:themeFillTint="33"/>
            <w:vAlign w:val="center"/>
          </w:tcPr>
          <w:p w14:paraId="3CCD726D" w14:textId="77777777" w:rsidR="004D6CA1" w:rsidRPr="00111042" w:rsidRDefault="004D6CA1" w:rsidP="004D6CA1">
            <w:pPr>
              <w:pStyle w:val="TableText1"/>
              <w:shd w:val="clear" w:color="auto" w:fill="C6D9F1" w:themeFill="text2" w:themeFillTint="33"/>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0.66 (NR)</w:t>
            </w:r>
          </w:p>
        </w:tc>
        <w:tc>
          <w:tcPr>
            <w:tcW w:w="649" w:type="pct"/>
            <w:shd w:val="clear" w:color="auto" w:fill="C6D9F1" w:themeFill="text2" w:themeFillTint="33"/>
            <w:vAlign w:val="center"/>
          </w:tcPr>
          <w:p w14:paraId="30AB9A30"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0.59 (NR)</w:t>
            </w:r>
          </w:p>
        </w:tc>
        <w:tc>
          <w:tcPr>
            <w:tcW w:w="683" w:type="pct"/>
            <w:vAlign w:val="center"/>
          </w:tcPr>
          <w:p w14:paraId="4246EE11" w14:textId="2AEBC10C" w:rsidR="004D6CA1" w:rsidRPr="00111042" w:rsidRDefault="004D6CA1" w:rsidP="004D6CA1">
            <w:pPr>
              <w:pStyle w:val="TableText0"/>
              <w:keepNext w:val="0"/>
              <w:jc w:val="center"/>
            </w:pPr>
            <w:r>
              <w:t>-</w:t>
            </w:r>
          </w:p>
        </w:tc>
        <w:tc>
          <w:tcPr>
            <w:tcW w:w="649" w:type="pct"/>
            <w:shd w:val="clear" w:color="auto" w:fill="C6D9F1" w:themeFill="text2" w:themeFillTint="33"/>
            <w:vAlign w:val="center"/>
          </w:tcPr>
          <w:p w14:paraId="3627D8B8"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1.09 (NR)</w:t>
            </w:r>
          </w:p>
        </w:tc>
        <w:tc>
          <w:tcPr>
            <w:tcW w:w="684" w:type="pct"/>
            <w:vAlign w:val="center"/>
          </w:tcPr>
          <w:p w14:paraId="31B1DCD1" w14:textId="726077A6" w:rsidR="004D6CA1" w:rsidRPr="00111042" w:rsidRDefault="004D6CA1" w:rsidP="004D6CA1">
            <w:pPr>
              <w:pStyle w:val="TableText0"/>
              <w:jc w:val="center"/>
            </w:pPr>
            <w:r>
              <w:t>-</w:t>
            </w:r>
          </w:p>
        </w:tc>
      </w:tr>
      <w:tr w:rsidR="004D6CA1" w:rsidRPr="00111042" w14:paraId="72C74B2F" w14:textId="77777777" w:rsidTr="004D6CA1">
        <w:trPr>
          <w:trHeight w:val="20"/>
        </w:trPr>
        <w:tc>
          <w:tcPr>
            <w:tcW w:w="622" w:type="pct"/>
            <w:vAlign w:val="center"/>
          </w:tcPr>
          <w:p w14:paraId="7F05DEC1" w14:textId="77777777" w:rsidR="004D6CA1" w:rsidRPr="00111042" w:rsidRDefault="004D6CA1" w:rsidP="004D6CA1">
            <w:pPr>
              <w:pStyle w:val="TableText0"/>
              <w:rPr>
                <w:i/>
                <w:iCs/>
              </w:rPr>
            </w:pPr>
            <w:r w:rsidRPr="00111042">
              <w:t>Median</w:t>
            </w:r>
          </w:p>
        </w:tc>
        <w:tc>
          <w:tcPr>
            <w:tcW w:w="1064" w:type="pct"/>
            <w:shd w:val="clear" w:color="auto" w:fill="C6D9F1" w:themeFill="text2" w:themeFillTint="33"/>
            <w:vAlign w:val="center"/>
          </w:tcPr>
          <w:p w14:paraId="1F3F85BB"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NR</w:t>
            </w:r>
          </w:p>
        </w:tc>
        <w:tc>
          <w:tcPr>
            <w:tcW w:w="649" w:type="pct"/>
            <w:shd w:val="clear" w:color="auto" w:fill="C6D9F1" w:themeFill="text2" w:themeFillTint="33"/>
            <w:vAlign w:val="center"/>
          </w:tcPr>
          <w:p w14:paraId="62FA14E6"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NR</w:t>
            </w:r>
          </w:p>
        </w:tc>
        <w:tc>
          <w:tcPr>
            <w:tcW w:w="649" w:type="pct"/>
            <w:shd w:val="clear" w:color="auto" w:fill="C6D9F1" w:themeFill="text2" w:themeFillTint="33"/>
            <w:vAlign w:val="center"/>
          </w:tcPr>
          <w:p w14:paraId="2F009DB6"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NR</w:t>
            </w:r>
          </w:p>
        </w:tc>
        <w:tc>
          <w:tcPr>
            <w:tcW w:w="683" w:type="pct"/>
            <w:vAlign w:val="center"/>
          </w:tcPr>
          <w:p w14:paraId="45AF2702" w14:textId="597D45E6"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t>-</w:t>
            </w:r>
          </w:p>
        </w:tc>
        <w:tc>
          <w:tcPr>
            <w:tcW w:w="649" w:type="pct"/>
            <w:shd w:val="clear" w:color="auto" w:fill="C6D9F1" w:themeFill="text2" w:themeFillTint="33"/>
            <w:vAlign w:val="center"/>
          </w:tcPr>
          <w:p w14:paraId="6B785409"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NR</w:t>
            </w:r>
          </w:p>
        </w:tc>
        <w:tc>
          <w:tcPr>
            <w:tcW w:w="684" w:type="pct"/>
            <w:vAlign w:val="center"/>
          </w:tcPr>
          <w:p w14:paraId="023CD515" w14:textId="64D24686" w:rsidR="004D6CA1" w:rsidRPr="00111042" w:rsidRDefault="004D6CA1" w:rsidP="004D6CA1">
            <w:pPr>
              <w:pStyle w:val="TableText0"/>
              <w:jc w:val="center"/>
            </w:pPr>
            <w:r>
              <w:t>-</w:t>
            </w:r>
          </w:p>
        </w:tc>
      </w:tr>
      <w:tr w:rsidR="004D6CA1" w:rsidRPr="00111042" w14:paraId="7673F0E1" w14:textId="77777777" w:rsidTr="004D6CA1">
        <w:trPr>
          <w:trHeight w:val="20"/>
        </w:trPr>
        <w:tc>
          <w:tcPr>
            <w:tcW w:w="622" w:type="pct"/>
            <w:vAlign w:val="center"/>
          </w:tcPr>
          <w:p w14:paraId="629C51FF" w14:textId="77777777" w:rsidR="004D6CA1" w:rsidRPr="00111042" w:rsidRDefault="004D6CA1" w:rsidP="004D6CA1">
            <w:pPr>
              <w:pStyle w:val="TableText0"/>
              <w:rPr>
                <w:i/>
                <w:iCs/>
              </w:rPr>
            </w:pPr>
            <w:r w:rsidRPr="00111042">
              <w:t>95% CI</w:t>
            </w:r>
          </w:p>
        </w:tc>
        <w:tc>
          <w:tcPr>
            <w:tcW w:w="1064" w:type="pct"/>
            <w:shd w:val="clear" w:color="auto" w:fill="C6D9F1" w:themeFill="text2" w:themeFillTint="33"/>
            <w:vAlign w:val="center"/>
          </w:tcPr>
          <w:p w14:paraId="22028139"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NR</w:t>
            </w:r>
          </w:p>
        </w:tc>
        <w:tc>
          <w:tcPr>
            <w:tcW w:w="649" w:type="pct"/>
            <w:shd w:val="clear" w:color="auto" w:fill="C6D9F1" w:themeFill="text2" w:themeFillTint="33"/>
            <w:vAlign w:val="center"/>
          </w:tcPr>
          <w:p w14:paraId="55243C86"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(0.26, 1.05)</w:t>
            </w:r>
          </w:p>
        </w:tc>
        <w:tc>
          <w:tcPr>
            <w:tcW w:w="649" w:type="pct"/>
            <w:shd w:val="clear" w:color="auto" w:fill="C6D9F1" w:themeFill="text2" w:themeFillTint="33"/>
            <w:vAlign w:val="center"/>
          </w:tcPr>
          <w:p w14:paraId="6A32D232"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(0.15, 1.03)</w:t>
            </w:r>
          </w:p>
        </w:tc>
        <w:tc>
          <w:tcPr>
            <w:tcW w:w="683" w:type="pct"/>
            <w:vAlign w:val="center"/>
          </w:tcPr>
          <w:p w14:paraId="3AB6A91F" w14:textId="35EF75CD"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t>-</w:t>
            </w:r>
          </w:p>
        </w:tc>
        <w:tc>
          <w:tcPr>
            <w:tcW w:w="649" w:type="pct"/>
            <w:shd w:val="clear" w:color="auto" w:fill="C6D9F1" w:themeFill="text2" w:themeFillTint="33"/>
            <w:vAlign w:val="center"/>
          </w:tcPr>
          <w:p w14:paraId="0C82E5C1" w14:textId="29B8DF8C"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(0.62, 1.55)</w:t>
            </w:r>
          </w:p>
        </w:tc>
        <w:tc>
          <w:tcPr>
            <w:tcW w:w="684" w:type="pct"/>
            <w:vAlign w:val="center"/>
          </w:tcPr>
          <w:p w14:paraId="14B4C846" w14:textId="71E85E9D" w:rsidR="004D6CA1" w:rsidRPr="00111042" w:rsidRDefault="004D6CA1" w:rsidP="004D6CA1">
            <w:pPr>
              <w:pStyle w:val="TableText0"/>
              <w:jc w:val="center"/>
            </w:pPr>
            <w:r>
              <w:t>-</w:t>
            </w:r>
          </w:p>
        </w:tc>
      </w:tr>
      <w:tr w:rsidR="004D6CA1" w:rsidRPr="00111042" w14:paraId="13098032" w14:textId="77777777" w:rsidTr="004D6CA1">
        <w:trPr>
          <w:trHeight w:val="20"/>
        </w:trPr>
        <w:tc>
          <w:tcPr>
            <w:tcW w:w="5000" w:type="pct"/>
            <w:gridSpan w:val="7"/>
            <w:vAlign w:val="center"/>
          </w:tcPr>
          <w:p w14:paraId="58ECE491" w14:textId="77777777" w:rsidR="004D6CA1" w:rsidRPr="00111042" w:rsidRDefault="004D6CA1" w:rsidP="004D6CA1">
            <w:pPr>
              <w:pStyle w:val="TableText0"/>
              <w:rPr>
                <w:b/>
                <w:bCs w:val="0"/>
              </w:rPr>
            </w:pPr>
            <w:r w:rsidRPr="00111042">
              <w:rPr>
                <w:b/>
                <w:bCs w:val="0"/>
              </w:rPr>
              <w:t>Maggi 2020 - NUSINERSEN</w:t>
            </w:r>
          </w:p>
        </w:tc>
      </w:tr>
      <w:tr w:rsidR="004D6CA1" w:rsidRPr="00111042" w14:paraId="041ACA77" w14:textId="77777777" w:rsidTr="004D6CA1">
        <w:trPr>
          <w:trHeight w:val="20"/>
        </w:trPr>
        <w:tc>
          <w:tcPr>
            <w:tcW w:w="622" w:type="pct"/>
            <w:vAlign w:val="center"/>
          </w:tcPr>
          <w:p w14:paraId="6E87B8C1" w14:textId="77777777" w:rsidR="004D6CA1" w:rsidRPr="00111042" w:rsidRDefault="004D6CA1" w:rsidP="004D6CA1">
            <w:pPr>
              <w:pStyle w:val="TableText0"/>
            </w:pPr>
            <w:r w:rsidRPr="00111042">
              <w:t>N</w:t>
            </w:r>
          </w:p>
        </w:tc>
        <w:tc>
          <w:tcPr>
            <w:tcW w:w="1064" w:type="pct"/>
            <w:shd w:val="clear" w:color="auto" w:fill="C6D9F1" w:themeFill="text2" w:themeFillTint="33"/>
            <w:vAlign w:val="center"/>
          </w:tcPr>
          <w:p w14:paraId="67C7C5F6" w14:textId="77777777" w:rsidR="004D6CA1" w:rsidRPr="00111042" w:rsidRDefault="004D6CA1" w:rsidP="004D6CA1">
            <w:pPr>
              <w:pStyle w:val="TableText0"/>
              <w:jc w:val="center"/>
            </w:pPr>
            <w:r w:rsidRPr="00111042">
              <w:t>116</w:t>
            </w:r>
          </w:p>
        </w:tc>
        <w:tc>
          <w:tcPr>
            <w:tcW w:w="649" w:type="pct"/>
            <w:shd w:val="clear" w:color="auto" w:fill="C6D9F1" w:themeFill="text2" w:themeFillTint="33"/>
            <w:vAlign w:val="center"/>
          </w:tcPr>
          <w:p w14:paraId="76026653" w14:textId="77777777" w:rsidR="004D6CA1" w:rsidRPr="00111042" w:rsidRDefault="004D6CA1" w:rsidP="004D6CA1">
            <w:pPr>
              <w:pStyle w:val="TableText0"/>
              <w:jc w:val="center"/>
            </w:pPr>
            <w:r w:rsidRPr="00111042">
              <w:t>114</w:t>
            </w:r>
          </w:p>
        </w:tc>
        <w:tc>
          <w:tcPr>
            <w:tcW w:w="649" w:type="pct"/>
            <w:shd w:val="clear" w:color="auto" w:fill="C6D9F1" w:themeFill="text2" w:themeFillTint="33"/>
            <w:vAlign w:val="center"/>
          </w:tcPr>
          <w:p w14:paraId="551C76F0" w14:textId="77777777" w:rsidR="004D6CA1" w:rsidRPr="00111042" w:rsidRDefault="004D6CA1" w:rsidP="004D6CA1">
            <w:pPr>
              <w:pStyle w:val="TableText0"/>
              <w:jc w:val="center"/>
            </w:pPr>
            <w:r w:rsidRPr="00111042">
              <w:t>80</w:t>
            </w:r>
          </w:p>
        </w:tc>
        <w:tc>
          <w:tcPr>
            <w:tcW w:w="683" w:type="pct"/>
            <w:vAlign w:val="center"/>
          </w:tcPr>
          <w:p w14:paraId="400BA789" w14:textId="239D1946" w:rsidR="004D6CA1" w:rsidRPr="00111042" w:rsidRDefault="004D6CA1" w:rsidP="004D6CA1">
            <w:pPr>
              <w:pStyle w:val="TableText0"/>
              <w:jc w:val="center"/>
            </w:pPr>
            <w:r>
              <w:t>-</w:t>
            </w:r>
          </w:p>
        </w:tc>
        <w:tc>
          <w:tcPr>
            <w:tcW w:w="649" w:type="pct"/>
            <w:shd w:val="clear" w:color="auto" w:fill="C6D9F1" w:themeFill="text2" w:themeFillTint="33"/>
            <w:vAlign w:val="center"/>
          </w:tcPr>
          <w:p w14:paraId="1A26FE26" w14:textId="77777777" w:rsidR="004D6CA1" w:rsidRPr="00111042" w:rsidRDefault="004D6CA1" w:rsidP="004D6CA1">
            <w:pPr>
              <w:pStyle w:val="TableText0"/>
              <w:jc w:val="center"/>
            </w:pPr>
            <w:r w:rsidRPr="00111042">
              <w:t>49</w:t>
            </w:r>
          </w:p>
        </w:tc>
        <w:tc>
          <w:tcPr>
            <w:tcW w:w="684" w:type="pct"/>
            <w:vAlign w:val="center"/>
          </w:tcPr>
          <w:p w14:paraId="64F0C74D" w14:textId="5163A95B" w:rsidR="004D6CA1" w:rsidRPr="00111042" w:rsidRDefault="004D6CA1" w:rsidP="004D6CA1">
            <w:pPr>
              <w:pStyle w:val="TableText0"/>
              <w:jc w:val="center"/>
            </w:pPr>
            <w:r>
              <w:t>-</w:t>
            </w:r>
          </w:p>
        </w:tc>
      </w:tr>
      <w:tr w:rsidR="004D6CA1" w:rsidRPr="00111042" w14:paraId="1A8970A3" w14:textId="77777777" w:rsidTr="004D6CA1">
        <w:trPr>
          <w:trHeight w:val="20"/>
        </w:trPr>
        <w:tc>
          <w:tcPr>
            <w:tcW w:w="622" w:type="pct"/>
            <w:vAlign w:val="center"/>
          </w:tcPr>
          <w:p w14:paraId="12D5E384" w14:textId="77777777" w:rsidR="004D6CA1" w:rsidRPr="00111042" w:rsidRDefault="004D6CA1" w:rsidP="004D6CA1">
            <w:pPr>
              <w:pStyle w:val="TableText0"/>
            </w:pPr>
            <w:r w:rsidRPr="00111042">
              <w:t>Mean (SD)</w:t>
            </w:r>
          </w:p>
        </w:tc>
        <w:tc>
          <w:tcPr>
            <w:tcW w:w="1064" w:type="pct"/>
            <w:shd w:val="clear" w:color="auto" w:fill="C6D9F1" w:themeFill="text2" w:themeFillTint="33"/>
            <w:vAlign w:val="center"/>
          </w:tcPr>
          <w:p w14:paraId="3285FFD8" w14:textId="77777777" w:rsidR="004D6CA1" w:rsidRPr="00111042" w:rsidRDefault="004D6CA1" w:rsidP="004D6CA1">
            <w:pPr>
              <w:pStyle w:val="TableText0"/>
              <w:jc w:val="center"/>
            </w:pPr>
            <w:r w:rsidRPr="00111042">
              <w:t>25.22 (11.63)</w:t>
            </w:r>
          </w:p>
        </w:tc>
        <w:tc>
          <w:tcPr>
            <w:tcW w:w="649" w:type="pct"/>
            <w:shd w:val="clear" w:color="auto" w:fill="C6D9F1" w:themeFill="text2" w:themeFillTint="33"/>
            <w:vAlign w:val="center"/>
          </w:tcPr>
          <w:p w14:paraId="59B4C07B" w14:textId="77777777" w:rsidR="004D6CA1" w:rsidRPr="00111042" w:rsidRDefault="004D6CA1" w:rsidP="004D6CA1">
            <w:pPr>
              <w:pStyle w:val="TableText0"/>
              <w:jc w:val="center"/>
            </w:pPr>
            <w:r w:rsidRPr="00111042">
              <w:t>0.37 (1.97</w:t>
            </w:r>
          </w:p>
        </w:tc>
        <w:tc>
          <w:tcPr>
            <w:tcW w:w="649" w:type="pct"/>
            <w:shd w:val="clear" w:color="auto" w:fill="C6D9F1" w:themeFill="text2" w:themeFillTint="33"/>
            <w:vAlign w:val="center"/>
          </w:tcPr>
          <w:p w14:paraId="064925AC" w14:textId="77777777" w:rsidR="004D6CA1" w:rsidRPr="00111042" w:rsidRDefault="004D6CA1" w:rsidP="004D6CA1">
            <w:pPr>
              <w:pStyle w:val="TableText0"/>
              <w:jc w:val="center"/>
            </w:pPr>
            <w:r w:rsidRPr="00111042">
              <w:t>0.72 (2.07)</w:t>
            </w:r>
          </w:p>
        </w:tc>
        <w:tc>
          <w:tcPr>
            <w:tcW w:w="683" w:type="pct"/>
            <w:vAlign w:val="center"/>
          </w:tcPr>
          <w:p w14:paraId="3F36FC0B" w14:textId="6A2733C4" w:rsidR="004D6CA1" w:rsidRPr="00111042" w:rsidRDefault="004D6CA1" w:rsidP="004D6CA1">
            <w:pPr>
              <w:pStyle w:val="TableText0"/>
              <w:jc w:val="center"/>
            </w:pPr>
            <w:r>
              <w:t>-</w:t>
            </w:r>
          </w:p>
        </w:tc>
        <w:tc>
          <w:tcPr>
            <w:tcW w:w="649" w:type="pct"/>
            <w:shd w:val="clear" w:color="auto" w:fill="C6D9F1" w:themeFill="text2" w:themeFillTint="33"/>
            <w:vAlign w:val="center"/>
          </w:tcPr>
          <w:p w14:paraId="3B70138E" w14:textId="77777777" w:rsidR="004D6CA1" w:rsidRPr="00111042" w:rsidRDefault="004D6CA1" w:rsidP="004D6CA1">
            <w:pPr>
              <w:pStyle w:val="TableText0"/>
              <w:jc w:val="center"/>
            </w:pPr>
            <w:r w:rsidRPr="00111042">
              <w:t>0.94 (2.13)</w:t>
            </w:r>
          </w:p>
        </w:tc>
        <w:tc>
          <w:tcPr>
            <w:tcW w:w="684" w:type="pct"/>
            <w:vAlign w:val="center"/>
          </w:tcPr>
          <w:p w14:paraId="55AAF518" w14:textId="4A54B020" w:rsidR="004D6CA1" w:rsidRPr="00111042" w:rsidRDefault="004D6CA1" w:rsidP="004D6CA1">
            <w:pPr>
              <w:pStyle w:val="TableText0"/>
              <w:jc w:val="center"/>
            </w:pPr>
            <w:r>
              <w:t>-</w:t>
            </w:r>
          </w:p>
        </w:tc>
      </w:tr>
      <w:tr w:rsidR="004D6CA1" w:rsidRPr="00111042" w14:paraId="5F8D173E" w14:textId="77777777" w:rsidTr="004D6CA1">
        <w:trPr>
          <w:trHeight w:val="20"/>
        </w:trPr>
        <w:tc>
          <w:tcPr>
            <w:tcW w:w="622" w:type="pct"/>
            <w:vAlign w:val="center"/>
          </w:tcPr>
          <w:p w14:paraId="25B2EBAB" w14:textId="77777777" w:rsidR="004D6CA1" w:rsidRPr="00111042" w:rsidRDefault="004D6CA1" w:rsidP="004D6CA1">
            <w:pPr>
              <w:pStyle w:val="TableText0"/>
            </w:pPr>
            <w:r w:rsidRPr="00111042">
              <w:t>Median</w:t>
            </w:r>
          </w:p>
        </w:tc>
        <w:tc>
          <w:tcPr>
            <w:tcW w:w="1064" w:type="pct"/>
            <w:shd w:val="clear" w:color="auto" w:fill="C6D9F1" w:themeFill="text2" w:themeFillTint="33"/>
            <w:vAlign w:val="center"/>
          </w:tcPr>
          <w:p w14:paraId="5C07B96A" w14:textId="77777777" w:rsidR="004D6CA1" w:rsidRPr="00111042" w:rsidRDefault="004D6CA1" w:rsidP="004D6CA1">
            <w:pPr>
              <w:pStyle w:val="TableText0"/>
              <w:jc w:val="center"/>
            </w:pPr>
            <w:r w:rsidRPr="00111042">
              <w:t>29</w:t>
            </w:r>
          </w:p>
        </w:tc>
        <w:tc>
          <w:tcPr>
            <w:tcW w:w="649" w:type="pct"/>
            <w:shd w:val="clear" w:color="auto" w:fill="C6D9F1" w:themeFill="text2" w:themeFillTint="33"/>
            <w:vAlign w:val="center"/>
          </w:tcPr>
          <w:p w14:paraId="2F60FD7D" w14:textId="77777777" w:rsidR="004D6CA1" w:rsidRPr="00111042" w:rsidRDefault="004D6CA1" w:rsidP="004D6CA1">
            <w:pPr>
              <w:pStyle w:val="TableText0"/>
              <w:jc w:val="center"/>
            </w:pPr>
            <w:r w:rsidRPr="00111042">
              <w:t>0</w:t>
            </w:r>
          </w:p>
        </w:tc>
        <w:tc>
          <w:tcPr>
            <w:tcW w:w="649" w:type="pct"/>
            <w:shd w:val="clear" w:color="auto" w:fill="C6D9F1" w:themeFill="text2" w:themeFillTint="33"/>
            <w:vAlign w:val="center"/>
          </w:tcPr>
          <w:p w14:paraId="36E9600E" w14:textId="77777777" w:rsidR="004D6CA1" w:rsidRPr="00111042" w:rsidRDefault="004D6CA1" w:rsidP="004D6CA1">
            <w:pPr>
              <w:pStyle w:val="TableText0"/>
              <w:jc w:val="center"/>
            </w:pPr>
            <w:r w:rsidRPr="00111042">
              <w:t>0</w:t>
            </w:r>
          </w:p>
        </w:tc>
        <w:tc>
          <w:tcPr>
            <w:tcW w:w="683" w:type="pct"/>
            <w:vAlign w:val="center"/>
          </w:tcPr>
          <w:p w14:paraId="3216C30B" w14:textId="14D33177" w:rsidR="004D6CA1" w:rsidRPr="00111042" w:rsidRDefault="004D6CA1" w:rsidP="004D6CA1">
            <w:pPr>
              <w:pStyle w:val="TableText0"/>
              <w:jc w:val="center"/>
            </w:pPr>
            <w:r>
              <w:t>-</w:t>
            </w:r>
          </w:p>
        </w:tc>
        <w:tc>
          <w:tcPr>
            <w:tcW w:w="649" w:type="pct"/>
            <w:shd w:val="clear" w:color="auto" w:fill="C6D9F1" w:themeFill="text2" w:themeFillTint="33"/>
            <w:vAlign w:val="center"/>
          </w:tcPr>
          <w:p w14:paraId="2E453B30" w14:textId="77777777" w:rsidR="004D6CA1" w:rsidRPr="00111042" w:rsidRDefault="004D6CA1" w:rsidP="004D6CA1">
            <w:pPr>
              <w:pStyle w:val="TableText0"/>
              <w:jc w:val="center"/>
            </w:pPr>
            <w:r w:rsidRPr="00111042">
              <w:t>1</w:t>
            </w:r>
          </w:p>
        </w:tc>
        <w:tc>
          <w:tcPr>
            <w:tcW w:w="684" w:type="pct"/>
            <w:vAlign w:val="center"/>
          </w:tcPr>
          <w:p w14:paraId="30FC7123" w14:textId="3F7CBE89" w:rsidR="004D6CA1" w:rsidRPr="00111042" w:rsidRDefault="004D6CA1" w:rsidP="004D6CA1">
            <w:pPr>
              <w:pStyle w:val="TableText0"/>
              <w:jc w:val="center"/>
            </w:pPr>
            <w:r>
              <w:t>-</w:t>
            </w:r>
          </w:p>
        </w:tc>
      </w:tr>
      <w:tr w:rsidR="004D6CA1" w:rsidRPr="00111042" w14:paraId="308DBF58" w14:textId="77777777" w:rsidTr="004D6CA1">
        <w:trPr>
          <w:trHeight w:val="20"/>
        </w:trPr>
        <w:tc>
          <w:tcPr>
            <w:tcW w:w="622" w:type="pct"/>
            <w:vAlign w:val="center"/>
          </w:tcPr>
          <w:p w14:paraId="42C182F6" w14:textId="77777777" w:rsidR="004D6CA1" w:rsidRPr="00111042" w:rsidRDefault="004D6CA1" w:rsidP="004D6CA1">
            <w:pPr>
              <w:pStyle w:val="TableText0"/>
            </w:pPr>
            <w:r w:rsidRPr="00111042">
              <w:t>Range</w:t>
            </w:r>
          </w:p>
        </w:tc>
        <w:tc>
          <w:tcPr>
            <w:tcW w:w="1064" w:type="pct"/>
            <w:shd w:val="clear" w:color="auto" w:fill="C6D9F1" w:themeFill="text2" w:themeFillTint="33"/>
            <w:vAlign w:val="center"/>
          </w:tcPr>
          <w:p w14:paraId="14C9DE41" w14:textId="77777777" w:rsidR="004D6CA1" w:rsidRPr="00111042" w:rsidRDefault="004D6CA1" w:rsidP="004D6CA1">
            <w:pPr>
              <w:pStyle w:val="TableText0"/>
              <w:jc w:val="center"/>
            </w:pPr>
            <w:r w:rsidRPr="00111042">
              <w:t>(0, 37)</w:t>
            </w:r>
          </w:p>
        </w:tc>
        <w:tc>
          <w:tcPr>
            <w:tcW w:w="649" w:type="pct"/>
            <w:shd w:val="clear" w:color="auto" w:fill="C6D9F1" w:themeFill="text2" w:themeFillTint="33"/>
            <w:vAlign w:val="center"/>
          </w:tcPr>
          <w:p w14:paraId="1F6010A6" w14:textId="77777777" w:rsidR="004D6CA1" w:rsidRPr="00111042" w:rsidRDefault="004D6CA1" w:rsidP="004D6CA1">
            <w:pPr>
              <w:pStyle w:val="TableText0"/>
              <w:jc w:val="center"/>
            </w:pPr>
            <w:r w:rsidRPr="00111042">
              <w:t>(-8, 6)</w:t>
            </w:r>
          </w:p>
        </w:tc>
        <w:tc>
          <w:tcPr>
            <w:tcW w:w="649" w:type="pct"/>
            <w:shd w:val="clear" w:color="auto" w:fill="C6D9F1" w:themeFill="text2" w:themeFillTint="33"/>
            <w:vAlign w:val="center"/>
          </w:tcPr>
          <w:p w14:paraId="436B6A26" w14:textId="77777777" w:rsidR="004D6CA1" w:rsidRPr="00111042" w:rsidRDefault="004D6CA1" w:rsidP="004D6CA1">
            <w:pPr>
              <w:pStyle w:val="TableText0"/>
              <w:jc w:val="center"/>
            </w:pPr>
            <w:r w:rsidRPr="00111042">
              <w:t>(-6, 6)</w:t>
            </w:r>
          </w:p>
        </w:tc>
        <w:tc>
          <w:tcPr>
            <w:tcW w:w="683" w:type="pct"/>
            <w:vAlign w:val="center"/>
          </w:tcPr>
          <w:p w14:paraId="0AD41657" w14:textId="051D4F6B" w:rsidR="004D6CA1" w:rsidRPr="00111042" w:rsidRDefault="004D6CA1" w:rsidP="004D6CA1">
            <w:pPr>
              <w:pStyle w:val="TableText0"/>
              <w:jc w:val="center"/>
            </w:pPr>
            <w:r>
              <w:t>-</w:t>
            </w:r>
          </w:p>
        </w:tc>
        <w:tc>
          <w:tcPr>
            <w:tcW w:w="649" w:type="pct"/>
            <w:shd w:val="clear" w:color="auto" w:fill="C6D9F1" w:themeFill="text2" w:themeFillTint="33"/>
            <w:vAlign w:val="center"/>
          </w:tcPr>
          <w:p w14:paraId="0569B59E" w14:textId="77777777" w:rsidR="004D6CA1" w:rsidRPr="00111042" w:rsidRDefault="004D6CA1" w:rsidP="004D6CA1">
            <w:pPr>
              <w:pStyle w:val="TableText0"/>
              <w:jc w:val="center"/>
            </w:pPr>
            <w:r w:rsidRPr="00111042">
              <w:t>(-6, 6)</w:t>
            </w:r>
          </w:p>
        </w:tc>
        <w:tc>
          <w:tcPr>
            <w:tcW w:w="684" w:type="pct"/>
            <w:vAlign w:val="center"/>
          </w:tcPr>
          <w:p w14:paraId="43690FBE" w14:textId="2FA65F71" w:rsidR="004D6CA1" w:rsidRPr="00111042" w:rsidRDefault="004D6CA1" w:rsidP="004D6CA1">
            <w:pPr>
              <w:pStyle w:val="TableText0"/>
              <w:jc w:val="center"/>
            </w:pPr>
            <w:r>
              <w:t>-</w:t>
            </w:r>
          </w:p>
        </w:tc>
      </w:tr>
      <w:tr w:rsidR="004D6CA1" w:rsidRPr="00111042" w14:paraId="172E13E9" w14:textId="77777777" w:rsidTr="004D6CA1">
        <w:trPr>
          <w:trHeight w:val="20"/>
        </w:trPr>
        <w:tc>
          <w:tcPr>
            <w:tcW w:w="5000" w:type="pct"/>
            <w:gridSpan w:val="7"/>
            <w:vAlign w:val="center"/>
          </w:tcPr>
          <w:p w14:paraId="48F26C35" w14:textId="77777777" w:rsidR="004D6CA1" w:rsidRPr="00111042" w:rsidRDefault="004D6CA1" w:rsidP="004D6CA1">
            <w:pPr>
              <w:pStyle w:val="TableText0"/>
              <w:rPr>
                <w:b/>
                <w:bCs w:val="0"/>
              </w:rPr>
            </w:pPr>
            <w:r w:rsidRPr="00111042">
              <w:rPr>
                <w:b/>
                <w:bCs w:val="0"/>
              </w:rPr>
              <w:t>Pera 2021 (</w:t>
            </w:r>
            <w:r w:rsidRPr="00111042">
              <w:rPr>
                <w:b/>
                <w:bCs w:val="0"/>
                <w:i/>
                <w:iCs/>
              </w:rPr>
              <w:t xml:space="preserve">adult subgroup) </w:t>
            </w:r>
            <w:r w:rsidRPr="00111042">
              <w:rPr>
                <w:b/>
                <w:bCs w:val="0"/>
              </w:rPr>
              <w:t>- NUSINERSEN</w:t>
            </w:r>
          </w:p>
        </w:tc>
      </w:tr>
      <w:tr w:rsidR="004D6CA1" w:rsidRPr="00111042" w14:paraId="074C2186" w14:textId="77777777" w:rsidTr="004D6CA1">
        <w:trPr>
          <w:trHeight w:val="20"/>
        </w:trPr>
        <w:tc>
          <w:tcPr>
            <w:tcW w:w="622" w:type="pct"/>
            <w:vAlign w:val="center"/>
          </w:tcPr>
          <w:p w14:paraId="5DBE7F46" w14:textId="77777777" w:rsidR="004D6CA1" w:rsidRPr="00111042" w:rsidRDefault="004D6CA1" w:rsidP="004D6CA1">
            <w:pPr>
              <w:pStyle w:val="TableText0"/>
              <w:rPr>
                <w:i/>
                <w:iCs/>
              </w:rPr>
            </w:pPr>
            <w:r w:rsidRPr="00111042">
              <w:t>N</w:t>
            </w:r>
          </w:p>
        </w:tc>
        <w:tc>
          <w:tcPr>
            <w:tcW w:w="1064" w:type="pct"/>
            <w:vAlign w:val="center"/>
          </w:tcPr>
          <w:p w14:paraId="70259205" w14:textId="77777777" w:rsidR="004D6CA1" w:rsidRPr="00111042" w:rsidRDefault="004D6CA1" w:rsidP="004D6CA1">
            <w:pPr>
              <w:pStyle w:val="TableText0"/>
              <w:jc w:val="center"/>
            </w:pPr>
            <w:r w:rsidRPr="00111042">
              <w:t>55</w:t>
            </w:r>
          </w:p>
        </w:tc>
        <w:tc>
          <w:tcPr>
            <w:tcW w:w="649" w:type="pct"/>
            <w:vAlign w:val="center"/>
          </w:tcPr>
          <w:p w14:paraId="6C5FB1BD" w14:textId="689CDCE2" w:rsidR="004D6CA1" w:rsidRPr="00111042" w:rsidRDefault="004D6CA1" w:rsidP="004D6CA1">
            <w:pPr>
              <w:pStyle w:val="TableText0"/>
              <w:jc w:val="center"/>
            </w:pPr>
            <w:r>
              <w:t>-</w:t>
            </w:r>
          </w:p>
        </w:tc>
        <w:tc>
          <w:tcPr>
            <w:tcW w:w="649" w:type="pct"/>
            <w:vAlign w:val="center"/>
          </w:tcPr>
          <w:p w14:paraId="2E329D77" w14:textId="2A321B33" w:rsidR="004D6CA1" w:rsidRPr="00111042" w:rsidRDefault="004D6CA1" w:rsidP="004D6CA1">
            <w:pPr>
              <w:pStyle w:val="TableText0"/>
              <w:jc w:val="center"/>
            </w:pPr>
            <w:r>
              <w:t>-</w:t>
            </w:r>
          </w:p>
        </w:tc>
        <w:tc>
          <w:tcPr>
            <w:tcW w:w="683" w:type="pct"/>
            <w:vAlign w:val="center"/>
          </w:tcPr>
          <w:p w14:paraId="66CFB72B" w14:textId="77777777" w:rsidR="004D6CA1" w:rsidRPr="00111042" w:rsidRDefault="004D6CA1" w:rsidP="004D6CA1">
            <w:pPr>
              <w:pStyle w:val="TableText0"/>
              <w:jc w:val="center"/>
            </w:pPr>
            <w:r w:rsidRPr="00111042">
              <w:t>55</w:t>
            </w:r>
          </w:p>
        </w:tc>
        <w:tc>
          <w:tcPr>
            <w:tcW w:w="649" w:type="pct"/>
            <w:vAlign w:val="center"/>
          </w:tcPr>
          <w:p w14:paraId="49B2DDC3" w14:textId="35A629AC" w:rsidR="004D6CA1" w:rsidRPr="00111042" w:rsidRDefault="004D6CA1" w:rsidP="004D6CA1">
            <w:pPr>
              <w:pStyle w:val="TableText0"/>
              <w:jc w:val="center"/>
            </w:pPr>
            <w:r>
              <w:t>-</w:t>
            </w:r>
          </w:p>
        </w:tc>
        <w:tc>
          <w:tcPr>
            <w:tcW w:w="684" w:type="pct"/>
            <w:vAlign w:val="center"/>
          </w:tcPr>
          <w:p w14:paraId="6DF26651" w14:textId="52A1774F" w:rsidR="004D6CA1" w:rsidRPr="00111042" w:rsidRDefault="004D6CA1" w:rsidP="004D6CA1">
            <w:pPr>
              <w:pStyle w:val="TableText0"/>
              <w:jc w:val="center"/>
            </w:pPr>
            <w:r>
              <w:t>-</w:t>
            </w:r>
          </w:p>
        </w:tc>
      </w:tr>
      <w:tr w:rsidR="004D6CA1" w:rsidRPr="00111042" w14:paraId="18C9D426" w14:textId="77777777" w:rsidTr="004D6CA1">
        <w:trPr>
          <w:trHeight w:val="20"/>
        </w:trPr>
        <w:tc>
          <w:tcPr>
            <w:tcW w:w="622" w:type="pct"/>
            <w:vAlign w:val="center"/>
          </w:tcPr>
          <w:p w14:paraId="0EAEBAF8" w14:textId="77777777" w:rsidR="004D6CA1" w:rsidRPr="00111042" w:rsidRDefault="004D6CA1" w:rsidP="004D6CA1">
            <w:pPr>
              <w:pStyle w:val="TableText0"/>
              <w:rPr>
                <w:i/>
                <w:iCs/>
              </w:rPr>
            </w:pPr>
            <w:r w:rsidRPr="00111042">
              <w:t>Mean (SD)</w:t>
            </w:r>
          </w:p>
        </w:tc>
        <w:tc>
          <w:tcPr>
            <w:tcW w:w="1064" w:type="pct"/>
            <w:vAlign w:val="center"/>
          </w:tcPr>
          <w:p w14:paraId="604772CA"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27.31 (NR)</w:t>
            </w:r>
          </w:p>
        </w:tc>
        <w:tc>
          <w:tcPr>
            <w:tcW w:w="649" w:type="pct"/>
            <w:vAlign w:val="center"/>
          </w:tcPr>
          <w:p w14:paraId="300BA027" w14:textId="64D2B060" w:rsidR="004D6CA1" w:rsidRPr="00111042" w:rsidRDefault="004D6CA1" w:rsidP="004D6CA1">
            <w:pPr>
              <w:pStyle w:val="TableText0"/>
              <w:jc w:val="center"/>
            </w:pPr>
            <w:r>
              <w:t>-</w:t>
            </w:r>
          </w:p>
        </w:tc>
        <w:tc>
          <w:tcPr>
            <w:tcW w:w="649" w:type="pct"/>
            <w:vAlign w:val="center"/>
          </w:tcPr>
          <w:p w14:paraId="490BB9CE" w14:textId="5F4A3204" w:rsidR="004D6CA1" w:rsidRPr="00111042" w:rsidRDefault="004D6CA1" w:rsidP="004D6CA1">
            <w:pPr>
              <w:pStyle w:val="TableText0"/>
              <w:jc w:val="center"/>
            </w:pPr>
            <w:r>
              <w:t>-</w:t>
            </w:r>
          </w:p>
        </w:tc>
        <w:tc>
          <w:tcPr>
            <w:tcW w:w="683" w:type="pct"/>
            <w:vAlign w:val="center"/>
          </w:tcPr>
          <w:p w14:paraId="61E3F22B" w14:textId="77777777" w:rsidR="004D6CA1" w:rsidRPr="00111042" w:rsidRDefault="004D6CA1" w:rsidP="004D6CA1">
            <w:pPr>
              <w:pStyle w:val="TableText1"/>
              <w:spacing w:before="0" w:after="0"/>
              <w:jc w:val="center"/>
              <w:rPr>
                <w:rFonts w:ascii="Arial Narrow" w:eastAsiaTheme="majorEastAsia" w:hAnsi="Arial Narrow" w:cstheme="majorBidi"/>
                <w:szCs w:val="24"/>
                <w:lang w:eastAsia="en-AU"/>
              </w:rPr>
            </w:pPr>
            <w:r w:rsidRPr="00111042">
              <w:rPr>
                <w:rFonts w:ascii="Arial Narrow" w:eastAsiaTheme="majorEastAsia" w:hAnsi="Arial Narrow" w:cstheme="majorBidi"/>
                <w:szCs w:val="24"/>
                <w:lang w:eastAsia="en-AU"/>
              </w:rPr>
              <w:t>0.07 (NR)</w:t>
            </w:r>
          </w:p>
        </w:tc>
        <w:tc>
          <w:tcPr>
            <w:tcW w:w="649" w:type="pct"/>
            <w:vAlign w:val="center"/>
          </w:tcPr>
          <w:p w14:paraId="00CE4FC4" w14:textId="429974C4" w:rsidR="004D6CA1" w:rsidRPr="00111042" w:rsidRDefault="004D6CA1" w:rsidP="004D6CA1">
            <w:pPr>
              <w:pStyle w:val="TableText0"/>
              <w:jc w:val="center"/>
            </w:pPr>
            <w:r>
              <w:t>-</w:t>
            </w:r>
          </w:p>
        </w:tc>
        <w:tc>
          <w:tcPr>
            <w:tcW w:w="684" w:type="pct"/>
            <w:vAlign w:val="center"/>
          </w:tcPr>
          <w:p w14:paraId="05D6B426" w14:textId="176AE27A" w:rsidR="004D6CA1" w:rsidRPr="00111042" w:rsidRDefault="004D6CA1" w:rsidP="004D6CA1">
            <w:pPr>
              <w:pStyle w:val="TableText0"/>
              <w:jc w:val="center"/>
            </w:pPr>
            <w:r>
              <w:t>-</w:t>
            </w:r>
          </w:p>
        </w:tc>
      </w:tr>
      <w:tr w:rsidR="004D6CA1" w:rsidRPr="00111042" w14:paraId="33FBFA22" w14:textId="77777777" w:rsidTr="004D6CA1">
        <w:trPr>
          <w:trHeight w:val="20"/>
        </w:trPr>
        <w:tc>
          <w:tcPr>
            <w:tcW w:w="622" w:type="pct"/>
            <w:vAlign w:val="center"/>
          </w:tcPr>
          <w:p w14:paraId="11DC7993" w14:textId="77777777" w:rsidR="004D6CA1" w:rsidRPr="00111042" w:rsidRDefault="004D6CA1" w:rsidP="004D6CA1">
            <w:pPr>
              <w:pStyle w:val="TableText0"/>
              <w:rPr>
                <w:i/>
                <w:iCs/>
              </w:rPr>
            </w:pPr>
            <w:r w:rsidRPr="00111042">
              <w:t>IQR</w:t>
            </w:r>
          </w:p>
        </w:tc>
        <w:tc>
          <w:tcPr>
            <w:tcW w:w="1064" w:type="pct"/>
            <w:vAlign w:val="center"/>
          </w:tcPr>
          <w:p w14:paraId="5230C6B6" w14:textId="77777777" w:rsidR="004D6CA1" w:rsidRPr="00111042" w:rsidRDefault="004D6CA1" w:rsidP="004D6CA1">
            <w:pPr>
              <w:pStyle w:val="TableText0"/>
              <w:jc w:val="center"/>
            </w:pPr>
            <w:r w:rsidRPr="00111042">
              <w:t>(26.91, 27.71)</w:t>
            </w:r>
          </w:p>
        </w:tc>
        <w:tc>
          <w:tcPr>
            <w:tcW w:w="649" w:type="pct"/>
            <w:vAlign w:val="center"/>
          </w:tcPr>
          <w:p w14:paraId="34441D00" w14:textId="01C550C2" w:rsidR="004D6CA1" w:rsidRPr="00111042" w:rsidRDefault="004D6CA1" w:rsidP="004D6CA1">
            <w:pPr>
              <w:pStyle w:val="TableText0"/>
              <w:jc w:val="center"/>
            </w:pPr>
            <w:r>
              <w:t>-</w:t>
            </w:r>
          </w:p>
        </w:tc>
        <w:tc>
          <w:tcPr>
            <w:tcW w:w="649" w:type="pct"/>
            <w:vAlign w:val="center"/>
          </w:tcPr>
          <w:p w14:paraId="34194FBC" w14:textId="3C6DB006" w:rsidR="004D6CA1" w:rsidRPr="00111042" w:rsidRDefault="004D6CA1" w:rsidP="004D6CA1">
            <w:pPr>
              <w:pStyle w:val="TableText0"/>
              <w:jc w:val="center"/>
            </w:pPr>
            <w:r>
              <w:t>-</w:t>
            </w:r>
          </w:p>
        </w:tc>
        <w:tc>
          <w:tcPr>
            <w:tcW w:w="683" w:type="pct"/>
            <w:vAlign w:val="center"/>
          </w:tcPr>
          <w:p w14:paraId="4A14A4C1" w14:textId="77777777" w:rsidR="004D6CA1" w:rsidRPr="00111042" w:rsidRDefault="004D6CA1" w:rsidP="004D6CA1">
            <w:pPr>
              <w:pStyle w:val="TableText0"/>
              <w:jc w:val="center"/>
            </w:pPr>
            <w:r w:rsidRPr="00111042">
              <w:t>(-0.48, 0.63)</w:t>
            </w:r>
          </w:p>
        </w:tc>
        <w:tc>
          <w:tcPr>
            <w:tcW w:w="649" w:type="pct"/>
            <w:vAlign w:val="center"/>
          </w:tcPr>
          <w:p w14:paraId="15016891" w14:textId="14214F68" w:rsidR="004D6CA1" w:rsidRPr="00111042" w:rsidRDefault="004D6CA1" w:rsidP="004D6CA1">
            <w:pPr>
              <w:pStyle w:val="TableText0"/>
              <w:jc w:val="center"/>
            </w:pPr>
            <w:r>
              <w:t>-</w:t>
            </w:r>
          </w:p>
        </w:tc>
        <w:tc>
          <w:tcPr>
            <w:tcW w:w="684" w:type="pct"/>
            <w:vAlign w:val="center"/>
          </w:tcPr>
          <w:p w14:paraId="72153E17" w14:textId="7A7F0E73" w:rsidR="004D6CA1" w:rsidRPr="00111042" w:rsidRDefault="004D6CA1" w:rsidP="004D6CA1">
            <w:pPr>
              <w:pStyle w:val="TableText0"/>
              <w:jc w:val="center"/>
            </w:pPr>
            <w:r>
              <w:t>-</w:t>
            </w:r>
          </w:p>
        </w:tc>
      </w:tr>
    </w:tbl>
    <w:p w14:paraId="7A41585E" w14:textId="77777777" w:rsidR="009F2B52" w:rsidRPr="000C053F" w:rsidRDefault="009F2B52" w:rsidP="009F2B52">
      <w:pPr>
        <w:pStyle w:val="FooterTableFigure"/>
      </w:pPr>
      <w:r w:rsidRPr="000C053F">
        <w:t>Source: Tables 2.24, 2.27, 2.30 and 2.39 of the resubmission (p94-8 &amp; 116); JEWELFISH ‘Adult subgroup – eff_jewelfish_2y_chg’ pdf</w:t>
      </w:r>
    </w:p>
    <w:p w14:paraId="64B7B4E7" w14:textId="77777777" w:rsidR="006F7F23" w:rsidRPr="00111042" w:rsidRDefault="006F7F23" w:rsidP="006F7F23">
      <w:pPr>
        <w:pStyle w:val="FooterTableFigure"/>
        <w:rPr>
          <w:szCs w:val="18"/>
          <w:lang w:eastAsia="en-US"/>
        </w:rPr>
      </w:pPr>
      <w:r w:rsidRPr="00111042">
        <w:rPr>
          <w:szCs w:val="18"/>
          <w:lang w:eastAsia="en-US"/>
        </w:rPr>
        <w:t xml:space="preserve">CI=confidence interval; </w:t>
      </w:r>
      <w:r w:rsidRPr="00111042">
        <w:t>RULM= Revised upper limb module;</w:t>
      </w:r>
      <w:r w:rsidRPr="00111042">
        <w:rPr>
          <w:szCs w:val="18"/>
          <w:lang w:eastAsia="en-US"/>
        </w:rPr>
        <w:t xml:space="preserve"> SD=Standard deviation; n=number of patients</w:t>
      </w:r>
    </w:p>
    <w:p w14:paraId="4080D7FD" w14:textId="756E98B5" w:rsidR="006F7F23" w:rsidRPr="00111042" w:rsidRDefault="006F7F23" w:rsidP="004C7359">
      <w:pPr>
        <w:pStyle w:val="FooterTableFigure"/>
      </w:pPr>
      <w:r w:rsidRPr="000C053F">
        <w:t>a – Included patients aged 16-65 years old</w:t>
      </w:r>
    </w:p>
    <w:p w14:paraId="33C0E57C" w14:textId="227A4317" w:rsidR="00156E4A" w:rsidRPr="000C053F" w:rsidRDefault="00821170" w:rsidP="003A4D2F">
      <w:pPr>
        <w:pStyle w:val="3-BodyText"/>
      </w:pPr>
      <w:r w:rsidRPr="00111042">
        <w:t xml:space="preserve">In the risdiplam studies, minor improvements (&lt;1.5 points change) as measured by mean changes in RULM from baseline were reported in patients treated with </w:t>
      </w:r>
      <w:r w:rsidRPr="00111042">
        <w:lastRenderedPageBreak/>
        <w:t>risdiplam, except for JEWELFISH at month 12</w:t>
      </w:r>
      <w:r w:rsidR="00E97F71">
        <w:t>,</w:t>
      </w:r>
      <w:r w:rsidRPr="00111042">
        <w:t xml:space="preserve"> which was a minor decrease. In the nusinersen studies, minor improvements (&lt;1.0 points change) as measured by mean changes in RULM from baseline were similarly reported in patients treated with nusinersen.</w:t>
      </w:r>
      <w:r w:rsidR="00E97F71">
        <w:t xml:space="preserve"> </w:t>
      </w:r>
      <w:r w:rsidR="00CD180A" w:rsidRPr="000C053F">
        <w:t>Overall, the magnitude of mean change from baseline in RULM was numerically similar for the included risdiplam studies and the nusinersen studies when comparing point estimates, though there was high uncertainty in this comparison due to the heterogeneity between studies.</w:t>
      </w:r>
    </w:p>
    <w:p w14:paraId="0BD3DFDD" w14:textId="447DBF2D" w:rsidR="00FF2819" w:rsidRPr="00111042" w:rsidRDefault="00FF2819" w:rsidP="0082485D">
      <w:pPr>
        <w:pStyle w:val="3-BodyText"/>
        <w:keepNext/>
        <w:keepLines/>
        <w:numPr>
          <w:ilvl w:val="0"/>
          <w:numId w:val="0"/>
        </w:numPr>
        <w:ind w:left="720" w:hanging="720"/>
        <w:rPr>
          <w:u w:val="single"/>
        </w:rPr>
      </w:pPr>
      <w:r w:rsidRPr="00111042">
        <w:rPr>
          <w:u w:val="single"/>
        </w:rPr>
        <w:t xml:space="preserve">Population 2 (pre-symptomatic 1/2 </w:t>
      </w:r>
      <w:r w:rsidR="00AF346B" w:rsidRPr="00AF346B">
        <w:rPr>
          <w:i/>
          <w:u w:val="single"/>
        </w:rPr>
        <w:t>SMN2</w:t>
      </w:r>
      <w:r w:rsidRPr="00111042">
        <w:rPr>
          <w:u w:val="single"/>
        </w:rPr>
        <w:t xml:space="preserve"> gene copy population)</w:t>
      </w:r>
    </w:p>
    <w:p w14:paraId="1EE53DE2" w14:textId="305A5A86" w:rsidR="0051735C" w:rsidRPr="00111042" w:rsidRDefault="00B65C4D" w:rsidP="0082485D">
      <w:pPr>
        <w:pStyle w:val="3-BodyText"/>
        <w:keepNext/>
        <w:keepLines/>
      </w:pPr>
      <w:r w:rsidRPr="00111042">
        <w:t xml:space="preserve">Due to the lack of direct comparative trials of risdiplam versus nusinersen, or trials with a common comparator arm, the </w:t>
      </w:r>
      <w:r w:rsidR="00381F60" w:rsidRPr="00111042">
        <w:t>resubmission</w:t>
      </w:r>
      <w:r w:rsidRPr="00111042">
        <w:t xml:space="preserve"> presented naïve numerical comparisons of risdiplam versus nusinersen in the pre-symptomatic one or two </w:t>
      </w:r>
      <w:r w:rsidRPr="00111042">
        <w:rPr>
          <w:i/>
          <w:iCs/>
        </w:rPr>
        <w:t>SMN2</w:t>
      </w:r>
      <w:r w:rsidRPr="00111042">
        <w:t xml:space="preserve"> gene copy</w:t>
      </w:r>
      <w:r w:rsidR="00120CA3" w:rsidRPr="00111042">
        <w:t xml:space="preserve"> subgroup</w:t>
      </w:r>
      <w:r w:rsidRPr="00111042">
        <w:t xml:space="preserve"> population.</w:t>
      </w:r>
    </w:p>
    <w:p w14:paraId="2A1BA802" w14:textId="48AF34F4" w:rsidR="009A2798" w:rsidRPr="00111042" w:rsidRDefault="009A2798" w:rsidP="009A2798">
      <w:pPr>
        <w:pStyle w:val="3-BodyText"/>
      </w:pPr>
      <w:r w:rsidRPr="00111042">
        <w:t xml:space="preserve">The follow up in RAINBOWFISH (median 8.72 months and maximum 16.8 months) was substantially shorter than in NURTURE (median 34.8 months based on De Vivo 2019). </w:t>
      </w:r>
      <w:r w:rsidR="009F2B52">
        <w:t>T</w:t>
      </w:r>
      <w:r w:rsidRPr="000C053F">
        <w:t xml:space="preserve">he long-term development and clinical benefit of treatment of risdiplam in this population </w:t>
      </w:r>
      <w:r w:rsidR="00E97F71">
        <w:t>is</w:t>
      </w:r>
      <w:r w:rsidRPr="000C053F">
        <w:t xml:space="preserve"> uncertain given the short duration of follow-up in RAINBOWFISH.</w:t>
      </w:r>
    </w:p>
    <w:p w14:paraId="4A77C240" w14:textId="2D6A2A96" w:rsidR="008B21C3" w:rsidRPr="00111042" w:rsidRDefault="00E97F71" w:rsidP="00EC5836">
      <w:pPr>
        <w:pStyle w:val="3-BodyText"/>
      </w:pPr>
      <w:r>
        <w:t>All</w:t>
      </w:r>
      <w:r w:rsidR="00120CA3" w:rsidRPr="00111042">
        <w:t xml:space="preserve"> patients in the risdiplam RAINBOWFISH study (n=</w:t>
      </w:r>
      <w:r w:rsidR="00DE4241" w:rsidRPr="00111042">
        <w:t xml:space="preserve">7) </w:t>
      </w:r>
      <w:r w:rsidR="00737A5A" w:rsidRPr="00111042">
        <w:t xml:space="preserve">and nusinersen NURTURE study (n=15) </w:t>
      </w:r>
      <w:r w:rsidR="00F761CB" w:rsidRPr="00111042">
        <w:t xml:space="preserve">with two copies of </w:t>
      </w:r>
      <w:r w:rsidR="00F761CB" w:rsidRPr="00111042">
        <w:rPr>
          <w:i/>
          <w:iCs/>
        </w:rPr>
        <w:t>SMN2</w:t>
      </w:r>
      <w:r w:rsidR="00F761CB" w:rsidRPr="00111042">
        <w:t xml:space="preserve"> </w:t>
      </w:r>
      <w:r w:rsidR="00055925" w:rsidRPr="00111042">
        <w:t>had achieved overall survival and event-free survival (</w:t>
      </w:r>
      <w:r w:rsidR="00C92232" w:rsidRPr="00111042">
        <w:t>avoidance of permanent ventilation) at the end of follow-up</w:t>
      </w:r>
      <w:r w:rsidR="001B7523">
        <w:t>.</w:t>
      </w:r>
      <w:r w:rsidR="005531D4" w:rsidRPr="00111042">
        <w:t xml:space="preserve"> </w:t>
      </w:r>
    </w:p>
    <w:p w14:paraId="722370DB" w14:textId="407DF157" w:rsidR="00B65C4D" w:rsidRPr="00111042" w:rsidRDefault="00881606" w:rsidP="00EC5836">
      <w:pPr>
        <w:pStyle w:val="3-BodyText"/>
      </w:pPr>
      <w:r w:rsidRPr="00111042">
        <w:fldChar w:fldCharType="begin"/>
      </w:r>
      <w:r w:rsidRPr="00111042">
        <w:instrText xml:space="preserve"> REF _Ref121769479 \h </w:instrText>
      </w:r>
      <w:r w:rsidRPr="00111042">
        <w:fldChar w:fldCharType="separate"/>
      </w:r>
      <w:r w:rsidR="00D45640" w:rsidRPr="00111042">
        <w:t xml:space="preserve">Table </w:t>
      </w:r>
      <w:r w:rsidR="00D45640">
        <w:rPr>
          <w:noProof/>
        </w:rPr>
        <w:t>7</w:t>
      </w:r>
      <w:r w:rsidRPr="00111042">
        <w:fldChar w:fldCharType="end"/>
      </w:r>
      <w:r w:rsidR="008B21C3" w:rsidRPr="00111042">
        <w:t xml:space="preserve"> presents </w:t>
      </w:r>
      <w:r w:rsidR="00827092" w:rsidRPr="00111042">
        <w:t>the change from baseline values in HINE-2 total score</w:t>
      </w:r>
      <w:r w:rsidR="00E97F71">
        <w:t xml:space="preserve"> and the difference</w:t>
      </w:r>
      <w:r w:rsidR="00827092" w:rsidRPr="00111042">
        <w:t xml:space="preserve"> between studies in the two </w:t>
      </w:r>
      <w:r w:rsidR="00827092" w:rsidRPr="00111042">
        <w:rPr>
          <w:i/>
          <w:iCs/>
        </w:rPr>
        <w:t>SMN2</w:t>
      </w:r>
      <w:r w:rsidR="00827092" w:rsidRPr="00111042">
        <w:t xml:space="preserve"> gene copy </w:t>
      </w:r>
      <w:r w:rsidR="00E97F71">
        <w:t>patients</w:t>
      </w:r>
      <w:r w:rsidR="00827092" w:rsidRPr="00111042">
        <w:t>.</w:t>
      </w:r>
    </w:p>
    <w:p w14:paraId="2409A5A4" w14:textId="69795A13" w:rsidR="00417B40" w:rsidRPr="00111042" w:rsidRDefault="00417B40" w:rsidP="00417B40">
      <w:pPr>
        <w:pStyle w:val="Caption"/>
        <w:rPr>
          <w:rFonts w:eastAsiaTheme="majorEastAsia" w:cstheme="majorBidi"/>
          <w:b w:val="0"/>
          <w:bCs w:val="0"/>
        </w:rPr>
      </w:pPr>
      <w:bookmarkStart w:id="27" w:name="_Ref121769479"/>
      <w:r w:rsidRPr="00111042">
        <w:t xml:space="preserve">Table </w:t>
      </w:r>
      <w:r w:rsidR="00D45640">
        <w:fldChar w:fldCharType="begin"/>
      </w:r>
      <w:r w:rsidR="00D45640">
        <w:instrText xml:space="preserve"> SEQ Table \* ARABIC </w:instrText>
      </w:r>
      <w:r w:rsidR="00D45640">
        <w:fldChar w:fldCharType="separate"/>
      </w:r>
      <w:r w:rsidR="00D45640">
        <w:rPr>
          <w:noProof/>
        </w:rPr>
        <w:t>7</w:t>
      </w:r>
      <w:r w:rsidR="00D45640">
        <w:rPr>
          <w:noProof/>
        </w:rPr>
        <w:fldChar w:fldCharType="end"/>
      </w:r>
      <w:bookmarkEnd w:id="27"/>
      <w:r w:rsidRPr="00111042">
        <w:rPr>
          <w:rFonts w:eastAsiaTheme="majorEastAsia" w:cstheme="majorBidi"/>
        </w:rPr>
        <w:t xml:space="preserve">: HINE-2 total score RAINBOWFISH vs NURTURE in patients with 2 </w:t>
      </w:r>
      <w:r w:rsidRPr="00111042">
        <w:rPr>
          <w:rFonts w:eastAsiaTheme="majorEastAsia" w:cstheme="majorBidi"/>
          <w:i/>
          <w:iCs/>
        </w:rPr>
        <w:t>SMN2</w:t>
      </w:r>
      <w:r w:rsidRPr="00111042">
        <w:rPr>
          <w:rFonts w:eastAsiaTheme="majorEastAsia" w:cstheme="majorBidi"/>
        </w:rPr>
        <w:t xml:space="preserve"> gene copies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2056"/>
        <w:gridCol w:w="2579"/>
        <w:gridCol w:w="1961"/>
      </w:tblGrid>
      <w:tr w:rsidR="00B23D1A" w:rsidRPr="00111042" w14:paraId="0E01BA2E" w14:textId="77777777" w:rsidTr="00C35189">
        <w:trPr>
          <w:trHeight w:val="20"/>
        </w:trPr>
        <w:tc>
          <w:tcPr>
            <w:tcW w:w="4477" w:type="dxa"/>
            <w:gridSpan w:val="2"/>
            <w:tcBorders>
              <w:top w:val="single" w:sz="4" w:space="0" w:color="auto"/>
              <w:left w:val="single" w:sz="4" w:space="0" w:color="auto"/>
              <w:right w:val="single" w:sz="4" w:space="0" w:color="auto"/>
            </w:tcBorders>
            <w:shd w:val="clear" w:color="auto" w:fill="auto"/>
            <w:vAlign w:val="center"/>
          </w:tcPr>
          <w:p w14:paraId="2124404C" w14:textId="77777777" w:rsidR="00417B40" w:rsidRPr="00111042" w:rsidRDefault="00417B40" w:rsidP="00C35189">
            <w:pPr>
              <w:keepNext/>
              <w:keepLines/>
              <w:autoSpaceDE w:val="0"/>
              <w:autoSpaceDN w:val="0"/>
              <w:adjustRightInd w:val="0"/>
              <w:jc w:val="left"/>
              <w:rPr>
                <w:rFonts w:ascii="Arial Narrow" w:hAnsi="Arial Narrow"/>
                <w:sz w:val="20"/>
                <w:szCs w:val="20"/>
              </w:rPr>
            </w:pPr>
          </w:p>
        </w:tc>
        <w:tc>
          <w:tcPr>
            <w:tcW w:w="2579" w:type="dxa"/>
            <w:tcBorders>
              <w:top w:val="single" w:sz="4" w:space="0" w:color="auto"/>
              <w:left w:val="single" w:sz="4" w:space="0" w:color="auto"/>
              <w:right w:val="single" w:sz="4" w:space="0" w:color="auto"/>
            </w:tcBorders>
            <w:shd w:val="clear" w:color="auto" w:fill="auto"/>
            <w:vAlign w:val="center"/>
          </w:tcPr>
          <w:p w14:paraId="06C37489" w14:textId="77777777" w:rsidR="00417B40" w:rsidRPr="00111042" w:rsidRDefault="00417B40" w:rsidP="00C35189">
            <w:pPr>
              <w:keepNext/>
              <w:keepLines/>
              <w:autoSpaceDE w:val="0"/>
              <w:autoSpaceDN w:val="0"/>
              <w:adjustRightInd w:val="0"/>
              <w:jc w:val="center"/>
              <w:rPr>
                <w:rFonts w:ascii="Arial Narrow" w:hAnsi="Arial Narrow"/>
                <w:b/>
                <w:sz w:val="20"/>
                <w:szCs w:val="20"/>
              </w:rPr>
            </w:pPr>
            <w:r w:rsidRPr="00111042">
              <w:rPr>
                <w:rFonts w:ascii="Arial Narrow" w:hAnsi="Arial Narrow"/>
                <w:b/>
                <w:sz w:val="20"/>
                <w:szCs w:val="20"/>
              </w:rPr>
              <w:t>Risdiplam</w:t>
            </w:r>
            <w:r w:rsidRPr="00111042">
              <w:rPr>
                <w:rFonts w:ascii="Arial Narrow" w:hAnsi="Arial Narrow"/>
                <w:b/>
                <w:i/>
                <w:iCs/>
                <w:sz w:val="20"/>
                <w:szCs w:val="20"/>
              </w:rPr>
              <w:t xml:space="preserve"> </w:t>
            </w:r>
            <w:r w:rsidRPr="006B2976">
              <w:rPr>
                <w:rFonts w:ascii="Arial Narrow" w:hAnsi="Arial Narrow"/>
                <w:b/>
                <w:sz w:val="20"/>
                <w:szCs w:val="20"/>
              </w:rPr>
              <w:t>(n=7)</w:t>
            </w:r>
          </w:p>
        </w:tc>
        <w:tc>
          <w:tcPr>
            <w:tcW w:w="1961" w:type="dxa"/>
            <w:tcBorders>
              <w:top w:val="single" w:sz="4" w:space="0" w:color="auto"/>
              <w:left w:val="single" w:sz="4" w:space="0" w:color="auto"/>
              <w:right w:val="single" w:sz="4" w:space="0" w:color="auto"/>
            </w:tcBorders>
            <w:shd w:val="clear" w:color="auto" w:fill="auto"/>
            <w:vAlign w:val="center"/>
          </w:tcPr>
          <w:p w14:paraId="135A65D8" w14:textId="77777777" w:rsidR="00417B40" w:rsidRPr="00111042" w:rsidRDefault="00417B40" w:rsidP="00C35189">
            <w:pPr>
              <w:keepNext/>
              <w:keepLines/>
              <w:autoSpaceDE w:val="0"/>
              <w:autoSpaceDN w:val="0"/>
              <w:adjustRightInd w:val="0"/>
              <w:jc w:val="center"/>
              <w:rPr>
                <w:rFonts w:ascii="Arial Narrow" w:hAnsi="Arial Narrow"/>
                <w:b/>
                <w:sz w:val="20"/>
                <w:szCs w:val="20"/>
              </w:rPr>
            </w:pPr>
            <w:r w:rsidRPr="00111042">
              <w:rPr>
                <w:rFonts w:ascii="Arial Narrow" w:hAnsi="Arial Narrow"/>
                <w:b/>
                <w:sz w:val="20"/>
                <w:szCs w:val="20"/>
              </w:rPr>
              <w:t xml:space="preserve">Nusinersen </w:t>
            </w:r>
            <w:r w:rsidRPr="006B2976">
              <w:rPr>
                <w:rFonts w:ascii="Arial Narrow" w:hAnsi="Arial Narrow"/>
                <w:b/>
                <w:sz w:val="20"/>
                <w:szCs w:val="20"/>
              </w:rPr>
              <w:t>(=15)</w:t>
            </w:r>
          </w:p>
        </w:tc>
      </w:tr>
      <w:tr w:rsidR="00B23D1A" w:rsidRPr="00111042" w14:paraId="44F16618" w14:textId="77777777" w:rsidTr="00C35189">
        <w:trPr>
          <w:trHeight w:val="20"/>
        </w:trPr>
        <w:tc>
          <w:tcPr>
            <w:tcW w:w="4477" w:type="dxa"/>
            <w:gridSpan w:val="2"/>
            <w:tcBorders>
              <w:top w:val="single" w:sz="4" w:space="0" w:color="auto"/>
              <w:left w:val="single" w:sz="4" w:space="0" w:color="auto"/>
              <w:right w:val="single" w:sz="4" w:space="0" w:color="auto"/>
            </w:tcBorders>
            <w:vAlign w:val="center"/>
          </w:tcPr>
          <w:p w14:paraId="73503EB7" w14:textId="77777777" w:rsidR="00417B40" w:rsidRPr="00111042" w:rsidRDefault="00417B4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Baseline</w:t>
            </w:r>
          </w:p>
        </w:tc>
        <w:tc>
          <w:tcPr>
            <w:tcW w:w="2579" w:type="dxa"/>
            <w:tcBorders>
              <w:top w:val="single" w:sz="4" w:space="0" w:color="auto"/>
              <w:left w:val="single" w:sz="4" w:space="0" w:color="auto"/>
              <w:right w:val="single" w:sz="4" w:space="0" w:color="auto"/>
            </w:tcBorders>
          </w:tcPr>
          <w:p w14:paraId="6882E1AC" w14:textId="77777777" w:rsidR="00417B40" w:rsidRPr="00111042" w:rsidRDefault="00417B4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2.0</w:t>
            </w:r>
          </w:p>
        </w:tc>
        <w:tc>
          <w:tcPr>
            <w:tcW w:w="1961" w:type="dxa"/>
            <w:tcBorders>
              <w:top w:val="single" w:sz="4" w:space="0" w:color="auto"/>
              <w:left w:val="single" w:sz="4" w:space="0" w:color="auto"/>
              <w:right w:val="single" w:sz="4" w:space="0" w:color="auto"/>
            </w:tcBorders>
          </w:tcPr>
          <w:p w14:paraId="0018729B" w14:textId="77777777" w:rsidR="00417B40" w:rsidRPr="00111042" w:rsidRDefault="00417B4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2.7</w:t>
            </w:r>
          </w:p>
        </w:tc>
      </w:tr>
      <w:tr w:rsidR="00B23D1A" w:rsidRPr="00111042" w14:paraId="59F99A0D" w14:textId="77777777" w:rsidTr="00C35189">
        <w:trPr>
          <w:trHeight w:val="20"/>
        </w:trPr>
        <w:tc>
          <w:tcPr>
            <w:tcW w:w="2421" w:type="dxa"/>
            <w:vMerge w:val="restart"/>
            <w:tcBorders>
              <w:top w:val="single" w:sz="4" w:space="0" w:color="auto"/>
              <w:left w:val="single" w:sz="4" w:space="0" w:color="auto"/>
              <w:right w:val="single" w:sz="4" w:space="0" w:color="auto"/>
            </w:tcBorders>
            <w:vAlign w:val="center"/>
          </w:tcPr>
          <w:p w14:paraId="7BE692FD" w14:textId="77777777" w:rsidR="00417B40" w:rsidRPr="00111042" w:rsidRDefault="00417B4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Change from baseline (SD):</w:t>
            </w:r>
          </w:p>
        </w:tc>
        <w:tc>
          <w:tcPr>
            <w:tcW w:w="2056" w:type="dxa"/>
            <w:tcBorders>
              <w:top w:val="single" w:sz="4" w:space="0" w:color="auto"/>
              <w:left w:val="single" w:sz="4" w:space="0" w:color="auto"/>
              <w:bottom w:val="single" w:sz="4" w:space="0" w:color="auto"/>
              <w:right w:val="single" w:sz="4" w:space="0" w:color="auto"/>
            </w:tcBorders>
            <w:vAlign w:val="center"/>
          </w:tcPr>
          <w:p w14:paraId="57A1ED71" w14:textId="77777777" w:rsidR="00417B40" w:rsidRPr="00111042" w:rsidRDefault="00417B4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Week 8/9.1*</w:t>
            </w:r>
          </w:p>
        </w:tc>
        <w:tc>
          <w:tcPr>
            <w:tcW w:w="2579" w:type="dxa"/>
            <w:tcBorders>
              <w:top w:val="single" w:sz="4" w:space="0" w:color="auto"/>
              <w:left w:val="single" w:sz="4" w:space="0" w:color="auto"/>
              <w:bottom w:val="single" w:sz="4" w:space="0" w:color="auto"/>
              <w:right w:val="single" w:sz="4" w:space="0" w:color="auto"/>
            </w:tcBorders>
          </w:tcPr>
          <w:p w14:paraId="7A1EF9DD" w14:textId="77777777" w:rsidR="00417B40" w:rsidRPr="00111042" w:rsidRDefault="00417B4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0.83 (1.17)</w:t>
            </w:r>
          </w:p>
        </w:tc>
        <w:tc>
          <w:tcPr>
            <w:tcW w:w="1961" w:type="dxa"/>
            <w:tcBorders>
              <w:top w:val="single" w:sz="4" w:space="0" w:color="auto"/>
              <w:left w:val="single" w:sz="4" w:space="0" w:color="auto"/>
              <w:bottom w:val="single" w:sz="4" w:space="0" w:color="auto"/>
              <w:right w:val="single" w:sz="4" w:space="0" w:color="auto"/>
            </w:tcBorders>
          </w:tcPr>
          <w:p w14:paraId="1164901E" w14:textId="77777777" w:rsidR="00417B40" w:rsidRPr="00111042" w:rsidRDefault="00417B4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2.38 (NR)</w:t>
            </w:r>
          </w:p>
        </w:tc>
      </w:tr>
      <w:tr w:rsidR="00B23D1A" w:rsidRPr="00111042" w14:paraId="4092BE51" w14:textId="77777777" w:rsidTr="00C35189">
        <w:trPr>
          <w:trHeight w:val="20"/>
        </w:trPr>
        <w:tc>
          <w:tcPr>
            <w:tcW w:w="2421" w:type="dxa"/>
            <w:vMerge/>
            <w:tcBorders>
              <w:left w:val="single" w:sz="4" w:space="0" w:color="auto"/>
              <w:bottom w:val="single" w:sz="4" w:space="0" w:color="auto"/>
              <w:right w:val="single" w:sz="4" w:space="0" w:color="auto"/>
            </w:tcBorders>
            <w:vAlign w:val="center"/>
          </w:tcPr>
          <w:p w14:paraId="5797C5AE" w14:textId="77777777" w:rsidR="00417B40" w:rsidRPr="00111042" w:rsidRDefault="00417B40" w:rsidP="00C35189">
            <w:pPr>
              <w:keepNext/>
              <w:keepLines/>
              <w:autoSpaceDE w:val="0"/>
              <w:autoSpaceDN w:val="0"/>
              <w:adjustRightInd w:val="0"/>
              <w:ind w:firstLine="174"/>
              <w:jc w:val="left"/>
              <w:rPr>
                <w:rFonts w:ascii="Arial Narrow" w:hAnsi="Arial Narrow"/>
                <w:sz w:val="20"/>
                <w:szCs w:val="20"/>
              </w:rPr>
            </w:pPr>
          </w:p>
        </w:tc>
        <w:tc>
          <w:tcPr>
            <w:tcW w:w="2056" w:type="dxa"/>
            <w:tcBorders>
              <w:top w:val="single" w:sz="4" w:space="0" w:color="auto"/>
              <w:left w:val="single" w:sz="4" w:space="0" w:color="auto"/>
              <w:bottom w:val="single" w:sz="4" w:space="0" w:color="auto"/>
              <w:right w:val="single" w:sz="4" w:space="0" w:color="auto"/>
            </w:tcBorders>
            <w:vAlign w:val="center"/>
          </w:tcPr>
          <w:p w14:paraId="74877FB2" w14:textId="77777777" w:rsidR="00417B40" w:rsidRPr="00111042" w:rsidRDefault="00417B4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Week 28/26.1*</w:t>
            </w:r>
          </w:p>
        </w:tc>
        <w:tc>
          <w:tcPr>
            <w:tcW w:w="2579" w:type="dxa"/>
            <w:tcBorders>
              <w:top w:val="single" w:sz="4" w:space="0" w:color="auto"/>
              <w:left w:val="single" w:sz="4" w:space="0" w:color="auto"/>
              <w:bottom w:val="single" w:sz="4" w:space="0" w:color="auto"/>
              <w:right w:val="single" w:sz="4" w:space="0" w:color="auto"/>
            </w:tcBorders>
          </w:tcPr>
          <w:p w14:paraId="0D3AC78E" w14:textId="77777777" w:rsidR="00417B40" w:rsidRPr="00111042" w:rsidRDefault="00417B4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10.80 (4.09)</w:t>
            </w:r>
          </w:p>
        </w:tc>
        <w:tc>
          <w:tcPr>
            <w:tcW w:w="1961" w:type="dxa"/>
            <w:tcBorders>
              <w:top w:val="single" w:sz="4" w:space="0" w:color="auto"/>
              <w:left w:val="single" w:sz="4" w:space="0" w:color="auto"/>
              <w:bottom w:val="single" w:sz="4" w:space="0" w:color="auto"/>
              <w:right w:val="single" w:sz="4" w:space="0" w:color="auto"/>
            </w:tcBorders>
          </w:tcPr>
          <w:p w14:paraId="230637AD" w14:textId="77777777" w:rsidR="00417B40" w:rsidRPr="00111042" w:rsidRDefault="00417B4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9.80 (NR)</w:t>
            </w:r>
          </w:p>
        </w:tc>
      </w:tr>
      <w:tr w:rsidR="00B23D1A" w:rsidRPr="00111042" w14:paraId="47CC63DB" w14:textId="77777777" w:rsidTr="00C35189">
        <w:trPr>
          <w:trHeight w:val="20"/>
        </w:trPr>
        <w:tc>
          <w:tcPr>
            <w:tcW w:w="2421" w:type="dxa"/>
            <w:vMerge w:val="restart"/>
            <w:tcBorders>
              <w:top w:val="single" w:sz="4" w:space="0" w:color="auto"/>
              <w:left w:val="single" w:sz="4" w:space="0" w:color="auto"/>
              <w:bottom w:val="single" w:sz="4" w:space="0" w:color="auto"/>
              <w:right w:val="single" w:sz="4" w:space="0" w:color="auto"/>
            </w:tcBorders>
            <w:vAlign w:val="center"/>
          </w:tcPr>
          <w:p w14:paraId="589BF46E" w14:textId="77777777" w:rsidR="00417B40" w:rsidRPr="00111042" w:rsidRDefault="00417B4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Difference in change from baseline values (Ris vs. Nus)</w:t>
            </w:r>
          </w:p>
        </w:tc>
        <w:tc>
          <w:tcPr>
            <w:tcW w:w="2056" w:type="dxa"/>
            <w:tcBorders>
              <w:top w:val="single" w:sz="4" w:space="0" w:color="auto"/>
              <w:left w:val="single" w:sz="4" w:space="0" w:color="auto"/>
              <w:bottom w:val="single" w:sz="4" w:space="0" w:color="auto"/>
              <w:right w:val="single" w:sz="4" w:space="0" w:color="auto"/>
            </w:tcBorders>
            <w:vAlign w:val="center"/>
          </w:tcPr>
          <w:p w14:paraId="71FCF2FB" w14:textId="77777777" w:rsidR="00417B40" w:rsidRPr="00111042" w:rsidRDefault="00417B4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Week 8/9.1*</w:t>
            </w:r>
          </w:p>
        </w:tc>
        <w:tc>
          <w:tcPr>
            <w:tcW w:w="4540" w:type="dxa"/>
            <w:gridSpan w:val="2"/>
            <w:tcBorders>
              <w:top w:val="single" w:sz="4" w:space="0" w:color="auto"/>
              <w:left w:val="single" w:sz="4" w:space="0" w:color="auto"/>
              <w:bottom w:val="single" w:sz="4" w:space="0" w:color="auto"/>
              <w:right w:val="single" w:sz="4" w:space="0" w:color="auto"/>
            </w:tcBorders>
          </w:tcPr>
          <w:p w14:paraId="10026AEB" w14:textId="77777777" w:rsidR="00417B40" w:rsidRPr="00111042" w:rsidRDefault="00417B4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-1.55 (p-value&lt;0.05)</w:t>
            </w:r>
          </w:p>
        </w:tc>
      </w:tr>
      <w:tr w:rsidR="00B23D1A" w:rsidRPr="00111042" w14:paraId="423F8694" w14:textId="77777777" w:rsidTr="00C35189">
        <w:trPr>
          <w:trHeight w:val="20"/>
        </w:trPr>
        <w:tc>
          <w:tcPr>
            <w:tcW w:w="2421" w:type="dxa"/>
            <w:vMerge/>
            <w:tcBorders>
              <w:left w:val="single" w:sz="4" w:space="0" w:color="auto"/>
              <w:bottom w:val="single" w:sz="4" w:space="0" w:color="auto"/>
              <w:right w:val="single" w:sz="4" w:space="0" w:color="auto"/>
            </w:tcBorders>
            <w:vAlign w:val="center"/>
          </w:tcPr>
          <w:p w14:paraId="071FA207" w14:textId="77777777" w:rsidR="00417B40" w:rsidRPr="00111042" w:rsidRDefault="00417B40" w:rsidP="00C35189">
            <w:pPr>
              <w:keepNext/>
              <w:keepLines/>
              <w:autoSpaceDE w:val="0"/>
              <w:autoSpaceDN w:val="0"/>
              <w:adjustRightInd w:val="0"/>
              <w:ind w:firstLine="174"/>
              <w:jc w:val="left"/>
              <w:rPr>
                <w:rFonts w:ascii="Arial Narrow" w:hAnsi="Arial Narrow"/>
                <w:sz w:val="20"/>
                <w:szCs w:val="20"/>
              </w:rPr>
            </w:pPr>
          </w:p>
        </w:tc>
        <w:tc>
          <w:tcPr>
            <w:tcW w:w="2056" w:type="dxa"/>
            <w:tcBorders>
              <w:top w:val="single" w:sz="4" w:space="0" w:color="auto"/>
              <w:left w:val="single" w:sz="4" w:space="0" w:color="auto"/>
              <w:bottom w:val="single" w:sz="4" w:space="0" w:color="auto"/>
              <w:right w:val="single" w:sz="4" w:space="0" w:color="auto"/>
            </w:tcBorders>
            <w:vAlign w:val="center"/>
          </w:tcPr>
          <w:p w14:paraId="6397955F" w14:textId="77777777" w:rsidR="00417B40" w:rsidRPr="00111042" w:rsidRDefault="00417B4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Week 28/26.1*</w:t>
            </w:r>
          </w:p>
        </w:tc>
        <w:tc>
          <w:tcPr>
            <w:tcW w:w="4540" w:type="dxa"/>
            <w:gridSpan w:val="2"/>
            <w:tcBorders>
              <w:top w:val="single" w:sz="4" w:space="0" w:color="auto"/>
              <w:left w:val="single" w:sz="4" w:space="0" w:color="auto"/>
              <w:bottom w:val="single" w:sz="4" w:space="0" w:color="auto"/>
              <w:right w:val="single" w:sz="4" w:space="0" w:color="auto"/>
            </w:tcBorders>
          </w:tcPr>
          <w:p w14:paraId="494A4B82" w14:textId="77777777" w:rsidR="00417B40" w:rsidRPr="00111042" w:rsidRDefault="00417B4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1.00 (p-value = 0.61)</w:t>
            </w:r>
          </w:p>
        </w:tc>
      </w:tr>
    </w:tbl>
    <w:p w14:paraId="624CE043" w14:textId="77777777" w:rsidR="009F2B52" w:rsidRPr="00111042" w:rsidRDefault="009F2B52" w:rsidP="009F2B52">
      <w:pPr>
        <w:pStyle w:val="FooterTableFigure"/>
      </w:pPr>
      <w:r w:rsidRPr="00111042">
        <w:t>Source: Table 2.42 (p118) of the resubmission</w:t>
      </w:r>
    </w:p>
    <w:p w14:paraId="1A1AB921" w14:textId="77777777" w:rsidR="00417B40" w:rsidRPr="00111042" w:rsidRDefault="00417B40" w:rsidP="00417B40">
      <w:pPr>
        <w:pStyle w:val="FooterTableFigure"/>
      </w:pPr>
      <w:r w:rsidRPr="00111042">
        <w:t>HINE-2= Hammersmith Infant Neurological Examination Module 2; Nus= Nusinersen; Ris= Risdiplam; NR= not reported; SD: Standard deviation</w:t>
      </w:r>
    </w:p>
    <w:p w14:paraId="0E3CE6E8" w14:textId="77777777" w:rsidR="00417B40" w:rsidRPr="00111042" w:rsidRDefault="00417B40" w:rsidP="00417B40">
      <w:pPr>
        <w:pStyle w:val="FooterTableFigure"/>
      </w:pPr>
      <w:r w:rsidRPr="00111042">
        <w:t xml:space="preserve">*NURTURE assessment schedule differs to RAINBOWFISH; 9.1 and 26.1 weeks are referring to the NURTURE assessment time points. The two-sample t-test was purely exploratory and was only performed on the absolute mean value at each time point, and so does not account for any differences in the studies (including baseline score). The standard deviations for nusinersen were estimated from the Figures in De Vivo 2019 and an assumption was made that the populations were normally distributed.  </w:t>
      </w:r>
    </w:p>
    <w:p w14:paraId="76CA48FF" w14:textId="75190DC8" w:rsidR="005A56F9" w:rsidRPr="00111042" w:rsidRDefault="00037360" w:rsidP="00EC5836">
      <w:pPr>
        <w:pStyle w:val="3-BodyText"/>
      </w:pPr>
      <w:r w:rsidRPr="00111042">
        <w:t xml:space="preserve">At the week 8 (RAINBOWFISH) / week 9 (NURTURE) timepoint, risdiplam patients </w:t>
      </w:r>
      <w:r w:rsidR="001B7523" w:rsidRPr="00111042">
        <w:t>ha</w:t>
      </w:r>
      <w:r w:rsidR="001B7523">
        <w:t>d</w:t>
      </w:r>
      <w:r w:rsidR="001B7523" w:rsidRPr="00111042">
        <w:t xml:space="preserve"> </w:t>
      </w:r>
      <w:r w:rsidRPr="00111042">
        <w:t xml:space="preserve">a 1.55 point lower mean increase in HINE-2 total score from baseline than nusinersen patients, but at the week 28 (RAINBOWFISH) / week 26.1 (NURTURE) timepoint, risdiplam patients </w:t>
      </w:r>
      <w:r w:rsidR="001B7523" w:rsidRPr="00111042">
        <w:t>ha</w:t>
      </w:r>
      <w:r w:rsidR="001B7523">
        <w:t>d</w:t>
      </w:r>
      <w:r w:rsidR="001B7523" w:rsidRPr="00111042">
        <w:t xml:space="preserve"> </w:t>
      </w:r>
      <w:r w:rsidRPr="00111042">
        <w:t xml:space="preserve">a 1.00 point higher mean increase in HINE-2 total score from baseline than nusinersen patients. </w:t>
      </w:r>
      <w:r w:rsidRPr="000C053F">
        <w:t>These conflicting results may be partially explained by the differences in timing of outcome assessment between trials.</w:t>
      </w:r>
      <w:r w:rsidRPr="00111042">
        <w:rPr>
          <w:i/>
          <w:iCs/>
        </w:rPr>
        <w:t xml:space="preserve"> </w:t>
      </w:r>
      <w:r w:rsidRPr="00111042">
        <w:t>The p-values from these mean differences showed statistical significance at the 5% level for the week 8/9.1 timepoint, and no statistical significance for the week 28/26.1 timepoint</w:t>
      </w:r>
      <w:r w:rsidR="00E97F71">
        <w:t xml:space="preserve">, however these were </w:t>
      </w:r>
      <w:r w:rsidRPr="000C053F">
        <w:t xml:space="preserve">post-hoc exploratory analyses. Pre-symptomatic patients with </w:t>
      </w:r>
      <w:r w:rsidRPr="000C053F">
        <w:lastRenderedPageBreak/>
        <w:t xml:space="preserve">two </w:t>
      </w:r>
      <w:r w:rsidR="00AF346B" w:rsidRPr="00AF346B">
        <w:rPr>
          <w:i/>
        </w:rPr>
        <w:t>SMN2</w:t>
      </w:r>
      <w:r w:rsidRPr="000C053F">
        <w:t xml:space="preserve"> copy numbers treated with risdiplam and nusinersen achieved similar levels of HINE-2 score after 28 and 26.1 weeks of treatment, respectively</w:t>
      </w:r>
      <w:r w:rsidR="00E97F71">
        <w:t>.</w:t>
      </w:r>
    </w:p>
    <w:p w14:paraId="313D7CCE" w14:textId="11C38DF7" w:rsidR="005C7953" w:rsidRPr="00111042" w:rsidRDefault="00D47647" w:rsidP="00EC5836">
      <w:pPr>
        <w:pStyle w:val="3-BodyText"/>
      </w:pPr>
      <w:r w:rsidRPr="00111042">
        <w:fldChar w:fldCharType="begin"/>
      </w:r>
      <w:r w:rsidRPr="00111042">
        <w:instrText xml:space="preserve"> REF _Ref121769693 \h </w:instrText>
      </w:r>
      <w:r w:rsidRPr="00111042">
        <w:fldChar w:fldCharType="separate"/>
      </w:r>
      <w:r w:rsidR="00D45640" w:rsidRPr="00111042">
        <w:t xml:space="preserve">Table </w:t>
      </w:r>
      <w:r w:rsidR="00D45640">
        <w:rPr>
          <w:noProof/>
        </w:rPr>
        <w:t>8</w:t>
      </w:r>
      <w:r w:rsidRPr="00111042">
        <w:fldChar w:fldCharType="end"/>
      </w:r>
      <w:r w:rsidR="004C5565" w:rsidRPr="00111042">
        <w:t xml:space="preserve"> presents </w:t>
      </w:r>
      <w:r w:rsidR="00B2662B" w:rsidRPr="00111042">
        <w:t xml:space="preserve">the results of motor milestone achievements, as measured by the HINE-2, in RAINBOWFISH and NURTURE two </w:t>
      </w:r>
      <w:r w:rsidR="00B2662B" w:rsidRPr="00111042">
        <w:rPr>
          <w:i/>
          <w:iCs/>
        </w:rPr>
        <w:t>SMN2</w:t>
      </w:r>
      <w:r w:rsidR="00B2662B" w:rsidRPr="00111042">
        <w:t xml:space="preserve"> gene copy subgroups.</w:t>
      </w:r>
    </w:p>
    <w:p w14:paraId="1213FEFE" w14:textId="629F9FC0" w:rsidR="0059430D" w:rsidRPr="00111042" w:rsidRDefault="0059430D" w:rsidP="0059430D">
      <w:pPr>
        <w:pStyle w:val="Caption"/>
        <w:rPr>
          <w:rFonts w:eastAsiaTheme="majorEastAsia" w:cstheme="majorBidi"/>
          <w:b w:val="0"/>
          <w:bCs w:val="0"/>
        </w:rPr>
      </w:pPr>
      <w:bookmarkStart w:id="28" w:name="_Ref121769693"/>
      <w:r w:rsidRPr="00111042">
        <w:t xml:space="preserve">Table </w:t>
      </w:r>
      <w:r w:rsidR="00D45640">
        <w:fldChar w:fldCharType="begin"/>
      </w:r>
      <w:r w:rsidR="00D45640">
        <w:instrText xml:space="preserve"> SEQ Table \* ARABIC </w:instrText>
      </w:r>
      <w:r w:rsidR="00D45640">
        <w:fldChar w:fldCharType="separate"/>
      </w:r>
      <w:r w:rsidR="00D45640">
        <w:rPr>
          <w:noProof/>
        </w:rPr>
        <w:t>8</w:t>
      </w:r>
      <w:r w:rsidR="00D45640">
        <w:rPr>
          <w:noProof/>
        </w:rPr>
        <w:fldChar w:fldCharType="end"/>
      </w:r>
      <w:bookmarkEnd w:id="28"/>
      <w:r w:rsidRPr="00111042">
        <w:rPr>
          <w:rFonts w:eastAsiaTheme="majorEastAsia" w:cstheme="majorBidi"/>
        </w:rPr>
        <w:t xml:space="preserve">: Individual motor milestone achievements RAINBOWFISH vs NURTURE in patients with 2 </w:t>
      </w:r>
      <w:r w:rsidRPr="00111042">
        <w:rPr>
          <w:rFonts w:eastAsiaTheme="majorEastAsia" w:cstheme="majorBidi"/>
          <w:i/>
          <w:iCs/>
        </w:rPr>
        <w:t>SMN2</w:t>
      </w:r>
      <w:r w:rsidRPr="00111042">
        <w:rPr>
          <w:rFonts w:eastAsiaTheme="majorEastAsia" w:cstheme="majorBidi"/>
        </w:rPr>
        <w:t xml:space="preserve"> gene copies</w:t>
      </w:r>
    </w:p>
    <w:tbl>
      <w:tblPr>
        <w:tblStyle w:val="TableGrid"/>
        <w:tblW w:w="0" w:type="auto"/>
        <w:tblLook w:val="04A0" w:firstRow="1" w:lastRow="0" w:firstColumn="1" w:lastColumn="0" w:noHBand="0" w:noVBand="1"/>
      </w:tblPr>
      <w:tblGrid>
        <w:gridCol w:w="2405"/>
        <w:gridCol w:w="3260"/>
        <w:gridCol w:w="3352"/>
      </w:tblGrid>
      <w:tr w:rsidR="00B23D1A" w:rsidRPr="00111042" w14:paraId="20FBF248" w14:textId="77777777" w:rsidTr="00C35189">
        <w:tc>
          <w:tcPr>
            <w:tcW w:w="2405" w:type="dxa"/>
            <w:shd w:val="clear" w:color="auto" w:fill="auto"/>
            <w:vAlign w:val="center"/>
          </w:tcPr>
          <w:p w14:paraId="242A1EF5" w14:textId="77777777" w:rsidR="0059430D" w:rsidRPr="00111042" w:rsidRDefault="0059430D" w:rsidP="00C35189">
            <w:pPr>
              <w:pStyle w:val="TableText1"/>
              <w:keepNext/>
              <w:keepLines/>
              <w:rPr>
                <w:rFonts w:ascii="Arial Narrow" w:hAnsi="Arial Narrow"/>
                <w:lang w:eastAsia="en-US"/>
              </w:rPr>
            </w:pPr>
          </w:p>
        </w:tc>
        <w:tc>
          <w:tcPr>
            <w:tcW w:w="3260" w:type="dxa"/>
            <w:shd w:val="clear" w:color="auto" w:fill="auto"/>
          </w:tcPr>
          <w:p w14:paraId="7EF257D2" w14:textId="77777777" w:rsidR="0059430D" w:rsidRPr="00111042" w:rsidRDefault="0059430D" w:rsidP="00C35189">
            <w:pPr>
              <w:pStyle w:val="TableText1"/>
              <w:keepNext/>
              <w:keepLines/>
              <w:jc w:val="center"/>
              <w:rPr>
                <w:rFonts w:ascii="Arial Narrow" w:hAnsi="Arial Narrow"/>
                <w:b/>
              </w:rPr>
            </w:pPr>
            <w:r w:rsidRPr="00111042">
              <w:rPr>
                <w:rFonts w:ascii="Arial Narrow" w:hAnsi="Arial Narrow"/>
                <w:b/>
              </w:rPr>
              <w:t xml:space="preserve">RAINBOWFISH trial </w:t>
            </w:r>
            <w:r w:rsidRPr="006B2976">
              <w:rPr>
                <w:rFonts w:ascii="Arial Narrow" w:hAnsi="Arial Narrow"/>
                <w:b/>
              </w:rPr>
              <w:t>(n=7)</w:t>
            </w:r>
          </w:p>
          <w:p w14:paraId="322003AF" w14:textId="77777777" w:rsidR="0059430D" w:rsidRPr="00111042" w:rsidRDefault="0059430D" w:rsidP="00C35189">
            <w:pPr>
              <w:pStyle w:val="TableText1"/>
              <w:keepNext/>
              <w:keepLines/>
              <w:jc w:val="center"/>
              <w:rPr>
                <w:rFonts w:ascii="Arial Narrow" w:hAnsi="Arial Narrow"/>
                <w:b/>
              </w:rPr>
            </w:pPr>
            <w:r w:rsidRPr="00111042">
              <w:rPr>
                <w:rFonts w:ascii="Arial Narrow" w:hAnsi="Arial Narrow"/>
                <w:b/>
              </w:rPr>
              <w:t>Risdiplam (12 months follow-up)</w:t>
            </w:r>
          </w:p>
        </w:tc>
        <w:tc>
          <w:tcPr>
            <w:tcW w:w="3352" w:type="dxa"/>
            <w:shd w:val="clear" w:color="auto" w:fill="auto"/>
          </w:tcPr>
          <w:p w14:paraId="113A15BC" w14:textId="77777777" w:rsidR="0059430D" w:rsidRPr="00111042" w:rsidRDefault="0059430D" w:rsidP="00C35189">
            <w:pPr>
              <w:pStyle w:val="TableText1"/>
              <w:keepNext/>
              <w:keepLines/>
              <w:jc w:val="center"/>
              <w:rPr>
                <w:rFonts w:ascii="Arial Narrow" w:hAnsi="Arial Narrow"/>
                <w:b/>
              </w:rPr>
            </w:pPr>
            <w:r w:rsidRPr="00111042">
              <w:rPr>
                <w:rFonts w:ascii="Arial Narrow" w:hAnsi="Arial Narrow"/>
                <w:b/>
              </w:rPr>
              <w:t xml:space="preserve">NURTURE trial </w:t>
            </w:r>
            <w:r w:rsidRPr="006B2976">
              <w:rPr>
                <w:rFonts w:ascii="Arial Narrow" w:hAnsi="Arial Narrow"/>
                <w:b/>
              </w:rPr>
              <w:t>(=15)</w:t>
            </w:r>
          </w:p>
          <w:p w14:paraId="7C6099DF" w14:textId="77777777" w:rsidR="0059430D" w:rsidRPr="00111042" w:rsidRDefault="0059430D" w:rsidP="00C35189">
            <w:pPr>
              <w:pStyle w:val="TableText1"/>
              <w:keepNext/>
              <w:keepLines/>
              <w:jc w:val="center"/>
              <w:rPr>
                <w:rFonts w:ascii="Arial Narrow" w:hAnsi="Arial Narrow"/>
                <w:b/>
              </w:rPr>
            </w:pPr>
            <w:r w:rsidRPr="00111042">
              <w:rPr>
                <w:rFonts w:ascii="Arial Narrow" w:hAnsi="Arial Narrow"/>
                <w:b/>
              </w:rPr>
              <w:t>Nusinersen (34.8 months follow-up)</w:t>
            </w:r>
          </w:p>
        </w:tc>
      </w:tr>
      <w:tr w:rsidR="00B23D1A" w:rsidRPr="00111042" w14:paraId="708163DE" w14:textId="77777777" w:rsidTr="00C35189">
        <w:tc>
          <w:tcPr>
            <w:tcW w:w="2405" w:type="dxa"/>
            <w:vAlign w:val="center"/>
          </w:tcPr>
          <w:p w14:paraId="7C8A67C7" w14:textId="77777777" w:rsidR="0059430D" w:rsidRPr="00111042" w:rsidRDefault="0059430D" w:rsidP="00C35189">
            <w:pPr>
              <w:pStyle w:val="TableText1"/>
              <w:keepNext/>
              <w:keepLines/>
              <w:rPr>
                <w:rFonts w:ascii="Arial Narrow" w:hAnsi="Arial Narrow"/>
                <w:lang w:eastAsia="en-US"/>
              </w:rPr>
            </w:pPr>
            <w:r w:rsidRPr="00111042">
              <w:rPr>
                <w:rFonts w:ascii="Arial Narrow" w:hAnsi="Arial Narrow"/>
              </w:rPr>
              <w:t>Sitting independently (%)</w:t>
            </w:r>
          </w:p>
        </w:tc>
        <w:tc>
          <w:tcPr>
            <w:tcW w:w="3260" w:type="dxa"/>
          </w:tcPr>
          <w:p w14:paraId="64BC4343" w14:textId="77777777" w:rsidR="0059430D" w:rsidRPr="00111042" w:rsidRDefault="0059430D" w:rsidP="00C35189">
            <w:pPr>
              <w:pStyle w:val="TableText1"/>
              <w:keepNext/>
              <w:keepLines/>
              <w:jc w:val="center"/>
              <w:rPr>
                <w:rFonts w:ascii="Arial Narrow" w:hAnsi="Arial Narrow"/>
                <w:vertAlign w:val="superscript"/>
              </w:rPr>
            </w:pPr>
            <w:r w:rsidRPr="00111042">
              <w:rPr>
                <w:rFonts w:ascii="Arial Narrow" w:hAnsi="Arial Narrow"/>
              </w:rPr>
              <w:t>N=4</w:t>
            </w:r>
          </w:p>
          <w:p w14:paraId="256D58DA" w14:textId="77777777" w:rsidR="0059430D" w:rsidRPr="00111042" w:rsidRDefault="0059430D" w:rsidP="00C35189">
            <w:pPr>
              <w:pStyle w:val="TableText1"/>
              <w:keepNext/>
              <w:keepLines/>
              <w:jc w:val="center"/>
              <w:rPr>
                <w:rFonts w:ascii="Arial Narrow" w:hAnsi="Arial Narrow"/>
                <w:lang w:eastAsia="en-US"/>
              </w:rPr>
            </w:pPr>
            <w:r w:rsidRPr="00111042">
              <w:rPr>
                <w:rFonts w:ascii="Arial Narrow" w:hAnsi="Arial Narrow"/>
              </w:rPr>
              <w:t>4 (100)</w:t>
            </w:r>
          </w:p>
        </w:tc>
        <w:tc>
          <w:tcPr>
            <w:tcW w:w="3352" w:type="dxa"/>
          </w:tcPr>
          <w:p w14:paraId="6EF6722B" w14:textId="77777777" w:rsidR="0059430D" w:rsidRPr="00111042" w:rsidRDefault="0059430D" w:rsidP="00C35189">
            <w:pPr>
              <w:pStyle w:val="TableText1"/>
              <w:keepNext/>
              <w:keepLines/>
              <w:jc w:val="center"/>
              <w:rPr>
                <w:rFonts w:ascii="Arial Narrow" w:hAnsi="Arial Narrow"/>
              </w:rPr>
            </w:pPr>
            <w:r w:rsidRPr="00111042">
              <w:rPr>
                <w:rFonts w:ascii="Arial Narrow" w:hAnsi="Arial Narrow"/>
              </w:rPr>
              <w:t>N=15</w:t>
            </w:r>
          </w:p>
          <w:p w14:paraId="7F86C6B1" w14:textId="77777777" w:rsidR="0059430D" w:rsidRPr="00111042" w:rsidRDefault="0059430D" w:rsidP="00C35189">
            <w:pPr>
              <w:pStyle w:val="TableText1"/>
              <w:keepNext/>
              <w:keepLines/>
              <w:jc w:val="center"/>
              <w:rPr>
                <w:rFonts w:ascii="Arial Narrow" w:hAnsi="Arial Narrow"/>
                <w:lang w:eastAsia="en-US"/>
              </w:rPr>
            </w:pPr>
            <w:r w:rsidRPr="00111042">
              <w:rPr>
                <w:rFonts w:ascii="Arial Narrow" w:hAnsi="Arial Narrow"/>
              </w:rPr>
              <w:t>15 (100)</w:t>
            </w:r>
          </w:p>
        </w:tc>
      </w:tr>
      <w:tr w:rsidR="00B23D1A" w:rsidRPr="00111042" w14:paraId="3D2DB0D4" w14:textId="77777777" w:rsidTr="00C35189">
        <w:tc>
          <w:tcPr>
            <w:tcW w:w="2405" w:type="dxa"/>
            <w:vAlign w:val="center"/>
          </w:tcPr>
          <w:p w14:paraId="2EE12752" w14:textId="77777777" w:rsidR="0059430D" w:rsidRPr="00111042" w:rsidRDefault="0059430D" w:rsidP="00C35189">
            <w:pPr>
              <w:pStyle w:val="TableText1"/>
              <w:keepNext/>
              <w:keepLines/>
              <w:rPr>
                <w:rFonts w:ascii="Arial Narrow" w:hAnsi="Arial Narrow"/>
                <w:lang w:eastAsia="en-US"/>
              </w:rPr>
            </w:pPr>
            <w:r w:rsidRPr="00111042">
              <w:rPr>
                <w:rFonts w:ascii="Arial Narrow" w:hAnsi="Arial Narrow"/>
              </w:rPr>
              <w:t>Standing independently (%)</w:t>
            </w:r>
          </w:p>
        </w:tc>
        <w:tc>
          <w:tcPr>
            <w:tcW w:w="3260" w:type="dxa"/>
          </w:tcPr>
          <w:p w14:paraId="0EAE4F61" w14:textId="77777777" w:rsidR="0059430D" w:rsidRPr="00111042" w:rsidRDefault="0059430D" w:rsidP="00C35189">
            <w:pPr>
              <w:pStyle w:val="TableText1"/>
              <w:keepNext/>
              <w:keepLines/>
              <w:jc w:val="center"/>
              <w:rPr>
                <w:rFonts w:ascii="Arial Narrow" w:hAnsi="Arial Narrow"/>
              </w:rPr>
            </w:pPr>
            <w:r w:rsidRPr="00111042">
              <w:rPr>
                <w:rFonts w:ascii="Arial Narrow" w:hAnsi="Arial Narrow"/>
              </w:rPr>
              <w:t>N=4</w:t>
            </w:r>
          </w:p>
          <w:p w14:paraId="502806DE" w14:textId="77777777" w:rsidR="0059430D" w:rsidRPr="00111042" w:rsidRDefault="0059430D" w:rsidP="00C35189">
            <w:pPr>
              <w:pStyle w:val="TableText1"/>
              <w:keepNext/>
              <w:keepLines/>
              <w:jc w:val="center"/>
              <w:rPr>
                <w:rFonts w:ascii="Arial Narrow" w:hAnsi="Arial Narrow"/>
                <w:lang w:eastAsia="en-US"/>
              </w:rPr>
            </w:pPr>
            <w:r w:rsidRPr="00111042">
              <w:rPr>
                <w:rFonts w:ascii="Arial Narrow" w:hAnsi="Arial Narrow"/>
              </w:rPr>
              <w:t>1 (25)</w:t>
            </w:r>
          </w:p>
        </w:tc>
        <w:tc>
          <w:tcPr>
            <w:tcW w:w="3352" w:type="dxa"/>
          </w:tcPr>
          <w:p w14:paraId="2A9C4931" w14:textId="77777777" w:rsidR="0059430D" w:rsidRPr="00111042" w:rsidRDefault="0059430D" w:rsidP="00C35189">
            <w:pPr>
              <w:pStyle w:val="TableText1"/>
              <w:keepNext/>
              <w:keepLines/>
              <w:jc w:val="center"/>
              <w:rPr>
                <w:rFonts w:ascii="Arial Narrow" w:hAnsi="Arial Narrow"/>
              </w:rPr>
            </w:pPr>
            <w:r w:rsidRPr="00111042">
              <w:rPr>
                <w:rFonts w:ascii="Arial Narrow" w:hAnsi="Arial Narrow"/>
              </w:rPr>
              <w:t>N=15</w:t>
            </w:r>
          </w:p>
          <w:p w14:paraId="48B0AEC6" w14:textId="77777777" w:rsidR="0059430D" w:rsidRPr="00111042" w:rsidRDefault="0059430D" w:rsidP="00C35189">
            <w:pPr>
              <w:pStyle w:val="TableText1"/>
              <w:keepNext/>
              <w:keepLines/>
              <w:jc w:val="center"/>
              <w:rPr>
                <w:rFonts w:ascii="Arial Narrow" w:hAnsi="Arial Narrow"/>
                <w:lang w:eastAsia="en-US"/>
              </w:rPr>
            </w:pPr>
            <w:r w:rsidRPr="00111042">
              <w:rPr>
                <w:rFonts w:ascii="Arial Narrow" w:hAnsi="Arial Narrow"/>
              </w:rPr>
              <w:t>9 (60)</w:t>
            </w:r>
          </w:p>
        </w:tc>
      </w:tr>
      <w:tr w:rsidR="00B23D1A" w:rsidRPr="00111042" w14:paraId="255DD7EF" w14:textId="77777777" w:rsidTr="00C35189">
        <w:tc>
          <w:tcPr>
            <w:tcW w:w="2405" w:type="dxa"/>
            <w:vAlign w:val="center"/>
          </w:tcPr>
          <w:p w14:paraId="1CE5991F" w14:textId="77777777" w:rsidR="0059430D" w:rsidRPr="00111042" w:rsidRDefault="0059430D" w:rsidP="00C35189">
            <w:pPr>
              <w:pStyle w:val="TableText1"/>
              <w:keepNext/>
              <w:keepLines/>
              <w:rPr>
                <w:rFonts w:ascii="Arial Narrow" w:hAnsi="Arial Narrow"/>
                <w:lang w:eastAsia="en-US"/>
              </w:rPr>
            </w:pPr>
            <w:r w:rsidRPr="00111042">
              <w:rPr>
                <w:rFonts w:ascii="Arial Narrow" w:hAnsi="Arial Narrow"/>
              </w:rPr>
              <w:t>Walking independently (%)</w:t>
            </w:r>
          </w:p>
        </w:tc>
        <w:tc>
          <w:tcPr>
            <w:tcW w:w="3260" w:type="dxa"/>
          </w:tcPr>
          <w:p w14:paraId="2F300784" w14:textId="77777777" w:rsidR="0059430D" w:rsidRPr="00111042" w:rsidRDefault="0059430D" w:rsidP="00C35189">
            <w:pPr>
              <w:pStyle w:val="TableText1"/>
              <w:keepNext/>
              <w:keepLines/>
              <w:jc w:val="center"/>
              <w:rPr>
                <w:rFonts w:ascii="Arial Narrow" w:hAnsi="Arial Narrow"/>
              </w:rPr>
            </w:pPr>
            <w:r w:rsidRPr="00111042">
              <w:rPr>
                <w:rFonts w:ascii="Arial Narrow" w:hAnsi="Arial Narrow"/>
              </w:rPr>
              <w:t>N=4</w:t>
            </w:r>
          </w:p>
          <w:p w14:paraId="609D10D8" w14:textId="77777777" w:rsidR="0059430D" w:rsidRPr="00111042" w:rsidRDefault="0059430D" w:rsidP="00C35189">
            <w:pPr>
              <w:pStyle w:val="TableText1"/>
              <w:keepNext/>
              <w:keepLines/>
              <w:jc w:val="center"/>
              <w:rPr>
                <w:rFonts w:ascii="Arial Narrow" w:hAnsi="Arial Narrow"/>
                <w:lang w:eastAsia="en-US"/>
              </w:rPr>
            </w:pPr>
            <w:r w:rsidRPr="00111042">
              <w:rPr>
                <w:rFonts w:ascii="Arial Narrow" w:hAnsi="Arial Narrow"/>
              </w:rPr>
              <w:t>1 (25)</w:t>
            </w:r>
          </w:p>
        </w:tc>
        <w:tc>
          <w:tcPr>
            <w:tcW w:w="3352" w:type="dxa"/>
          </w:tcPr>
          <w:p w14:paraId="049C09A9" w14:textId="77777777" w:rsidR="0059430D" w:rsidRPr="00111042" w:rsidRDefault="0059430D" w:rsidP="00C35189">
            <w:pPr>
              <w:pStyle w:val="TableText1"/>
              <w:keepNext/>
              <w:keepLines/>
              <w:jc w:val="center"/>
              <w:rPr>
                <w:rFonts w:ascii="Arial Narrow" w:hAnsi="Arial Narrow"/>
              </w:rPr>
            </w:pPr>
            <w:r w:rsidRPr="00111042">
              <w:rPr>
                <w:rFonts w:ascii="Arial Narrow" w:hAnsi="Arial Narrow"/>
              </w:rPr>
              <w:t>N=15</w:t>
            </w:r>
          </w:p>
          <w:p w14:paraId="712B4E0A" w14:textId="77777777" w:rsidR="0059430D" w:rsidRPr="00111042" w:rsidRDefault="0059430D" w:rsidP="00C35189">
            <w:pPr>
              <w:pStyle w:val="TableText1"/>
              <w:keepNext/>
              <w:keepLines/>
              <w:jc w:val="center"/>
              <w:rPr>
                <w:rFonts w:ascii="Arial Narrow" w:hAnsi="Arial Narrow"/>
                <w:lang w:eastAsia="en-US"/>
              </w:rPr>
            </w:pPr>
            <w:r w:rsidRPr="00111042">
              <w:rPr>
                <w:rFonts w:ascii="Arial Narrow" w:hAnsi="Arial Narrow"/>
              </w:rPr>
              <w:t>13 (87)</w:t>
            </w:r>
          </w:p>
        </w:tc>
      </w:tr>
    </w:tbl>
    <w:p w14:paraId="4A42561C" w14:textId="77777777" w:rsidR="009F2B52" w:rsidRPr="00111042" w:rsidRDefault="009F2B52" w:rsidP="009F2B52">
      <w:pPr>
        <w:pStyle w:val="FooterTableFigure"/>
        <w:keepNext/>
        <w:keepLines/>
      </w:pPr>
      <w:r w:rsidRPr="00111042">
        <w:t>Source: Table 2.2.44 (p119) of the resubmission</w:t>
      </w:r>
    </w:p>
    <w:p w14:paraId="1C31C0DF" w14:textId="77777777" w:rsidR="0059430D" w:rsidRPr="00111042" w:rsidRDefault="0059430D" w:rsidP="0059430D">
      <w:pPr>
        <w:pStyle w:val="FooterTableFigure"/>
        <w:keepNext/>
        <w:keepLines/>
      </w:pPr>
      <w:r w:rsidRPr="00111042">
        <w:t>Motor milestones were measured by the Hammersmith Infant Neurological Examination – Module 2(HINE-2) in the RAINBOWFISH and NUTURE trials</w:t>
      </w:r>
    </w:p>
    <w:p w14:paraId="703EB84C" w14:textId="0AEB8EBC" w:rsidR="00BF4B1D" w:rsidRPr="00111042" w:rsidRDefault="00BF4B1D" w:rsidP="00EC5836">
      <w:pPr>
        <w:pStyle w:val="3-BodyText"/>
      </w:pPr>
      <w:r w:rsidRPr="000C053F">
        <w:t>NURTURE had a notably longer median follow-up compared to RAINBOWFISH</w:t>
      </w:r>
      <w:r w:rsidR="00E97F71">
        <w:t>. T</w:t>
      </w:r>
      <w:r w:rsidR="009102E8" w:rsidRPr="000C053F">
        <w:t xml:space="preserve">his </w:t>
      </w:r>
      <w:r w:rsidRPr="000C053F">
        <w:t xml:space="preserve">substantially impacts the comparability of results in favour of </w:t>
      </w:r>
      <w:r w:rsidR="009A2798" w:rsidRPr="000C053F">
        <w:t xml:space="preserve">nusinersen </w:t>
      </w:r>
      <w:r w:rsidR="009102E8" w:rsidRPr="000C053F">
        <w:t xml:space="preserve">as </w:t>
      </w:r>
      <w:r w:rsidR="001B7523" w:rsidRPr="000C053F">
        <w:t xml:space="preserve">paediatric </w:t>
      </w:r>
      <w:r w:rsidR="009102E8" w:rsidRPr="000C053F">
        <w:t>patients would naturally have further development over a longer period of time</w:t>
      </w:r>
      <w:r w:rsidRPr="000C053F">
        <w:t>. Additionally, only 4/7 (57%) RAINBOWFISH patients had data at 12 months for this outcome, further increasing uncertainty.</w:t>
      </w:r>
      <w:r w:rsidRPr="00111042">
        <w:rPr>
          <w:i/>
          <w:iCs/>
        </w:rPr>
        <w:t xml:space="preserve"> </w:t>
      </w:r>
      <w:r w:rsidRPr="00111042">
        <w:t>The results show all patients in both trials had achieved the ability to sit-up independently, but a higher proportion of NURTURE patients had achieved the ability to stand independently (60% vs 25%) and walk independently (87% vs 25%) than RAINBOWFISH patients.</w:t>
      </w:r>
    </w:p>
    <w:p w14:paraId="0A3428B8" w14:textId="59D620D6" w:rsidR="00BF4B1D" w:rsidRPr="00111042" w:rsidRDefault="00CF3F10" w:rsidP="00EC5836">
      <w:pPr>
        <w:pStyle w:val="3-BodyText"/>
      </w:pPr>
      <w:r w:rsidRPr="00111042">
        <w:fldChar w:fldCharType="begin"/>
      </w:r>
      <w:r w:rsidRPr="00111042">
        <w:instrText xml:space="preserve"> REF _Ref121769827 \h </w:instrText>
      </w:r>
      <w:r w:rsidRPr="00111042">
        <w:fldChar w:fldCharType="separate"/>
      </w:r>
      <w:r w:rsidR="00D45640" w:rsidRPr="00111042">
        <w:t xml:space="preserve">Table </w:t>
      </w:r>
      <w:r w:rsidR="00D45640">
        <w:rPr>
          <w:noProof/>
        </w:rPr>
        <w:t>9</w:t>
      </w:r>
      <w:r w:rsidRPr="00111042">
        <w:fldChar w:fldCharType="end"/>
      </w:r>
      <w:r w:rsidR="00BF4B1D" w:rsidRPr="00111042">
        <w:t xml:space="preserve"> presents </w:t>
      </w:r>
      <w:r w:rsidR="00DA18DC" w:rsidRPr="00111042">
        <w:t xml:space="preserve">the difference in change from baseline values in CHOP-INTEND total score between studies in the two </w:t>
      </w:r>
      <w:r w:rsidR="00DA18DC" w:rsidRPr="00111042">
        <w:rPr>
          <w:i/>
          <w:iCs/>
        </w:rPr>
        <w:t>SMN2</w:t>
      </w:r>
      <w:r w:rsidR="00DA18DC" w:rsidRPr="00111042">
        <w:t xml:space="preserve"> gene copy subgroups.</w:t>
      </w:r>
    </w:p>
    <w:p w14:paraId="303D09B2" w14:textId="1A25CBCD" w:rsidR="00CF3F10" w:rsidRPr="00111042" w:rsidRDefault="00CF3F10" w:rsidP="00CF3F10">
      <w:pPr>
        <w:pStyle w:val="Caption"/>
        <w:rPr>
          <w:rFonts w:eastAsiaTheme="majorEastAsia" w:cstheme="majorBidi"/>
          <w:b w:val="0"/>
          <w:bCs w:val="0"/>
        </w:rPr>
      </w:pPr>
      <w:bookmarkStart w:id="29" w:name="_Ref121769827"/>
      <w:r w:rsidRPr="00111042">
        <w:t xml:space="preserve">Table </w:t>
      </w:r>
      <w:r w:rsidR="00D45640">
        <w:fldChar w:fldCharType="begin"/>
      </w:r>
      <w:r w:rsidR="00D45640">
        <w:instrText xml:space="preserve"> SEQ Table \* ARABIC </w:instrText>
      </w:r>
      <w:r w:rsidR="00D45640">
        <w:fldChar w:fldCharType="separate"/>
      </w:r>
      <w:r w:rsidR="00D45640">
        <w:rPr>
          <w:noProof/>
        </w:rPr>
        <w:t>9</w:t>
      </w:r>
      <w:r w:rsidR="00D45640">
        <w:rPr>
          <w:noProof/>
        </w:rPr>
        <w:fldChar w:fldCharType="end"/>
      </w:r>
      <w:bookmarkEnd w:id="29"/>
      <w:r w:rsidRPr="00111042">
        <w:rPr>
          <w:rFonts w:eastAsiaTheme="majorEastAsia" w:cstheme="majorBidi"/>
        </w:rPr>
        <w:t xml:space="preserve">: CHOP-INTEND total score RAINBOWFISH vs NURTURE in patients with 2 </w:t>
      </w:r>
      <w:r w:rsidRPr="00111042">
        <w:rPr>
          <w:rFonts w:eastAsiaTheme="majorEastAsia" w:cstheme="majorBidi"/>
          <w:i/>
          <w:iCs/>
        </w:rPr>
        <w:t>SMN2</w:t>
      </w:r>
      <w:r w:rsidRPr="00111042">
        <w:rPr>
          <w:rFonts w:eastAsiaTheme="majorEastAsia" w:cstheme="majorBidi"/>
        </w:rPr>
        <w:t xml:space="preserve"> gene copies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2056"/>
        <w:gridCol w:w="2579"/>
        <w:gridCol w:w="1961"/>
      </w:tblGrid>
      <w:tr w:rsidR="00B23D1A" w:rsidRPr="00111042" w14:paraId="4A82A742" w14:textId="77777777" w:rsidTr="00C35189">
        <w:trPr>
          <w:trHeight w:val="20"/>
        </w:trPr>
        <w:tc>
          <w:tcPr>
            <w:tcW w:w="4477" w:type="dxa"/>
            <w:gridSpan w:val="2"/>
            <w:tcBorders>
              <w:top w:val="single" w:sz="4" w:space="0" w:color="auto"/>
              <w:left w:val="single" w:sz="4" w:space="0" w:color="auto"/>
              <w:right w:val="single" w:sz="4" w:space="0" w:color="auto"/>
            </w:tcBorders>
            <w:shd w:val="clear" w:color="auto" w:fill="auto"/>
            <w:vAlign w:val="center"/>
          </w:tcPr>
          <w:p w14:paraId="30A9B793" w14:textId="77777777" w:rsidR="00CF3F10" w:rsidRPr="00111042" w:rsidRDefault="00CF3F10" w:rsidP="00C35189">
            <w:pPr>
              <w:keepNext/>
              <w:keepLines/>
              <w:autoSpaceDE w:val="0"/>
              <w:autoSpaceDN w:val="0"/>
              <w:adjustRightInd w:val="0"/>
              <w:jc w:val="left"/>
              <w:rPr>
                <w:rFonts w:ascii="Arial Narrow" w:hAnsi="Arial Narrow"/>
                <w:sz w:val="20"/>
                <w:szCs w:val="20"/>
              </w:rPr>
            </w:pPr>
          </w:p>
        </w:tc>
        <w:tc>
          <w:tcPr>
            <w:tcW w:w="2579" w:type="dxa"/>
            <w:tcBorders>
              <w:top w:val="single" w:sz="4" w:space="0" w:color="auto"/>
              <w:left w:val="single" w:sz="4" w:space="0" w:color="auto"/>
              <w:right w:val="single" w:sz="4" w:space="0" w:color="auto"/>
            </w:tcBorders>
            <w:shd w:val="clear" w:color="auto" w:fill="auto"/>
            <w:vAlign w:val="center"/>
          </w:tcPr>
          <w:p w14:paraId="79F447EF" w14:textId="77777777" w:rsidR="00CF3F10" w:rsidRPr="00111042" w:rsidRDefault="00CF3F10" w:rsidP="00C35189">
            <w:pPr>
              <w:keepNext/>
              <w:keepLines/>
              <w:autoSpaceDE w:val="0"/>
              <w:autoSpaceDN w:val="0"/>
              <w:adjustRightInd w:val="0"/>
              <w:jc w:val="center"/>
              <w:rPr>
                <w:rFonts w:ascii="Arial Narrow" w:hAnsi="Arial Narrow"/>
                <w:b/>
                <w:sz w:val="20"/>
                <w:szCs w:val="20"/>
              </w:rPr>
            </w:pPr>
            <w:r w:rsidRPr="00111042">
              <w:rPr>
                <w:rFonts w:ascii="Arial Narrow" w:hAnsi="Arial Narrow"/>
                <w:b/>
                <w:sz w:val="20"/>
                <w:szCs w:val="20"/>
              </w:rPr>
              <w:t xml:space="preserve">Risdiplam </w:t>
            </w:r>
            <w:r w:rsidRPr="0003183F">
              <w:rPr>
                <w:rFonts w:ascii="Arial Narrow" w:hAnsi="Arial Narrow"/>
                <w:b/>
                <w:sz w:val="20"/>
                <w:szCs w:val="20"/>
              </w:rPr>
              <w:t>(n=7)</w:t>
            </w:r>
          </w:p>
        </w:tc>
        <w:tc>
          <w:tcPr>
            <w:tcW w:w="1961" w:type="dxa"/>
            <w:tcBorders>
              <w:top w:val="single" w:sz="4" w:space="0" w:color="auto"/>
              <w:left w:val="single" w:sz="4" w:space="0" w:color="auto"/>
              <w:right w:val="single" w:sz="4" w:space="0" w:color="auto"/>
            </w:tcBorders>
            <w:shd w:val="clear" w:color="auto" w:fill="auto"/>
            <w:vAlign w:val="center"/>
          </w:tcPr>
          <w:p w14:paraId="2B788B3F" w14:textId="77777777" w:rsidR="00CF3F10" w:rsidRPr="00111042" w:rsidRDefault="00CF3F10" w:rsidP="00C35189">
            <w:pPr>
              <w:keepNext/>
              <w:keepLines/>
              <w:autoSpaceDE w:val="0"/>
              <w:autoSpaceDN w:val="0"/>
              <w:adjustRightInd w:val="0"/>
              <w:jc w:val="center"/>
              <w:rPr>
                <w:rFonts w:ascii="Arial Narrow" w:hAnsi="Arial Narrow"/>
                <w:b/>
                <w:sz w:val="20"/>
                <w:szCs w:val="20"/>
              </w:rPr>
            </w:pPr>
            <w:r w:rsidRPr="00111042">
              <w:rPr>
                <w:rFonts w:ascii="Arial Narrow" w:hAnsi="Arial Narrow"/>
                <w:b/>
                <w:sz w:val="20"/>
                <w:szCs w:val="20"/>
              </w:rPr>
              <w:t xml:space="preserve">Nusinersen </w:t>
            </w:r>
            <w:r w:rsidRPr="0003183F">
              <w:rPr>
                <w:rFonts w:ascii="Arial Narrow" w:hAnsi="Arial Narrow"/>
                <w:b/>
                <w:sz w:val="20"/>
                <w:szCs w:val="20"/>
              </w:rPr>
              <w:t>(n=15)</w:t>
            </w:r>
          </w:p>
        </w:tc>
      </w:tr>
      <w:tr w:rsidR="00B23D1A" w:rsidRPr="00111042" w14:paraId="2F81D7D0" w14:textId="77777777" w:rsidTr="00C35189">
        <w:trPr>
          <w:trHeight w:val="20"/>
        </w:trPr>
        <w:tc>
          <w:tcPr>
            <w:tcW w:w="4477" w:type="dxa"/>
            <w:gridSpan w:val="2"/>
            <w:tcBorders>
              <w:top w:val="single" w:sz="4" w:space="0" w:color="auto"/>
              <w:left w:val="single" w:sz="4" w:space="0" w:color="auto"/>
              <w:right w:val="single" w:sz="4" w:space="0" w:color="auto"/>
            </w:tcBorders>
            <w:vAlign w:val="center"/>
          </w:tcPr>
          <w:p w14:paraId="115771BC" w14:textId="77777777" w:rsidR="00CF3F10" w:rsidRPr="00111042" w:rsidRDefault="00CF3F1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Baseline</w:t>
            </w:r>
          </w:p>
        </w:tc>
        <w:tc>
          <w:tcPr>
            <w:tcW w:w="2579" w:type="dxa"/>
            <w:tcBorders>
              <w:top w:val="single" w:sz="4" w:space="0" w:color="auto"/>
              <w:left w:val="single" w:sz="4" w:space="0" w:color="auto"/>
              <w:right w:val="single" w:sz="4" w:space="0" w:color="auto"/>
            </w:tcBorders>
          </w:tcPr>
          <w:p w14:paraId="62B2FC35" w14:textId="77777777" w:rsidR="00CF3F10" w:rsidRPr="00111042" w:rsidRDefault="00CF3F1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44.43</w:t>
            </w:r>
          </w:p>
        </w:tc>
        <w:tc>
          <w:tcPr>
            <w:tcW w:w="1961" w:type="dxa"/>
            <w:tcBorders>
              <w:top w:val="single" w:sz="4" w:space="0" w:color="auto"/>
              <w:left w:val="single" w:sz="4" w:space="0" w:color="auto"/>
              <w:right w:val="single" w:sz="4" w:space="0" w:color="auto"/>
            </w:tcBorders>
          </w:tcPr>
          <w:p w14:paraId="07825EF7" w14:textId="77777777" w:rsidR="00CF3F10" w:rsidRPr="00111042" w:rsidRDefault="00CF3F1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46.97</w:t>
            </w:r>
          </w:p>
        </w:tc>
      </w:tr>
      <w:tr w:rsidR="00B23D1A" w:rsidRPr="00111042" w14:paraId="294BD9CF" w14:textId="77777777" w:rsidTr="00C35189">
        <w:trPr>
          <w:trHeight w:val="20"/>
        </w:trPr>
        <w:tc>
          <w:tcPr>
            <w:tcW w:w="2421" w:type="dxa"/>
            <w:vMerge w:val="restart"/>
            <w:tcBorders>
              <w:top w:val="single" w:sz="4" w:space="0" w:color="auto"/>
              <w:left w:val="single" w:sz="4" w:space="0" w:color="auto"/>
              <w:right w:val="single" w:sz="4" w:space="0" w:color="auto"/>
            </w:tcBorders>
            <w:vAlign w:val="center"/>
          </w:tcPr>
          <w:p w14:paraId="2341153D" w14:textId="77777777" w:rsidR="00CF3F10" w:rsidRPr="00111042" w:rsidRDefault="00CF3F1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Change from baseline (SD):</w:t>
            </w:r>
          </w:p>
        </w:tc>
        <w:tc>
          <w:tcPr>
            <w:tcW w:w="2056" w:type="dxa"/>
            <w:tcBorders>
              <w:top w:val="single" w:sz="4" w:space="0" w:color="auto"/>
              <w:left w:val="single" w:sz="4" w:space="0" w:color="auto"/>
              <w:bottom w:val="single" w:sz="4" w:space="0" w:color="auto"/>
              <w:right w:val="single" w:sz="4" w:space="0" w:color="auto"/>
            </w:tcBorders>
            <w:vAlign w:val="center"/>
          </w:tcPr>
          <w:p w14:paraId="12D8945D" w14:textId="77777777" w:rsidR="00CF3F10" w:rsidRPr="00111042" w:rsidRDefault="00CF3F1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Week 8/9.1*</w:t>
            </w:r>
          </w:p>
        </w:tc>
        <w:tc>
          <w:tcPr>
            <w:tcW w:w="2579" w:type="dxa"/>
            <w:tcBorders>
              <w:top w:val="single" w:sz="4" w:space="0" w:color="auto"/>
              <w:left w:val="single" w:sz="4" w:space="0" w:color="auto"/>
              <w:bottom w:val="single" w:sz="4" w:space="0" w:color="auto"/>
              <w:right w:val="single" w:sz="4" w:space="0" w:color="auto"/>
            </w:tcBorders>
          </w:tcPr>
          <w:p w14:paraId="19C0670A" w14:textId="77777777" w:rsidR="00CF3F10" w:rsidRPr="00111042" w:rsidRDefault="00CF3F1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5.8 (3.27)</w:t>
            </w:r>
          </w:p>
        </w:tc>
        <w:tc>
          <w:tcPr>
            <w:tcW w:w="1961" w:type="dxa"/>
            <w:tcBorders>
              <w:top w:val="single" w:sz="4" w:space="0" w:color="auto"/>
              <w:left w:val="single" w:sz="4" w:space="0" w:color="auto"/>
              <w:bottom w:val="single" w:sz="4" w:space="0" w:color="auto"/>
              <w:right w:val="single" w:sz="4" w:space="0" w:color="auto"/>
            </w:tcBorders>
          </w:tcPr>
          <w:p w14:paraId="053DA767" w14:textId="77777777" w:rsidR="00CF3F10" w:rsidRPr="00111042" w:rsidRDefault="00CF3F1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4.62 (NR)</w:t>
            </w:r>
          </w:p>
        </w:tc>
      </w:tr>
      <w:tr w:rsidR="00B23D1A" w:rsidRPr="00111042" w14:paraId="51E74C22" w14:textId="77777777" w:rsidTr="00C35189">
        <w:trPr>
          <w:trHeight w:val="20"/>
        </w:trPr>
        <w:tc>
          <w:tcPr>
            <w:tcW w:w="2421" w:type="dxa"/>
            <w:vMerge/>
            <w:tcBorders>
              <w:left w:val="single" w:sz="4" w:space="0" w:color="auto"/>
              <w:bottom w:val="single" w:sz="4" w:space="0" w:color="auto"/>
              <w:right w:val="single" w:sz="4" w:space="0" w:color="auto"/>
            </w:tcBorders>
            <w:vAlign w:val="center"/>
          </w:tcPr>
          <w:p w14:paraId="5DEFA74D" w14:textId="77777777" w:rsidR="00CF3F10" w:rsidRPr="00111042" w:rsidRDefault="00CF3F10" w:rsidP="00C35189">
            <w:pPr>
              <w:keepNext/>
              <w:keepLines/>
              <w:autoSpaceDE w:val="0"/>
              <w:autoSpaceDN w:val="0"/>
              <w:adjustRightInd w:val="0"/>
              <w:ind w:firstLine="174"/>
              <w:jc w:val="left"/>
              <w:rPr>
                <w:rFonts w:ascii="Arial Narrow" w:hAnsi="Arial Narrow"/>
                <w:sz w:val="20"/>
                <w:szCs w:val="20"/>
              </w:rPr>
            </w:pPr>
          </w:p>
        </w:tc>
        <w:tc>
          <w:tcPr>
            <w:tcW w:w="2056" w:type="dxa"/>
            <w:tcBorders>
              <w:top w:val="single" w:sz="4" w:space="0" w:color="auto"/>
              <w:left w:val="single" w:sz="4" w:space="0" w:color="auto"/>
              <w:bottom w:val="single" w:sz="4" w:space="0" w:color="auto"/>
              <w:right w:val="single" w:sz="4" w:space="0" w:color="auto"/>
            </w:tcBorders>
            <w:vAlign w:val="center"/>
          </w:tcPr>
          <w:p w14:paraId="4DF20B4A" w14:textId="77777777" w:rsidR="00CF3F10" w:rsidRPr="00111042" w:rsidRDefault="00CF3F1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Week 28/26.1*</w:t>
            </w:r>
          </w:p>
        </w:tc>
        <w:tc>
          <w:tcPr>
            <w:tcW w:w="2579" w:type="dxa"/>
            <w:tcBorders>
              <w:top w:val="single" w:sz="4" w:space="0" w:color="auto"/>
              <w:left w:val="single" w:sz="4" w:space="0" w:color="auto"/>
              <w:bottom w:val="single" w:sz="4" w:space="0" w:color="auto"/>
              <w:right w:val="single" w:sz="4" w:space="0" w:color="auto"/>
            </w:tcBorders>
          </w:tcPr>
          <w:p w14:paraId="59A7F950" w14:textId="77777777" w:rsidR="00CF3F10" w:rsidRPr="00111042" w:rsidRDefault="00CF3F1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14.6 (6.58)</w:t>
            </w:r>
          </w:p>
        </w:tc>
        <w:tc>
          <w:tcPr>
            <w:tcW w:w="1961" w:type="dxa"/>
            <w:tcBorders>
              <w:top w:val="single" w:sz="4" w:space="0" w:color="auto"/>
              <w:left w:val="single" w:sz="4" w:space="0" w:color="auto"/>
              <w:bottom w:val="single" w:sz="4" w:space="0" w:color="auto"/>
              <w:right w:val="single" w:sz="4" w:space="0" w:color="auto"/>
            </w:tcBorders>
          </w:tcPr>
          <w:p w14:paraId="1C144D54" w14:textId="77777777" w:rsidR="00CF3F10" w:rsidRPr="00111042" w:rsidRDefault="00CF3F1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10.99 (NR)</w:t>
            </w:r>
          </w:p>
        </w:tc>
      </w:tr>
      <w:tr w:rsidR="00B23D1A" w:rsidRPr="00111042" w14:paraId="617CD515" w14:textId="77777777" w:rsidTr="00C35189">
        <w:trPr>
          <w:trHeight w:val="20"/>
        </w:trPr>
        <w:tc>
          <w:tcPr>
            <w:tcW w:w="2421" w:type="dxa"/>
            <w:vMerge w:val="restart"/>
            <w:tcBorders>
              <w:top w:val="single" w:sz="4" w:space="0" w:color="auto"/>
              <w:left w:val="single" w:sz="4" w:space="0" w:color="auto"/>
              <w:bottom w:val="single" w:sz="4" w:space="0" w:color="auto"/>
              <w:right w:val="single" w:sz="4" w:space="0" w:color="auto"/>
            </w:tcBorders>
            <w:vAlign w:val="center"/>
          </w:tcPr>
          <w:p w14:paraId="31608C2B" w14:textId="77777777" w:rsidR="00CF3F10" w:rsidRPr="00111042" w:rsidRDefault="00CF3F1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Difference in change from baseline values (Ris vs. Nus)</w:t>
            </w:r>
          </w:p>
        </w:tc>
        <w:tc>
          <w:tcPr>
            <w:tcW w:w="2056" w:type="dxa"/>
            <w:tcBorders>
              <w:top w:val="single" w:sz="4" w:space="0" w:color="auto"/>
              <w:left w:val="single" w:sz="4" w:space="0" w:color="auto"/>
              <w:bottom w:val="single" w:sz="4" w:space="0" w:color="auto"/>
              <w:right w:val="single" w:sz="4" w:space="0" w:color="auto"/>
            </w:tcBorders>
            <w:vAlign w:val="center"/>
          </w:tcPr>
          <w:p w14:paraId="5FEE22F6" w14:textId="77777777" w:rsidR="00CF3F10" w:rsidRPr="00111042" w:rsidRDefault="00CF3F1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Week 8/9.1*</w:t>
            </w:r>
          </w:p>
        </w:tc>
        <w:tc>
          <w:tcPr>
            <w:tcW w:w="4540" w:type="dxa"/>
            <w:gridSpan w:val="2"/>
            <w:tcBorders>
              <w:top w:val="single" w:sz="4" w:space="0" w:color="auto"/>
              <w:left w:val="single" w:sz="4" w:space="0" w:color="auto"/>
              <w:bottom w:val="single" w:sz="4" w:space="0" w:color="auto"/>
              <w:right w:val="single" w:sz="4" w:space="0" w:color="auto"/>
            </w:tcBorders>
          </w:tcPr>
          <w:p w14:paraId="4DC0334C" w14:textId="77777777" w:rsidR="00CF3F10" w:rsidRPr="00111042" w:rsidRDefault="00CF3F1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1.18 (p-value = 0.47)</w:t>
            </w:r>
          </w:p>
        </w:tc>
      </w:tr>
      <w:tr w:rsidR="00B23D1A" w:rsidRPr="00111042" w14:paraId="3995B9A7" w14:textId="77777777" w:rsidTr="00C35189">
        <w:trPr>
          <w:trHeight w:val="20"/>
        </w:trPr>
        <w:tc>
          <w:tcPr>
            <w:tcW w:w="2421" w:type="dxa"/>
            <w:vMerge/>
            <w:tcBorders>
              <w:left w:val="single" w:sz="4" w:space="0" w:color="auto"/>
              <w:bottom w:val="single" w:sz="4" w:space="0" w:color="auto"/>
              <w:right w:val="single" w:sz="4" w:space="0" w:color="auto"/>
            </w:tcBorders>
            <w:vAlign w:val="center"/>
          </w:tcPr>
          <w:p w14:paraId="0D0764BE" w14:textId="77777777" w:rsidR="00CF3F10" w:rsidRPr="00111042" w:rsidRDefault="00CF3F10" w:rsidP="00C35189">
            <w:pPr>
              <w:keepNext/>
              <w:keepLines/>
              <w:autoSpaceDE w:val="0"/>
              <w:autoSpaceDN w:val="0"/>
              <w:adjustRightInd w:val="0"/>
              <w:ind w:firstLine="174"/>
              <w:jc w:val="left"/>
              <w:rPr>
                <w:rFonts w:ascii="Arial Narrow" w:hAnsi="Arial Narrow"/>
                <w:sz w:val="20"/>
                <w:szCs w:val="20"/>
              </w:rPr>
            </w:pPr>
          </w:p>
        </w:tc>
        <w:tc>
          <w:tcPr>
            <w:tcW w:w="2056" w:type="dxa"/>
            <w:tcBorders>
              <w:top w:val="single" w:sz="4" w:space="0" w:color="auto"/>
              <w:left w:val="single" w:sz="4" w:space="0" w:color="auto"/>
              <w:bottom w:val="single" w:sz="4" w:space="0" w:color="auto"/>
              <w:right w:val="single" w:sz="4" w:space="0" w:color="auto"/>
            </w:tcBorders>
            <w:vAlign w:val="center"/>
          </w:tcPr>
          <w:p w14:paraId="6FB085E4" w14:textId="77777777" w:rsidR="00CF3F10" w:rsidRPr="00111042" w:rsidRDefault="00CF3F10" w:rsidP="00C35189">
            <w:pPr>
              <w:keepNext/>
              <w:keepLines/>
              <w:autoSpaceDE w:val="0"/>
              <w:autoSpaceDN w:val="0"/>
              <w:adjustRightInd w:val="0"/>
              <w:jc w:val="left"/>
              <w:rPr>
                <w:rFonts w:ascii="Arial Narrow" w:hAnsi="Arial Narrow"/>
                <w:sz w:val="20"/>
                <w:szCs w:val="20"/>
              </w:rPr>
            </w:pPr>
            <w:r w:rsidRPr="00111042">
              <w:rPr>
                <w:rFonts w:ascii="Arial Narrow" w:hAnsi="Arial Narrow"/>
                <w:sz w:val="20"/>
                <w:szCs w:val="20"/>
              </w:rPr>
              <w:t>Week 28/26.1*</w:t>
            </w:r>
          </w:p>
        </w:tc>
        <w:tc>
          <w:tcPr>
            <w:tcW w:w="4540" w:type="dxa"/>
            <w:gridSpan w:val="2"/>
            <w:tcBorders>
              <w:top w:val="single" w:sz="4" w:space="0" w:color="auto"/>
              <w:left w:val="single" w:sz="4" w:space="0" w:color="auto"/>
              <w:bottom w:val="single" w:sz="4" w:space="0" w:color="auto"/>
              <w:right w:val="single" w:sz="4" w:space="0" w:color="auto"/>
            </w:tcBorders>
          </w:tcPr>
          <w:p w14:paraId="620D76DC" w14:textId="77777777" w:rsidR="00CF3F10" w:rsidRPr="00111042" w:rsidRDefault="00CF3F10" w:rsidP="00C35189">
            <w:pPr>
              <w:keepNext/>
              <w:keepLines/>
              <w:autoSpaceDE w:val="0"/>
              <w:autoSpaceDN w:val="0"/>
              <w:adjustRightInd w:val="0"/>
              <w:jc w:val="center"/>
              <w:rPr>
                <w:rFonts w:ascii="Arial Narrow" w:hAnsi="Arial Narrow"/>
                <w:sz w:val="20"/>
                <w:szCs w:val="20"/>
              </w:rPr>
            </w:pPr>
            <w:r w:rsidRPr="00111042">
              <w:rPr>
                <w:rFonts w:ascii="Arial Narrow" w:hAnsi="Arial Narrow"/>
                <w:sz w:val="20"/>
                <w:szCs w:val="20"/>
              </w:rPr>
              <w:t>3.61 (p-value = 0.29)</w:t>
            </w:r>
          </w:p>
        </w:tc>
      </w:tr>
    </w:tbl>
    <w:p w14:paraId="19334266" w14:textId="77777777" w:rsidR="009F2B52" w:rsidRPr="00111042" w:rsidRDefault="009F2B52" w:rsidP="009F2B52">
      <w:pPr>
        <w:pStyle w:val="FooterTableFigure"/>
      </w:pPr>
      <w:r w:rsidRPr="00111042">
        <w:t>Source: Table 2.43 (p119) of the resubmission</w:t>
      </w:r>
    </w:p>
    <w:p w14:paraId="40000C71" w14:textId="77777777" w:rsidR="00CF3F10" w:rsidRPr="00111042" w:rsidRDefault="00CF3F10" w:rsidP="00CF3F10">
      <w:pPr>
        <w:pStyle w:val="FooterTableFigure"/>
      </w:pPr>
      <w:r w:rsidRPr="00111042">
        <w:t>HINE-2= Hammersmith Infant Neurological Examination Module 2; Nus= Nusinersen; Ris= Risdiplam; NR= not reported; SD: Standard deviation</w:t>
      </w:r>
    </w:p>
    <w:p w14:paraId="5CEA1D8C" w14:textId="77777777" w:rsidR="00CF3F10" w:rsidRPr="00111042" w:rsidRDefault="00CF3F10" w:rsidP="00CF3F10">
      <w:pPr>
        <w:pStyle w:val="FooterTableFigure"/>
      </w:pPr>
      <w:r w:rsidRPr="00111042">
        <w:t xml:space="preserve">*NURTURE assessment schedule differs to RAINBOWFISH; 9.1 and 26.1 weeks are referring to the NURTURE assessment time points. The two-sample t-test was purely exploratory and was only performed on the absolute mean value at each time point, and so does not account for any differences in the studies (including baseline score). The standard deviations for nusinersen were estimated from the Figures in De Vivo 2019 and an assumption was made that the populations were normally distributed.  </w:t>
      </w:r>
    </w:p>
    <w:p w14:paraId="23F2F778" w14:textId="0B3A4B84" w:rsidR="00246CAE" w:rsidRPr="000C053F" w:rsidRDefault="00430837" w:rsidP="00263482">
      <w:pPr>
        <w:pStyle w:val="3-BodyText"/>
      </w:pPr>
      <w:r w:rsidRPr="00111042">
        <w:t>The results show at the week 8/9.1 timepoint, patients</w:t>
      </w:r>
      <w:r w:rsidR="0087520A">
        <w:t xml:space="preserve"> treated with risdiplam</w:t>
      </w:r>
      <w:r w:rsidRPr="00111042">
        <w:t xml:space="preserve"> </w:t>
      </w:r>
      <w:r w:rsidR="00C45778" w:rsidRPr="00111042">
        <w:t>ha</w:t>
      </w:r>
      <w:r w:rsidR="00C45778">
        <w:t>d</w:t>
      </w:r>
      <w:r w:rsidR="00C45778" w:rsidRPr="00111042">
        <w:t xml:space="preserve"> </w:t>
      </w:r>
      <w:r w:rsidRPr="00111042">
        <w:t xml:space="preserve">a 1.18 point higher mean increase in </w:t>
      </w:r>
      <w:r w:rsidR="009102E8" w:rsidRPr="00111042">
        <w:t>CHOP-INTEND</w:t>
      </w:r>
      <w:r w:rsidRPr="00111042">
        <w:t xml:space="preserve"> total score from baseline than nusinersen patients, and at the week 28/26.1 timepoint a 3.61 point higher mean increase in </w:t>
      </w:r>
      <w:r w:rsidR="00AF38CF" w:rsidRPr="00111042">
        <w:t>CHOP-INTEND</w:t>
      </w:r>
      <w:r w:rsidRPr="00111042">
        <w:t xml:space="preserve"> total score from baseline than nusinersen patients. The p-values for both comparisons were not statistically significant (i.e. &gt;0.05), </w:t>
      </w:r>
      <w:r w:rsidRPr="000C053F">
        <w:t xml:space="preserve">however, as </w:t>
      </w:r>
      <w:r w:rsidRPr="000C053F">
        <w:lastRenderedPageBreak/>
        <w:t xml:space="preserve">with the HINE-2 total score comparison, these p-values should be considered uncertain </w:t>
      </w:r>
      <w:r w:rsidR="00972A14">
        <w:t>as</w:t>
      </w:r>
      <w:r w:rsidRPr="000C053F">
        <w:t xml:space="preserve"> post-hoc exploratory analyses.</w:t>
      </w:r>
    </w:p>
    <w:p w14:paraId="1452C351" w14:textId="7CF3658C" w:rsidR="00B60939" w:rsidRPr="00111042" w:rsidRDefault="00B60939" w:rsidP="00890494">
      <w:pPr>
        <w:pStyle w:val="4-SubsectionHeading"/>
      </w:pPr>
      <w:bookmarkStart w:id="30" w:name="_Toc22897642"/>
      <w:bookmarkStart w:id="31" w:name="_Toc124937756"/>
      <w:r w:rsidRPr="00111042">
        <w:t>Comparative harms</w:t>
      </w:r>
      <w:bookmarkEnd w:id="30"/>
      <w:bookmarkEnd w:id="31"/>
    </w:p>
    <w:p w14:paraId="7AA90580" w14:textId="77777777" w:rsidR="00BB7EF9" w:rsidRPr="00111042" w:rsidRDefault="00BB7EF9" w:rsidP="00890494">
      <w:pPr>
        <w:pStyle w:val="3-BodyText"/>
        <w:keepNext/>
        <w:numPr>
          <w:ilvl w:val="0"/>
          <w:numId w:val="0"/>
        </w:numPr>
        <w:ind w:left="720" w:hanging="720"/>
        <w:rPr>
          <w:u w:val="single"/>
        </w:rPr>
      </w:pPr>
      <w:r w:rsidRPr="00111042">
        <w:rPr>
          <w:u w:val="single"/>
        </w:rPr>
        <w:t>Population 1 (adult population)</w:t>
      </w:r>
    </w:p>
    <w:p w14:paraId="7E1A1F08" w14:textId="22588AB8" w:rsidR="004D44DB" w:rsidRPr="00111042" w:rsidRDefault="0087520A" w:rsidP="00890494">
      <w:pPr>
        <w:pStyle w:val="3-BodyText"/>
        <w:keepNext/>
      </w:pPr>
      <w:r>
        <w:t>T</w:t>
      </w:r>
      <w:r w:rsidR="008A330A" w:rsidRPr="00111042">
        <w:t>here was limited information on the comparative harms for risdiplam and nusinersen</w:t>
      </w:r>
      <w:r w:rsidRPr="0087520A">
        <w:t xml:space="preserve"> </w:t>
      </w:r>
      <w:r>
        <w:t>as n</w:t>
      </w:r>
      <w:r w:rsidRPr="00111042">
        <w:t xml:space="preserve">o head-to-head clinical trials were identified. </w:t>
      </w:r>
    </w:p>
    <w:p w14:paraId="42331160" w14:textId="732C4886" w:rsidR="00CB6AEB" w:rsidRPr="000C053F" w:rsidRDefault="004D44DB" w:rsidP="00D86231">
      <w:pPr>
        <w:pStyle w:val="3-BodyText"/>
      </w:pPr>
      <w:r w:rsidRPr="00111042">
        <w:t xml:space="preserve">The </w:t>
      </w:r>
      <w:r w:rsidR="00381F60" w:rsidRPr="00111042">
        <w:t>resubmission</w:t>
      </w:r>
      <w:r w:rsidRPr="00111042">
        <w:t xml:space="preserve"> presented safety data for </w:t>
      </w:r>
      <w:r w:rsidR="00FE25EF" w:rsidRPr="00111042">
        <w:t xml:space="preserve">risdiplam in </w:t>
      </w:r>
      <w:r w:rsidRPr="00111042">
        <w:t xml:space="preserve">the adult subgroup of SUNFISH and JEWELFISH. </w:t>
      </w:r>
      <w:r w:rsidR="00CB6AEB" w:rsidRPr="000C053F">
        <w:t xml:space="preserve">Total trial safety data for SUNFISH has previously been </w:t>
      </w:r>
      <w:r w:rsidR="00FE25EF" w:rsidRPr="000C053F">
        <w:t xml:space="preserve">considered </w:t>
      </w:r>
      <w:r w:rsidR="00CB6AEB" w:rsidRPr="000C053F">
        <w:t>at the March 2021 PBAC meeting, where the safety data for risdiplam was considered in comparison to placebo.</w:t>
      </w:r>
    </w:p>
    <w:p w14:paraId="614941FB" w14:textId="4739A50F" w:rsidR="00BB0DCA" w:rsidRPr="00111042" w:rsidRDefault="00E25A51" w:rsidP="00BB0DCA">
      <w:pPr>
        <w:pStyle w:val="3-BodyText"/>
      </w:pPr>
      <w:r w:rsidRPr="00111042">
        <w:fldChar w:fldCharType="begin"/>
      </w:r>
      <w:r w:rsidRPr="00111042">
        <w:instrText xml:space="preserve"> REF _Ref121771810 \h </w:instrText>
      </w:r>
      <w:r w:rsidRPr="00111042">
        <w:fldChar w:fldCharType="separate"/>
      </w:r>
      <w:r w:rsidR="00D45640" w:rsidRPr="00111042">
        <w:t xml:space="preserve">Table </w:t>
      </w:r>
      <w:r w:rsidR="00D45640">
        <w:rPr>
          <w:noProof/>
        </w:rPr>
        <w:t>10</w:t>
      </w:r>
      <w:r w:rsidRPr="00111042">
        <w:fldChar w:fldCharType="end"/>
      </w:r>
      <w:r w:rsidR="007453FC" w:rsidRPr="00111042">
        <w:t xml:space="preserve"> presents an overview of adverse events (AEs) in the adult subgroups of SUNFISH and JEWELFISH</w:t>
      </w:r>
      <w:r w:rsidR="0068261D" w:rsidRPr="00111042">
        <w:t>.</w:t>
      </w:r>
    </w:p>
    <w:p w14:paraId="1066C351" w14:textId="578A776B" w:rsidR="00E25A51" w:rsidRPr="00111042" w:rsidRDefault="00E25A51" w:rsidP="0087520A">
      <w:pPr>
        <w:pStyle w:val="Caption"/>
      </w:pPr>
      <w:bookmarkStart w:id="32" w:name="_Ref121771810"/>
      <w:r w:rsidRPr="00111042">
        <w:t xml:space="preserve">Table </w:t>
      </w:r>
      <w:r w:rsidR="00D45640">
        <w:fldChar w:fldCharType="begin"/>
      </w:r>
      <w:r w:rsidR="00D45640">
        <w:instrText xml:space="preserve"> SEQ Table \* ARABIC </w:instrText>
      </w:r>
      <w:r w:rsidR="00D45640">
        <w:fldChar w:fldCharType="separate"/>
      </w:r>
      <w:r w:rsidR="00D45640">
        <w:rPr>
          <w:noProof/>
        </w:rPr>
        <w:t>10</w:t>
      </w:r>
      <w:r w:rsidR="00D45640">
        <w:rPr>
          <w:noProof/>
        </w:rPr>
        <w:fldChar w:fldCharType="end"/>
      </w:r>
      <w:bookmarkEnd w:id="32"/>
      <w:r w:rsidRPr="00111042">
        <w:t>: Overview of adverse events in adult SMA patients in SUNFISH and JEWESFISH (safety population)</w:t>
      </w:r>
    </w:p>
    <w:tbl>
      <w:tblPr>
        <w:tblW w:w="5000" w:type="pct"/>
        <w:tblLook w:val="0000" w:firstRow="0" w:lastRow="0" w:firstColumn="0" w:lastColumn="0" w:noHBand="0" w:noVBand="0"/>
      </w:tblPr>
      <w:tblGrid>
        <w:gridCol w:w="5174"/>
        <w:gridCol w:w="1991"/>
        <w:gridCol w:w="1852"/>
      </w:tblGrid>
      <w:tr w:rsidR="00B23D1A" w:rsidRPr="00111042" w14:paraId="4CC55FE4" w14:textId="77777777" w:rsidTr="00C35189">
        <w:trPr>
          <w:cantSplit/>
          <w:trHeight w:val="20"/>
          <w:tblHeader/>
        </w:trPr>
        <w:tc>
          <w:tcPr>
            <w:tcW w:w="2869" w:type="pct"/>
            <w:vMerge w:val="restart"/>
            <w:tcBorders>
              <w:top w:val="single" w:sz="4" w:space="0" w:color="auto"/>
              <w:left w:val="single" w:sz="4" w:space="0" w:color="auto"/>
              <w:right w:val="single" w:sz="4" w:space="0" w:color="auto"/>
            </w:tcBorders>
            <w:shd w:val="clear" w:color="auto" w:fill="auto"/>
            <w:vAlign w:val="center"/>
          </w:tcPr>
          <w:p w14:paraId="515FB65E" w14:textId="77777777" w:rsidR="00E25A51" w:rsidRPr="00111042" w:rsidRDefault="00E25A51" w:rsidP="0087520A">
            <w:pPr>
              <w:pStyle w:val="TableHeadingRow"/>
              <w:keepLines/>
              <w:spacing w:after="0"/>
              <w:jc w:val="left"/>
              <w:rPr>
                <w:rFonts w:ascii="Arial Narrow" w:hAnsi="Arial Narrow"/>
              </w:rPr>
            </w:pPr>
            <w:r w:rsidRPr="00111042">
              <w:rPr>
                <w:rFonts w:ascii="Arial Narrow" w:hAnsi="Arial Narrow"/>
              </w:rPr>
              <w:t>Adverse event</w:t>
            </w:r>
          </w:p>
        </w:tc>
        <w:tc>
          <w:tcPr>
            <w:tcW w:w="2131" w:type="pct"/>
            <w:gridSpan w:val="2"/>
            <w:tcBorders>
              <w:top w:val="single" w:sz="4" w:space="0" w:color="auto"/>
              <w:left w:val="nil"/>
              <w:bottom w:val="single" w:sz="4" w:space="0" w:color="auto"/>
              <w:right w:val="single" w:sz="4" w:space="0" w:color="auto"/>
            </w:tcBorders>
            <w:shd w:val="clear" w:color="auto" w:fill="auto"/>
          </w:tcPr>
          <w:p w14:paraId="5FE419F9" w14:textId="77777777" w:rsidR="00E25A51" w:rsidRPr="00111042" w:rsidRDefault="00E25A51" w:rsidP="0087520A">
            <w:pPr>
              <w:pStyle w:val="TableHeadingRow"/>
              <w:keepLines/>
              <w:spacing w:after="0"/>
              <w:rPr>
                <w:rFonts w:ascii="Arial Narrow" w:hAnsi="Arial Narrow"/>
              </w:rPr>
            </w:pPr>
            <w:r w:rsidRPr="00111042">
              <w:rPr>
                <w:rFonts w:ascii="Arial Narrow" w:hAnsi="Arial Narrow"/>
              </w:rPr>
              <w:t>Number of patients (%)</w:t>
            </w:r>
          </w:p>
        </w:tc>
      </w:tr>
      <w:tr w:rsidR="00B23D1A" w:rsidRPr="00111042" w14:paraId="054279DC" w14:textId="77777777" w:rsidTr="00C35189">
        <w:trPr>
          <w:trHeight w:val="20"/>
          <w:tblHeader/>
        </w:trPr>
        <w:tc>
          <w:tcPr>
            <w:tcW w:w="2869" w:type="pct"/>
            <w:vMerge/>
            <w:tcBorders>
              <w:left w:val="single" w:sz="4" w:space="0" w:color="auto"/>
              <w:bottom w:val="single" w:sz="4" w:space="0" w:color="auto"/>
              <w:right w:val="single" w:sz="4" w:space="0" w:color="auto"/>
            </w:tcBorders>
            <w:shd w:val="clear" w:color="auto" w:fill="auto"/>
            <w:vAlign w:val="center"/>
          </w:tcPr>
          <w:p w14:paraId="4AFC8006" w14:textId="77777777" w:rsidR="00E25A51" w:rsidRPr="00111042" w:rsidRDefault="00E25A51" w:rsidP="0087520A">
            <w:pPr>
              <w:pStyle w:val="TableHeadingRow"/>
              <w:keepLines/>
              <w:spacing w:after="0"/>
              <w:rPr>
                <w:rFonts w:ascii="Arial Narrow" w:hAnsi="Arial Narrow"/>
              </w:rPr>
            </w:pPr>
          </w:p>
        </w:tc>
        <w:tc>
          <w:tcPr>
            <w:tcW w:w="1104" w:type="pct"/>
            <w:tcBorders>
              <w:top w:val="single" w:sz="4" w:space="0" w:color="auto"/>
              <w:left w:val="nil"/>
              <w:bottom w:val="single" w:sz="4" w:space="0" w:color="auto"/>
              <w:right w:val="single" w:sz="4" w:space="0" w:color="auto"/>
            </w:tcBorders>
            <w:shd w:val="clear" w:color="auto" w:fill="auto"/>
          </w:tcPr>
          <w:p w14:paraId="53C849FC" w14:textId="77777777" w:rsidR="00E25A51" w:rsidRPr="00111042" w:rsidRDefault="00E25A51" w:rsidP="0087520A">
            <w:pPr>
              <w:pStyle w:val="TableHeadingRow"/>
              <w:keepLines/>
              <w:spacing w:after="0"/>
              <w:rPr>
                <w:rFonts w:ascii="Arial Narrow" w:hAnsi="Arial Narrow"/>
              </w:rPr>
            </w:pPr>
            <w:r w:rsidRPr="00111042">
              <w:rPr>
                <w:rFonts w:ascii="Arial Narrow" w:hAnsi="Arial Narrow"/>
              </w:rPr>
              <w:t>SUNFISH</w:t>
            </w:r>
          </w:p>
          <w:p w14:paraId="45CB204A" w14:textId="77777777" w:rsidR="00E25A51" w:rsidRPr="0087520A" w:rsidRDefault="00E25A51" w:rsidP="0087520A">
            <w:pPr>
              <w:pStyle w:val="TableHeadingRow"/>
              <w:keepLines/>
              <w:spacing w:after="0"/>
              <w:rPr>
                <w:rFonts w:ascii="Arial Narrow" w:hAnsi="Arial Narrow"/>
                <w:vertAlign w:val="superscript"/>
              </w:rPr>
            </w:pPr>
            <w:r w:rsidRPr="0087520A">
              <w:rPr>
                <w:rFonts w:ascii="Arial Narrow" w:hAnsi="Arial Narrow"/>
              </w:rPr>
              <w:t xml:space="preserve">N=22 </w:t>
            </w:r>
            <w:r w:rsidRPr="0087520A">
              <w:rPr>
                <w:rFonts w:ascii="Arial Narrow" w:hAnsi="Arial Narrow"/>
                <w:vertAlign w:val="superscript"/>
              </w:rPr>
              <w:t>a</w:t>
            </w:r>
          </w:p>
        </w:tc>
        <w:tc>
          <w:tcPr>
            <w:tcW w:w="1027" w:type="pct"/>
            <w:tcBorders>
              <w:top w:val="single" w:sz="4" w:space="0" w:color="auto"/>
              <w:left w:val="single" w:sz="4" w:space="0" w:color="auto"/>
              <w:bottom w:val="single" w:sz="4" w:space="0" w:color="auto"/>
              <w:right w:val="single" w:sz="4" w:space="0" w:color="auto"/>
            </w:tcBorders>
            <w:shd w:val="clear" w:color="auto" w:fill="auto"/>
            <w:vAlign w:val="center"/>
          </w:tcPr>
          <w:p w14:paraId="1CA28543" w14:textId="77777777" w:rsidR="00E25A51" w:rsidRPr="00111042" w:rsidRDefault="00E25A51" w:rsidP="0087520A">
            <w:pPr>
              <w:pStyle w:val="TableHeadingRow"/>
              <w:keepLines/>
              <w:spacing w:after="0"/>
              <w:rPr>
                <w:rFonts w:ascii="Arial Narrow" w:hAnsi="Arial Narrow"/>
              </w:rPr>
            </w:pPr>
            <w:r w:rsidRPr="00111042">
              <w:rPr>
                <w:rFonts w:ascii="Arial Narrow" w:hAnsi="Arial Narrow"/>
              </w:rPr>
              <w:t>JEWELFISH</w:t>
            </w:r>
          </w:p>
          <w:p w14:paraId="21DF0EAB" w14:textId="77777777" w:rsidR="00E25A51" w:rsidRPr="00111042" w:rsidRDefault="00E25A51" w:rsidP="0087520A">
            <w:pPr>
              <w:pStyle w:val="TableHeadingRow"/>
              <w:keepLines/>
              <w:spacing w:after="0"/>
              <w:rPr>
                <w:rFonts w:ascii="Arial Narrow" w:hAnsi="Arial Narrow"/>
              </w:rPr>
            </w:pPr>
            <w:r w:rsidRPr="00111042">
              <w:rPr>
                <w:rFonts w:ascii="Arial Narrow" w:hAnsi="Arial Narrow"/>
              </w:rPr>
              <w:t>N=63</w:t>
            </w:r>
          </w:p>
        </w:tc>
      </w:tr>
      <w:tr w:rsidR="00B23D1A" w:rsidRPr="00111042" w14:paraId="34C2A26C" w14:textId="77777777" w:rsidTr="00C35189">
        <w:trPr>
          <w:trHeight w:val="20"/>
        </w:trPr>
        <w:tc>
          <w:tcPr>
            <w:tcW w:w="2869" w:type="pct"/>
            <w:tcBorders>
              <w:top w:val="single" w:sz="4" w:space="0" w:color="auto"/>
              <w:left w:val="single" w:sz="4" w:space="0" w:color="auto"/>
              <w:right w:val="single" w:sz="4" w:space="0" w:color="auto"/>
            </w:tcBorders>
          </w:tcPr>
          <w:p w14:paraId="6249A830"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Total number of patients with at least one AE</w:t>
            </w:r>
          </w:p>
        </w:tc>
        <w:tc>
          <w:tcPr>
            <w:tcW w:w="1104" w:type="pct"/>
            <w:vMerge w:val="restart"/>
            <w:tcBorders>
              <w:top w:val="single" w:sz="4" w:space="0" w:color="auto"/>
              <w:left w:val="nil"/>
              <w:right w:val="single" w:sz="4" w:space="0" w:color="auto"/>
            </w:tcBorders>
          </w:tcPr>
          <w:p w14:paraId="3EC62D47" w14:textId="10F462D0"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13 (</w:t>
            </w:r>
            <w:r w:rsidR="00B65774" w:rsidRPr="0087520A">
              <w:rPr>
                <w:rFonts w:ascii="Arial Narrow" w:hAnsi="Arial Narrow" w:cstheme="minorHAnsi"/>
              </w:rPr>
              <w:t>59.1</w:t>
            </w:r>
            <w:r w:rsidRPr="0087520A">
              <w:rPr>
                <w:rFonts w:ascii="Arial Narrow" w:hAnsi="Arial Narrow" w:cstheme="minorHAnsi"/>
              </w:rPr>
              <w:t>%)</w:t>
            </w:r>
          </w:p>
          <w:p w14:paraId="53C3CF96" w14:textId="77777777"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133</w:t>
            </w:r>
          </w:p>
          <w:p w14:paraId="19FFA2AF" w14:textId="77777777"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0</w:t>
            </w:r>
          </w:p>
          <w:p w14:paraId="7F10CA58" w14:textId="77777777"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0</w:t>
            </w:r>
          </w:p>
        </w:tc>
        <w:tc>
          <w:tcPr>
            <w:tcW w:w="1027" w:type="pct"/>
            <w:tcBorders>
              <w:top w:val="single" w:sz="4" w:space="0" w:color="auto"/>
              <w:left w:val="single" w:sz="4" w:space="0" w:color="auto"/>
              <w:right w:val="single" w:sz="4" w:space="0" w:color="auto"/>
            </w:tcBorders>
          </w:tcPr>
          <w:p w14:paraId="422F89B4" w14:textId="37312F2D" w:rsidR="00E25A51" w:rsidRPr="0087520A" w:rsidRDefault="00E25A51" w:rsidP="0087520A">
            <w:pPr>
              <w:pStyle w:val="TableText1"/>
              <w:keepNext/>
              <w:keepLines/>
              <w:spacing w:after="0"/>
              <w:jc w:val="center"/>
              <w:rPr>
                <w:rFonts w:ascii="Arial Narrow" w:hAnsi="Arial Narrow" w:cstheme="minorHAnsi"/>
                <w:vertAlign w:val="superscript"/>
              </w:rPr>
            </w:pPr>
            <w:r w:rsidRPr="0087520A">
              <w:rPr>
                <w:rFonts w:ascii="Arial Narrow" w:hAnsi="Arial Narrow" w:cstheme="minorHAnsi"/>
              </w:rPr>
              <w:t>17 (27.0%)</w:t>
            </w:r>
          </w:p>
        </w:tc>
      </w:tr>
      <w:tr w:rsidR="00B23D1A" w:rsidRPr="00111042" w14:paraId="30C4BE0D" w14:textId="77777777" w:rsidTr="00C35189">
        <w:trPr>
          <w:trHeight w:val="20"/>
        </w:trPr>
        <w:tc>
          <w:tcPr>
            <w:tcW w:w="2869" w:type="pct"/>
            <w:tcBorders>
              <w:left w:val="single" w:sz="4" w:space="0" w:color="auto"/>
              <w:right w:val="single" w:sz="4" w:space="0" w:color="auto"/>
            </w:tcBorders>
          </w:tcPr>
          <w:p w14:paraId="29DDCF85"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Total number of AEs</w:t>
            </w:r>
          </w:p>
        </w:tc>
        <w:tc>
          <w:tcPr>
            <w:tcW w:w="1104" w:type="pct"/>
            <w:vMerge/>
            <w:tcBorders>
              <w:left w:val="nil"/>
              <w:right w:val="single" w:sz="4" w:space="0" w:color="auto"/>
            </w:tcBorders>
          </w:tcPr>
          <w:p w14:paraId="3D6EE354" w14:textId="77777777" w:rsidR="00E25A51" w:rsidRPr="00111042" w:rsidRDefault="00E25A51" w:rsidP="0087520A">
            <w:pPr>
              <w:pStyle w:val="TableText1"/>
              <w:keepNext/>
              <w:keepLines/>
              <w:spacing w:after="0"/>
              <w:rPr>
                <w:rFonts w:ascii="Arial Narrow" w:hAnsi="Arial Narrow" w:cstheme="minorHAnsi"/>
              </w:rPr>
            </w:pPr>
          </w:p>
        </w:tc>
        <w:tc>
          <w:tcPr>
            <w:tcW w:w="1027" w:type="pct"/>
            <w:tcBorders>
              <w:left w:val="single" w:sz="4" w:space="0" w:color="auto"/>
              <w:right w:val="single" w:sz="4" w:space="0" w:color="auto"/>
            </w:tcBorders>
          </w:tcPr>
          <w:p w14:paraId="6213E854"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37</w:t>
            </w:r>
          </w:p>
        </w:tc>
      </w:tr>
      <w:tr w:rsidR="00B23D1A" w:rsidRPr="00111042" w14:paraId="4FBB5E09" w14:textId="77777777" w:rsidTr="00C35189">
        <w:trPr>
          <w:trHeight w:val="20"/>
        </w:trPr>
        <w:tc>
          <w:tcPr>
            <w:tcW w:w="2869" w:type="pct"/>
            <w:tcBorders>
              <w:left w:val="single" w:sz="4" w:space="0" w:color="auto"/>
              <w:right w:val="single" w:sz="4" w:space="0" w:color="auto"/>
            </w:tcBorders>
          </w:tcPr>
          <w:p w14:paraId="06BBC2E8"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Total number of deaths</w:t>
            </w:r>
          </w:p>
        </w:tc>
        <w:tc>
          <w:tcPr>
            <w:tcW w:w="1104" w:type="pct"/>
            <w:vMerge/>
            <w:tcBorders>
              <w:left w:val="nil"/>
              <w:right w:val="single" w:sz="4" w:space="0" w:color="auto"/>
            </w:tcBorders>
          </w:tcPr>
          <w:p w14:paraId="6C30EB03" w14:textId="77777777" w:rsidR="00E25A51" w:rsidRPr="00111042" w:rsidRDefault="00E25A51" w:rsidP="0087520A">
            <w:pPr>
              <w:pStyle w:val="TableText1"/>
              <w:keepNext/>
              <w:keepLines/>
              <w:spacing w:after="0"/>
              <w:rPr>
                <w:rFonts w:ascii="Arial Narrow" w:hAnsi="Arial Narrow" w:cstheme="minorHAnsi"/>
              </w:rPr>
            </w:pPr>
          </w:p>
        </w:tc>
        <w:tc>
          <w:tcPr>
            <w:tcW w:w="1027" w:type="pct"/>
            <w:tcBorders>
              <w:left w:val="single" w:sz="4" w:space="0" w:color="auto"/>
              <w:right w:val="single" w:sz="4" w:space="0" w:color="auto"/>
            </w:tcBorders>
          </w:tcPr>
          <w:p w14:paraId="2BB4BCCA"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0</w:t>
            </w:r>
          </w:p>
        </w:tc>
      </w:tr>
      <w:tr w:rsidR="00B23D1A" w:rsidRPr="00111042" w14:paraId="6D86B64A" w14:textId="77777777" w:rsidTr="00C35189">
        <w:trPr>
          <w:trHeight w:val="20"/>
        </w:trPr>
        <w:tc>
          <w:tcPr>
            <w:tcW w:w="2869" w:type="pct"/>
            <w:tcBorders>
              <w:left w:val="single" w:sz="4" w:space="0" w:color="auto"/>
              <w:right w:val="single" w:sz="4" w:space="0" w:color="auto"/>
            </w:tcBorders>
          </w:tcPr>
          <w:p w14:paraId="62135223"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Total number of patients withdrawn from study due to an AE</w:t>
            </w:r>
          </w:p>
        </w:tc>
        <w:tc>
          <w:tcPr>
            <w:tcW w:w="1104" w:type="pct"/>
            <w:vMerge/>
            <w:tcBorders>
              <w:left w:val="nil"/>
              <w:bottom w:val="single" w:sz="4" w:space="0" w:color="auto"/>
              <w:right w:val="single" w:sz="4" w:space="0" w:color="auto"/>
            </w:tcBorders>
          </w:tcPr>
          <w:p w14:paraId="1A4304E0" w14:textId="77777777" w:rsidR="00E25A51" w:rsidRPr="00111042" w:rsidRDefault="00E25A51" w:rsidP="0087520A">
            <w:pPr>
              <w:pStyle w:val="TableText1"/>
              <w:keepNext/>
              <w:keepLines/>
              <w:spacing w:after="0"/>
              <w:rPr>
                <w:rFonts w:ascii="Arial Narrow" w:hAnsi="Arial Narrow" w:cstheme="minorHAnsi"/>
              </w:rPr>
            </w:pPr>
          </w:p>
        </w:tc>
        <w:tc>
          <w:tcPr>
            <w:tcW w:w="1027" w:type="pct"/>
            <w:tcBorders>
              <w:left w:val="single" w:sz="4" w:space="0" w:color="auto"/>
              <w:right w:val="single" w:sz="4" w:space="0" w:color="auto"/>
            </w:tcBorders>
          </w:tcPr>
          <w:p w14:paraId="181EB807"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NR</w:t>
            </w:r>
          </w:p>
        </w:tc>
      </w:tr>
      <w:tr w:rsidR="00B23D1A" w:rsidRPr="00111042" w14:paraId="7FE122A2" w14:textId="77777777" w:rsidTr="00C35189">
        <w:trPr>
          <w:trHeight w:val="20"/>
        </w:trPr>
        <w:tc>
          <w:tcPr>
            <w:tcW w:w="2869" w:type="pct"/>
            <w:tcBorders>
              <w:top w:val="single" w:sz="4" w:space="0" w:color="auto"/>
              <w:left w:val="single" w:sz="4" w:space="0" w:color="auto"/>
              <w:right w:val="single" w:sz="4" w:space="0" w:color="auto"/>
            </w:tcBorders>
          </w:tcPr>
          <w:p w14:paraId="640C153D"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Total number of patients with at least one:</w:t>
            </w:r>
          </w:p>
        </w:tc>
        <w:tc>
          <w:tcPr>
            <w:tcW w:w="1104" w:type="pct"/>
            <w:tcBorders>
              <w:top w:val="single" w:sz="4" w:space="0" w:color="auto"/>
              <w:left w:val="single" w:sz="4" w:space="0" w:color="auto"/>
              <w:right w:val="single" w:sz="4" w:space="0" w:color="auto"/>
            </w:tcBorders>
          </w:tcPr>
          <w:p w14:paraId="3E97B5C7" w14:textId="77777777" w:rsidR="00E25A51" w:rsidRPr="00111042" w:rsidRDefault="00E25A51" w:rsidP="0087520A">
            <w:pPr>
              <w:pStyle w:val="TableText1"/>
              <w:keepNext/>
              <w:keepLines/>
              <w:spacing w:after="0"/>
              <w:rPr>
                <w:rFonts w:ascii="Arial Narrow" w:hAnsi="Arial Narrow" w:cstheme="minorHAnsi"/>
              </w:rPr>
            </w:pPr>
          </w:p>
        </w:tc>
        <w:tc>
          <w:tcPr>
            <w:tcW w:w="1027" w:type="pct"/>
            <w:tcBorders>
              <w:top w:val="single" w:sz="4" w:space="0" w:color="auto"/>
              <w:left w:val="single" w:sz="4" w:space="0" w:color="auto"/>
              <w:right w:val="single" w:sz="4" w:space="0" w:color="auto"/>
            </w:tcBorders>
          </w:tcPr>
          <w:p w14:paraId="5D256D5B" w14:textId="77777777" w:rsidR="00E25A51" w:rsidRPr="00111042" w:rsidRDefault="00E25A51" w:rsidP="0087520A">
            <w:pPr>
              <w:pStyle w:val="TableText1"/>
              <w:keepNext/>
              <w:keepLines/>
              <w:spacing w:after="0"/>
              <w:jc w:val="center"/>
              <w:rPr>
                <w:rFonts w:ascii="Arial Narrow" w:hAnsi="Arial Narrow" w:cstheme="minorHAnsi"/>
              </w:rPr>
            </w:pPr>
          </w:p>
        </w:tc>
      </w:tr>
      <w:tr w:rsidR="00B23D1A" w:rsidRPr="00111042" w14:paraId="3D789E26" w14:textId="77777777" w:rsidTr="00C35189">
        <w:trPr>
          <w:trHeight w:val="20"/>
        </w:trPr>
        <w:tc>
          <w:tcPr>
            <w:tcW w:w="2869" w:type="pct"/>
            <w:tcBorders>
              <w:left w:val="single" w:sz="4" w:space="0" w:color="auto"/>
              <w:right w:val="single" w:sz="4" w:space="0" w:color="auto"/>
            </w:tcBorders>
          </w:tcPr>
          <w:p w14:paraId="7AFA943D"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AE with fatal outcome</w:t>
            </w:r>
          </w:p>
        </w:tc>
        <w:tc>
          <w:tcPr>
            <w:tcW w:w="1104" w:type="pct"/>
            <w:tcBorders>
              <w:left w:val="single" w:sz="4" w:space="0" w:color="auto"/>
              <w:right w:val="single" w:sz="4" w:space="0" w:color="auto"/>
            </w:tcBorders>
          </w:tcPr>
          <w:p w14:paraId="7A15DDDF"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0</w:t>
            </w:r>
          </w:p>
        </w:tc>
        <w:tc>
          <w:tcPr>
            <w:tcW w:w="1027" w:type="pct"/>
            <w:tcBorders>
              <w:left w:val="single" w:sz="4" w:space="0" w:color="auto"/>
              <w:right w:val="single" w:sz="4" w:space="0" w:color="auto"/>
            </w:tcBorders>
          </w:tcPr>
          <w:p w14:paraId="33ED9BA3"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0</w:t>
            </w:r>
          </w:p>
        </w:tc>
      </w:tr>
      <w:tr w:rsidR="00B23D1A" w:rsidRPr="00111042" w14:paraId="38C14DFB" w14:textId="77777777" w:rsidTr="00C35189">
        <w:trPr>
          <w:trHeight w:val="20"/>
        </w:trPr>
        <w:tc>
          <w:tcPr>
            <w:tcW w:w="2869" w:type="pct"/>
            <w:tcBorders>
              <w:left w:val="single" w:sz="4" w:space="0" w:color="auto"/>
              <w:right w:val="single" w:sz="4" w:space="0" w:color="auto"/>
            </w:tcBorders>
          </w:tcPr>
          <w:p w14:paraId="5757DACA"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Serious AE</w:t>
            </w:r>
          </w:p>
        </w:tc>
        <w:tc>
          <w:tcPr>
            <w:tcW w:w="1104" w:type="pct"/>
            <w:tcBorders>
              <w:left w:val="single" w:sz="4" w:space="0" w:color="auto"/>
              <w:right w:val="single" w:sz="4" w:space="0" w:color="auto"/>
            </w:tcBorders>
          </w:tcPr>
          <w:p w14:paraId="6071600E" w14:textId="301AF484"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1 (</w:t>
            </w:r>
            <w:r w:rsidR="001603AA" w:rsidRPr="0087520A">
              <w:rPr>
                <w:rFonts w:ascii="Arial Narrow" w:hAnsi="Arial Narrow" w:cstheme="minorHAnsi"/>
              </w:rPr>
              <w:t>4.5</w:t>
            </w:r>
            <w:r w:rsidRPr="0087520A">
              <w:rPr>
                <w:rFonts w:ascii="Arial Narrow" w:hAnsi="Arial Narrow" w:cstheme="minorHAnsi"/>
              </w:rPr>
              <w:t>%)</w:t>
            </w:r>
          </w:p>
        </w:tc>
        <w:tc>
          <w:tcPr>
            <w:tcW w:w="1027" w:type="pct"/>
            <w:tcBorders>
              <w:left w:val="single" w:sz="4" w:space="0" w:color="auto"/>
              <w:right w:val="single" w:sz="4" w:space="0" w:color="auto"/>
            </w:tcBorders>
          </w:tcPr>
          <w:p w14:paraId="787EEFC5"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0</w:t>
            </w:r>
          </w:p>
        </w:tc>
      </w:tr>
      <w:tr w:rsidR="00B23D1A" w:rsidRPr="00111042" w14:paraId="7CDDF556" w14:textId="77777777" w:rsidTr="00C35189">
        <w:trPr>
          <w:trHeight w:val="20"/>
        </w:trPr>
        <w:tc>
          <w:tcPr>
            <w:tcW w:w="2869" w:type="pct"/>
            <w:tcBorders>
              <w:left w:val="single" w:sz="4" w:space="0" w:color="auto"/>
              <w:right w:val="single" w:sz="4" w:space="0" w:color="auto"/>
            </w:tcBorders>
          </w:tcPr>
          <w:p w14:paraId="6AD961EF"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Serious AE leading to withdrawal from treatment</w:t>
            </w:r>
          </w:p>
        </w:tc>
        <w:tc>
          <w:tcPr>
            <w:tcW w:w="1104" w:type="pct"/>
            <w:tcBorders>
              <w:left w:val="single" w:sz="4" w:space="0" w:color="auto"/>
              <w:right w:val="single" w:sz="4" w:space="0" w:color="auto"/>
            </w:tcBorders>
          </w:tcPr>
          <w:p w14:paraId="308F002B" w14:textId="77777777"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0</w:t>
            </w:r>
          </w:p>
        </w:tc>
        <w:tc>
          <w:tcPr>
            <w:tcW w:w="1027" w:type="pct"/>
            <w:tcBorders>
              <w:left w:val="single" w:sz="4" w:space="0" w:color="auto"/>
              <w:right w:val="single" w:sz="4" w:space="0" w:color="auto"/>
            </w:tcBorders>
          </w:tcPr>
          <w:p w14:paraId="79062C49"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NR</w:t>
            </w:r>
          </w:p>
        </w:tc>
      </w:tr>
      <w:tr w:rsidR="00B23D1A" w:rsidRPr="00111042" w14:paraId="1680CA9E" w14:textId="77777777" w:rsidTr="00C35189">
        <w:trPr>
          <w:trHeight w:val="20"/>
        </w:trPr>
        <w:tc>
          <w:tcPr>
            <w:tcW w:w="2869" w:type="pct"/>
            <w:tcBorders>
              <w:left w:val="single" w:sz="4" w:space="0" w:color="auto"/>
              <w:right w:val="single" w:sz="4" w:space="0" w:color="auto"/>
            </w:tcBorders>
          </w:tcPr>
          <w:p w14:paraId="6A19D827"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Serious AE leading to dose modification/interruption</w:t>
            </w:r>
          </w:p>
        </w:tc>
        <w:tc>
          <w:tcPr>
            <w:tcW w:w="1104" w:type="pct"/>
            <w:tcBorders>
              <w:left w:val="single" w:sz="4" w:space="0" w:color="auto"/>
              <w:right w:val="single" w:sz="4" w:space="0" w:color="auto"/>
            </w:tcBorders>
          </w:tcPr>
          <w:p w14:paraId="7C86505E" w14:textId="15232760"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1 (</w:t>
            </w:r>
            <w:r w:rsidR="001603AA" w:rsidRPr="0087520A">
              <w:rPr>
                <w:rFonts w:ascii="Arial Narrow" w:hAnsi="Arial Narrow" w:cstheme="minorHAnsi"/>
              </w:rPr>
              <w:t>4.5%</w:t>
            </w:r>
            <w:r w:rsidRPr="0087520A">
              <w:rPr>
                <w:rFonts w:ascii="Arial Narrow" w:hAnsi="Arial Narrow" w:cstheme="minorHAnsi"/>
              </w:rPr>
              <w:t>)</w:t>
            </w:r>
          </w:p>
        </w:tc>
        <w:tc>
          <w:tcPr>
            <w:tcW w:w="1027" w:type="pct"/>
            <w:tcBorders>
              <w:left w:val="single" w:sz="4" w:space="0" w:color="auto"/>
              <w:right w:val="single" w:sz="4" w:space="0" w:color="auto"/>
            </w:tcBorders>
          </w:tcPr>
          <w:p w14:paraId="47C61E2F"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NR</w:t>
            </w:r>
          </w:p>
        </w:tc>
      </w:tr>
      <w:tr w:rsidR="00B23D1A" w:rsidRPr="00111042" w14:paraId="78DAC042" w14:textId="77777777" w:rsidTr="00C35189">
        <w:trPr>
          <w:trHeight w:val="20"/>
        </w:trPr>
        <w:tc>
          <w:tcPr>
            <w:tcW w:w="2869" w:type="pct"/>
            <w:tcBorders>
              <w:left w:val="single" w:sz="4" w:space="0" w:color="auto"/>
              <w:right w:val="single" w:sz="4" w:space="0" w:color="auto"/>
            </w:tcBorders>
          </w:tcPr>
          <w:p w14:paraId="65E9C532"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Treatment Related Serious AE</w:t>
            </w:r>
          </w:p>
        </w:tc>
        <w:tc>
          <w:tcPr>
            <w:tcW w:w="1104" w:type="pct"/>
            <w:tcBorders>
              <w:left w:val="single" w:sz="4" w:space="0" w:color="auto"/>
              <w:right w:val="single" w:sz="4" w:space="0" w:color="auto"/>
            </w:tcBorders>
          </w:tcPr>
          <w:p w14:paraId="543EF909" w14:textId="77777777"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0</w:t>
            </w:r>
          </w:p>
        </w:tc>
        <w:tc>
          <w:tcPr>
            <w:tcW w:w="1027" w:type="pct"/>
            <w:tcBorders>
              <w:left w:val="single" w:sz="4" w:space="0" w:color="auto"/>
              <w:right w:val="single" w:sz="4" w:space="0" w:color="auto"/>
            </w:tcBorders>
          </w:tcPr>
          <w:p w14:paraId="0EE4C15D"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NR</w:t>
            </w:r>
          </w:p>
        </w:tc>
      </w:tr>
      <w:tr w:rsidR="00B23D1A" w:rsidRPr="00111042" w14:paraId="1CB5EE20" w14:textId="77777777" w:rsidTr="00C35189">
        <w:trPr>
          <w:trHeight w:val="20"/>
        </w:trPr>
        <w:tc>
          <w:tcPr>
            <w:tcW w:w="2869" w:type="pct"/>
            <w:tcBorders>
              <w:left w:val="single" w:sz="4" w:space="0" w:color="auto"/>
              <w:right w:val="single" w:sz="4" w:space="0" w:color="auto"/>
            </w:tcBorders>
          </w:tcPr>
          <w:p w14:paraId="7B0E9C02"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AE leading to withdrawal from treatment</w:t>
            </w:r>
          </w:p>
        </w:tc>
        <w:tc>
          <w:tcPr>
            <w:tcW w:w="1104" w:type="pct"/>
            <w:tcBorders>
              <w:left w:val="single" w:sz="4" w:space="0" w:color="auto"/>
              <w:right w:val="single" w:sz="4" w:space="0" w:color="auto"/>
            </w:tcBorders>
          </w:tcPr>
          <w:p w14:paraId="7A83F8A0" w14:textId="77777777"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0</w:t>
            </w:r>
          </w:p>
        </w:tc>
        <w:tc>
          <w:tcPr>
            <w:tcW w:w="1027" w:type="pct"/>
            <w:tcBorders>
              <w:left w:val="single" w:sz="4" w:space="0" w:color="auto"/>
              <w:right w:val="single" w:sz="4" w:space="0" w:color="auto"/>
            </w:tcBorders>
          </w:tcPr>
          <w:p w14:paraId="33E614BA"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NR</w:t>
            </w:r>
          </w:p>
        </w:tc>
      </w:tr>
      <w:tr w:rsidR="00B23D1A" w:rsidRPr="00111042" w14:paraId="3B51D125" w14:textId="77777777" w:rsidTr="00C35189">
        <w:trPr>
          <w:trHeight w:val="20"/>
        </w:trPr>
        <w:tc>
          <w:tcPr>
            <w:tcW w:w="2869" w:type="pct"/>
            <w:tcBorders>
              <w:left w:val="single" w:sz="4" w:space="0" w:color="auto"/>
              <w:right w:val="single" w:sz="4" w:space="0" w:color="auto"/>
            </w:tcBorders>
          </w:tcPr>
          <w:p w14:paraId="0A7D1134"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AE leading to dose modification/interruption</w:t>
            </w:r>
          </w:p>
        </w:tc>
        <w:tc>
          <w:tcPr>
            <w:tcW w:w="1104" w:type="pct"/>
            <w:tcBorders>
              <w:left w:val="single" w:sz="4" w:space="0" w:color="auto"/>
              <w:right w:val="single" w:sz="4" w:space="0" w:color="auto"/>
            </w:tcBorders>
          </w:tcPr>
          <w:p w14:paraId="7B09A79E" w14:textId="00AA42EE"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1 (</w:t>
            </w:r>
            <w:r w:rsidR="001603AA" w:rsidRPr="0087520A">
              <w:rPr>
                <w:rFonts w:ascii="Arial Narrow" w:hAnsi="Arial Narrow" w:cstheme="minorHAnsi"/>
              </w:rPr>
              <w:t>4.5%)</w:t>
            </w:r>
          </w:p>
        </w:tc>
        <w:tc>
          <w:tcPr>
            <w:tcW w:w="1027" w:type="pct"/>
            <w:tcBorders>
              <w:left w:val="single" w:sz="4" w:space="0" w:color="auto"/>
              <w:right w:val="single" w:sz="4" w:space="0" w:color="auto"/>
            </w:tcBorders>
          </w:tcPr>
          <w:p w14:paraId="3C704D4A"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NR</w:t>
            </w:r>
          </w:p>
        </w:tc>
      </w:tr>
      <w:tr w:rsidR="00B23D1A" w:rsidRPr="00111042" w14:paraId="70C99CB3" w14:textId="77777777" w:rsidTr="00C35189">
        <w:trPr>
          <w:trHeight w:val="20"/>
        </w:trPr>
        <w:tc>
          <w:tcPr>
            <w:tcW w:w="2869" w:type="pct"/>
            <w:tcBorders>
              <w:left w:val="single" w:sz="4" w:space="0" w:color="auto"/>
              <w:right w:val="single" w:sz="4" w:space="0" w:color="auto"/>
            </w:tcBorders>
          </w:tcPr>
          <w:p w14:paraId="4CD15A4C"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Treatment related AE</w:t>
            </w:r>
          </w:p>
        </w:tc>
        <w:tc>
          <w:tcPr>
            <w:tcW w:w="1104" w:type="pct"/>
            <w:tcBorders>
              <w:left w:val="single" w:sz="4" w:space="0" w:color="auto"/>
              <w:right w:val="single" w:sz="4" w:space="0" w:color="auto"/>
            </w:tcBorders>
          </w:tcPr>
          <w:p w14:paraId="1681F7FE" w14:textId="1ED648A7"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2 (</w:t>
            </w:r>
            <w:r w:rsidR="00BD6AAF" w:rsidRPr="0087520A">
              <w:rPr>
                <w:rFonts w:ascii="Arial Narrow" w:hAnsi="Arial Narrow" w:cstheme="minorHAnsi"/>
              </w:rPr>
              <w:t>9.1%</w:t>
            </w:r>
            <w:r w:rsidRPr="0087520A">
              <w:rPr>
                <w:rFonts w:ascii="Arial Narrow" w:hAnsi="Arial Narrow" w:cstheme="minorHAnsi"/>
              </w:rPr>
              <w:t>)</w:t>
            </w:r>
          </w:p>
        </w:tc>
        <w:tc>
          <w:tcPr>
            <w:tcW w:w="1027" w:type="pct"/>
            <w:tcBorders>
              <w:left w:val="single" w:sz="4" w:space="0" w:color="auto"/>
              <w:right w:val="single" w:sz="4" w:space="0" w:color="auto"/>
            </w:tcBorders>
          </w:tcPr>
          <w:p w14:paraId="131391B6"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NR</w:t>
            </w:r>
          </w:p>
        </w:tc>
      </w:tr>
      <w:tr w:rsidR="00B23D1A" w:rsidRPr="00111042" w14:paraId="279A4B5E" w14:textId="77777777" w:rsidTr="00C35189">
        <w:trPr>
          <w:trHeight w:val="20"/>
        </w:trPr>
        <w:tc>
          <w:tcPr>
            <w:tcW w:w="2869" w:type="pct"/>
            <w:tcBorders>
              <w:left w:val="single" w:sz="4" w:space="0" w:color="auto"/>
              <w:right w:val="single" w:sz="4" w:space="0" w:color="auto"/>
            </w:tcBorders>
          </w:tcPr>
          <w:p w14:paraId="018D77F7"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Related AE leading to withdrawal from treatment</w:t>
            </w:r>
          </w:p>
        </w:tc>
        <w:tc>
          <w:tcPr>
            <w:tcW w:w="1104" w:type="pct"/>
            <w:tcBorders>
              <w:left w:val="single" w:sz="4" w:space="0" w:color="auto"/>
              <w:right w:val="single" w:sz="4" w:space="0" w:color="auto"/>
            </w:tcBorders>
          </w:tcPr>
          <w:p w14:paraId="2B3FF8CD" w14:textId="77777777"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0</w:t>
            </w:r>
          </w:p>
        </w:tc>
        <w:tc>
          <w:tcPr>
            <w:tcW w:w="1027" w:type="pct"/>
            <w:tcBorders>
              <w:left w:val="single" w:sz="4" w:space="0" w:color="auto"/>
              <w:right w:val="single" w:sz="4" w:space="0" w:color="auto"/>
            </w:tcBorders>
          </w:tcPr>
          <w:p w14:paraId="5038A18C"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NR</w:t>
            </w:r>
          </w:p>
        </w:tc>
      </w:tr>
      <w:tr w:rsidR="00B23D1A" w:rsidRPr="00111042" w14:paraId="759F1841" w14:textId="77777777" w:rsidTr="00C35189">
        <w:trPr>
          <w:trHeight w:val="20"/>
        </w:trPr>
        <w:tc>
          <w:tcPr>
            <w:tcW w:w="2869" w:type="pct"/>
            <w:tcBorders>
              <w:left w:val="single" w:sz="4" w:space="0" w:color="auto"/>
              <w:right w:val="single" w:sz="4" w:space="0" w:color="auto"/>
            </w:tcBorders>
          </w:tcPr>
          <w:p w14:paraId="654A2CAA"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Related AE leading to dose modification/interruption</w:t>
            </w:r>
          </w:p>
        </w:tc>
        <w:tc>
          <w:tcPr>
            <w:tcW w:w="1104" w:type="pct"/>
            <w:tcBorders>
              <w:left w:val="single" w:sz="4" w:space="0" w:color="auto"/>
              <w:right w:val="single" w:sz="4" w:space="0" w:color="auto"/>
            </w:tcBorders>
          </w:tcPr>
          <w:p w14:paraId="69A05597" w14:textId="77777777"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0</w:t>
            </w:r>
          </w:p>
        </w:tc>
        <w:tc>
          <w:tcPr>
            <w:tcW w:w="1027" w:type="pct"/>
            <w:tcBorders>
              <w:left w:val="single" w:sz="4" w:space="0" w:color="auto"/>
              <w:right w:val="single" w:sz="4" w:space="0" w:color="auto"/>
            </w:tcBorders>
          </w:tcPr>
          <w:p w14:paraId="470067E8"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NR</w:t>
            </w:r>
          </w:p>
        </w:tc>
      </w:tr>
      <w:tr w:rsidR="00B23D1A" w:rsidRPr="00111042" w14:paraId="7A230A69" w14:textId="77777777" w:rsidTr="00C35189">
        <w:trPr>
          <w:trHeight w:val="20"/>
        </w:trPr>
        <w:tc>
          <w:tcPr>
            <w:tcW w:w="2869" w:type="pct"/>
            <w:tcBorders>
              <w:left w:val="single" w:sz="4" w:space="0" w:color="auto"/>
              <w:bottom w:val="single" w:sz="4" w:space="0" w:color="auto"/>
              <w:right w:val="single" w:sz="4" w:space="0" w:color="auto"/>
            </w:tcBorders>
          </w:tcPr>
          <w:p w14:paraId="737261CF" w14:textId="77777777" w:rsidR="00E25A51" w:rsidRPr="00111042" w:rsidRDefault="00E25A51" w:rsidP="0087520A">
            <w:pPr>
              <w:pStyle w:val="TableText1"/>
              <w:keepNext/>
              <w:keepLines/>
              <w:spacing w:after="0"/>
              <w:rPr>
                <w:rFonts w:ascii="Arial Narrow" w:hAnsi="Arial Narrow"/>
              </w:rPr>
            </w:pPr>
            <w:r w:rsidRPr="00111042">
              <w:rPr>
                <w:rFonts w:ascii="Arial Narrow" w:hAnsi="Arial Narrow"/>
              </w:rPr>
              <w:t>Grade 3-5 AE</w:t>
            </w:r>
          </w:p>
        </w:tc>
        <w:tc>
          <w:tcPr>
            <w:tcW w:w="1104" w:type="pct"/>
            <w:tcBorders>
              <w:left w:val="single" w:sz="4" w:space="0" w:color="auto"/>
              <w:bottom w:val="single" w:sz="4" w:space="0" w:color="auto"/>
              <w:right w:val="single" w:sz="4" w:space="0" w:color="auto"/>
            </w:tcBorders>
          </w:tcPr>
          <w:p w14:paraId="061F2722" w14:textId="1DADFE3F" w:rsidR="00E25A51" w:rsidRPr="0087520A" w:rsidRDefault="00E25A51" w:rsidP="0087520A">
            <w:pPr>
              <w:pStyle w:val="TableText1"/>
              <w:keepNext/>
              <w:keepLines/>
              <w:spacing w:after="0"/>
              <w:jc w:val="center"/>
              <w:rPr>
                <w:rFonts w:ascii="Arial Narrow" w:hAnsi="Arial Narrow" w:cstheme="minorHAnsi"/>
              </w:rPr>
            </w:pPr>
            <w:r w:rsidRPr="0087520A">
              <w:rPr>
                <w:rFonts w:ascii="Arial Narrow" w:hAnsi="Arial Narrow" w:cstheme="minorHAnsi"/>
              </w:rPr>
              <w:t>1 (</w:t>
            </w:r>
            <w:r w:rsidR="00BD6AAF" w:rsidRPr="0087520A">
              <w:rPr>
                <w:rFonts w:ascii="Arial Narrow" w:hAnsi="Arial Narrow" w:cstheme="minorHAnsi"/>
              </w:rPr>
              <w:t>4.5%)</w:t>
            </w:r>
          </w:p>
        </w:tc>
        <w:tc>
          <w:tcPr>
            <w:tcW w:w="1027" w:type="pct"/>
            <w:tcBorders>
              <w:left w:val="single" w:sz="4" w:space="0" w:color="auto"/>
              <w:bottom w:val="single" w:sz="4" w:space="0" w:color="auto"/>
              <w:right w:val="single" w:sz="4" w:space="0" w:color="auto"/>
            </w:tcBorders>
          </w:tcPr>
          <w:p w14:paraId="742CEA3D" w14:textId="77777777" w:rsidR="00E25A51" w:rsidRPr="00111042" w:rsidRDefault="00E25A51" w:rsidP="0087520A">
            <w:pPr>
              <w:pStyle w:val="TableText1"/>
              <w:keepNext/>
              <w:keepLines/>
              <w:spacing w:after="0"/>
              <w:jc w:val="center"/>
              <w:rPr>
                <w:rFonts w:ascii="Arial Narrow" w:hAnsi="Arial Narrow" w:cstheme="minorHAnsi"/>
              </w:rPr>
            </w:pPr>
            <w:r w:rsidRPr="00111042">
              <w:rPr>
                <w:rFonts w:ascii="Arial Narrow" w:hAnsi="Arial Narrow" w:cstheme="minorHAnsi"/>
              </w:rPr>
              <w:t>NR</w:t>
            </w:r>
          </w:p>
        </w:tc>
      </w:tr>
    </w:tbl>
    <w:p w14:paraId="637D56D6" w14:textId="77777777" w:rsidR="009F2B52" w:rsidRPr="00111042" w:rsidRDefault="009F2B52" w:rsidP="009F2B52">
      <w:pPr>
        <w:pStyle w:val="FooterTableFigure"/>
        <w:keepNext/>
        <w:keepLines/>
        <w:spacing w:after="0"/>
        <w:rPr>
          <w:szCs w:val="18"/>
          <w:lang w:eastAsia="en-US"/>
        </w:rPr>
      </w:pPr>
      <w:r w:rsidRPr="00111042">
        <w:rPr>
          <w:szCs w:val="18"/>
          <w:lang w:eastAsia="en-US"/>
        </w:rPr>
        <w:t>Source: Table 2.48 (p121) of the resubmission</w:t>
      </w:r>
    </w:p>
    <w:p w14:paraId="26F14399" w14:textId="2EE55C01" w:rsidR="00BB0DCA" w:rsidRPr="004C7359" w:rsidRDefault="00E25A51" w:rsidP="004C7359">
      <w:pPr>
        <w:pStyle w:val="FooterTableFigure"/>
        <w:keepNext/>
        <w:keepLines/>
        <w:rPr>
          <w:szCs w:val="18"/>
          <w:lang w:eastAsia="en-US"/>
        </w:rPr>
      </w:pPr>
      <w:r w:rsidRPr="00111042">
        <w:rPr>
          <w:szCs w:val="18"/>
          <w:lang w:eastAsia="en-US"/>
        </w:rPr>
        <w:t>AE = adverse event; NR = not reported</w:t>
      </w:r>
    </w:p>
    <w:p w14:paraId="76E4B2B3" w14:textId="19E34ECE" w:rsidR="00436C4C" w:rsidRPr="00111042" w:rsidRDefault="00BB0DCA" w:rsidP="00D86231">
      <w:pPr>
        <w:pStyle w:val="3-BodyText"/>
      </w:pPr>
      <w:r w:rsidRPr="000C053F">
        <w:t xml:space="preserve">Safety data for risdiplam patients in the adult subgroup of SUNFISH had a </w:t>
      </w:r>
      <w:r w:rsidR="0087520A">
        <w:t>small</w:t>
      </w:r>
      <w:r w:rsidR="0087520A" w:rsidRPr="000C053F">
        <w:t xml:space="preserve"> </w:t>
      </w:r>
      <w:r w:rsidRPr="000C053F">
        <w:t xml:space="preserve">sample size (n=14), and many AE variables in JEWELFISH were not reported in the adult subgroup, making it difficult to interpret risdiplam safety data </w:t>
      </w:r>
      <w:r w:rsidR="00FE25EF" w:rsidRPr="000C053F">
        <w:t xml:space="preserve">specifically </w:t>
      </w:r>
      <w:r w:rsidRPr="000C053F">
        <w:t>in the adult population. T</w:t>
      </w:r>
      <w:r w:rsidRPr="00111042">
        <w:t>he results show 13/14 (93%) of SUNFISH patients experienced an AE, and one patient (7%) experienced a serious AE (SAE). However, 17 (</w:t>
      </w:r>
      <w:r w:rsidR="008B2730">
        <w:t>27</w:t>
      </w:r>
      <w:r w:rsidRPr="00111042">
        <w:t>%) of JEWELFISH patients experienced an AE, and no patients experienced a</w:t>
      </w:r>
      <w:r w:rsidR="0087520A">
        <w:t>n</w:t>
      </w:r>
      <w:r w:rsidRPr="00111042">
        <w:t xml:space="preserve"> SAE.</w:t>
      </w:r>
    </w:p>
    <w:p w14:paraId="1869B272" w14:textId="57F965F5" w:rsidR="002E6DA8" w:rsidRPr="000C053F" w:rsidRDefault="00436C4C" w:rsidP="00D86231">
      <w:pPr>
        <w:pStyle w:val="3-BodyText"/>
      </w:pPr>
      <w:r w:rsidRPr="00111042">
        <w:t xml:space="preserve">The </w:t>
      </w:r>
      <w:r w:rsidR="00381F60" w:rsidRPr="00111042">
        <w:t>resubmission</w:t>
      </w:r>
      <w:r w:rsidRPr="00111042">
        <w:t xml:space="preserve"> noted safety data reported in the three primary nusinersen adult population studies. The PBAC has previously considered this data from Maggi 2020 and Hagenacker 2020. </w:t>
      </w:r>
      <w:r w:rsidRPr="000C053F">
        <w:t xml:space="preserve">At </w:t>
      </w:r>
      <w:r w:rsidR="0087520A">
        <w:t>its</w:t>
      </w:r>
      <w:r w:rsidR="0087520A" w:rsidRPr="000C053F">
        <w:t xml:space="preserve"> </w:t>
      </w:r>
      <w:r w:rsidRPr="000C053F">
        <w:t>July 2021</w:t>
      </w:r>
      <w:r w:rsidR="0087520A">
        <w:t xml:space="preserve"> meeting</w:t>
      </w:r>
      <w:r w:rsidRPr="000C053F">
        <w:t xml:space="preserve">, the PBAC noted that AEs were </w:t>
      </w:r>
      <w:r w:rsidRPr="000C053F">
        <w:lastRenderedPageBreak/>
        <w:t xml:space="preserve">reported in 41.4% of patients in the Maggi 2020 study and in 47% of patients in the Hagenacker 2020 study. AEs relating to lumbar puncture were frequently observed with post-procedure headaches most commonly reported (Maggi 2020 37.1%; Hagenacker 2020 20%). Other administration-related adverse events such as lumbar puncture pain (Maggi 2020 8.6%) and back pain (Hagenacker 2020 9%) were also reported. </w:t>
      </w:r>
      <w:r w:rsidR="00764998">
        <w:t>T</w:t>
      </w:r>
      <w:r w:rsidRPr="000C053F">
        <w:t>wo patients in Maggi 2020 discontinued treatment after six months due to lack of subjective benefit and poor tolerability of repeated lumbar puncture</w:t>
      </w:r>
      <w:r w:rsidR="0087520A">
        <w:t>. T</w:t>
      </w:r>
      <w:r w:rsidRPr="000C053F">
        <w:t>wo patients in Hagenacker 2020 withdrew from treatment due to drug related AEs</w:t>
      </w:r>
      <w:r w:rsidR="00764998">
        <w:t xml:space="preserve"> </w:t>
      </w:r>
      <w:r w:rsidRPr="000C053F">
        <w:t xml:space="preserve">(para 6.48, nusinersen </w:t>
      </w:r>
      <w:r w:rsidR="00764998">
        <w:t>PSD</w:t>
      </w:r>
      <w:r w:rsidRPr="000C053F">
        <w:t>, July 2021 PBAC meeting</w:t>
      </w:r>
      <w:r w:rsidR="00CF3D00" w:rsidRPr="000C053F">
        <w:t>).</w:t>
      </w:r>
      <w:r w:rsidR="008A330A" w:rsidRPr="000C053F">
        <w:t xml:space="preserve"> </w:t>
      </w:r>
    </w:p>
    <w:p w14:paraId="2335C3B1" w14:textId="7CBB9838" w:rsidR="00A073F9" w:rsidRPr="00111042" w:rsidRDefault="00A073F9" w:rsidP="00A073F9">
      <w:pPr>
        <w:pStyle w:val="3-BodyText"/>
        <w:numPr>
          <w:ilvl w:val="0"/>
          <w:numId w:val="0"/>
        </w:numPr>
        <w:ind w:left="720" w:hanging="720"/>
        <w:rPr>
          <w:u w:val="single"/>
        </w:rPr>
      </w:pPr>
      <w:r w:rsidRPr="00111042">
        <w:rPr>
          <w:u w:val="single"/>
        </w:rPr>
        <w:t xml:space="preserve">Population 2 (pre-symptomatic 1/2 </w:t>
      </w:r>
      <w:r w:rsidR="00AF346B" w:rsidRPr="00AF346B">
        <w:rPr>
          <w:i/>
          <w:u w:val="single"/>
        </w:rPr>
        <w:t>SMN2</w:t>
      </w:r>
      <w:r w:rsidRPr="00111042">
        <w:rPr>
          <w:u w:val="single"/>
        </w:rPr>
        <w:t xml:space="preserve"> gene copy population)</w:t>
      </w:r>
    </w:p>
    <w:p w14:paraId="074F886A" w14:textId="79507EE3" w:rsidR="0056073F" w:rsidRPr="00111042" w:rsidRDefault="00A408F1" w:rsidP="00D86231">
      <w:pPr>
        <w:pStyle w:val="3-BodyText"/>
      </w:pPr>
      <w:r w:rsidRPr="00111042">
        <w:fldChar w:fldCharType="begin"/>
      </w:r>
      <w:r w:rsidRPr="00111042">
        <w:instrText xml:space="preserve"> REF _Ref121772078 \h </w:instrText>
      </w:r>
      <w:r w:rsidRPr="00111042">
        <w:fldChar w:fldCharType="separate"/>
      </w:r>
      <w:r w:rsidR="00D45640" w:rsidRPr="00111042">
        <w:t xml:space="preserve">Table </w:t>
      </w:r>
      <w:r w:rsidR="00D45640">
        <w:rPr>
          <w:noProof/>
        </w:rPr>
        <w:t>11</w:t>
      </w:r>
      <w:r w:rsidRPr="00111042">
        <w:fldChar w:fldCharType="end"/>
      </w:r>
      <w:r w:rsidR="0056073F" w:rsidRPr="00111042">
        <w:t xml:space="preserve"> presents an overview of total trial safety data in RAINBOWFISH and NURTURE.</w:t>
      </w:r>
    </w:p>
    <w:p w14:paraId="2F4A6F26" w14:textId="61BF383B" w:rsidR="00A408F1" w:rsidRPr="00111042" w:rsidRDefault="00A408F1" w:rsidP="00A408F1">
      <w:pPr>
        <w:pStyle w:val="Caption"/>
      </w:pPr>
      <w:bookmarkStart w:id="33" w:name="_Ref121772078"/>
      <w:r w:rsidRPr="00111042">
        <w:t xml:space="preserve">Table </w:t>
      </w:r>
      <w:r w:rsidR="00D45640">
        <w:fldChar w:fldCharType="begin"/>
      </w:r>
      <w:r w:rsidR="00D45640">
        <w:instrText xml:space="preserve"> SEQ Table \* ARABIC </w:instrText>
      </w:r>
      <w:r w:rsidR="00D45640">
        <w:fldChar w:fldCharType="separate"/>
      </w:r>
      <w:r w:rsidR="00D45640">
        <w:rPr>
          <w:noProof/>
        </w:rPr>
        <w:t>11</w:t>
      </w:r>
      <w:r w:rsidR="00D45640">
        <w:rPr>
          <w:noProof/>
        </w:rPr>
        <w:fldChar w:fldCharType="end"/>
      </w:r>
      <w:bookmarkEnd w:id="33"/>
      <w:r w:rsidRPr="00111042">
        <w:t>: Overview of adverse events in RAINBOWFISH and NURTURE</w:t>
      </w:r>
    </w:p>
    <w:tbl>
      <w:tblPr>
        <w:tblW w:w="5000" w:type="pct"/>
        <w:tblLook w:val="0000" w:firstRow="0" w:lastRow="0" w:firstColumn="0" w:lastColumn="0" w:noHBand="0" w:noVBand="0"/>
      </w:tblPr>
      <w:tblGrid>
        <w:gridCol w:w="5773"/>
        <w:gridCol w:w="1720"/>
        <w:gridCol w:w="1524"/>
      </w:tblGrid>
      <w:tr w:rsidR="00B23D1A" w:rsidRPr="00111042" w14:paraId="08AE8E4B" w14:textId="77777777" w:rsidTr="00C35189">
        <w:trPr>
          <w:trHeight w:val="70"/>
          <w:tblHeader/>
        </w:trPr>
        <w:tc>
          <w:tcPr>
            <w:tcW w:w="3201" w:type="pct"/>
            <w:tcBorders>
              <w:top w:val="single" w:sz="4" w:space="0" w:color="auto"/>
              <w:left w:val="single" w:sz="4" w:space="0" w:color="auto"/>
              <w:bottom w:val="single" w:sz="4" w:space="0" w:color="auto"/>
              <w:right w:val="single" w:sz="4" w:space="0" w:color="auto"/>
            </w:tcBorders>
            <w:shd w:val="clear" w:color="auto" w:fill="auto"/>
            <w:vAlign w:val="center"/>
          </w:tcPr>
          <w:p w14:paraId="5596DF04" w14:textId="77777777" w:rsidR="00A408F1" w:rsidRPr="00111042" w:rsidRDefault="00A408F1" w:rsidP="00C35189">
            <w:pPr>
              <w:pStyle w:val="TableText1"/>
              <w:keepNext/>
              <w:keepLines/>
              <w:spacing w:before="0" w:after="0"/>
              <w:rPr>
                <w:rFonts w:ascii="Arial Narrow" w:hAnsi="Arial Narrow"/>
                <w:b/>
              </w:rPr>
            </w:pPr>
          </w:p>
        </w:tc>
        <w:tc>
          <w:tcPr>
            <w:tcW w:w="954" w:type="pct"/>
            <w:tcBorders>
              <w:top w:val="single" w:sz="4" w:space="0" w:color="auto"/>
              <w:left w:val="nil"/>
              <w:bottom w:val="single" w:sz="4" w:space="0" w:color="auto"/>
              <w:right w:val="single" w:sz="4" w:space="0" w:color="auto"/>
            </w:tcBorders>
            <w:shd w:val="clear" w:color="auto" w:fill="auto"/>
            <w:vAlign w:val="center"/>
          </w:tcPr>
          <w:p w14:paraId="17F690F8" w14:textId="51B5FCAA" w:rsidR="00A408F1" w:rsidRPr="00111042" w:rsidRDefault="00A408F1" w:rsidP="00C35189">
            <w:pPr>
              <w:pStyle w:val="TableText1"/>
              <w:keepNext/>
              <w:keepLines/>
              <w:spacing w:before="0" w:after="0"/>
              <w:jc w:val="center"/>
              <w:rPr>
                <w:rFonts w:ascii="Arial Narrow" w:hAnsi="Arial Narrow"/>
                <w:b/>
                <w:vertAlign w:val="superscript"/>
              </w:rPr>
            </w:pPr>
            <w:r w:rsidRPr="00111042">
              <w:rPr>
                <w:rFonts w:ascii="Arial Narrow" w:hAnsi="Arial Narrow"/>
                <w:b/>
              </w:rPr>
              <w:t>RAINBOWFISH</w:t>
            </w:r>
            <w:r w:rsidR="00111042">
              <w:rPr>
                <w:rFonts w:ascii="Arial Narrow" w:hAnsi="Arial Narrow"/>
                <w:b/>
              </w:rPr>
              <w:t xml:space="preserve"> </w:t>
            </w:r>
            <w:r w:rsidRPr="00111042">
              <w:rPr>
                <w:rFonts w:ascii="Arial Narrow" w:hAnsi="Arial Narrow"/>
                <w:b/>
                <w:vertAlign w:val="superscript"/>
              </w:rPr>
              <w:t>a</w:t>
            </w:r>
          </w:p>
          <w:p w14:paraId="69243EE0" w14:textId="77777777" w:rsidR="00A408F1" w:rsidRPr="00111042" w:rsidRDefault="00A408F1" w:rsidP="00C35189">
            <w:pPr>
              <w:pStyle w:val="TableText1"/>
              <w:keepNext/>
              <w:keepLines/>
              <w:spacing w:before="0" w:after="0"/>
              <w:jc w:val="center"/>
              <w:rPr>
                <w:rFonts w:ascii="Arial Narrow" w:hAnsi="Arial Narrow"/>
                <w:b/>
              </w:rPr>
            </w:pPr>
            <w:r w:rsidRPr="00111042">
              <w:rPr>
                <w:rFonts w:ascii="Arial Narrow" w:hAnsi="Arial Narrow"/>
                <w:b/>
              </w:rPr>
              <w:t>N=18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2E8D0DD7" w14:textId="77777777" w:rsidR="00A408F1" w:rsidRPr="00111042" w:rsidRDefault="00A408F1" w:rsidP="00C35189">
            <w:pPr>
              <w:pStyle w:val="TableText1"/>
              <w:keepNext/>
              <w:keepLines/>
              <w:spacing w:before="0" w:after="0"/>
              <w:jc w:val="center"/>
              <w:rPr>
                <w:rFonts w:ascii="Arial Narrow" w:hAnsi="Arial Narrow"/>
                <w:b/>
              </w:rPr>
            </w:pPr>
            <w:r w:rsidRPr="00111042">
              <w:rPr>
                <w:rFonts w:ascii="Arial Narrow" w:hAnsi="Arial Narrow"/>
                <w:b/>
              </w:rPr>
              <w:t>NURTURE</w:t>
            </w:r>
          </w:p>
          <w:p w14:paraId="7458AB3F" w14:textId="77777777" w:rsidR="00A408F1" w:rsidRPr="00111042" w:rsidRDefault="00A408F1" w:rsidP="00C35189">
            <w:pPr>
              <w:pStyle w:val="TableText1"/>
              <w:keepNext/>
              <w:keepLines/>
              <w:spacing w:before="0" w:after="0"/>
              <w:jc w:val="center"/>
              <w:rPr>
                <w:rFonts w:ascii="Arial Narrow" w:hAnsi="Arial Narrow"/>
                <w:b/>
              </w:rPr>
            </w:pPr>
            <w:r w:rsidRPr="00111042">
              <w:rPr>
                <w:rFonts w:ascii="Arial Narrow" w:hAnsi="Arial Narrow"/>
                <w:b/>
              </w:rPr>
              <w:t>N=25 (%)</w:t>
            </w:r>
          </w:p>
        </w:tc>
      </w:tr>
      <w:tr w:rsidR="00B23D1A" w:rsidRPr="00111042" w14:paraId="1AD5A24C" w14:textId="77777777" w:rsidTr="00C35189">
        <w:trPr>
          <w:trHeight w:val="139"/>
        </w:trPr>
        <w:tc>
          <w:tcPr>
            <w:tcW w:w="3201" w:type="pct"/>
            <w:tcBorders>
              <w:top w:val="single" w:sz="4" w:space="0" w:color="auto"/>
              <w:left w:val="single" w:sz="4" w:space="0" w:color="auto"/>
              <w:right w:val="single" w:sz="4" w:space="0" w:color="auto"/>
            </w:tcBorders>
          </w:tcPr>
          <w:p w14:paraId="2B959735" w14:textId="77777777" w:rsidR="00A408F1" w:rsidRPr="00111042" w:rsidRDefault="00A408F1" w:rsidP="00C35189">
            <w:pPr>
              <w:pStyle w:val="TableText1"/>
              <w:keepNext/>
              <w:keepLines/>
              <w:spacing w:before="0" w:after="0"/>
              <w:rPr>
                <w:rFonts w:ascii="Arial Narrow" w:hAnsi="Arial Narrow"/>
              </w:rPr>
            </w:pPr>
            <w:r w:rsidRPr="00111042">
              <w:rPr>
                <w:rFonts w:ascii="Arial Narrow" w:hAnsi="Arial Narrow"/>
              </w:rPr>
              <w:t>Total number of patients with at least one AE</w:t>
            </w:r>
          </w:p>
        </w:tc>
        <w:tc>
          <w:tcPr>
            <w:tcW w:w="954" w:type="pct"/>
            <w:vMerge w:val="restart"/>
            <w:tcBorders>
              <w:top w:val="single" w:sz="4" w:space="0" w:color="auto"/>
              <w:left w:val="nil"/>
              <w:right w:val="single" w:sz="4" w:space="0" w:color="auto"/>
            </w:tcBorders>
            <w:vAlign w:val="center"/>
          </w:tcPr>
          <w:p w14:paraId="24D69C6E" w14:textId="77777777" w:rsidR="00A408F1" w:rsidRPr="00111042" w:rsidRDefault="00A408F1" w:rsidP="00C35189">
            <w:pPr>
              <w:pStyle w:val="TableText1"/>
              <w:keepNext/>
              <w:keepLines/>
              <w:spacing w:before="0" w:after="0"/>
              <w:jc w:val="center"/>
              <w:rPr>
                <w:rFonts w:ascii="Arial Narrow" w:hAnsi="Arial Narrow"/>
              </w:rPr>
            </w:pPr>
            <w:r w:rsidRPr="00111042">
              <w:rPr>
                <w:rFonts w:ascii="Arial Narrow" w:hAnsi="Arial Narrow"/>
              </w:rPr>
              <w:t>14 (77.8)</w:t>
            </w:r>
          </w:p>
          <w:p w14:paraId="583BE913" w14:textId="77777777" w:rsidR="00A408F1" w:rsidRPr="00111042" w:rsidRDefault="00A408F1" w:rsidP="00C35189">
            <w:pPr>
              <w:pStyle w:val="TableText1"/>
              <w:keepNext/>
              <w:keepLines/>
              <w:spacing w:before="0" w:after="0"/>
              <w:jc w:val="center"/>
              <w:rPr>
                <w:rFonts w:ascii="Arial Narrow" w:hAnsi="Arial Narrow"/>
              </w:rPr>
            </w:pPr>
            <w:r w:rsidRPr="00111042">
              <w:rPr>
                <w:rFonts w:ascii="Arial Narrow" w:hAnsi="Arial Narrow"/>
              </w:rPr>
              <w:t>81</w:t>
            </w:r>
          </w:p>
          <w:p w14:paraId="0D6951D3" w14:textId="77777777" w:rsidR="00A408F1" w:rsidRPr="00111042" w:rsidRDefault="00A408F1" w:rsidP="00C35189">
            <w:pPr>
              <w:pStyle w:val="TableText1"/>
              <w:keepNext/>
              <w:keepLines/>
              <w:spacing w:before="0" w:after="0"/>
              <w:jc w:val="center"/>
              <w:rPr>
                <w:rFonts w:ascii="Arial Narrow" w:hAnsi="Arial Narrow"/>
              </w:rPr>
            </w:pPr>
            <w:r w:rsidRPr="00111042">
              <w:rPr>
                <w:rFonts w:ascii="Arial Narrow" w:hAnsi="Arial Narrow"/>
              </w:rPr>
              <w:t>0</w:t>
            </w:r>
          </w:p>
          <w:p w14:paraId="1C74CFEA" w14:textId="77777777" w:rsidR="00A408F1" w:rsidRPr="00111042" w:rsidRDefault="00A408F1" w:rsidP="00C35189">
            <w:pPr>
              <w:pStyle w:val="TableText1"/>
              <w:keepNext/>
              <w:keepLines/>
              <w:spacing w:before="0" w:after="0"/>
              <w:jc w:val="center"/>
              <w:rPr>
                <w:rFonts w:ascii="Arial Narrow" w:hAnsi="Arial Narrow"/>
              </w:rPr>
            </w:pPr>
            <w:r w:rsidRPr="00111042">
              <w:rPr>
                <w:rFonts w:ascii="Arial Narrow" w:hAnsi="Arial Narrow"/>
              </w:rPr>
              <w:t>0</w:t>
            </w:r>
          </w:p>
        </w:tc>
        <w:tc>
          <w:tcPr>
            <w:tcW w:w="845" w:type="pct"/>
            <w:tcBorders>
              <w:top w:val="single" w:sz="4" w:space="0" w:color="auto"/>
              <w:left w:val="single" w:sz="4" w:space="0" w:color="auto"/>
              <w:right w:val="single" w:sz="4" w:space="0" w:color="auto"/>
            </w:tcBorders>
            <w:shd w:val="clear" w:color="auto" w:fill="C6D9F1" w:themeFill="text2" w:themeFillTint="33"/>
            <w:vAlign w:val="center"/>
          </w:tcPr>
          <w:p w14:paraId="485909B1" w14:textId="77777777" w:rsidR="00A408F1" w:rsidRPr="00111042" w:rsidRDefault="00A408F1" w:rsidP="00C35189">
            <w:pPr>
              <w:pStyle w:val="TableText1"/>
              <w:keepNext/>
              <w:keepLines/>
              <w:spacing w:before="0" w:after="0"/>
              <w:jc w:val="center"/>
              <w:rPr>
                <w:rFonts w:ascii="Arial Narrow" w:hAnsi="Arial Narrow"/>
              </w:rPr>
            </w:pPr>
            <w:r w:rsidRPr="00111042">
              <w:rPr>
                <w:rFonts w:ascii="Arial Narrow" w:hAnsi="Arial Narrow"/>
              </w:rPr>
              <w:t>25 (100)</w:t>
            </w:r>
          </w:p>
        </w:tc>
      </w:tr>
      <w:tr w:rsidR="00B23D1A" w:rsidRPr="00111042" w14:paraId="18D1A512" w14:textId="77777777" w:rsidTr="00C35189">
        <w:tc>
          <w:tcPr>
            <w:tcW w:w="3201" w:type="pct"/>
            <w:tcBorders>
              <w:left w:val="single" w:sz="4" w:space="0" w:color="auto"/>
              <w:right w:val="single" w:sz="4" w:space="0" w:color="auto"/>
            </w:tcBorders>
          </w:tcPr>
          <w:p w14:paraId="10BFECAB"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Total number of AEs</w:t>
            </w:r>
          </w:p>
        </w:tc>
        <w:tc>
          <w:tcPr>
            <w:tcW w:w="954" w:type="pct"/>
            <w:vMerge/>
            <w:tcBorders>
              <w:left w:val="nil"/>
              <w:right w:val="single" w:sz="4" w:space="0" w:color="auto"/>
            </w:tcBorders>
            <w:vAlign w:val="center"/>
          </w:tcPr>
          <w:p w14:paraId="2DE7124C" w14:textId="77777777" w:rsidR="00A408F1" w:rsidRPr="00111042" w:rsidRDefault="00A408F1" w:rsidP="00C35189">
            <w:pPr>
              <w:pStyle w:val="TableText1"/>
              <w:spacing w:before="0" w:after="0"/>
              <w:jc w:val="center"/>
              <w:rPr>
                <w:rFonts w:ascii="Arial Narrow" w:hAnsi="Arial Narrow"/>
              </w:rPr>
            </w:pPr>
          </w:p>
        </w:tc>
        <w:tc>
          <w:tcPr>
            <w:tcW w:w="845" w:type="pct"/>
            <w:tcBorders>
              <w:left w:val="single" w:sz="4" w:space="0" w:color="auto"/>
              <w:right w:val="single" w:sz="4" w:space="0" w:color="auto"/>
            </w:tcBorders>
            <w:shd w:val="clear" w:color="auto" w:fill="C6D9F1" w:themeFill="text2" w:themeFillTint="33"/>
            <w:vAlign w:val="center"/>
          </w:tcPr>
          <w:p w14:paraId="14B5AD9A"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NR</w:t>
            </w:r>
          </w:p>
        </w:tc>
      </w:tr>
      <w:tr w:rsidR="00B23D1A" w:rsidRPr="00111042" w14:paraId="3977E3C0" w14:textId="77777777" w:rsidTr="00C35189">
        <w:tc>
          <w:tcPr>
            <w:tcW w:w="3201" w:type="pct"/>
            <w:tcBorders>
              <w:left w:val="single" w:sz="4" w:space="0" w:color="auto"/>
              <w:right w:val="single" w:sz="4" w:space="0" w:color="auto"/>
            </w:tcBorders>
          </w:tcPr>
          <w:p w14:paraId="3DB658E3"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Total number of deaths</w:t>
            </w:r>
          </w:p>
        </w:tc>
        <w:tc>
          <w:tcPr>
            <w:tcW w:w="954" w:type="pct"/>
            <w:vMerge/>
            <w:tcBorders>
              <w:left w:val="nil"/>
              <w:right w:val="single" w:sz="4" w:space="0" w:color="auto"/>
            </w:tcBorders>
            <w:vAlign w:val="center"/>
          </w:tcPr>
          <w:p w14:paraId="177CE2E5" w14:textId="77777777" w:rsidR="00A408F1" w:rsidRPr="00111042" w:rsidRDefault="00A408F1" w:rsidP="00C35189">
            <w:pPr>
              <w:pStyle w:val="TableText1"/>
              <w:spacing w:before="0" w:after="0"/>
              <w:jc w:val="center"/>
              <w:rPr>
                <w:rFonts w:ascii="Arial Narrow" w:hAnsi="Arial Narrow"/>
              </w:rPr>
            </w:pPr>
          </w:p>
        </w:tc>
        <w:tc>
          <w:tcPr>
            <w:tcW w:w="845" w:type="pct"/>
            <w:tcBorders>
              <w:left w:val="single" w:sz="4" w:space="0" w:color="auto"/>
              <w:right w:val="single" w:sz="4" w:space="0" w:color="auto"/>
            </w:tcBorders>
            <w:shd w:val="clear" w:color="auto" w:fill="C6D9F1" w:themeFill="text2" w:themeFillTint="33"/>
            <w:vAlign w:val="center"/>
          </w:tcPr>
          <w:p w14:paraId="2D192A48"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0</w:t>
            </w:r>
          </w:p>
        </w:tc>
      </w:tr>
      <w:tr w:rsidR="00B23D1A" w:rsidRPr="00111042" w14:paraId="29476FD0" w14:textId="77777777" w:rsidTr="00C35189">
        <w:tc>
          <w:tcPr>
            <w:tcW w:w="3201" w:type="pct"/>
            <w:tcBorders>
              <w:left w:val="single" w:sz="4" w:space="0" w:color="auto"/>
              <w:right w:val="single" w:sz="4" w:space="0" w:color="auto"/>
            </w:tcBorders>
          </w:tcPr>
          <w:p w14:paraId="4768FD30"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Total number of patients withdrawn from study due to an AE</w:t>
            </w:r>
          </w:p>
        </w:tc>
        <w:tc>
          <w:tcPr>
            <w:tcW w:w="954" w:type="pct"/>
            <w:vMerge/>
            <w:tcBorders>
              <w:left w:val="nil"/>
              <w:bottom w:val="single" w:sz="4" w:space="0" w:color="auto"/>
              <w:right w:val="single" w:sz="4" w:space="0" w:color="auto"/>
            </w:tcBorders>
            <w:vAlign w:val="center"/>
          </w:tcPr>
          <w:p w14:paraId="21C5FC5F" w14:textId="77777777" w:rsidR="00A408F1" w:rsidRPr="00111042" w:rsidRDefault="00A408F1" w:rsidP="00C35189">
            <w:pPr>
              <w:pStyle w:val="TableText1"/>
              <w:spacing w:before="0" w:after="0"/>
              <w:jc w:val="center"/>
              <w:rPr>
                <w:rFonts w:ascii="Arial Narrow" w:hAnsi="Arial Narrow"/>
              </w:rPr>
            </w:pPr>
          </w:p>
        </w:tc>
        <w:tc>
          <w:tcPr>
            <w:tcW w:w="845" w:type="pct"/>
            <w:tcBorders>
              <w:left w:val="single" w:sz="4" w:space="0" w:color="auto"/>
              <w:right w:val="single" w:sz="4" w:space="0" w:color="auto"/>
            </w:tcBorders>
            <w:shd w:val="clear" w:color="auto" w:fill="C6D9F1" w:themeFill="text2" w:themeFillTint="33"/>
            <w:vAlign w:val="center"/>
          </w:tcPr>
          <w:p w14:paraId="436F8B7F"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0</w:t>
            </w:r>
          </w:p>
        </w:tc>
      </w:tr>
      <w:tr w:rsidR="00B23D1A" w:rsidRPr="00111042" w14:paraId="3845A403" w14:textId="77777777" w:rsidTr="00C35189">
        <w:tc>
          <w:tcPr>
            <w:tcW w:w="3201" w:type="pct"/>
            <w:tcBorders>
              <w:top w:val="single" w:sz="4" w:space="0" w:color="auto"/>
              <w:left w:val="single" w:sz="4" w:space="0" w:color="auto"/>
              <w:right w:val="single" w:sz="4" w:space="0" w:color="auto"/>
            </w:tcBorders>
          </w:tcPr>
          <w:p w14:paraId="34994EE3"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Total number of patients with at least one:</w:t>
            </w:r>
          </w:p>
        </w:tc>
        <w:tc>
          <w:tcPr>
            <w:tcW w:w="954" w:type="pct"/>
            <w:tcBorders>
              <w:top w:val="single" w:sz="4" w:space="0" w:color="auto"/>
              <w:left w:val="single" w:sz="4" w:space="0" w:color="auto"/>
              <w:right w:val="single" w:sz="4" w:space="0" w:color="auto"/>
            </w:tcBorders>
            <w:vAlign w:val="center"/>
          </w:tcPr>
          <w:p w14:paraId="78742983" w14:textId="77777777" w:rsidR="00A408F1" w:rsidRPr="00111042" w:rsidRDefault="00A408F1" w:rsidP="00C35189">
            <w:pPr>
              <w:pStyle w:val="TableText1"/>
              <w:spacing w:before="0" w:after="0"/>
              <w:jc w:val="center"/>
              <w:rPr>
                <w:rFonts w:ascii="Arial Narrow" w:hAnsi="Arial Narrow"/>
              </w:rPr>
            </w:pPr>
          </w:p>
        </w:tc>
        <w:tc>
          <w:tcPr>
            <w:tcW w:w="845" w:type="pct"/>
            <w:tcBorders>
              <w:top w:val="single" w:sz="4" w:space="0" w:color="auto"/>
              <w:left w:val="single" w:sz="4" w:space="0" w:color="auto"/>
              <w:right w:val="single" w:sz="4" w:space="0" w:color="auto"/>
            </w:tcBorders>
            <w:shd w:val="clear" w:color="auto" w:fill="C6D9F1" w:themeFill="text2" w:themeFillTint="33"/>
            <w:vAlign w:val="center"/>
          </w:tcPr>
          <w:p w14:paraId="1B6978A2" w14:textId="77777777" w:rsidR="00A408F1" w:rsidRPr="00111042" w:rsidRDefault="00A408F1" w:rsidP="00C35189">
            <w:pPr>
              <w:pStyle w:val="TableText1"/>
              <w:spacing w:before="0" w:after="0"/>
              <w:jc w:val="center"/>
              <w:rPr>
                <w:rFonts w:ascii="Arial Narrow" w:hAnsi="Arial Narrow"/>
              </w:rPr>
            </w:pPr>
          </w:p>
        </w:tc>
      </w:tr>
      <w:tr w:rsidR="00B23D1A" w:rsidRPr="00111042" w14:paraId="7FC71C5B" w14:textId="77777777" w:rsidTr="00C35189">
        <w:tc>
          <w:tcPr>
            <w:tcW w:w="3201" w:type="pct"/>
            <w:tcBorders>
              <w:left w:val="single" w:sz="4" w:space="0" w:color="auto"/>
              <w:right w:val="single" w:sz="4" w:space="0" w:color="auto"/>
            </w:tcBorders>
          </w:tcPr>
          <w:p w14:paraId="62B1D3AA"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AE with fatal outcome</w:t>
            </w:r>
          </w:p>
        </w:tc>
        <w:tc>
          <w:tcPr>
            <w:tcW w:w="954" w:type="pct"/>
            <w:tcBorders>
              <w:left w:val="single" w:sz="4" w:space="0" w:color="auto"/>
              <w:right w:val="single" w:sz="4" w:space="0" w:color="auto"/>
            </w:tcBorders>
            <w:vAlign w:val="center"/>
          </w:tcPr>
          <w:p w14:paraId="5B121306"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0</w:t>
            </w:r>
          </w:p>
        </w:tc>
        <w:tc>
          <w:tcPr>
            <w:tcW w:w="845" w:type="pct"/>
            <w:tcBorders>
              <w:left w:val="single" w:sz="4" w:space="0" w:color="auto"/>
              <w:right w:val="single" w:sz="4" w:space="0" w:color="auto"/>
            </w:tcBorders>
            <w:shd w:val="clear" w:color="auto" w:fill="C6D9F1" w:themeFill="text2" w:themeFillTint="33"/>
            <w:vAlign w:val="center"/>
          </w:tcPr>
          <w:p w14:paraId="5F70A718"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0</w:t>
            </w:r>
          </w:p>
        </w:tc>
      </w:tr>
      <w:tr w:rsidR="00B23D1A" w:rsidRPr="00111042" w14:paraId="62A75752" w14:textId="77777777" w:rsidTr="00C35189">
        <w:tc>
          <w:tcPr>
            <w:tcW w:w="3201" w:type="pct"/>
            <w:tcBorders>
              <w:left w:val="single" w:sz="4" w:space="0" w:color="auto"/>
              <w:right w:val="single" w:sz="4" w:space="0" w:color="auto"/>
            </w:tcBorders>
          </w:tcPr>
          <w:p w14:paraId="1497CAB1"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Serious AE</w:t>
            </w:r>
          </w:p>
        </w:tc>
        <w:tc>
          <w:tcPr>
            <w:tcW w:w="954" w:type="pct"/>
            <w:tcBorders>
              <w:left w:val="single" w:sz="4" w:space="0" w:color="auto"/>
              <w:right w:val="single" w:sz="4" w:space="0" w:color="auto"/>
            </w:tcBorders>
            <w:vAlign w:val="center"/>
          </w:tcPr>
          <w:p w14:paraId="1E47B70E"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0</w:t>
            </w:r>
          </w:p>
        </w:tc>
        <w:tc>
          <w:tcPr>
            <w:tcW w:w="845" w:type="pct"/>
            <w:tcBorders>
              <w:left w:val="single" w:sz="4" w:space="0" w:color="auto"/>
              <w:right w:val="single" w:sz="4" w:space="0" w:color="auto"/>
            </w:tcBorders>
            <w:shd w:val="clear" w:color="auto" w:fill="C6D9F1" w:themeFill="text2" w:themeFillTint="33"/>
            <w:vAlign w:val="center"/>
          </w:tcPr>
          <w:p w14:paraId="404643E4"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12 (48)</w:t>
            </w:r>
          </w:p>
        </w:tc>
      </w:tr>
      <w:tr w:rsidR="00B23D1A" w:rsidRPr="00111042" w14:paraId="534726E7" w14:textId="77777777" w:rsidTr="00C35189">
        <w:tc>
          <w:tcPr>
            <w:tcW w:w="3201" w:type="pct"/>
            <w:tcBorders>
              <w:left w:val="single" w:sz="4" w:space="0" w:color="auto"/>
              <w:right w:val="single" w:sz="4" w:space="0" w:color="auto"/>
            </w:tcBorders>
          </w:tcPr>
          <w:p w14:paraId="48CDC84B"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Serious AE leading to withdrawal from treatment</w:t>
            </w:r>
          </w:p>
        </w:tc>
        <w:tc>
          <w:tcPr>
            <w:tcW w:w="954" w:type="pct"/>
            <w:tcBorders>
              <w:left w:val="single" w:sz="4" w:space="0" w:color="auto"/>
              <w:right w:val="single" w:sz="4" w:space="0" w:color="auto"/>
            </w:tcBorders>
            <w:vAlign w:val="center"/>
          </w:tcPr>
          <w:p w14:paraId="1989C77B"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0</w:t>
            </w:r>
          </w:p>
        </w:tc>
        <w:tc>
          <w:tcPr>
            <w:tcW w:w="845" w:type="pct"/>
            <w:tcBorders>
              <w:left w:val="single" w:sz="4" w:space="0" w:color="auto"/>
              <w:right w:val="single" w:sz="4" w:space="0" w:color="auto"/>
            </w:tcBorders>
            <w:shd w:val="clear" w:color="auto" w:fill="C6D9F1" w:themeFill="text2" w:themeFillTint="33"/>
            <w:vAlign w:val="center"/>
          </w:tcPr>
          <w:p w14:paraId="55B6722E"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0</w:t>
            </w:r>
          </w:p>
        </w:tc>
      </w:tr>
      <w:tr w:rsidR="00B23D1A" w:rsidRPr="00111042" w14:paraId="3D0D8290" w14:textId="77777777" w:rsidTr="00C35189">
        <w:tc>
          <w:tcPr>
            <w:tcW w:w="3201" w:type="pct"/>
            <w:tcBorders>
              <w:left w:val="single" w:sz="4" w:space="0" w:color="auto"/>
              <w:right w:val="single" w:sz="4" w:space="0" w:color="auto"/>
            </w:tcBorders>
          </w:tcPr>
          <w:p w14:paraId="6BAC3DBD"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Serious AE leading to dose modification/interruption</w:t>
            </w:r>
          </w:p>
        </w:tc>
        <w:tc>
          <w:tcPr>
            <w:tcW w:w="954" w:type="pct"/>
            <w:tcBorders>
              <w:left w:val="single" w:sz="4" w:space="0" w:color="auto"/>
              <w:right w:val="single" w:sz="4" w:space="0" w:color="auto"/>
            </w:tcBorders>
            <w:vAlign w:val="center"/>
          </w:tcPr>
          <w:p w14:paraId="49C962FC"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0</w:t>
            </w:r>
          </w:p>
        </w:tc>
        <w:tc>
          <w:tcPr>
            <w:tcW w:w="845" w:type="pct"/>
            <w:tcBorders>
              <w:left w:val="single" w:sz="4" w:space="0" w:color="auto"/>
              <w:right w:val="single" w:sz="4" w:space="0" w:color="auto"/>
            </w:tcBorders>
            <w:shd w:val="clear" w:color="auto" w:fill="C6D9F1" w:themeFill="text2" w:themeFillTint="33"/>
            <w:vAlign w:val="center"/>
          </w:tcPr>
          <w:p w14:paraId="4DE749F8"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0</w:t>
            </w:r>
          </w:p>
        </w:tc>
      </w:tr>
      <w:tr w:rsidR="00B23D1A" w:rsidRPr="00111042" w14:paraId="3471C088" w14:textId="77777777" w:rsidTr="00C35189">
        <w:tc>
          <w:tcPr>
            <w:tcW w:w="3201" w:type="pct"/>
            <w:tcBorders>
              <w:left w:val="single" w:sz="4" w:space="0" w:color="auto"/>
              <w:right w:val="single" w:sz="4" w:space="0" w:color="auto"/>
            </w:tcBorders>
          </w:tcPr>
          <w:p w14:paraId="4A56B57D"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Treatment Related Serious AE</w:t>
            </w:r>
          </w:p>
        </w:tc>
        <w:tc>
          <w:tcPr>
            <w:tcW w:w="954" w:type="pct"/>
            <w:tcBorders>
              <w:left w:val="single" w:sz="4" w:space="0" w:color="auto"/>
              <w:right w:val="single" w:sz="4" w:space="0" w:color="auto"/>
            </w:tcBorders>
            <w:vAlign w:val="center"/>
          </w:tcPr>
          <w:p w14:paraId="7B7D5AD1"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0</w:t>
            </w:r>
          </w:p>
        </w:tc>
        <w:tc>
          <w:tcPr>
            <w:tcW w:w="845" w:type="pct"/>
            <w:tcBorders>
              <w:left w:val="single" w:sz="4" w:space="0" w:color="auto"/>
              <w:right w:val="single" w:sz="4" w:space="0" w:color="auto"/>
            </w:tcBorders>
            <w:shd w:val="clear" w:color="auto" w:fill="C6D9F1" w:themeFill="text2" w:themeFillTint="33"/>
            <w:vAlign w:val="center"/>
          </w:tcPr>
          <w:p w14:paraId="1311FF09"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0</w:t>
            </w:r>
          </w:p>
        </w:tc>
      </w:tr>
      <w:tr w:rsidR="00B23D1A" w:rsidRPr="00111042" w14:paraId="3AF71549" w14:textId="77777777" w:rsidTr="00C35189">
        <w:tc>
          <w:tcPr>
            <w:tcW w:w="3201" w:type="pct"/>
            <w:tcBorders>
              <w:left w:val="single" w:sz="4" w:space="0" w:color="auto"/>
              <w:right w:val="single" w:sz="4" w:space="0" w:color="auto"/>
            </w:tcBorders>
          </w:tcPr>
          <w:p w14:paraId="0AF3E718"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AE leading to withdrawal from treatment</w:t>
            </w:r>
          </w:p>
        </w:tc>
        <w:tc>
          <w:tcPr>
            <w:tcW w:w="954" w:type="pct"/>
            <w:tcBorders>
              <w:left w:val="single" w:sz="4" w:space="0" w:color="auto"/>
              <w:right w:val="single" w:sz="4" w:space="0" w:color="auto"/>
            </w:tcBorders>
            <w:vAlign w:val="center"/>
          </w:tcPr>
          <w:p w14:paraId="49F53459"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0</w:t>
            </w:r>
          </w:p>
        </w:tc>
        <w:tc>
          <w:tcPr>
            <w:tcW w:w="845" w:type="pct"/>
            <w:tcBorders>
              <w:left w:val="single" w:sz="4" w:space="0" w:color="auto"/>
              <w:right w:val="single" w:sz="4" w:space="0" w:color="auto"/>
            </w:tcBorders>
            <w:shd w:val="clear" w:color="auto" w:fill="C6D9F1" w:themeFill="text2" w:themeFillTint="33"/>
            <w:vAlign w:val="center"/>
          </w:tcPr>
          <w:p w14:paraId="5EE60FC0" w14:textId="77777777" w:rsidR="00A408F1" w:rsidRPr="00111042" w:rsidRDefault="00A408F1" w:rsidP="00C35189">
            <w:pPr>
              <w:pStyle w:val="TableText1"/>
              <w:spacing w:before="0" w:after="0"/>
              <w:jc w:val="center"/>
              <w:rPr>
                <w:rFonts w:ascii="Arial Narrow" w:hAnsi="Arial Narrow"/>
              </w:rPr>
            </w:pPr>
            <w:r w:rsidRPr="00111042">
              <w:rPr>
                <w:rFonts w:ascii="Arial Narrow" w:hAnsi="Arial Narrow"/>
              </w:rPr>
              <w:t>0</w:t>
            </w:r>
          </w:p>
        </w:tc>
      </w:tr>
      <w:tr w:rsidR="00B23D1A" w:rsidRPr="00111042" w14:paraId="61838642" w14:textId="77777777" w:rsidTr="00C35189">
        <w:tc>
          <w:tcPr>
            <w:tcW w:w="3201" w:type="pct"/>
            <w:tcBorders>
              <w:left w:val="single" w:sz="4" w:space="0" w:color="auto"/>
              <w:right w:val="single" w:sz="4" w:space="0" w:color="auto"/>
            </w:tcBorders>
          </w:tcPr>
          <w:p w14:paraId="33F877DF"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AE leading to dose modification/interruption</w:t>
            </w:r>
          </w:p>
        </w:tc>
        <w:tc>
          <w:tcPr>
            <w:tcW w:w="954" w:type="pct"/>
            <w:tcBorders>
              <w:left w:val="single" w:sz="4" w:space="0" w:color="auto"/>
              <w:right w:val="single" w:sz="4" w:space="0" w:color="auto"/>
            </w:tcBorders>
            <w:vAlign w:val="center"/>
          </w:tcPr>
          <w:p w14:paraId="5E1B847F" w14:textId="77777777" w:rsidR="00A408F1" w:rsidRPr="00111042" w:rsidRDefault="00A408F1" w:rsidP="00C35189">
            <w:pPr>
              <w:pStyle w:val="TableText1"/>
              <w:spacing w:before="0" w:after="0"/>
              <w:jc w:val="center"/>
              <w:rPr>
                <w:rFonts w:ascii="Arial Narrow" w:hAnsi="Arial Narrow" w:cstheme="minorHAnsi"/>
              </w:rPr>
            </w:pPr>
            <w:r w:rsidRPr="00111042">
              <w:rPr>
                <w:rFonts w:ascii="Arial Narrow" w:hAnsi="Arial Narrow" w:cstheme="minorHAnsi"/>
              </w:rPr>
              <w:t>2 (11.1)</w:t>
            </w:r>
          </w:p>
        </w:tc>
        <w:tc>
          <w:tcPr>
            <w:tcW w:w="845" w:type="pct"/>
            <w:tcBorders>
              <w:left w:val="single" w:sz="4" w:space="0" w:color="auto"/>
              <w:right w:val="single" w:sz="4" w:space="0" w:color="auto"/>
            </w:tcBorders>
            <w:shd w:val="clear" w:color="auto" w:fill="C6D9F1" w:themeFill="text2" w:themeFillTint="33"/>
            <w:vAlign w:val="center"/>
          </w:tcPr>
          <w:p w14:paraId="60B6D7D9" w14:textId="77777777" w:rsidR="00A408F1" w:rsidRPr="00111042" w:rsidRDefault="00A408F1" w:rsidP="00C35189">
            <w:pPr>
              <w:pStyle w:val="TableText1"/>
              <w:spacing w:before="0" w:after="0"/>
              <w:jc w:val="center"/>
              <w:rPr>
                <w:rFonts w:ascii="Arial Narrow" w:hAnsi="Arial Narrow" w:cstheme="minorHAnsi"/>
              </w:rPr>
            </w:pPr>
            <w:r w:rsidRPr="00111042">
              <w:rPr>
                <w:rFonts w:ascii="Arial Narrow" w:hAnsi="Arial Narrow" w:cstheme="minorHAnsi"/>
              </w:rPr>
              <w:t>NR</w:t>
            </w:r>
          </w:p>
        </w:tc>
      </w:tr>
      <w:tr w:rsidR="00B23D1A" w:rsidRPr="00111042" w14:paraId="27AC2E1D" w14:textId="77777777" w:rsidTr="00C35189">
        <w:tc>
          <w:tcPr>
            <w:tcW w:w="3201" w:type="pct"/>
            <w:tcBorders>
              <w:left w:val="single" w:sz="4" w:space="0" w:color="auto"/>
              <w:right w:val="single" w:sz="4" w:space="0" w:color="auto"/>
            </w:tcBorders>
          </w:tcPr>
          <w:p w14:paraId="0DC2776F"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Treatment related AE</w:t>
            </w:r>
          </w:p>
        </w:tc>
        <w:tc>
          <w:tcPr>
            <w:tcW w:w="954" w:type="pct"/>
            <w:tcBorders>
              <w:left w:val="single" w:sz="4" w:space="0" w:color="auto"/>
              <w:right w:val="single" w:sz="4" w:space="0" w:color="auto"/>
            </w:tcBorders>
            <w:vAlign w:val="center"/>
          </w:tcPr>
          <w:p w14:paraId="786C8E8D" w14:textId="77777777" w:rsidR="00A408F1" w:rsidRPr="00111042" w:rsidRDefault="00A408F1" w:rsidP="00C35189">
            <w:pPr>
              <w:pStyle w:val="TableText1"/>
              <w:spacing w:before="0" w:after="0"/>
              <w:jc w:val="center"/>
              <w:rPr>
                <w:rFonts w:ascii="Arial Narrow" w:hAnsi="Arial Narrow" w:cstheme="minorHAnsi"/>
              </w:rPr>
            </w:pPr>
            <w:r w:rsidRPr="00111042">
              <w:rPr>
                <w:rFonts w:ascii="Arial Narrow" w:hAnsi="Arial Narrow" w:cstheme="minorHAnsi"/>
              </w:rPr>
              <w:t>2 (11.1)</w:t>
            </w:r>
          </w:p>
        </w:tc>
        <w:tc>
          <w:tcPr>
            <w:tcW w:w="845" w:type="pct"/>
            <w:tcBorders>
              <w:left w:val="single" w:sz="4" w:space="0" w:color="auto"/>
              <w:right w:val="single" w:sz="4" w:space="0" w:color="auto"/>
            </w:tcBorders>
            <w:shd w:val="clear" w:color="auto" w:fill="C6D9F1" w:themeFill="text2" w:themeFillTint="33"/>
            <w:vAlign w:val="center"/>
          </w:tcPr>
          <w:p w14:paraId="77A59E05" w14:textId="77777777" w:rsidR="00A408F1" w:rsidRPr="00111042" w:rsidRDefault="00A408F1" w:rsidP="00C35189">
            <w:pPr>
              <w:pStyle w:val="TableText1"/>
              <w:spacing w:before="0" w:after="0"/>
              <w:jc w:val="center"/>
              <w:rPr>
                <w:rFonts w:ascii="Arial Narrow" w:hAnsi="Arial Narrow" w:cstheme="minorHAnsi"/>
              </w:rPr>
            </w:pPr>
            <w:r w:rsidRPr="00111042">
              <w:rPr>
                <w:rFonts w:ascii="Arial Narrow" w:hAnsi="Arial Narrow" w:cstheme="minorHAnsi"/>
              </w:rPr>
              <w:t>8 (32)</w:t>
            </w:r>
          </w:p>
        </w:tc>
      </w:tr>
      <w:tr w:rsidR="00B23D1A" w:rsidRPr="00111042" w14:paraId="517287D5" w14:textId="77777777" w:rsidTr="00C35189">
        <w:tc>
          <w:tcPr>
            <w:tcW w:w="3201" w:type="pct"/>
            <w:tcBorders>
              <w:left w:val="single" w:sz="4" w:space="0" w:color="auto"/>
              <w:right w:val="single" w:sz="4" w:space="0" w:color="auto"/>
            </w:tcBorders>
          </w:tcPr>
          <w:p w14:paraId="1371D199"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Related AE leading to withdrawal from treatment</w:t>
            </w:r>
          </w:p>
        </w:tc>
        <w:tc>
          <w:tcPr>
            <w:tcW w:w="954" w:type="pct"/>
            <w:tcBorders>
              <w:left w:val="single" w:sz="4" w:space="0" w:color="auto"/>
              <w:right w:val="single" w:sz="4" w:space="0" w:color="auto"/>
            </w:tcBorders>
            <w:vAlign w:val="center"/>
          </w:tcPr>
          <w:p w14:paraId="1082A3DD" w14:textId="77777777" w:rsidR="00A408F1" w:rsidRPr="00111042" w:rsidRDefault="00A408F1" w:rsidP="00C35189">
            <w:pPr>
              <w:pStyle w:val="TableText1"/>
              <w:spacing w:before="0" w:after="0"/>
              <w:jc w:val="center"/>
              <w:rPr>
                <w:rFonts w:ascii="Arial Narrow" w:hAnsi="Arial Narrow" w:cstheme="minorHAnsi"/>
              </w:rPr>
            </w:pPr>
            <w:r w:rsidRPr="00111042">
              <w:rPr>
                <w:rFonts w:ascii="Arial Narrow" w:hAnsi="Arial Narrow" w:cstheme="minorHAnsi"/>
              </w:rPr>
              <w:t>0</w:t>
            </w:r>
          </w:p>
        </w:tc>
        <w:tc>
          <w:tcPr>
            <w:tcW w:w="845" w:type="pct"/>
            <w:tcBorders>
              <w:left w:val="single" w:sz="4" w:space="0" w:color="auto"/>
              <w:right w:val="single" w:sz="4" w:space="0" w:color="auto"/>
            </w:tcBorders>
            <w:shd w:val="clear" w:color="auto" w:fill="C6D9F1" w:themeFill="text2" w:themeFillTint="33"/>
            <w:vAlign w:val="center"/>
          </w:tcPr>
          <w:p w14:paraId="7ED5217C" w14:textId="77777777" w:rsidR="00A408F1" w:rsidRPr="00111042" w:rsidRDefault="00A408F1" w:rsidP="00C35189">
            <w:pPr>
              <w:pStyle w:val="TableText1"/>
              <w:spacing w:before="0" w:after="0"/>
              <w:jc w:val="center"/>
              <w:rPr>
                <w:rFonts w:ascii="Arial Narrow" w:hAnsi="Arial Narrow" w:cstheme="minorHAnsi"/>
              </w:rPr>
            </w:pPr>
            <w:r w:rsidRPr="00111042">
              <w:rPr>
                <w:rFonts w:ascii="Arial Narrow" w:hAnsi="Arial Narrow" w:cstheme="minorHAnsi"/>
              </w:rPr>
              <w:t>0</w:t>
            </w:r>
          </w:p>
        </w:tc>
      </w:tr>
      <w:tr w:rsidR="00B23D1A" w:rsidRPr="00111042" w14:paraId="066084A9" w14:textId="77777777" w:rsidTr="00C35189">
        <w:tc>
          <w:tcPr>
            <w:tcW w:w="3201" w:type="pct"/>
            <w:tcBorders>
              <w:left w:val="single" w:sz="4" w:space="0" w:color="auto"/>
              <w:right w:val="single" w:sz="4" w:space="0" w:color="auto"/>
            </w:tcBorders>
          </w:tcPr>
          <w:p w14:paraId="31D1E4E6"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Related AE leading to dose modification/interruption</w:t>
            </w:r>
          </w:p>
        </w:tc>
        <w:tc>
          <w:tcPr>
            <w:tcW w:w="954" w:type="pct"/>
            <w:tcBorders>
              <w:left w:val="single" w:sz="4" w:space="0" w:color="auto"/>
              <w:right w:val="single" w:sz="4" w:space="0" w:color="auto"/>
            </w:tcBorders>
            <w:vAlign w:val="center"/>
          </w:tcPr>
          <w:p w14:paraId="5C472252" w14:textId="77777777" w:rsidR="00A408F1" w:rsidRPr="00111042" w:rsidRDefault="00A408F1" w:rsidP="00C35189">
            <w:pPr>
              <w:pStyle w:val="TableText1"/>
              <w:spacing w:before="0" w:after="0"/>
              <w:jc w:val="center"/>
              <w:rPr>
                <w:rFonts w:ascii="Arial Narrow" w:hAnsi="Arial Narrow" w:cstheme="minorHAnsi"/>
              </w:rPr>
            </w:pPr>
            <w:r w:rsidRPr="00111042">
              <w:rPr>
                <w:rFonts w:ascii="Arial Narrow" w:hAnsi="Arial Narrow" w:cstheme="minorHAnsi"/>
              </w:rPr>
              <w:t>0</w:t>
            </w:r>
          </w:p>
        </w:tc>
        <w:tc>
          <w:tcPr>
            <w:tcW w:w="845" w:type="pct"/>
            <w:tcBorders>
              <w:left w:val="single" w:sz="4" w:space="0" w:color="auto"/>
              <w:right w:val="single" w:sz="4" w:space="0" w:color="auto"/>
            </w:tcBorders>
            <w:shd w:val="clear" w:color="auto" w:fill="C6D9F1" w:themeFill="text2" w:themeFillTint="33"/>
            <w:vAlign w:val="center"/>
          </w:tcPr>
          <w:p w14:paraId="2FFC8AAB" w14:textId="77777777" w:rsidR="00A408F1" w:rsidRPr="00111042" w:rsidRDefault="00A408F1" w:rsidP="00C35189">
            <w:pPr>
              <w:pStyle w:val="TableText1"/>
              <w:spacing w:before="0" w:after="0"/>
              <w:jc w:val="center"/>
              <w:rPr>
                <w:rFonts w:ascii="Arial Narrow" w:hAnsi="Arial Narrow" w:cstheme="minorHAnsi"/>
              </w:rPr>
            </w:pPr>
            <w:r w:rsidRPr="00111042">
              <w:rPr>
                <w:rFonts w:ascii="Arial Narrow" w:hAnsi="Arial Narrow" w:cstheme="minorHAnsi"/>
              </w:rPr>
              <w:t>NR</w:t>
            </w:r>
          </w:p>
        </w:tc>
      </w:tr>
      <w:tr w:rsidR="00B23D1A" w:rsidRPr="00111042" w14:paraId="304DF8C7" w14:textId="77777777" w:rsidTr="00C35189">
        <w:tc>
          <w:tcPr>
            <w:tcW w:w="3201" w:type="pct"/>
            <w:tcBorders>
              <w:left w:val="single" w:sz="4" w:space="0" w:color="auto"/>
              <w:bottom w:val="single" w:sz="4" w:space="0" w:color="auto"/>
              <w:right w:val="single" w:sz="4" w:space="0" w:color="auto"/>
            </w:tcBorders>
          </w:tcPr>
          <w:p w14:paraId="3FCE0642" w14:textId="77777777" w:rsidR="00A408F1" w:rsidRPr="00111042" w:rsidRDefault="00A408F1" w:rsidP="00C35189">
            <w:pPr>
              <w:pStyle w:val="TableText1"/>
              <w:spacing w:before="0" w:after="0"/>
              <w:rPr>
                <w:rFonts w:ascii="Arial Narrow" w:hAnsi="Arial Narrow"/>
              </w:rPr>
            </w:pPr>
            <w:r w:rsidRPr="00111042">
              <w:rPr>
                <w:rFonts w:ascii="Arial Narrow" w:hAnsi="Arial Narrow"/>
              </w:rPr>
              <w:t>Grade 3-5 AE</w:t>
            </w:r>
          </w:p>
        </w:tc>
        <w:tc>
          <w:tcPr>
            <w:tcW w:w="954" w:type="pct"/>
            <w:tcBorders>
              <w:left w:val="single" w:sz="4" w:space="0" w:color="auto"/>
              <w:bottom w:val="single" w:sz="4" w:space="0" w:color="auto"/>
              <w:right w:val="single" w:sz="4" w:space="0" w:color="auto"/>
            </w:tcBorders>
            <w:vAlign w:val="center"/>
          </w:tcPr>
          <w:p w14:paraId="5DD2FB06" w14:textId="77777777" w:rsidR="00A408F1" w:rsidRPr="00111042" w:rsidRDefault="00A408F1" w:rsidP="00C35189">
            <w:pPr>
              <w:pStyle w:val="TableText1"/>
              <w:spacing w:before="0" w:after="0"/>
              <w:jc w:val="center"/>
              <w:rPr>
                <w:rFonts w:ascii="Arial Narrow" w:hAnsi="Arial Narrow" w:cstheme="minorHAnsi"/>
              </w:rPr>
            </w:pPr>
            <w:r w:rsidRPr="00111042">
              <w:rPr>
                <w:rFonts w:ascii="Arial Narrow" w:hAnsi="Arial Narrow" w:cstheme="minorHAnsi"/>
              </w:rPr>
              <w:t>2 (11.1)</w:t>
            </w:r>
          </w:p>
        </w:tc>
        <w:tc>
          <w:tcPr>
            <w:tcW w:w="845" w:type="pct"/>
            <w:tcBorders>
              <w:left w:val="single" w:sz="4" w:space="0" w:color="auto"/>
              <w:bottom w:val="single" w:sz="4" w:space="0" w:color="auto"/>
              <w:right w:val="single" w:sz="4" w:space="0" w:color="auto"/>
            </w:tcBorders>
            <w:shd w:val="clear" w:color="auto" w:fill="C6D9F1" w:themeFill="text2" w:themeFillTint="33"/>
            <w:vAlign w:val="center"/>
          </w:tcPr>
          <w:p w14:paraId="01F50859" w14:textId="77777777" w:rsidR="00A408F1" w:rsidRPr="00111042" w:rsidRDefault="00A408F1" w:rsidP="00C35189">
            <w:pPr>
              <w:pStyle w:val="TableText1"/>
              <w:spacing w:before="0" w:after="0"/>
              <w:jc w:val="center"/>
              <w:rPr>
                <w:rFonts w:ascii="Arial Narrow" w:hAnsi="Arial Narrow" w:cstheme="minorHAnsi"/>
              </w:rPr>
            </w:pPr>
            <w:r w:rsidRPr="00111042">
              <w:rPr>
                <w:rFonts w:ascii="Arial Narrow" w:hAnsi="Arial Narrow" w:cstheme="minorHAnsi"/>
              </w:rPr>
              <w:t>17 (68)</w:t>
            </w:r>
          </w:p>
        </w:tc>
      </w:tr>
    </w:tbl>
    <w:p w14:paraId="4D6A2748" w14:textId="77777777" w:rsidR="00115EF7" w:rsidRPr="00111042" w:rsidRDefault="00115EF7" w:rsidP="00115EF7">
      <w:pPr>
        <w:pStyle w:val="FooterTableFigure"/>
        <w:spacing w:after="0"/>
        <w:rPr>
          <w:szCs w:val="18"/>
          <w:lang w:eastAsia="en-US"/>
        </w:rPr>
      </w:pPr>
      <w:r w:rsidRPr="00111042">
        <w:rPr>
          <w:szCs w:val="18"/>
          <w:lang w:eastAsia="en-US"/>
        </w:rPr>
        <w:t>Source: Table 2.51 (p124) of the resubmission</w:t>
      </w:r>
    </w:p>
    <w:p w14:paraId="3A4DB7D9" w14:textId="77777777" w:rsidR="00A408F1" w:rsidRPr="00111042" w:rsidRDefault="00A408F1" w:rsidP="00A408F1">
      <w:pPr>
        <w:pStyle w:val="FooterTableFigure"/>
        <w:spacing w:after="0"/>
        <w:rPr>
          <w:szCs w:val="18"/>
          <w:lang w:eastAsia="en-US"/>
        </w:rPr>
      </w:pPr>
      <w:r w:rsidRPr="00111042">
        <w:rPr>
          <w:szCs w:val="18"/>
          <w:lang w:eastAsia="en-US"/>
        </w:rPr>
        <w:t>AE = adverse event; NR = not reported</w:t>
      </w:r>
    </w:p>
    <w:p w14:paraId="05DED889" w14:textId="02DA2DBB" w:rsidR="002B27D0" w:rsidRPr="004C7359" w:rsidRDefault="00A408F1" w:rsidP="004C7359">
      <w:pPr>
        <w:pStyle w:val="FooterTableFigure"/>
        <w:rPr>
          <w:szCs w:val="18"/>
          <w:lang w:eastAsia="en-US"/>
        </w:rPr>
      </w:pPr>
      <w:r w:rsidRPr="00890494">
        <w:t>a</w:t>
      </w:r>
      <w:r w:rsidR="00890494">
        <w:t xml:space="preserve"> – </w:t>
      </w:r>
      <w:r w:rsidRPr="00111042">
        <w:t>includes</w:t>
      </w:r>
      <w:r w:rsidR="00890494">
        <w:t xml:space="preserve"> </w:t>
      </w:r>
      <w:r w:rsidRPr="00111042">
        <w:t xml:space="preserve">4 </w:t>
      </w:r>
      <w:r w:rsidRPr="00111042">
        <w:rPr>
          <w:i/>
          <w:iCs/>
        </w:rPr>
        <w:t>SMN2</w:t>
      </w:r>
      <w:r w:rsidRPr="00111042">
        <w:t xml:space="preserve"> four copy patients</w:t>
      </w:r>
    </w:p>
    <w:p w14:paraId="556C9902" w14:textId="15C94FA2" w:rsidR="00A62A7C" w:rsidRPr="00111042" w:rsidRDefault="00A62A7C" w:rsidP="00D86231">
      <w:pPr>
        <w:pStyle w:val="3-BodyText"/>
      </w:pPr>
      <w:r w:rsidRPr="00111042">
        <w:t>In the total trial populations, all nusinersen patients experienced an AE, compared to 78% (14/18) of risdiplam patients. 12/25 (48%) of nusinersen patients experienced a</w:t>
      </w:r>
      <w:r w:rsidR="00764998">
        <w:t>n</w:t>
      </w:r>
      <w:r w:rsidRPr="00111042">
        <w:t xml:space="preserve"> </w:t>
      </w:r>
      <w:r w:rsidR="00764998">
        <w:t>S</w:t>
      </w:r>
      <w:r w:rsidRPr="00111042">
        <w:t>AE, compared to 0 risdiplam patients. 32% of nusinersen patients experienced a treatment-related AE compared to 11% of risdiplam patients.</w:t>
      </w:r>
    </w:p>
    <w:p w14:paraId="30386522" w14:textId="7758A0C1" w:rsidR="00A62A7C" w:rsidRPr="00111042" w:rsidRDefault="00F60C07" w:rsidP="00D86231">
      <w:pPr>
        <w:pStyle w:val="3-BodyText"/>
      </w:pPr>
      <w:r w:rsidRPr="00111042">
        <w:t>The most common AEs in risdiplam patients were teething, viral infection, papule and rhinorrhoea, all of which occurred in 2/7 (29%) of patients. The most common AEs in nusinersen patients were pyrexia (14/15, 93%), upper respiratory tract infection (12/15, 80%) and nasopharyngitis (9/15, 60%).</w:t>
      </w:r>
    </w:p>
    <w:p w14:paraId="04908C7F" w14:textId="0BAC538E" w:rsidR="007F1017" w:rsidRPr="00111042" w:rsidRDefault="007F1017" w:rsidP="00D86231">
      <w:pPr>
        <w:pStyle w:val="4-SubsectionHeading"/>
      </w:pPr>
      <w:bookmarkStart w:id="34" w:name="_Toc22897643"/>
      <w:bookmarkStart w:id="35" w:name="_Toc124937757"/>
      <w:r w:rsidRPr="00111042">
        <w:t>Benefits/harms</w:t>
      </w:r>
      <w:bookmarkEnd w:id="34"/>
      <w:bookmarkEnd w:id="35"/>
    </w:p>
    <w:p w14:paraId="3B653B96" w14:textId="4E5DE556" w:rsidR="00FC1884" w:rsidRPr="00111042" w:rsidRDefault="00311D9B" w:rsidP="006A3EA7">
      <w:pPr>
        <w:pStyle w:val="3-BodyText"/>
        <w:rPr>
          <w:i/>
          <w:iCs/>
        </w:rPr>
      </w:pPr>
      <w:r w:rsidRPr="00111042">
        <w:rPr>
          <w:snapToGrid/>
        </w:rPr>
        <w:t xml:space="preserve">A benefits and harms table </w:t>
      </w:r>
      <w:r w:rsidR="00D730B4" w:rsidRPr="00111042">
        <w:rPr>
          <w:snapToGrid/>
        </w:rPr>
        <w:t>wa</w:t>
      </w:r>
      <w:r w:rsidRPr="00111042">
        <w:rPr>
          <w:snapToGrid/>
        </w:rPr>
        <w:t xml:space="preserve">s not presented as the </w:t>
      </w:r>
      <w:r w:rsidR="00381F60" w:rsidRPr="00111042">
        <w:rPr>
          <w:snapToGrid/>
        </w:rPr>
        <w:t>resubmission</w:t>
      </w:r>
      <w:r w:rsidRPr="00111042">
        <w:rPr>
          <w:snapToGrid/>
        </w:rPr>
        <w:t xml:space="preserve"> made a claim of non-inferiority</w:t>
      </w:r>
      <w:r w:rsidR="006A3EA7" w:rsidRPr="00111042">
        <w:rPr>
          <w:snapToGrid/>
        </w:rPr>
        <w:t xml:space="preserve"> in </w:t>
      </w:r>
      <w:r w:rsidR="00D730B4" w:rsidRPr="00111042">
        <w:rPr>
          <w:snapToGrid/>
        </w:rPr>
        <w:t>efficacy</w:t>
      </w:r>
      <w:r w:rsidR="00943CE5" w:rsidRPr="00111042">
        <w:rPr>
          <w:snapToGrid/>
        </w:rPr>
        <w:t xml:space="preserve"> and safety</w:t>
      </w:r>
      <w:r w:rsidR="006847FA" w:rsidRPr="00111042">
        <w:rPr>
          <w:snapToGrid/>
        </w:rPr>
        <w:t xml:space="preserve"> for </w:t>
      </w:r>
      <w:r w:rsidR="006A3EA7" w:rsidRPr="00111042">
        <w:rPr>
          <w:snapToGrid/>
        </w:rPr>
        <w:t>both populations 1 and 2.</w:t>
      </w:r>
      <w:r w:rsidR="00E926A5" w:rsidRPr="00111042">
        <w:rPr>
          <w:snapToGrid/>
        </w:rPr>
        <w:t xml:space="preserve"> </w:t>
      </w:r>
    </w:p>
    <w:p w14:paraId="7A1772B6" w14:textId="4DFBAC83" w:rsidR="00B60939" w:rsidRPr="00111042" w:rsidRDefault="00B60939" w:rsidP="00E9094A">
      <w:pPr>
        <w:pStyle w:val="4-SubsectionHeading"/>
      </w:pPr>
      <w:bookmarkStart w:id="36" w:name="_Toc22897644"/>
      <w:bookmarkStart w:id="37" w:name="_Toc124937758"/>
      <w:r w:rsidRPr="00111042">
        <w:lastRenderedPageBreak/>
        <w:t>Clinical claim</w:t>
      </w:r>
      <w:bookmarkEnd w:id="36"/>
      <w:bookmarkEnd w:id="37"/>
    </w:p>
    <w:p w14:paraId="5AD4A4A0" w14:textId="77777777" w:rsidR="006D0186" w:rsidRPr="00111042" w:rsidRDefault="006D0186" w:rsidP="006D0186">
      <w:pPr>
        <w:pStyle w:val="3-BodyText"/>
        <w:numPr>
          <w:ilvl w:val="0"/>
          <w:numId w:val="0"/>
        </w:numPr>
        <w:ind w:left="720" w:hanging="720"/>
        <w:rPr>
          <w:u w:val="single"/>
        </w:rPr>
      </w:pPr>
      <w:r w:rsidRPr="00111042">
        <w:rPr>
          <w:u w:val="single"/>
        </w:rPr>
        <w:t>Population 1 (adult population)</w:t>
      </w:r>
    </w:p>
    <w:p w14:paraId="625E4E1C" w14:textId="3377569F" w:rsidR="006D0186" w:rsidRPr="00111042" w:rsidRDefault="00AF192C" w:rsidP="00E9094A">
      <w:pPr>
        <w:pStyle w:val="3-BodyText"/>
      </w:pPr>
      <w:r w:rsidRPr="00111042">
        <w:t xml:space="preserve">The </w:t>
      </w:r>
      <w:r w:rsidR="00381F60" w:rsidRPr="00111042">
        <w:t>resubmission</w:t>
      </w:r>
      <w:r w:rsidRPr="00111042">
        <w:t xml:space="preserve"> described risdiplam as non-inferior in terms of effectiveness compared with nusinersen and non-inferior in terms of safety compared to nusinersen, with a favourable safety profile in some patients due to differences in administration.</w:t>
      </w:r>
    </w:p>
    <w:p w14:paraId="1BF7BF18" w14:textId="53051C83" w:rsidR="00AF192C" w:rsidRPr="000C053F" w:rsidRDefault="00D41DA5" w:rsidP="00E9094A">
      <w:pPr>
        <w:pStyle w:val="3-BodyText"/>
      </w:pPr>
      <w:r w:rsidRPr="00E46894">
        <w:t xml:space="preserve">Overall, </w:t>
      </w:r>
      <w:r w:rsidR="00B244F9" w:rsidRPr="00E46894">
        <w:t xml:space="preserve">the ESC considered that </w:t>
      </w:r>
      <w:r w:rsidRPr="00E46894">
        <w:t xml:space="preserve">the clinical claim of non-inferior efficacy </w:t>
      </w:r>
      <w:r w:rsidR="00B244F9" w:rsidRPr="00E46894">
        <w:t>was</w:t>
      </w:r>
      <w:r w:rsidRPr="00E46894">
        <w:t xml:space="preserve"> clinical</w:t>
      </w:r>
      <w:r w:rsidR="00B244F9" w:rsidRPr="00E46894">
        <w:t>ly</w:t>
      </w:r>
      <w:r w:rsidRPr="00E46894">
        <w:t xml:space="preserve"> plausib</w:t>
      </w:r>
      <w:r w:rsidR="00B244F9" w:rsidRPr="00E46894">
        <w:t>le, consistent with previous comparisons between risdiplam and nusinersen, however</w:t>
      </w:r>
      <w:r w:rsidRPr="00E46894">
        <w:t xml:space="preserve">, </w:t>
      </w:r>
      <w:r w:rsidR="00B244F9" w:rsidRPr="00E46894">
        <w:t>there was</w:t>
      </w:r>
      <w:r w:rsidRPr="00E46894">
        <w:t xml:space="preserve"> a very high level of uncertainty</w:t>
      </w:r>
      <w:r w:rsidRPr="000C053F">
        <w:t xml:space="preserve"> as:</w:t>
      </w:r>
    </w:p>
    <w:p w14:paraId="54A7BECB" w14:textId="67CC39E1" w:rsidR="00CF5809" w:rsidRPr="000C053F" w:rsidRDefault="00CF5809" w:rsidP="00AF1877">
      <w:pPr>
        <w:pStyle w:val="ListParagraph"/>
        <w:numPr>
          <w:ilvl w:val="0"/>
          <w:numId w:val="8"/>
        </w:numPr>
        <w:ind w:left="993" w:hanging="284"/>
      </w:pPr>
      <w:r w:rsidRPr="000C053F">
        <w:t xml:space="preserve">The quality of evidence was poor and the unanchored naïve comparison carried a substantial risk of bias due to the lack of a common comparator. The clinical claim was based on unanchored naïve side by side numeric comparisons of two risdiplam studies with three nusinersen studies </w:t>
      </w:r>
      <w:r w:rsidR="004E2DE3">
        <w:t>using</w:t>
      </w:r>
      <w:r w:rsidR="004E2DE3" w:rsidRPr="000C053F">
        <w:t xml:space="preserve"> </w:t>
      </w:r>
      <w:r w:rsidRPr="000C053F">
        <w:t xml:space="preserve">the outcomes of HFMSE and RULM. Comparisons were made only on point estimates of change from baseline in HFMSE and RULM scores, and </w:t>
      </w:r>
      <w:r w:rsidR="004E2DE3">
        <w:t>statistical comparisons</w:t>
      </w:r>
      <w:r w:rsidRPr="000C053F">
        <w:t xml:space="preserve"> were likely unreliable given the lack of multiplicity adjustments, the use of subgroups and exploratory results</w:t>
      </w:r>
      <w:r w:rsidR="005254DB">
        <w:t>.</w:t>
      </w:r>
    </w:p>
    <w:p w14:paraId="1F89BEC8" w14:textId="61949C3D" w:rsidR="0093232A" w:rsidRPr="000C053F" w:rsidRDefault="00CF5809" w:rsidP="00AF1877">
      <w:pPr>
        <w:pStyle w:val="ListParagraph"/>
        <w:numPr>
          <w:ilvl w:val="0"/>
          <w:numId w:val="8"/>
        </w:numPr>
        <w:ind w:left="993" w:hanging="284"/>
      </w:pPr>
      <w:r w:rsidRPr="000C053F">
        <w:t xml:space="preserve">ESC previously considered clinically meaningful benefits in adult patients for HFMSE and RULM (and 6MWT) outcomes </w:t>
      </w:r>
      <w:r w:rsidR="004E2DE3">
        <w:t>were</w:t>
      </w:r>
      <w:r w:rsidR="004E2DE3" w:rsidRPr="000C053F">
        <w:t xml:space="preserve"> </w:t>
      </w:r>
      <w:r w:rsidRPr="000C053F">
        <w:t>unclear (</w:t>
      </w:r>
      <w:r w:rsidR="00B244F9">
        <w:t>p</w:t>
      </w:r>
      <w:r w:rsidRPr="000C053F">
        <w:t xml:space="preserve">ara 6.22, nusinersen </w:t>
      </w:r>
      <w:r w:rsidR="00B244F9">
        <w:t>PSD</w:t>
      </w:r>
      <w:r w:rsidRPr="000C053F">
        <w:t>, March 2022 PBAC meeting</w:t>
      </w:r>
      <w:r w:rsidR="00B244F9">
        <w:t>) and n</w:t>
      </w:r>
      <w:r w:rsidR="00B244F9" w:rsidRPr="00B244F9">
        <w:t>o MCID was nominated for assessment of non-inferiority</w:t>
      </w:r>
      <w:r w:rsidR="005254DB">
        <w:t>.</w:t>
      </w:r>
    </w:p>
    <w:p w14:paraId="0EAD79E5" w14:textId="49829991" w:rsidR="00CF5809" w:rsidRPr="000C053F" w:rsidRDefault="00CF5809" w:rsidP="00AF1877">
      <w:pPr>
        <w:pStyle w:val="ListParagraph"/>
        <w:numPr>
          <w:ilvl w:val="0"/>
          <w:numId w:val="8"/>
        </w:numPr>
        <w:ind w:left="993" w:hanging="284"/>
      </w:pPr>
      <w:r w:rsidRPr="000C053F">
        <w:t xml:space="preserve">The included studies </w:t>
      </w:r>
      <w:r w:rsidR="00400074">
        <w:t xml:space="preserve">had </w:t>
      </w:r>
      <w:r w:rsidR="00B244F9">
        <w:t>a</w:t>
      </w:r>
      <w:r w:rsidRPr="000C053F">
        <w:t xml:space="preserve"> high </w:t>
      </w:r>
      <w:r w:rsidR="00400074">
        <w:t xml:space="preserve">risk of </w:t>
      </w:r>
      <w:r w:rsidRPr="000C053F">
        <w:t>bias due to their trial design, lack of formal statistical testin</w:t>
      </w:r>
      <w:r w:rsidR="0093232A" w:rsidRPr="000C053F">
        <w:t>g</w:t>
      </w:r>
      <w:r w:rsidRPr="000C053F">
        <w:t xml:space="preserve"> </w:t>
      </w:r>
      <w:r w:rsidR="00400074">
        <w:t>and</w:t>
      </w:r>
      <w:r w:rsidRPr="000C053F">
        <w:t xml:space="preserve"> heterogeneity. The risdiplam studies also had applicability issues to the proposed PBS population as SUNFISH excluded ambulant patients and JEWELFISH </w:t>
      </w:r>
      <w:r w:rsidR="004E2DE3">
        <w:t xml:space="preserve">only </w:t>
      </w:r>
      <w:r w:rsidRPr="000C053F">
        <w:t>enrolled patients who had previously been treated with DMTs and enrolled Type 4 SMA patients</w:t>
      </w:r>
      <w:r w:rsidR="009A1108" w:rsidRPr="000C053F">
        <w:t>.</w:t>
      </w:r>
    </w:p>
    <w:p w14:paraId="442D1506" w14:textId="717EA896" w:rsidR="00262E66" w:rsidRDefault="00262E66" w:rsidP="00E9094A">
      <w:pPr>
        <w:pStyle w:val="3-BodyText"/>
      </w:pPr>
      <w:r w:rsidRPr="000C053F">
        <w:t xml:space="preserve">The </w:t>
      </w:r>
      <w:r w:rsidR="00400074" w:rsidRPr="00AF346B">
        <w:t>ESC agreed with the commentary that the</w:t>
      </w:r>
      <w:r w:rsidR="00400074">
        <w:t xml:space="preserve"> </w:t>
      </w:r>
      <w:r w:rsidRPr="000C053F">
        <w:t>claim of non-inferior safety</w:t>
      </w:r>
      <w:r w:rsidR="00400074">
        <w:t>,</w:t>
      </w:r>
      <w:r w:rsidRPr="000C053F">
        <w:t xml:space="preserve"> with a favourable safety profile in some patients</w:t>
      </w:r>
      <w:r w:rsidR="00400074">
        <w:t>,</w:t>
      </w:r>
      <w:r w:rsidRPr="000C053F">
        <w:t xml:space="preserve"> may be reasonable. The PBAC has previously acknowledged that a conclusion of a favourable safety profile of risdiplam over nusinersen in some patients is reasonable given the less invasive route of administration (</w:t>
      </w:r>
      <w:r w:rsidR="00400074">
        <w:t>p</w:t>
      </w:r>
      <w:r w:rsidRPr="000C053F">
        <w:t xml:space="preserve">ara 7.8, risdiplam </w:t>
      </w:r>
      <w:r w:rsidR="00400074">
        <w:t>PSD</w:t>
      </w:r>
      <w:r w:rsidRPr="000C053F">
        <w:t>, March 2021 PBAC meeting).</w:t>
      </w:r>
    </w:p>
    <w:p w14:paraId="2FAC8EEA" w14:textId="71562808" w:rsidR="00F66C94" w:rsidRPr="00115EF7" w:rsidRDefault="00F66C94" w:rsidP="00F66C94">
      <w:pPr>
        <w:widowControl w:val="0"/>
        <w:numPr>
          <w:ilvl w:val="1"/>
          <w:numId w:val="1"/>
        </w:numPr>
        <w:spacing w:after="120"/>
        <w:rPr>
          <w:rFonts w:asciiTheme="minorHAnsi" w:hAnsiTheme="minorHAnsi"/>
          <w:snapToGrid w:val="0"/>
          <w:szCs w:val="20"/>
        </w:rPr>
      </w:pPr>
      <w:bookmarkStart w:id="38" w:name="_Hlk76376200"/>
      <w:r w:rsidRPr="00115EF7">
        <w:rPr>
          <w:rFonts w:asciiTheme="minorHAnsi" w:hAnsiTheme="minorHAnsi"/>
          <w:iCs/>
          <w:snapToGrid w:val="0"/>
        </w:rPr>
        <w:t>The</w:t>
      </w:r>
      <w:r w:rsidRPr="00115EF7">
        <w:rPr>
          <w:rFonts w:asciiTheme="minorHAnsi" w:hAnsiTheme="minorHAnsi"/>
          <w:snapToGrid w:val="0"/>
          <w:szCs w:val="20"/>
        </w:rPr>
        <w:t xml:space="preserve"> PBAC considered that the claim of non-inferior comparative effectiveness was reasonable</w:t>
      </w:r>
      <w:r w:rsidR="00115EF7" w:rsidRPr="00115EF7">
        <w:rPr>
          <w:rFonts w:asciiTheme="minorHAnsi" w:hAnsiTheme="minorHAnsi"/>
          <w:snapToGrid w:val="0"/>
          <w:szCs w:val="20"/>
        </w:rPr>
        <w:t>, noting the limitations of the data available</w:t>
      </w:r>
      <w:r w:rsidRPr="00115EF7">
        <w:rPr>
          <w:rFonts w:asciiTheme="minorHAnsi" w:hAnsiTheme="minorHAnsi"/>
          <w:snapToGrid w:val="0"/>
          <w:szCs w:val="20"/>
        </w:rPr>
        <w:t>.</w:t>
      </w:r>
    </w:p>
    <w:p w14:paraId="38C36316" w14:textId="00C83982" w:rsidR="006062D0" w:rsidRPr="004C7359" w:rsidRDefault="00F66C94" w:rsidP="004C7359">
      <w:pPr>
        <w:widowControl w:val="0"/>
        <w:numPr>
          <w:ilvl w:val="1"/>
          <w:numId w:val="1"/>
        </w:numPr>
        <w:spacing w:after="120"/>
        <w:rPr>
          <w:rFonts w:asciiTheme="minorHAnsi" w:hAnsiTheme="minorHAnsi"/>
          <w:snapToGrid w:val="0"/>
          <w:szCs w:val="20"/>
        </w:rPr>
      </w:pPr>
      <w:r w:rsidRPr="00115EF7">
        <w:rPr>
          <w:rFonts w:asciiTheme="minorHAnsi" w:hAnsiTheme="minorHAnsi"/>
          <w:snapToGrid w:val="0"/>
          <w:szCs w:val="20"/>
        </w:rPr>
        <w:t>The PBAC considered that the claim of non-inferior comparative safety was reasonable.</w:t>
      </w:r>
      <w:bookmarkEnd w:id="38"/>
    </w:p>
    <w:p w14:paraId="191A2A1C" w14:textId="72253C80" w:rsidR="005F7C27" w:rsidRPr="00111042" w:rsidRDefault="005F7C27" w:rsidP="00115EF7">
      <w:pPr>
        <w:pStyle w:val="3-BodyText"/>
        <w:keepNext/>
        <w:keepLines/>
        <w:numPr>
          <w:ilvl w:val="0"/>
          <w:numId w:val="0"/>
        </w:numPr>
        <w:rPr>
          <w:u w:val="single"/>
        </w:rPr>
      </w:pPr>
      <w:r w:rsidRPr="00111042">
        <w:rPr>
          <w:u w:val="single"/>
        </w:rPr>
        <w:lastRenderedPageBreak/>
        <w:t xml:space="preserve">Population 2 (pre-symptomatic 1/2 </w:t>
      </w:r>
      <w:r w:rsidR="00AF346B" w:rsidRPr="00AF346B">
        <w:rPr>
          <w:i/>
          <w:u w:val="single"/>
        </w:rPr>
        <w:t>SMN2</w:t>
      </w:r>
      <w:r w:rsidRPr="00111042">
        <w:rPr>
          <w:u w:val="single"/>
        </w:rPr>
        <w:t xml:space="preserve"> gene copy population)</w:t>
      </w:r>
    </w:p>
    <w:p w14:paraId="7FBDDB31" w14:textId="14B19780" w:rsidR="005F7C27" w:rsidRPr="00111042" w:rsidRDefault="00141C4A" w:rsidP="00115EF7">
      <w:pPr>
        <w:pStyle w:val="3-BodyText"/>
        <w:keepNext/>
        <w:keepLines/>
      </w:pPr>
      <w:r w:rsidRPr="00111042">
        <w:t xml:space="preserve">The </w:t>
      </w:r>
      <w:r w:rsidR="00381F60" w:rsidRPr="00111042">
        <w:t>resubmission</w:t>
      </w:r>
      <w:r w:rsidRPr="00111042">
        <w:t xml:space="preserve"> described risdiplam as non-inferior in terms of effectiveness compared with nusinersen and non-inferior in terms of safety compared to nusinersen, with a favourable safety profile in some patients due to differences in administration.</w:t>
      </w:r>
    </w:p>
    <w:p w14:paraId="5DDCC782" w14:textId="1DD2B61A" w:rsidR="0011574D" w:rsidRPr="000C053F" w:rsidRDefault="006B1437" w:rsidP="00E9094A">
      <w:pPr>
        <w:pStyle w:val="3-BodyText"/>
      </w:pPr>
      <w:r w:rsidRPr="000C053F">
        <w:t xml:space="preserve">The </w:t>
      </w:r>
      <w:r w:rsidR="00400074" w:rsidRPr="00AF346B">
        <w:t xml:space="preserve">ESC considered the </w:t>
      </w:r>
      <w:r w:rsidRPr="00AF346B">
        <w:t>claim of non-inferior effectiveness was clinically plausible</w:t>
      </w:r>
      <w:r w:rsidR="00400074" w:rsidRPr="00AF346B">
        <w:t>, consistent with previous comparisons between risdiplam and nusinersen</w:t>
      </w:r>
      <w:r w:rsidRPr="00AF346B">
        <w:t>.</w:t>
      </w:r>
      <w:r w:rsidRPr="000C053F">
        <w:t xml:space="preserve"> Outcomes for event free survival, HINE-2 total score (at 28/26.1 weeks) and CHOP-INTEND were similar between pre-symptomatic patients with two </w:t>
      </w:r>
      <w:r w:rsidR="00AF346B" w:rsidRPr="00AF346B">
        <w:rPr>
          <w:i/>
        </w:rPr>
        <w:t>SMN2</w:t>
      </w:r>
      <w:r w:rsidRPr="000C053F">
        <w:t xml:space="preserve"> copies treated with risdiplam (informed by RAINBOWFISH, n=7) and nusinersen (informed by NURTURE, n=15). However</w:t>
      </w:r>
      <w:r w:rsidR="001F541A" w:rsidRPr="000C053F">
        <w:t>,</w:t>
      </w:r>
      <w:r w:rsidRPr="000C053F">
        <w:t xml:space="preserve"> this comparison was associated with a notable degree of uncertainty as:</w:t>
      </w:r>
    </w:p>
    <w:p w14:paraId="3E8F2EB8" w14:textId="77A90509" w:rsidR="008B6685" w:rsidRPr="000C053F" w:rsidRDefault="008B6685" w:rsidP="00AF1877">
      <w:pPr>
        <w:pStyle w:val="ListParagraph"/>
        <w:numPr>
          <w:ilvl w:val="0"/>
          <w:numId w:val="8"/>
        </w:numPr>
        <w:ind w:left="993" w:hanging="284"/>
      </w:pPr>
      <w:r w:rsidRPr="000C053F">
        <w:t xml:space="preserve">The quality of evidence was poor and the unanchored naïve comparison carried a substantial risk of bias due to the lack of a common comparator. The RAINBOWFISH and NURTURE trials both </w:t>
      </w:r>
      <w:r w:rsidR="00400074">
        <w:t>had</w:t>
      </w:r>
      <w:r w:rsidRPr="000C053F">
        <w:t xml:space="preserve"> a high risk of bias </w:t>
      </w:r>
      <w:r w:rsidR="004E2DE3">
        <w:t>given</w:t>
      </w:r>
      <w:r w:rsidR="004E2DE3" w:rsidRPr="000C053F">
        <w:t xml:space="preserve"> </w:t>
      </w:r>
      <w:r w:rsidRPr="000C053F">
        <w:t xml:space="preserve">single arm studies with no control group and small patient numbers. </w:t>
      </w:r>
      <w:r w:rsidR="00B03B15" w:rsidRPr="000C053F">
        <w:t>Further, RAINBOWFISH data was limited by the short follow-up (median 8.72 months, maximum 16.8 months)</w:t>
      </w:r>
      <w:r w:rsidR="00654F1E" w:rsidRPr="000C053F">
        <w:t>.</w:t>
      </w:r>
      <w:r w:rsidR="00B03B15" w:rsidRPr="000C053F">
        <w:t xml:space="preserve"> </w:t>
      </w:r>
      <w:r w:rsidRPr="000C053F">
        <w:t xml:space="preserve">Both studies excluded patients aged </w:t>
      </w:r>
      <w:r w:rsidR="005254DB">
        <w:t>≥</w:t>
      </w:r>
      <w:r w:rsidRPr="000C053F">
        <w:t xml:space="preserve">6 weeks and no patients with one copy of </w:t>
      </w:r>
      <w:r w:rsidR="00AF346B" w:rsidRPr="00AF346B">
        <w:rPr>
          <w:i/>
        </w:rPr>
        <w:t>SMN2</w:t>
      </w:r>
      <w:r w:rsidRPr="000C053F">
        <w:t xml:space="preserve"> </w:t>
      </w:r>
      <w:r w:rsidR="005254DB" w:rsidRPr="000C053F">
        <w:t>w</w:t>
      </w:r>
      <w:r w:rsidR="005254DB">
        <w:t>ere</w:t>
      </w:r>
      <w:r w:rsidR="005254DB" w:rsidRPr="000C053F">
        <w:t xml:space="preserve"> </w:t>
      </w:r>
      <w:r w:rsidRPr="000C053F">
        <w:t>enrolled in either trial</w:t>
      </w:r>
      <w:r w:rsidR="00924994" w:rsidRPr="000C053F">
        <w:t>.</w:t>
      </w:r>
      <w:r w:rsidRPr="000C053F">
        <w:t xml:space="preserve"> </w:t>
      </w:r>
    </w:p>
    <w:p w14:paraId="245165DE" w14:textId="2FECC357" w:rsidR="008B6685" w:rsidRPr="000C053F" w:rsidRDefault="008B6685" w:rsidP="00AF1877">
      <w:pPr>
        <w:pStyle w:val="ListParagraph"/>
        <w:numPr>
          <w:ilvl w:val="0"/>
          <w:numId w:val="8"/>
        </w:numPr>
        <w:ind w:left="993" w:hanging="284"/>
      </w:pPr>
      <w:r w:rsidRPr="000C053F">
        <w:t>Compared to patients treated with risdiplam in RAINBOWFISH, a higher proportion of patients treated with nusinersen in NURTURE were able to stand independently (1/4, 25% compared to 9/15, 60%) and walk independently (1/4, 25% compared to 13/15, 87%). However</w:t>
      </w:r>
      <w:r w:rsidR="0023772B" w:rsidRPr="000C053F">
        <w:t>,</w:t>
      </w:r>
      <w:r w:rsidRPr="000C053F">
        <w:t xml:space="preserve"> this may have been a function of difference in the follow up (12 months for RAINBOWFISH and 34.8 months for NURTURE)</w:t>
      </w:r>
      <w:r w:rsidR="00B03B15" w:rsidRPr="000C053F">
        <w:t>.</w:t>
      </w:r>
    </w:p>
    <w:p w14:paraId="7F613CD1" w14:textId="586436ED" w:rsidR="005F7588" w:rsidRDefault="0070143E" w:rsidP="0070143E">
      <w:pPr>
        <w:pStyle w:val="3-BodyText"/>
        <w:rPr>
          <w:rFonts w:eastAsia="Calibri"/>
        </w:rPr>
      </w:pPr>
      <w:r w:rsidRPr="000C053F">
        <w:t xml:space="preserve">The </w:t>
      </w:r>
      <w:r w:rsidR="005254DB" w:rsidRPr="00AF346B">
        <w:t xml:space="preserve">ESC </w:t>
      </w:r>
      <w:r w:rsidR="00464084">
        <w:t>considered</w:t>
      </w:r>
      <w:r w:rsidR="005254DB" w:rsidRPr="00AF346B">
        <w:t xml:space="preserve"> that the</w:t>
      </w:r>
      <w:r w:rsidR="005254DB">
        <w:t xml:space="preserve"> </w:t>
      </w:r>
      <w:r w:rsidRPr="000C053F">
        <w:t>claim of non-inferior safety with a favourable safety profile in some patients may be reasonable</w:t>
      </w:r>
      <w:r w:rsidR="007C70FF" w:rsidRPr="000C053F">
        <w:rPr>
          <w:rFonts w:eastAsia="Calibri"/>
        </w:rPr>
        <w:t>.</w:t>
      </w:r>
    </w:p>
    <w:p w14:paraId="53FDEE88" w14:textId="53073C14" w:rsidR="00F66C94" w:rsidRPr="00464084" w:rsidRDefault="00F66C94" w:rsidP="00F66C94">
      <w:pPr>
        <w:widowControl w:val="0"/>
        <w:numPr>
          <w:ilvl w:val="1"/>
          <w:numId w:val="1"/>
        </w:numPr>
        <w:spacing w:after="120"/>
        <w:rPr>
          <w:rFonts w:asciiTheme="minorHAnsi" w:hAnsiTheme="minorHAnsi"/>
          <w:snapToGrid w:val="0"/>
          <w:szCs w:val="20"/>
        </w:rPr>
      </w:pPr>
      <w:r w:rsidRPr="00464084">
        <w:rPr>
          <w:rFonts w:asciiTheme="minorHAnsi" w:hAnsiTheme="minorHAnsi"/>
          <w:iCs/>
          <w:snapToGrid w:val="0"/>
        </w:rPr>
        <w:t>The</w:t>
      </w:r>
      <w:r w:rsidRPr="00464084">
        <w:rPr>
          <w:rFonts w:asciiTheme="minorHAnsi" w:hAnsiTheme="minorHAnsi"/>
          <w:snapToGrid w:val="0"/>
          <w:szCs w:val="20"/>
        </w:rPr>
        <w:t xml:space="preserve"> PBAC considered that the claim of non-inferior comparative effectiveness</w:t>
      </w:r>
      <w:r w:rsidR="00D5080A">
        <w:rPr>
          <w:rFonts w:asciiTheme="minorHAnsi" w:hAnsiTheme="minorHAnsi"/>
          <w:snapToGrid w:val="0"/>
          <w:szCs w:val="20"/>
        </w:rPr>
        <w:t xml:space="preserve"> compared with nusinersen</w:t>
      </w:r>
      <w:r w:rsidRPr="00464084">
        <w:rPr>
          <w:rFonts w:asciiTheme="minorHAnsi" w:hAnsiTheme="minorHAnsi"/>
          <w:snapToGrid w:val="0"/>
          <w:szCs w:val="20"/>
        </w:rPr>
        <w:t xml:space="preserve"> was reasonable</w:t>
      </w:r>
      <w:r w:rsidR="00464084" w:rsidRPr="00464084">
        <w:rPr>
          <w:rFonts w:asciiTheme="minorHAnsi" w:hAnsiTheme="minorHAnsi"/>
          <w:snapToGrid w:val="0"/>
          <w:szCs w:val="20"/>
        </w:rPr>
        <w:t>, noting the limitations of the data available</w:t>
      </w:r>
      <w:r w:rsidRPr="00464084">
        <w:rPr>
          <w:rFonts w:asciiTheme="minorHAnsi" w:hAnsiTheme="minorHAnsi"/>
          <w:snapToGrid w:val="0"/>
          <w:szCs w:val="20"/>
        </w:rPr>
        <w:t>.</w:t>
      </w:r>
      <w:r w:rsidR="00D5080A">
        <w:rPr>
          <w:rFonts w:asciiTheme="minorHAnsi" w:hAnsiTheme="minorHAnsi"/>
          <w:snapToGrid w:val="0"/>
          <w:szCs w:val="20"/>
        </w:rPr>
        <w:t xml:space="preserve"> </w:t>
      </w:r>
    </w:p>
    <w:p w14:paraId="497621DD" w14:textId="7D03A942" w:rsidR="00F66C94" w:rsidRPr="00D503A1" w:rsidRDefault="00F66C94" w:rsidP="00D503A1">
      <w:pPr>
        <w:widowControl w:val="0"/>
        <w:numPr>
          <w:ilvl w:val="1"/>
          <w:numId w:val="1"/>
        </w:numPr>
        <w:spacing w:after="120"/>
        <w:rPr>
          <w:rFonts w:asciiTheme="minorHAnsi" w:hAnsiTheme="minorHAnsi"/>
          <w:snapToGrid w:val="0"/>
          <w:szCs w:val="20"/>
        </w:rPr>
      </w:pPr>
      <w:r w:rsidRPr="00464084">
        <w:rPr>
          <w:rFonts w:asciiTheme="minorHAnsi" w:hAnsiTheme="minorHAnsi"/>
          <w:snapToGrid w:val="0"/>
          <w:szCs w:val="20"/>
        </w:rPr>
        <w:t>The PBAC considered that the claim of non-inferior comparative safety was reasonable.</w:t>
      </w:r>
    </w:p>
    <w:p w14:paraId="74A1172E" w14:textId="128C170E" w:rsidR="00B60939" w:rsidRPr="00111042" w:rsidRDefault="00B60939" w:rsidP="00E9094A">
      <w:pPr>
        <w:pStyle w:val="4-SubsectionHeading"/>
      </w:pPr>
      <w:bookmarkStart w:id="39" w:name="_Toc22897645"/>
      <w:bookmarkStart w:id="40" w:name="_Toc124937759"/>
      <w:r w:rsidRPr="00111042">
        <w:t>Economic analysis</w:t>
      </w:r>
      <w:bookmarkEnd w:id="39"/>
      <w:bookmarkEnd w:id="40"/>
      <w:r w:rsidR="00491B3A" w:rsidRPr="00111042">
        <w:t xml:space="preserve"> </w:t>
      </w:r>
    </w:p>
    <w:p w14:paraId="7411B93A" w14:textId="54342F11" w:rsidR="006062D0" w:rsidRPr="004C7359" w:rsidRDefault="004C162C" w:rsidP="004C7359">
      <w:pPr>
        <w:pStyle w:val="3-BodyText"/>
        <w:rPr>
          <w:b/>
          <w:bCs/>
        </w:rPr>
      </w:pPr>
      <w:r w:rsidRPr="00111042">
        <w:t xml:space="preserve">For populations 1 and 2, the </w:t>
      </w:r>
      <w:r w:rsidR="00381F60" w:rsidRPr="00111042">
        <w:t>resubmission</w:t>
      </w:r>
      <w:r w:rsidRPr="00111042">
        <w:t xml:space="preserve"> presented a cost-minimisation </w:t>
      </w:r>
      <w:r w:rsidR="0037112A">
        <w:t>approach</w:t>
      </w:r>
      <w:r w:rsidR="0037112A" w:rsidRPr="00111042">
        <w:t xml:space="preserve"> </w:t>
      </w:r>
      <w:r w:rsidRPr="00111042">
        <w:t xml:space="preserve">(CMA) for risdiplam versus nusinersen. </w:t>
      </w:r>
      <w:r w:rsidR="0087704C" w:rsidRPr="000C053F">
        <w:rPr>
          <w:iCs/>
        </w:rPr>
        <w:t xml:space="preserve">The </w:t>
      </w:r>
      <w:r w:rsidR="00381F60" w:rsidRPr="000C053F">
        <w:rPr>
          <w:iCs/>
        </w:rPr>
        <w:t>resubmission</w:t>
      </w:r>
      <w:r w:rsidR="0087704C" w:rsidRPr="000C053F">
        <w:rPr>
          <w:iCs/>
        </w:rPr>
        <w:t xml:space="preserve"> sought price parity to nusinersen based on the nusinersen effective price and excluding the cost of nusinersen administration costs. </w:t>
      </w:r>
    </w:p>
    <w:p w14:paraId="5320CC96" w14:textId="4B361007" w:rsidR="0037112A" w:rsidRPr="0037112A" w:rsidRDefault="0037112A" w:rsidP="00890494">
      <w:pPr>
        <w:pStyle w:val="3-BodyText"/>
        <w:keepNext/>
        <w:numPr>
          <w:ilvl w:val="0"/>
          <w:numId w:val="0"/>
        </w:numPr>
        <w:rPr>
          <w:u w:val="single"/>
        </w:rPr>
      </w:pPr>
      <w:r w:rsidRPr="0037112A">
        <w:rPr>
          <w:u w:val="single"/>
        </w:rPr>
        <w:lastRenderedPageBreak/>
        <w:t>Population 1 (adult population)</w:t>
      </w:r>
    </w:p>
    <w:p w14:paraId="43C52379" w14:textId="72F7FD34" w:rsidR="005A4814" w:rsidRPr="00111042" w:rsidRDefault="00944680" w:rsidP="00890494">
      <w:pPr>
        <w:pStyle w:val="3-BodyText"/>
        <w:keepNext/>
        <w:rPr>
          <w:b/>
          <w:bCs/>
        </w:rPr>
      </w:pPr>
      <w:r w:rsidRPr="00111042">
        <w:t xml:space="preserve">For the </w:t>
      </w:r>
      <w:r w:rsidR="002F5FE2">
        <w:t>CMA</w:t>
      </w:r>
      <w:r w:rsidRPr="00111042">
        <w:t xml:space="preserve"> versus nusinersen for population 1, the </w:t>
      </w:r>
      <w:r w:rsidR="00381F60" w:rsidRPr="00111042">
        <w:t>resubmission</w:t>
      </w:r>
      <w:r w:rsidRPr="00111042">
        <w:t xml:space="preserve"> considered that over a time horizon of 5 years, risdiplam at 5 mg per day was equi-effective to nusinersen at 12 mg (5 mL) per intrathecal injection administration with 6 administrations in year 1 and 3 administrations from year 2 onwards</w:t>
      </w:r>
      <w:r w:rsidR="002B65AA" w:rsidRPr="00111042">
        <w:t>.</w:t>
      </w:r>
    </w:p>
    <w:p w14:paraId="680AED26" w14:textId="3C684C3D" w:rsidR="0037112A" w:rsidRPr="0037112A" w:rsidRDefault="0037112A" w:rsidP="0037112A">
      <w:pPr>
        <w:pStyle w:val="3-BodyText"/>
        <w:numPr>
          <w:ilvl w:val="0"/>
          <w:numId w:val="0"/>
        </w:numPr>
        <w:rPr>
          <w:u w:val="single"/>
        </w:rPr>
      </w:pPr>
      <w:r w:rsidRPr="0037112A">
        <w:rPr>
          <w:u w:val="single"/>
        </w:rPr>
        <w:t xml:space="preserve">Population 2 (pre-symptomatic 1/2 </w:t>
      </w:r>
      <w:r w:rsidR="00AF346B" w:rsidRPr="00AF346B">
        <w:rPr>
          <w:i/>
          <w:u w:val="single"/>
        </w:rPr>
        <w:t>SMN2</w:t>
      </w:r>
      <w:r w:rsidRPr="0037112A">
        <w:rPr>
          <w:u w:val="single"/>
        </w:rPr>
        <w:t xml:space="preserve"> gene copy population)</w:t>
      </w:r>
    </w:p>
    <w:p w14:paraId="6F44C31D" w14:textId="5F9E63F7" w:rsidR="009062D1" w:rsidRPr="009062D1" w:rsidRDefault="002B65AA" w:rsidP="009062D1">
      <w:pPr>
        <w:pStyle w:val="3-BodyText"/>
        <w:rPr>
          <w:b/>
          <w:bCs/>
        </w:rPr>
      </w:pPr>
      <w:r w:rsidRPr="00111042">
        <w:t xml:space="preserve">For the </w:t>
      </w:r>
      <w:r w:rsidR="002F5FE2">
        <w:t>CMA</w:t>
      </w:r>
      <w:r w:rsidRPr="00111042">
        <w:t xml:space="preserve"> versus nusinersen for population 2, the </w:t>
      </w:r>
      <w:r w:rsidR="00381F60" w:rsidRPr="00111042">
        <w:t>resubmission</w:t>
      </w:r>
      <w:r w:rsidRPr="00111042">
        <w:t xml:space="preserve"> considered that </w:t>
      </w:r>
      <w:r w:rsidR="00873242" w:rsidRPr="00111042">
        <w:t>o</w:t>
      </w:r>
      <w:r w:rsidRPr="00111042">
        <w:t xml:space="preserve">ver a time horizon of 5 years, risdiplam at the age and body weight recommended daily dose </w:t>
      </w:r>
      <w:r w:rsidR="00873242" w:rsidRPr="00111042">
        <w:t>is equi-effective to</w:t>
      </w:r>
      <w:r w:rsidRPr="00111042">
        <w:t xml:space="preserve"> nusinersen at 12mg (5 mL) per intrathecal injection administration with 6 administrations in year 1 and 3 administrations from year 2 onwards.</w:t>
      </w:r>
      <w:r w:rsidR="00E22407" w:rsidRPr="00111042">
        <w:t xml:space="preserve"> </w:t>
      </w:r>
    </w:p>
    <w:p w14:paraId="7D9F0439" w14:textId="666904E2" w:rsidR="009F0379" w:rsidRPr="009062D1" w:rsidRDefault="001D52DE" w:rsidP="009062D1">
      <w:pPr>
        <w:pStyle w:val="3-BodyText"/>
        <w:rPr>
          <w:b/>
          <w:bCs/>
        </w:rPr>
      </w:pPr>
      <w:r>
        <w:t xml:space="preserve">The </w:t>
      </w:r>
      <w:r w:rsidR="00031CBF">
        <w:t>calculation of the equi-effective dose required a treatment-initiation age</w:t>
      </w:r>
      <w:r w:rsidR="0037112A">
        <w:t xml:space="preserve"> to calculate </w:t>
      </w:r>
      <w:r w:rsidR="00BE70C7">
        <w:t>weight-based dosing</w:t>
      </w:r>
      <w:r w:rsidR="0037112A">
        <w:t xml:space="preserve"> for paediatric patients in population 2</w:t>
      </w:r>
      <w:r w:rsidR="00BE70C7">
        <w:t xml:space="preserve">. </w:t>
      </w:r>
      <w:r w:rsidR="009062D1" w:rsidRPr="000C053F">
        <w:t xml:space="preserve">The submission’s calculation inappropriately assumed patients would begin treatment on the first day of their life, which is unrealistic. Calculation of an effective cost-minimised </w:t>
      </w:r>
      <w:r w:rsidR="009062D1">
        <w:t>price</w:t>
      </w:r>
      <w:r w:rsidR="009062D1" w:rsidRPr="000C053F">
        <w:t xml:space="preserve"> </w:t>
      </w:r>
      <w:r w:rsidR="009062D1">
        <w:t>for</w:t>
      </w:r>
      <w:r w:rsidR="009062D1" w:rsidRPr="000C053F">
        <w:t xml:space="preserve"> risdiplam for population 2 using a 5-year time horizon starting at the beginning of infancy will result in a notably higher effective </w:t>
      </w:r>
      <w:r w:rsidR="009062D1">
        <w:t>price</w:t>
      </w:r>
      <w:r w:rsidR="009062D1" w:rsidRPr="000C053F">
        <w:t xml:space="preserve"> for risdiplam than if the cost-minimisation was conducted for an equi</w:t>
      </w:r>
      <w:r w:rsidR="009062D1" w:rsidRPr="000C053F">
        <w:noBreakHyphen/>
        <w:t xml:space="preserve">effective dose once patients had reached a higher weight or at the maximum dose (as for population 1).  </w:t>
      </w:r>
    </w:p>
    <w:p w14:paraId="57598134" w14:textId="3FF61D0C" w:rsidR="0037112A" w:rsidRPr="009F0379" w:rsidRDefault="009F0379" w:rsidP="009F0379">
      <w:pPr>
        <w:pStyle w:val="3-BodyText"/>
        <w:numPr>
          <w:ilvl w:val="0"/>
          <w:numId w:val="0"/>
        </w:numPr>
        <w:rPr>
          <w:u w:val="single"/>
        </w:rPr>
      </w:pPr>
      <w:r w:rsidRPr="009F0379">
        <w:rPr>
          <w:u w:val="single"/>
        </w:rPr>
        <w:t>Comparison to previous cost-minimisation approach</w:t>
      </w:r>
    </w:p>
    <w:p w14:paraId="56A621A7" w14:textId="40F14EC9" w:rsidR="00613843" w:rsidRDefault="00613843" w:rsidP="00613843">
      <w:pPr>
        <w:pStyle w:val="3-BodyText"/>
      </w:pPr>
      <w:r>
        <w:t xml:space="preserve">In </w:t>
      </w:r>
      <w:r w:rsidR="004D0BA1" w:rsidRPr="000C053F">
        <w:t xml:space="preserve">the previous cost minimisation of risdiplam to nusinersen in </w:t>
      </w:r>
      <w:r w:rsidR="009062D1">
        <w:t xml:space="preserve">symptomatic </w:t>
      </w:r>
      <w:r w:rsidR="004D0BA1" w:rsidRPr="000C053F">
        <w:t xml:space="preserve">SMA type 1, 2 and 3a in patients </w:t>
      </w:r>
      <w:r w:rsidR="002C383F">
        <w:rPr>
          <w:rFonts w:cstheme="minorHAnsi"/>
        </w:rPr>
        <w:t>≤</w:t>
      </w:r>
      <w:r w:rsidR="004D0BA1" w:rsidRPr="000C053F">
        <w:t>18 years of age</w:t>
      </w:r>
      <w:r w:rsidR="003E0CC5">
        <w:t>,</w:t>
      </w:r>
      <w:r w:rsidR="004D0BA1" w:rsidRPr="000C053F">
        <w:t xml:space="preserve"> 5 mg of risdiplam daily was considered equi-effective to nusinersen 12 mg (5 mL) every 4 months (i.e. excluding nusinersen loading doses) (para </w:t>
      </w:r>
      <w:r>
        <w:t>7.2</w:t>
      </w:r>
      <w:r w:rsidR="004D0BA1" w:rsidRPr="000C053F">
        <w:t>, risdiplam</w:t>
      </w:r>
      <w:r>
        <w:t xml:space="preserve"> PSD</w:t>
      </w:r>
      <w:r w:rsidR="004D0BA1" w:rsidRPr="000C053F">
        <w:t>, March 2021 PBAC meeting).</w:t>
      </w:r>
      <w:r w:rsidR="0042292A" w:rsidRPr="000C053F">
        <w:t xml:space="preserve"> </w:t>
      </w:r>
      <w:r w:rsidRPr="000C053F">
        <w:t>The equi</w:t>
      </w:r>
      <w:r w:rsidR="009062D1">
        <w:noBreakHyphen/>
      </w:r>
      <w:r w:rsidRPr="000C053F">
        <w:t xml:space="preserve">effective doses </w:t>
      </w:r>
      <w:r>
        <w:t xml:space="preserve">proposed </w:t>
      </w:r>
      <w:r w:rsidRPr="000C053F">
        <w:t>in the resubmission were inconsistent with,</w:t>
      </w:r>
      <w:r>
        <w:t xml:space="preserve"> and less conservative than the previous calculations because:</w:t>
      </w:r>
    </w:p>
    <w:p w14:paraId="2CABE70E" w14:textId="6C0A47DE" w:rsidR="00613843" w:rsidRDefault="00613843" w:rsidP="00AF1877">
      <w:pPr>
        <w:pStyle w:val="3-BodyText"/>
        <w:numPr>
          <w:ilvl w:val="1"/>
          <w:numId w:val="15"/>
        </w:numPr>
        <w:ind w:left="993" w:hanging="294"/>
      </w:pPr>
      <w:r>
        <w:t>L</w:t>
      </w:r>
      <w:r w:rsidRPr="00C03EBF">
        <w:t>oading doses for nusinersen were included in the calculation for both population 1 and 2</w:t>
      </w:r>
      <w:r w:rsidR="00591451">
        <w:t xml:space="preserve">. </w:t>
      </w:r>
      <w:r w:rsidR="00591451" w:rsidRPr="000C053F">
        <w:t>This differed to the CMA in the March 2021 risdiplam PBAC submission where price parity was requested to nusinersen maintenance dosing only (i.e., three administrations per year over five years</w:t>
      </w:r>
      <w:r w:rsidR="00591451">
        <w:t xml:space="preserve">). </w:t>
      </w:r>
    </w:p>
    <w:p w14:paraId="19FD7CDD" w14:textId="208EA39F" w:rsidR="00613843" w:rsidRPr="00613843" w:rsidRDefault="00613843" w:rsidP="00AF1877">
      <w:pPr>
        <w:pStyle w:val="3-BodyText"/>
        <w:numPr>
          <w:ilvl w:val="1"/>
          <w:numId w:val="15"/>
        </w:numPr>
        <w:ind w:left="993" w:hanging="294"/>
      </w:pPr>
      <w:r>
        <w:t xml:space="preserve">For </w:t>
      </w:r>
      <w:r w:rsidRPr="000C053F">
        <w:t xml:space="preserve">population 2 </w:t>
      </w:r>
      <w:r>
        <w:t>t</w:t>
      </w:r>
      <w:r w:rsidRPr="000C053F">
        <w:t xml:space="preserve">he equi-effective dose </w:t>
      </w:r>
      <w:r>
        <w:t xml:space="preserve">of </w:t>
      </w:r>
      <w:r w:rsidRPr="000C053F">
        <w:t>risdiplam was based on the patient weight and the dose did not reach the maximum 5 mg daily until the patient was aged 5.95 years. The cost of risdiplam after year 6 (when patients would use the maximum 5 mg daily dose) would be much greater than in year</w:t>
      </w:r>
      <w:r>
        <w:t>s</w:t>
      </w:r>
      <w:r w:rsidRPr="000C053F">
        <w:t xml:space="preserve"> 1-5. </w:t>
      </w:r>
      <w:r w:rsidR="003E0CC5">
        <w:t>This differed to the CMA in the March 2021 risdiplam submission which was based on the maximum daily dose for both risdiplam and nusinersen.</w:t>
      </w:r>
    </w:p>
    <w:p w14:paraId="3014851E" w14:textId="50B961D3" w:rsidR="00591451" w:rsidRPr="000C053F" w:rsidRDefault="00591451" w:rsidP="00591451">
      <w:pPr>
        <w:pStyle w:val="3-BodyText"/>
        <w:rPr>
          <w:b/>
          <w:bCs/>
        </w:rPr>
      </w:pPr>
      <w:r w:rsidRPr="000C053F">
        <w:t>PBAC guidelines (Section 3B.2) state, for ongoing medicines, ‘steady state’ dosing</w:t>
      </w:r>
      <w:r>
        <w:t xml:space="preserve"> (the average dose after titrations are complete)</w:t>
      </w:r>
      <w:r w:rsidRPr="000C053F">
        <w:t xml:space="preserve"> is </w:t>
      </w:r>
      <w:r>
        <w:t xml:space="preserve">generally </w:t>
      </w:r>
      <w:r w:rsidRPr="000C053F">
        <w:t xml:space="preserve">most relevant. Maintenance </w:t>
      </w:r>
      <w:r w:rsidRPr="000C053F">
        <w:lastRenderedPageBreak/>
        <w:t>dosing (i.e., three administrations per year) may be considered the relevant nusinersen steady state dosing regimen.</w:t>
      </w:r>
    </w:p>
    <w:p w14:paraId="29206CFB" w14:textId="77777777" w:rsidR="005D499D" w:rsidRPr="005D499D" w:rsidRDefault="003E0CC5" w:rsidP="00641FB3">
      <w:pPr>
        <w:pStyle w:val="3-BodyText"/>
        <w:rPr>
          <w:b/>
          <w:bCs/>
        </w:rPr>
      </w:pPr>
      <w:r>
        <w:t xml:space="preserve">At its March 2021 meeting PBAC </w:t>
      </w:r>
      <w:r w:rsidRPr="000C053F">
        <w:t xml:space="preserve">considered </w:t>
      </w:r>
      <w:r w:rsidR="005D499D">
        <w:t xml:space="preserve">that </w:t>
      </w:r>
      <w:r>
        <w:t>assuming all patients treated with risdiplam would require 5 mg per day and not including costs for nusinersen loading doses or administration costs</w:t>
      </w:r>
      <w:r w:rsidR="005D499D">
        <w:t xml:space="preserve"> was </w:t>
      </w:r>
      <w:r w:rsidRPr="000C053F">
        <w:t>conservative but appropriate</w:t>
      </w:r>
      <w:r>
        <w:t>, given the limitations of the available evidence for risdiplam and nusinersen and the treatment costs</w:t>
      </w:r>
      <w:r w:rsidRPr="000C053F">
        <w:t xml:space="preserve"> (</w:t>
      </w:r>
      <w:r>
        <w:t>p</w:t>
      </w:r>
      <w:r w:rsidRPr="000C053F">
        <w:t xml:space="preserve">ara 7.9, risdiplam </w:t>
      </w:r>
      <w:r>
        <w:t>PSD</w:t>
      </w:r>
      <w:r w:rsidRPr="000C053F">
        <w:t>, March 2021 PBAC meeting).</w:t>
      </w:r>
      <w:r w:rsidR="005D499D">
        <w:t xml:space="preserve"> </w:t>
      </w:r>
    </w:p>
    <w:p w14:paraId="51D3716C" w14:textId="2DC2E6E3" w:rsidR="00F43C13" w:rsidRPr="00AF346B" w:rsidRDefault="00877371" w:rsidP="00641FB3">
      <w:pPr>
        <w:pStyle w:val="3-BodyText"/>
        <w:rPr>
          <w:b/>
          <w:bCs/>
        </w:rPr>
      </w:pPr>
      <w:r w:rsidRPr="000C053F">
        <w:t xml:space="preserve">The submission did not </w:t>
      </w:r>
      <w:r w:rsidR="00F009BA" w:rsidRPr="000C053F">
        <w:t xml:space="preserve">justify </w:t>
      </w:r>
      <w:r w:rsidR="00613843" w:rsidRPr="000C053F">
        <w:t>th</w:t>
      </w:r>
      <w:r w:rsidR="00613843">
        <w:t xml:space="preserve">e </w:t>
      </w:r>
      <w:r w:rsidR="00F009BA" w:rsidRPr="000C053F">
        <w:t>difference</w:t>
      </w:r>
      <w:r w:rsidR="00613843">
        <w:t>s</w:t>
      </w:r>
      <w:r w:rsidR="00F009BA" w:rsidRPr="000C053F">
        <w:t xml:space="preserve"> in approach</w:t>
      </w:r>
      <w:r w:rsidR="001D76C2" w:rsidRPr="000C053F">
        <w:t xml:space="preserve"> </w:t>
      </w:r>
      <w:r w:rsidR="00613843">
        <w:t xml:space="preserve">to the </w:t>
      </w:r>
      <w:r w:rsidR="00F009BA" w:rsidRPr="000C053F">
        <w:t>cost-</w:t>
      </w:r>
      <w:r w:rsidR="001D76C2" w:rsidRPr="000C053F">
        <w:t>minimisation</w:t>
      </w:r>
      <w:r w:rsidR="00F009BA" w:rsidRPr="000C053F">
        <w:t xml:space="preserve"> </w:t>
      </w:r>
      <w:r w:rsidR="001D76C2" w:rsidRPr="000C053F">
        <w:t xml:space="preserve">in </w:t>
      </w:r>
      <w:r w:rsidR="00613843">
        <w:t>symptomatic T</w:t>
      </w:r>
      <w:r w:rsidR="001D76C2" w:rsidRPr="000C053F">
        <w:t>ype 1-3a patients.</w:t>
      </w:r>
      <w:r w:rsidR="00FD5920" w:rsidRPr="000C053F">
        <w:t xml:space="preserve"> Given that it was likely that </w:t>
      </w:r>
      <w:r w:rsidR="00613843">
        <w:t>most</w:t>
      </w:r>
      <w:r w:rsidR="00613843" w:rsidRPr="000C053F">
        <w:t xml:space="preserve"> </w:t>
      </w:r>
      <w:r w:rsidR="00FD5920" w:rsidRPr="000C053F">
        <w:t xml:space="preserve">patients who are eligible for treatment under the proposed population 2 restriction would </w:t>
      </w:r>
      <w:r w:rsidR="00613843">
        <w:t>otherwise have</w:t>
      </w:r>
      <w:r w:rsidR="00FD5920" w:rsidRPr="000C053F">
        <w:t xml:space="preserve"> become eligible for treatment with risdiplam under the current PBS listing </w:t>
      </w:r>
      <w:r w:rsidR="00613843">
        <w:t xml:space="preserve">(after developing </w:t>
      </w:r>
      <w:r w:rsidR="00FD5920" w:rsidRPr="000C053F">
        <w:t xml:space="preserve">SMA </w:t>
      </w:r>
      <w:r w:rsidR="00613843">
        <w:t>symptoms)</w:t>
      </w:r>
      <w:r w:rsidR="00EC0D95" w:rsidRPr="000C053F">
        <w:t xml:space="preserve">, </w:t>
      </w:r>
      <w:r w:rsidR="00EC0D95" w:rsidRPr="00AF346B">
        <w:t xml:space="preserve">the </w:t>
      </w:r>
      <w:r w:rsidR="009062D1" w:rsidRPr="00AF346B">
        <w:t xml:space="preserve">ESC considered the </w:t>
      </w:r>
      <w:r w:rsidR="00EC0D95" w:rsidRPr="00AF346B">
        <w:t>difference</w:t>
      </w:r>
      <w:r w:rsidR="009F4A69" w:rsidRPr="00AF346B">
        <w:t>s</w:t>
      </w:r>
      <w:r w:rsidR="00EC0D95" w:rsidRPr="00AF346B">
        <w:t xml:space="preserve"> in the cost minimisation approach </w:t>
      </w:r>
      <w:r w:rsidR="009062D1" w:rsidRPr="00AF346B">
        <w:t>were not</w:t>
      </w:r>
      <w:r w:rsidR="00EC0D95" w:rsidRPr="00AF346B">
        <w:t xml:space="preserve"> justified</w:t>
      </w:r>
      <w:r w:rsidR="00FD5920" w:rsidRPr="00AF346B">
        <w:t>.</w:t>
      </w:r>
    </w:p>
    <w:p w14:paraId="754B33BC" w14:textId="020FDBDA" w:rsidR="00113396" w:rsidRDefault="00F72B58" w:rsidP="00113396">
      <w:pPr>
        <w:pStyle w:val="3-BodyText"/>
      </w:pPr>
      <w:r w:rsidRPr="00AF346B">
        <w:t>The PSCR stated that the recommended once daily dose of risdiplam is determined by age and body weight and the method of estimation used reflects the appropriate dose, for the particular age and weight of the population in the TGA-approved product information and the clinical trials (SUNFISH</w:t>
      </w:r>
      <w:r w:rsidR="00F83A52">
        <w:t>,</w:t>
      </w:r>
      <w:r w:rsidR="00F83A52" w:rsidRPr="00AF346B">
        <w:t xml:space="preserve"> </w:t>
      </w:r>
      <w:r w:rsidRPr="00AF346B">
        <w:t>JEWELFISH</w:t>
      </w:r>
      <w:r w:rsidR="00F83A52">
        <w:t xml:space="preserve"> and RAINBOWFISH</w:t>
      </w:r>
      <w:r w:rsidRPr="00AF346B">
        <w:t xml:space="preserve">). </w:t>
      </w:r>
    </w:p>
    <w:p w14:paraId="57004575" w14:textId="4992E397" w:rsidR="00F72B58" w:rsidRPr="00AF346B" w:rsidRDefault="008F704C" w:rsidP="00F72B58">
      <w:pPr>
        <w:pStyle w:val="3-BodyText"/>
      </w:pPr>
      <w:r>
        <w:t>ESC noted that i</w:t>
      </w:r>
      <w:r w:rsidR="00AE41ED" w:rsidRPr="00AF346B">
        <w:t>f the claims of</w:t>
      </w:r>
      <w:r w:rsidR="00CE4B0A" w:rsidRPr="00AF346B">
        <w:t xml:space="preserve"> non-inferior</w:t>
      </w:r>
      <w:r w:rsidR="00AE41ED" w:rsidRPr="00AF346B">
        <w:t xml:space="preserve"> safety and efficacy are</w:t>
      </w:r>
      <w:r w:rsidR="00CE4B0A" w:rsidRPr="00AF346B">
        <w:t xml:space="preserve"> accepted by the PBAC, the cost per patient for treatment with risdiplam should be no more than the cost per patient of nusinersen. Where these cost per patient calculations are uncertain, the guiding principle is that the Australian Government should not bear the financial risk of this uncertainty because the Australian population already has access to therapy that is at least as effective and safe. </w:t>
      </w:r>
      <w:r w:rsidR="00F72B58" w:rsidRPr="00AF346B">
        <w:t>The ESC considered that it would be appropriate for the calculation of equi-effective doses</w:t>
      </w:r>
      <w:r w:rsidR="00964841" w:rsidRPr="00AF346B">
        <w:t xml:space="preserve"> </w:t>
      </w:r>
      <w:r w:rsidR="00F72B58" w:rsidRPr="00AF346B">
        <w:t xml:space="preserve">to be based on the maximum dose of risdiplam (5 mg daily) for both </w:t>
      </w:r>
      <w:r w:rsidR="00964841" w:rsidRPr="00AF346B">
        <w:t>populations, consistent with the</w:t>
      </w:r>
      <w:r w:rsidR="009062D1" w:rsidRPr="00AF346B">
        <w:t xml:space="preserve"> equi-effective dose for</w:t>
      </w:r>
      <w:r w:rsidR="00964841" w:rsidRPr="00AF346B">
        <w:t xml:space="preserve"> symptomatic Type 1-3a patients (which would largely comprise the same patient</w:t>
      </w:r>
      <w:r w:rsidR="009062D1" w:rsidRPr="00AF346B">
        <w:t>s as population 2</w:t>
      </w:r>
      <w:r w:rsidR="00964841" w:rsidRPr="00AF346B">
        <w:t xml:space="preserve">). </w:t>
      </w:r>
      <w:r w:rsidR="009062D1" w:rsidRPr="00AF346B">
        <w:t xml:space="preserve">The ESC also considered that the equi-effective doses in both populations should be based on steady state dosing, without </w:t>
      </w:r>
      <w:r w:rsidR="00175C87" w:rsidRPr="00AF346B">
        <w:t>inclusion of loading doses.</w:t>
      </w:r>
    </w:p>
    <w:p w14:paraId="57BF8CBD" w14:textId="6A2FE80E" w:rsidR="00DE4273" w:rsidRPr="000C053F" w:rsidRDefault="00F4572F" w:rsidP="00B11583">
      <w:pPr>
        <w:pStyle w:val="3-BodyText"/>
      </w:pPr>
      <w:r>
        <w:t xml:space="preserve">Consistent with the previous risdiplam CMA </w:t>
      </w:r>
      <w:r w:rsidRPr="000C053F">
        <w:t>(para 6.73, risdipla</w:t>
      </w:r>
      <w:r>
        <w:t>m</w:t>
      </w:r>
      <w:r w:rsidRPr="000C053F">
        <w:t xml:space="preserve"> </w:t>
      </w:r>
      <w:r>
        <w:t>PSD</w:t>
      </w:r>
      <w:r w:rsidRPr="000C053F">
        <w:t>, March 2021 PBAC meeting)</w:t>
      </w:r>
      <w:r>
        <w:t>, i</w:t>
      </w:r>
      <w:r w:rsidR="00960E77" w:rsidRPr="00111042">
        <w:t xml:space="preserve">ntrathecal administration costs associated with nusinersen administration were included as part of the Population 1 and 2 analyses presented in the </w:t>
      </w:r>
      <w:r w:rsidR="00381F60" w:rsidRPr="00111042">
        <w:t>resubmission</w:t>
      </w:r>
      <w:r w:rsidR="00960E77" w:rsidRPr="00111042">
        <w:t xml:space="preserve"> </w:t>
      </w:r>
      <w:r w:rsidR="00960E77" w:rsidRPr="000C053F">
        <w:t>but were not incorporated into the calculation of the risdiplam effective cost-minimised price.</w:t>
      </w:r>
      <w:r w:rsidR="005752A5" w:rsidRPr="000C053F">
        <w:t xml:space="preserve"> </w:t>
      </w:r>
      <w:r w:rsidR="007E4009" w:rsidRPr="000C053F">
        <w:t xml:space="preserve"> </w:t>
      </w:r>
    </w:p>
    <w:p w14:paraId="3C57E863" w14:textId="49DFE04F" w:rsidR="00000D6E" w:rsidRPr="000C053F" w:rsidRDefault="003778FB" w:rsidP="00B11583">
      <w:pPr>
        <w:pStyle w:val="3-BodyText"/>
      </w:pPr>
      <w:r>
        <w:fldChar w:fldCharType="begin"/>
      </w:r>
      <w:r>
        <w:instrText xml:space="preserve"> REF _Ref123827651 \h </w:instrText>
      </w:r>
      <w:r>
        <w:fldChar w:fldCharType="separate"/>
      </w:r>
      <w:r w:rsidR="00D45640">
        <w:t xml:space="preserve">Table </w:t>
      </w:r>
      <w:r w:rsidR="00D45640">
        <w:rPr>
          <w:noProof/>
        </w:rPr>
        <w:t>12</w:t>
      </w:r>
      <w:r>
        <w:fldChar w:fldCharType="end"/>
      </w:r>
      <w:r w:rsidR="00000D6E">
        <w:t xml:space="preserve"> presents the results of the </w:t>
      </w:r>
      <w:r w:rsidR="005D499D">
        <w:t>CMA</w:t>
      </w:r>
      <w:r w:rsidR="00F72B58">
        <w:t xml:space="preserve"> </w:t>
      </w:r>
      <w:r w:rsidR="00000D6E">
        <w:t>using the published prices</w:t>
      </w:r>
      <w:r w:rsidR="00975193">
        <w:t xml:space="preserve"> of risdiplam </w:t>
      </w:r>
      <w:r w:rsidR="00597854">
        <w:t>and nusinersen</w:t>
      </w:r>
      <w:r w:rsidR="00000D6E">
        <w:t xml:space="preserve">. </w:t>
      </w:r>
    </w:p>
    <w:p w14:paraId="27878EE2" w14:textId="1F205343" w:rsidR="00203AD8" w:rsidRPr="00111042" w:rsidRDefault="0014637F" w:rsidP="0014637F">
      <w:pPr>
        <w:pStyle w:val="Caption"/>
        <w:rPr>
          <w:rStyle w:val="CommentReference"/>
          <w:b/>
          <w:vertAlign w:val="superscript"/>
        </w:rPr>
      </w:pPr>
      <w:bookmarkStart w:id="41" w:name="_Ref123827651"/>
      <w:r>
        <w:lastRenderedPageBreak/>
        <w:t xml:space="preserve">Table </w:t>
      </w:r>
      <w:r w:rsidR="00D45640">
        <w:fldChar w:fldCharType="begin"/>
      </w:r>
      <w:r w:rsidR="00D45640">
        <w:instrText xml:space="preserve"> SEQ Table \* ARABIC </w:instrText>
      </w:r>
      <w:r w:rsidR="00D45640">
        <w:fldChar w:fldCharType="separate"/>
      </w:r>
      <w:r w:rsidR="00D45640">
        <w:rPr>
          <w:noProof/>
        </w:rPr>
        <w:t>12</w:t>
      </w:r>
      <w:r w:rsidR="00D45640">
        <w:rPr>
          <w:noProof/>
        </w:rPr>
        <w:fldChar w:fldCharType="end"/>
      </w:r>
      <w:bookmarkEnd w:id="41"/>
      <w:r w:rsidR="00203AD8" w:rsidRPr="00111042">
        <w:rPr>
          <w:rStyle w:val="CommentReference"/>
          <w:b/>
        </w:rPr>
        <w:t xml:space="preserve">: Results of the cost-minimisation approach using published prices </w:t>
      </w:r>
      <w:r w:rsidR="00203AD8" w:rsidRPr="00111042">
        <w:rPr>
          <w:rStyle w:val="CommentReference"/>
          <w:b/>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998"/>
        <w:gridCol w:w="3010"/>
      </w:tblGrid>
      <w:tr w:rsidR="00203AD8" w:rsidRPr="000C053F" w14:paraId="6904EA99" w14:textId="77777777" w:rsidTr="00ED7FE2">
        <w:tc>
          <w:tcPr>
            <w:tcW w:w="3009" w:type="dxa"/>
            <w:vAlign w:val="center"/>
          </w:tcPr>
          <w:p w14:paraId="16814E65" w14:textId="77777777" w:rsidR="00203AD8" w:rsidRPr="000C053F" w:rsidRDefault="00203AD8" w:rsidP="00ED7FE2">
            <w:pPr>
              <w:pStyle w:val="In-tableHeading"/>
              <w:rPr>
                <w:lang w:val="en-AU"/>
              </w:rPr>
            </w:pPr>
            <w:r w:rsidRPr="000C053F">
              <w:rPr>
                <w:lang w:val="en-AU"/>
              </w:rPr>
              <w:t>Component</w:t>
            </w:r>
          </w:p>
        </w:tc>
        <w:tc>
          <w:tcPr>
            <w:tcW w:w="2998" w:type="dxa"/>
          </w:tcPr>
          <w:p w14:paraId="79A92772" w14:textId="77777777" w:rsidR="00203AD8" w:rsidRPr="000C053F" w:rsidRDefault="00203AD8" w:rsidP="00ED7FE2">
            <w:pPr>
              <w:pStyle w:val="In-tableHeading"/>
              <w:jc w:val="center"/>
              <w:rPr>
                <w:lang w:val="en-AU"/>
              </w:rPr>
            </w:pPr>
            <w:r w:rsidRPr="000C053F">
              <w:rPr>
                <w:lang w:val="en-AU"/>
              </w:rPr>
              <w:t>Risdiplam</w:t>
            </w:r>
          </w:p>
        </w:tc>
        <w:tc>
          <w:tcPr>
            <w:tcW w:w="3010" w:type="dxa"/>
          </w:tcPr>
          <w:p w14:paraId="695B2770" w14:textId="77777777" w:rsidR="00203AD8" w:rsidRPr="000C053F" w:rsidRDefault="00203AD8" w:rsidP="00ED7FE2">
            <w:pPr>
              <w:pStyle w:val="In-tableHeading"/>
              <w:jc w:val="center"/>
              <w:rPr>
                <w:lang w:val="en-AU"/>
              </w:rPr>
            </w:pPr>
            <w:r w:rsidRPr="000C053F">
              <w:rPr>
                <w:lang w:val="en-AU"/>
              </w:rPr>
              <w:t>Nusinersen</w:t>
            </w:r>
          </w:p>
        </w:tc>
      </w:tr>
      <w:tr w:rsidR="00203AD8" w:rsidRPr="000C053F" w14:paraId="741AB607" w14:textId="77777777" w:rsidTr="00ED7FE2">
        <w:tc>
          <w:tcPr>
            <w:tcW w:w="3009" w:type="dxa"/>
            <w:vAlign w:val="center"/>
          </w:tcPr>
          <w:p w14:paraId="7CA8D388" w14:textId="77777777" w:rsidR="00203AD8" w:rsidRPr="000C053F" w:rsidRDefault="00203AD8" w:rsidP="00ED7FE2">
            <w:pPr>
              <w:pStyle w:val="TableText0"/>
            </w:pPr>
            <w:r w:rsidRPr="000C053F">
              <w:t>Cost per dose</w:t>
            </w:r>
          </w:p>
        </w:tc>
        <w:tc>
          <w:tcPr>
            <w:tcW w:w="2998" w:type="dxa"/>
            <w:vAlign w:val="center"/>
          </w:tcPr>
          <w:p w14:paraId="73C81472" w14:textId="2887A732" w:rsidR="00203AD8" w:rsidRPr="000C053F" w:rsidRDefault="00203AD8" w:rsidP="00ED7FE2">
            <w:pPr>
              <w:pStyle w:val="TableText0"/>
              <w:jc w:val="center"/>
              <w:rPr>
                <w:vertAlign w:val="superscript"/>
              </w:rPr>
            </w:pPr>
            <w:r w:rsidRPr="000C053F">
              <w:t>$</w:t>
            </w:r>
            <w:r w:rsidR="00CB1644" w:rsidRPr="000C053F">
              <w:t xml:space="preserve">903.49 </w:t>
            </w:r>
            <w:r w:rsidRPr="000C053F">
              <w:rPr>
                <w:vertAlign w:val="superscript"/>
              </w:rPr>
              <w:t>b</w:t>
            </w:r>
          </w:p>
        </w:tc>
        <w:tc>
          <w:tcPr>
            <w:tcW w:w="3010" w:type="dxa"/>
            <w:vAlign w:val="center"/>
          </w:tcPr>
          <w:p w14:paraId="5DC545FC" w14:textId="77777777" w:rsidR="00203AD8" w:rsidRPr="000C053F" w:rsidRDefault="00203AD8" w:rsidP="00ED7FE2">
            <w:pPr>
              <w:pStyle w:val="TableText0"/>
              <w:jc w:val="center"/>
            </w:pPr>
            <w:r w:rsidRPr="000C053F">
              <w:t>$110,000</w:t>
            </w:r>
          </w:p>
        </w:tc>
      </w:tr>
      <w:tr w:rsidR="00203AD8" w:rsidRPr="000C053F" w14:paraId="103C522A" w14:textId="77777777" w:rsidTr="00ED7FE2">
        <w:tc>
          <w:tcPr>
            <w:tcW w:w="3009" w:type="dxa"/>
            <w:vAlign w:val="center"/>
          </w:tcPr>
          <w:p w14:paraId="3FC61072" w14:textId="77777777" w:rsidR="00203AD8" w:rsidRPr="000C053F" w:rsidRDefault="00203AD8" w:rsidP="00ED7FE2">
            <w:pPr>
              <w:pStyle w:val="TableText0"/>
            </w:pPr>
            <w:r w:rsidRPr="000C053F">
              <w:t>Dose duration</w:t>
            </w:r>
          </w:p>
        </w:tc>
        <w:tc>
          <w:tcPr>
            <w:tcW w:w="2998" w:type="dxa"/>
            <w:vAlign w:val="center"/>
          </w:tcPr>
          <w:p w14:paraId="2C71C074" w14:textId="77777777" w:rsidR="00203AD8" w:rsidRPr="000C053F" w:rsidRDefault="00203AD8" w:rsidP="00ED7FE2">
            <w:pPr>
              <w:pStyle w:val="TableText0"/>
              <w:jc w:val="center"/>
            </w:pPr>
            <w:r w:rsidRPr="000C053F">
              <w:t>Daily</w:t>
            </w:r>
          </w:p>
        </w:tc>
        <w:tc>
          <w:tcPr>
            <w:tcW w:w="3010" w:type="dxa"/>
            <w:vAlign w:val="center"/>
          </w:tcPr>
          <w:p w14:paraId="22F0F038" w14:textId="77777777" w:rsidR="00203AD8" w:rsidRPr="000C053F" w:rsidRDefault="00203AD8" w:rsidP="00ED7FE2">
            <w:pPr>
              <w:pStyle w:val="TableText0"/>
              <w:jc w:val="center"/>
            </w:pPr>
            <w:r w:rsidRPr="000C053F">
              <w:t>Days 0, 14, 28, and 63. Every 4 months thereafter</w:t>
            </w:r>
          </w:p>
        </w:tc>
      </w:tr>
      <w:tr w:rsidR="00203AD8" w:rsidRPr="000C053F" w14:paraId="420B2566" w14:textId="77777777" w:rsidTr="00ED7FE2">
        <w:tc>
          <w:tcPr>
            <w:tcW w:w="3009" w:type="dxa"/>
            <w:vAlign w:val="center"/>
          </w:tcPr>
          <w:p w14:paraId="7528C31C" w14:textId="77777777" w:rsidR="00203AD8" w:rsidRPr="000C053F" w:rsidRDefault="00203AD8" w:rsidP="00ED7FE2">
            <w:pPr>
              <w:pStyle w:val="TableText0"/>
              <w:rPr>
                <w:vertAlign w:val="superscript"/>
              </w:rPr>
            </w:pPr>
            <w:r w:rsidRPr="000C053F">
              <w:t>Administrations per year</w:t>
            </w:r>
          </w:p>
        </w:tc>
        <w:tc>
          <w:tcPr>
            <w:tcW w:w="2998" w:type="dxa"/>
            <w:vAlign w:val="center"/>
          </w:tcPr>
          <w:p w14:paraId="37D20FAB" w14:textId="77777777" w:rsidR="00203AD8" w:rsidRPr="000C053F" w:rsidRDefault="00203AD8" w:rsidP="00ED7FE2">
            <w:pPr>
              <w:pStyle w:val="TableText0"/>
              <w:jc w:val="center"/>
            </w:pPr>
            <w:r w:rsidRPr="000C053F">
              <w:t>365.25</w:t>
            </w:r>
          </w:p>
        </w:tc>
        <w:tc>
          <w:tcPr>
            <w:tcW w:w="3010" w:type="dxa"/>
            <w:vAlign w:val="center"/>
          </w:tcPr>
          <w:p w14:paraId="10AFEEC3" w14:textId="77777777" w:rsidR="00203AD8" w:rsidRPr="000C053F" w:rsidRDefault="00203AD8" w:rsidP="00ED7FE2">
            <w:pPr>
              <w:pStyle w:val="TableText0"/>
              <w:jc w:val="center"/>
            </w:pPr>
            <w:r w:rsidRPr="000C053F">
              <w:t>Year 1: 6 administrations</w:t>
            </w:r>
          </w:p>
          <w:p w14:paraId="486767EF" w14:textId="77777777" w:rsidR="00203AD8" w:rsidRPr="000C053F" w:rsidRDefault="00203AD8" w:rsidP="00ED7FE2">
            <w:pPr>
              <w:pStyle w:val="TableText0"/>
              <w:jc w:val="center"/>
            </w:pPr>
            <w:r w:rsidRPr="000C053F">
              <w:t>Year 2-5: 3 administrations</w:t>
            </w:r>
          </w:p>
        </w:tc>
      </w:tr>
      <w:tr w:rsidR="00203AD8" w:rsidRPr="000C053F" w14:paraId="6CF6BDBD" w14:textId="77777777" w:rsidTr="00ED7FE2">
        <w:tc>
          <w:tcPr>
            <w:tcW w:w="3009" w:type="dxa"/>
            <w:vAlign w:val="center"/>
          </w:tcPr>
          <w:p w14:paraId="40A69146" w14:textId="77777777" w:rsidR="00203AD8" w:rsidRPr="000C053F" w:rsidRDefault="00203AD8" w:rsidP="00ED7FE2">
            <w:pPr>
              <w:pStyle w:val="TableText0"/>
              <w:rPr>
                <w:vertAlign w:val="superscript"/>
              </w:rPr>
            </w:pPr>
            <w:r w:rsidRPr="000C053F">
              <w:t xml:space="preserve">Total medicine cost in year 1 </w:t>
            </w:r>
            <w:r w:rsidRPr="000C053F">
              <w:rPr>
                <w:vertAlign w:val="superscript"/>
              </w:rPr>
              <w:t>c</w:t>
            </w:r>
          </w:p>
        </w:tc>
        <w:tc>
          <w:tcPr>
            <w:tcW w:w="2998" w:type="dxa"/>
            <w:vAlign w:val="center"/>
          </w:tcPr>
          <w:p w14:paraId="511FEE64" w14:textId="77777777" w:rsidR="00203AD8" w:rsidRPr="000C053F" w:rsidRDefault="00203AD8" w:rsidP="00ED7FE2">
            <w:pPr>
              <w:pStyle w:val="TableText0"/>
              <w:jc w:val="center"/>
            </w:pPr>
            <w:r w:rsidRPr="000C053F">
              <w:t>Population 1: $330,000</w:t>
            </w:r>
          </w:p>
          <w:p w14:paraId="51094280" w14:textId="77777777" w:rsidR="00203AD8" w:rsidRPr="000C053F" w:rsidRDefault="00203AD8" w:rsidP="00ED7FE2">
            <w:pPr>
              <w:pStyle w:val="TableText0"/>
              <w:jc w:val="center"/>
            </w:pPr>
            <w:r w:rsidRPr="000C053F">
              <w:t>Population 2: $89,369</w:t>
            </w:r>
          </w:p>
        </w:tc>
        <w:tc>
          <w:tcPr>
            <w:tcW w:w="3010" w:type="dxa"/>
            <w:vAlign w:val="center"/>
          </w:tcPr>
          <w:p w14:paraId="6B490FF9" w14:textId="77777777" w:rsidR="00203AD8" w:rsidRPr="000C053F" w:rsidRDefault="00203AD8" w:rsidP="00ED7FE2">
            <w:pPr>
              <w:pStyle w:val="TableText0"/>
              <w:jc w:val="center"/>
            </w:pPr>
            <w:r w:rsidRPr="000C053F">
              <w:t>$660,000</w:t>
            </w:r>
          </w:p>
        </w:tc>
      </w:tr>
      <w:tr w:rsidR="00203AD8" w:rsidRPr="000C053F" w14:paraId="071ADF22" w14:textId="77777777" w:rsidTr="00ED7FE2">
        <w:tc>
          <w:tcPr>
            <w:tcW w:w="3009" w:type="dxa"/>
            <w:vAlign w:val="center"/>
          </w:tcPr>
          <w:p w14:paraId="50D9E648" w14:textId="77777777" w:rsidR="00203AD8" w:rsidRPr="000C053F" w:rsidRDefault="00203AD8" w:rsidP="00ED7FE2">
            <w:pPr>
              <w:pStyle w:val="TableText0"/>
            </w:pPr>
            <w:r w:rsidRPr="000C053F">
              <w:t xml:space="preserve">Total medicine cost per year in years 2-5 </w:t>
            </w:r>
            <w:r w:rsidRPr="000C053F">
              <w:rPr>
                <w:vertAlign w:val="superscript"/>
              </w:rPr>
              <w:t>c</w:t>
            </w:r>
          </w:p>
        </w:tc>
        <w:tc>
          <w:tcPr>
            <w:tcW w:w="2998" w:type="dxa"/>
            <w:vAlign w:val="center"/>
          </w:tcPr>
          <w:p w14:paraId="52644447" w14:textId="77777777" w:rsidR="00203AD8" w:rsidRPr="000C053F" w:rsidRDefault="00203AD8" w:rsidP="00ED7FE2">
            <w:pPr>
              <w:pStyle w:val="TableText0"/>
              <w:jc w:val="center"/>
            </w:pPr>
            <w:r w:rsidRPr="000C053F">
              <w:t>Population 1: $330,000</w:t>
            </w:r>
          </w:p>
          <w:p w14:paraId="6B9C35C0" w14:textId="77777777" w:rsidR="00203AD8" w:rsidRPr="000C053F" w:rsidRDefault="00203AD8" w:rsidP="00ED7FE2">
            <w:pPr>
              <w:pStyle w:val="TableText0"/>
              <w:jc w:val="center"/>
            </w:pPr>
            <w:r w:rsidRPr="000C053F">
              <w:t>Population 2: $138,011 in year 2 rising to $282,919 in year 5</w:t>
            </w:r>
          </w:p>
        </w:tc>
        <w:tc>
          <w:tcPr>
            <w:tcW w:w="3010" w:type="dxa"/>
            <w:vAlign w:val="center"/>
          </w:tcPr>
          <w:p w14:paraId="62C6FE69" w14:textId="77777777" w:rsidR="00203AD8" w:rsidRPr="000C053F" w:rsidRDefault="00203AD8" w:rsidP="00ED7FE2">
            <w:pPr>
              <w:pStyle w:val="TableText0"/>
              <w:jc w:val="center"/>
            </w:pPr>
            <w:r w:rsidRPr="000C053F">
              <w:t>$330,000</w:t>
            </w:r>
          </w:p>
        </w:tc>
      </w:tr>
      <w:tr w:rsidR="00203AD8" w:rsidRPr="000C053F" w14:paraId="0CD5A760" w14:textId="77777777" w:rsidTr="00ED7FE2">
        <w:tc>
          <w:tcPr>
            <w:tcW w:w="3009" w:type="dxa"/>
            <w:vAlign w:val="center"/>
          </w:tcPr>
          <w:p w14:paraId="2CEEDECA" w14:textId="77777777" w:rsidR="00203AD8" w:rsidRPr="000C053F" w:rsidRDefault="00203AD8" w:rsidP="00ED7FE2">
            <w:pPr>
              <w:pStyle w:val="TableText0"/>
              <w:rPr>
                <w:vertAlign w:val="superscript"/>
              </w:rPr>
            </w:pPr>
            <w:r w:rsidRPr="000C053F">
              <w:t xml:space="preserve">Total medicine cost over five years </w:t>
            </w:r>
            <w:r w:rsidRPr="000C053F">
              <w:rPr>
                <w:vertAlign w:val="superscript"/>
              </w:rPr>
              <w:t>c</w:t>
            </w:r>
          </w:p>
        </w:tc>
        <w:tc>
          <w:tcPr>
            <w:tcW w:w="2998" w:type="dxa"/>
            <w:vAlign w:val="center"/>
          </w:tcPr>
          <w:p w14:paraId="62E5B124" w14:textId="77777777" w:rsidR="00203AD8" w:rsidRPr="000C053F" w:rsidRDefault="00203AD8" w:rsidP="00ED7FE2">
            <w:pPr>
              <w:pStyle w:val="TableText0"/>
              <w:jc w:val="center"/>
            </w:pPr>
            <w:r w:rsidRPr="000C053F">
              <w:t>Population 1: $1,650,000</w:t>
            </w:r>
          </w:p>
          <w:p w14:paraId="20C9900A" w14:textId="77777777" w:rsidR="00203AD8" w:rsidRPr="000C053F" w:rsidRDefault="00203AD8" w:rsidP="00ED7FE2">
            <w:pPr>
              <w:pStyle w:val="TableText0"/>
              <w:jc w:val="center"/>
            </w:pPr>
            <w:r w:rsidRPr="000C053F">
              <w:t>Population 2: $961,169</w:t>
            </w:r>
          </w:p>
        </w:tc>
        <w:tc>
          <w:tcPr>
            <w:tcW w:w="3010" w:type="dxa"/>
            <w:vAlign w:val="center"/>
          </w:tcPr>
          <w:p w14:paraId="6FA7A0ED" w14:textId="77777777" w:rsidR="00203AD8" w:rsidRPr="000C053F" w:rsidRDefault="00203AD8" w:rsidP="00ED7FE2">
            <w:pPr>
              <w:pStyle w:val="TableText0"/>
              <w:jc w:val="center"/>
            </w:pPr>
            <w:r w:rsidRPr="000C053F">
              <w:t>$1,980,000</w:t>
            </w:r>
          </w:p>
        </w:tc>
      </w:tr>
      <w:tr w:rsidR="00203AD8" w:rsidRPr="000C053F" w14:paraId="5211273C" w14:textId="77777777" w:rsidTr="00ED7FE2">
        <w:tc>
          <w:tcPr>
            <w:tcW w:w="3009" w:type="dxa"/>
            <w:vAlign w:val="center"/>
          </w:tcPr>
          <w:p w14:paraId="7B82CA57" w14:textId="77777777" w:rsidR="00203AD8" w:rsidRPr="000C053F" w:rsidRDefault="00203AD8" w:rsidP="00ED7FE2">
            <w:pPr>
              <w:pStyle w:val="TableText0"/>
              <w:rPr>
                <w:vertAlign w:val="superscript"/>
              </w:rPr>
            </w:pPr>
            <w:r w:rsidRPr="000C053F">
              <w:t xml:space="preserve">Average yearly cost over five years </w:t>
            </w:r>
            <w:r w:rsidRPr="000C053F">
              <w:rPr>
                <w:vertAlign w:val="superscript"/>
              </w:rPr>
              <w:t>c</w:t>
            </w:r>
          </w:p>
        </w:tc>
        <w:tc>
          <w:tcPr>
            <w:tcW w:w="2998" w:type="dxa"/>
            <w:vAlign w:val="center"/>
          </w:tcPr>
          <w:p w14:paraId="63995BD9" w14:textId="77777777" w:rsidR="00203AD8" w:rsidRPr="000C053F" w:rsidRDefault="00203AD8" w:rsidP="00ED7FE2">
            <w:pPr>
              <w:pStyle w:val="TableText0"/>
              <w:jc w:val="center"/>
            </w:pPr>
            <w:r w:rsidRPr="000C053F">
              <w:t>Population 1: $330,000</w:t>
            </w:r>
          </w:p>
          <w:p w14:paraId="0D657192" w14:textId="77777777" w:rsidR="00203AD8" w:rsidRPr="000C053F" w:rsidRDefault="00203AD8" w:rsidP="00ED7FE2">
            <w:pPr>
              <w:pStyle w:val="TableText0"/>
              <w:jc w:val="center"/>
              <w:rPr>
                <w:highlight w:val="yellow"/>
              </w:rPr>
            </w:pPr>
            <w:r w:rsidRPr="000C053F">
              <w:t>Population 2: $192,234</w:t>
            </w:r>
          </w:p>
        </w:tc>
        <w:tc>
          <w:tcPr>
            <w:tcW w:w="3010" w:type="dxa"/>
            <w:vAlign w:val="center"/>
          </w:tcPr>
          <w:p w14:paraId="07C2AA6F" w14:textId="77777777" w:rsidR="00203AD8" w:rsidRPr="000C053F" w:rsidRDefault="00203AD8" w:rsidP="00ED7FE2">
            <w:pPr>
              <w:pStyle w:val="TableText0"/>
              <w:jc w:val="center"/>
            </w:pPr>
            <w:r w:rsidRPr="000C053F">
              <w:t>$396,000</w:t>
            </w:r>
          </w:p>
        </w:tc>
      </w:tr>
      <w:tr w:rsidR="00203AD8" w:rsidRPr="000C053F" w14:paraId="6E6C65F1" w14:textId="77777777" w:rsidTr="00ED7FE2">
        <w:tc>
          <w:tcPr>
            <w:tcW w:w="3009" w:type="dxa"/>
            <w:vAlign w:val="center"/>
          </w:tcPr>
          <w:p w14:paraId="771B0A80" w14:textId="77777777" w:rsidR="00203AD8" w:rsidRPr="000C053F" w:rsidRDefault="00203AD8" w:rsidP="00ED7FE2">
            <w:pPr>
              <w:pStyle w:val="TableText0"/>
            </w:pPr>
            <w:r w:rsidRPr="000C053F">
              <w:t>Difference in cost per in year 1</w:t>
            </w:r>
          </w:p>
        </w:tc>
        <w:tc>
          <w:tcPr>
            <w:tcW w:w="6008" w:type="dxa"/>
            <w:gridSpan w:val="2"/>
            <w:vAlign w:val="center"/>
          </w:tcPr>
          <w:p w14:paraId="636ECB4E" w14:textId="77777777" w:rsidR="00203AD8" w:rsidRPr="000C053F" w:rsidRDefault="00203AD8" w:rsidP="00ED7FE2">
            <w:pPr>
              <w:pStyle w:val="TableText0"/>
              <w:jc w:val="center"/>
            </w:pPr>
            <w:r w:rsidRPr="000C053F">
              <w:t>Population 1: Risdiplam = -$330,000</w:t>
            </w:r>
          </w:p>
          <w:p w14:paraId="2C7A6473" w14:textId="77777777" w:rsidR="00203AD8" w:rsidRPr="000C053F" w:rsidRDefault="00203AD8" w:rsidP="00ED7FE2">
            <w:pPr>
              <w:pStyle w:val="TableText0"/>
              <w:jc w:val="center"/>
            </w:pPr>
            <w:r w:rsidRPr="000C053F">
              <w:t>Population 2: Risdiplam = -$570,631</w:t>
            </w:r>
          </w:p>
        </w:tc>
      </w:tr>
      <w:tr w:rsidR="00203AD8" w:rsidRPr="000C053F" w14:paraId="61924B80" w14:textId="77777777" w:rsidTr="00ED7FE2">
        <w:tc>
          <w:tcPr>
            <w:tcW w:w="3009" w:type="dxa"/>
            <w:vAlign w:val="center"/>
          </w:tcPr>
          <w:p w14:paraId="4F8FCA68" w14:textId="77777777" w:rsidR="00203AD8" w:rsidRPr="000C053F" w:rsidRDefault="00203AD8" w:rsidP="00ED7FE2">
            <w:pPr>
              <w:pStyle w:val="TableText0"/>
            </w:pPr>
            <w:r w:rsidRPr="000C053F">
              <w:t>Difference in cost per in years 2-5</w:t>
            </w:r>
          </w:p>
        </w:tc>
        <w:tc>
          <w:tcPr>
            <w:tcW w:w="6008" w:type="dxa"/>
            <w:gridSpan w:val="2"/>
            <w:vAlign w:val="center"/>
          </w:tcPr>
          <w:p w14:paraId="5A54DB5C" w14:textId="77777777" w:rsidR="00203AD8" w:rsidRPr="000C053F" w:rsidRDefault="00203AD8" w:rsidP="00ED7FE2">
            <w:pPr>
              <w:pStyle w:val="TableText0"/>
              <w:jc w:val="center"/>
            </w:pPr>
            <w:r w:rsidRPr="000C053F">
              <w:t>Population 1: Risdiplam = $0</w:t>
            </w:r>
          </w:p>
          <w:p w14:paraId="047041A0" w14:textId="77777777" w:rsidR="00203AD8" w:rsidRPr="000C053F" w:rsidRDefault="00203AD8" w:rsidP="00ED7FE2">
            <w:pPr>
              <w:pStyle w:val="TableText0"/>
              <w:jc w:val="center"/>
            </w:pPr>
            <w:r w:rsidRPr="000C053F">
              <w:t>Population 2: Risdiplam = -$191,989 in year 2 dropping to -$47,081 in year 5</w:t>
            </w:r>
          </w:p>
        </w:tc>
      </w:tr>
      <w:tr w:rsidR="00203AD8" w:rsidRPr="000C053F" w14:paraId="049144DB" w14:textId="77777777" w:rsidTr="00ED7FE2">
        <w:tc>
          <w:tcPr>
            <w:tcW w:w="3009" w:type="dxa"/>
            <w:vAlign w:val="center"/>
          </w:tcPr>
          <w:p w14:paraId="44674611" w14:textId="77777777" w:rsidR="00203AD8" w:rsidRPr="000C053F" w:rsidRDefault="00203AD8" w:rsidP="00ED7FE2">
            <w:pPr>
              <w:pStyle w:val="TableText0"/>
            </w:pPr>
            <w:r w:rsidRPr="000C053F">
              <w:t>Overall difference in cost over five years</w:t>
            </w:r>
          </w:p>
        </w:tc>
        <w:tc>
          <w:tcPr>
            <w:tcW w:w="6008" w:type="dxa"/>
            <w:gridSpan w:val="2"/>
            <w:vAlign w:val="center"/>
          </w:tcPr>
          <w:p w14:paraId="48F7C87A" w14:textId="77777777" w:rsidR="00203AD8" w:rsidRPr="000C053F" w:rsidRDefault="00203AD8" w:rsidP="00ED7FE2">
            <w:pPr>
              <w:pStyle w:val="TableText0"/>
              <w:jc w:val="center"/>
            </w:pPr>
            <w:r w:rsidRPr="000C053F">
              <w:t>Population 1: Risdiplam = -$330,000</w:t>
            </w:r>
          </w:p>
          <w:p w14:paraId="64D2C30A" w14:textId="77777777" w:rsidR="00203AD8" w:rsidRPr="000C053F" w:rsidRDefault="00203AD8" w:rsidP="00ED7FE2">
            <w:pPr>
              <w:pStyle w:val="TableText0"/>
              <w:jc w:val="center"/>
            </w:pPr>
            <w:r w:rsidRPr="000C053F">
              <w:t>Population 2: Risdiplam = -$1,018,831</w:t>
            </w:r>
          </w:p>
        </w:tc>
      </w:tr>
      <w:tr w:rsidR="00203AD8" w:rsidRPr="000C053F" w14:paraId="73E264D9" w14:textId="77777777" w:rsidTr="00ED7FE2">
        <w:tc>
          <w:tcPr>
            <w:tcW w:w="3009" w:type="dxa"/>
            <w:vAlign w:val="center"/>
          </w:tcPr>
          <w:p w14:paraId="540B4074" w14:textId="77777777" w:rsidR="00203AD8" w:rsidRPr="000C053F" w:rsidRDefault="00203AD8" w:rsidP="00ED7FE2">
            <w:pPr>
              <w:pStyle w:val="TableText0"/>
            </w:pPr>
            <w:r w:rsidRPr="000C053F">
              <w:t>Difference in average yearly cost over five years</w:t>
            </w:r>
          </w:p>
        </w:tc>
        <w:tc>
          <w:tcPr>
            <w:tcW w:w="6008" w:type="dxa"/>
            <w:gridSpan w:val="2"/>
            <w:vAlign w:val="center"/>
          </w:tcPr>
          <w:p w14:paraId="4EB47323" w14:textId="77777777" w:rsidR="00203AD8" w:rsidRPr="000C053F" w:rsidRDefault="00203AD8" w:rsidP="00ED7FE2">
            <w:pPr>
              <w:pStyle w:val="TableText0"/>
              <w:jc w:val="center"/>
            </w:pPr>
            <w:r w:rsidRPr="000C053F">
              <w:t>Population 1: Risdiplam = -$66,000</w:t>
            </w:r>
          </w:p>
          <w:p w14:paraId="7BB1ED1D" w14:textId="77777777" w:rsidR="00203AD8" w:rsidRPr="000C053F" w:rsidRDefault="00203AD8" w:rsidP="00ED7FE2">
            <w:pPr>
              <w:pStyle w:val="TableText0"/>
              <w:jc w:val="center"/>
            </w:pPr>
            <w:r w:rsidRPr="000C053F">
              <w:t>Population 2: Risdiplam = -$203,766</w:t>
            </w:r>
          </w:p>
        </w:tc>
      </w:tr>
    </w:tbl>
    <w:p w14:paraId="0D114432" w14:textId="77777777" w:rsidR="005D499D" w:rsidRPr="00203AD8" w:rsidRDefault="005D499D" w:rsidP="005D499D">
      <w:pPr>
        <w:pStyle w:val="FooterTableFigure"/>
        <w:rPr>
          <w:i/>
          <w:iCs/>
        </w:rPr>
      </w:pPr>
      <w:r w:rsidRPr="00203AD8">
        <w:t>Source: Table 3.6 and 3.7 (p143-4) of the resubmission; ‘Cost-minimisation analysis risdiplam 2022’ Excel workbook; Calculations during the evaluation based on the preceding data</w:t>
      </w:r>
    </w:p>
    <w:p w14:paraId="4F43C7A6" w14:textId="77777777" w:rsidR="00203AD8" w:rsidRPr="000C053F" w:rsidRDefault="00203AD8" w:rsidP="00203AD8">
      <w:pPr>
        <w:pStyle w:val="FooterTableFigure"/>
      </w:pPr>
      <w:r w:rsidRPr="000C053F">
        <w:t>a – Using the published prices of risdiplam and nusinersen, and assuming population 2 risdiplam patients begin treatment on the first day of their life</w:t>
      </w:r>
    </w:p>
    <w:p w14:paraId="764F1E04" w14:textId="27C34D56" w:rsidR="00203AD8" w:rsidRPr="000C053F" w:rsidRDefault="00203AD8" w:rsidP="00203AD8">
      <w:pPr>
        <w:pStyle w:val="FooterTableFigure"/>
      </w:pPr>
      <w:r w:rsidRPr="000C053F">
        <w:t>b - At the maximum daily dose of 5mg/day</w:t>
      </w:r>
      <w:r w:rsidR="006B00F4" w:rsidRPr="000C053F">
        <w:t xml:space="preserve"> (calculated by dividing total risdiplam price over 5 years at a maximum dosage of 5mg /day by the number of days in 5 years)</w:t>
      </w:r>
    </w:p>
    <w:p w14:paraId="68379D83" w14:textId="70FE787D" w:rsidR="00203AD8" w:rsidRPr="00111042" w:rsidRDefault="00203AD8" w:rsidP="004C7359">
      <w:pPr>
        <w:pStyle w:val="FooterTableFigure"/>
      </w:pPr>
      <w:r w:rsidRPr="000C053F">
        <w:t>c – Drug costs only</w:t>
      </w:r>
    </w:p>
    <w:p w14:paraId="472842D7" w14:textId="40D7E73F" w:rsidR="00C25D9C" w:rsidRPr="00111042" w:rsidRDefault="00C25D9C" w:rsidP="00BB732D">
      <w:pPr>
        <w:pStyle w:val="4-SubsectionHeading"/>
      </w:pPr>
      <w:bookmarkStart w:id="42" w:name="_Toc22897646"/>
      <w:bookmarkStart w:id="43" w:name="_Toc124937760"/>
      <w:r w:rsidRPr="00111042">
        <w:t>Drug</w:t>
      </w:r>
      <w:r w:rsidR="00A73771" w:rsidRPr="00111042" w:rsidDel="00A73771">
        <w:t xml:space="preserve"> </w:t>
      </w:r>
      <w:r w:rsidRPr="00111042">
        <w:t>cost/patient/year</w:t>
      </w:r>
      <w:bookmarkEnd w:id="42"/>
      <w:r w:rsidR="006D6FD7" w:rsidRPr="00111042">
        <w:t xml:space="preserve">: </w:t>
      </w:r>
      <w:r w:rsidR="005F1DA4">
        <w:t xml:space="preserve">$89,369 - </w:t>
      </w:r>
      <w:r w:rsidR="006C0816" w:rsidRPr="00111042">
        <w:t>$330,000</w:t>
      </w:r>
      <w:r w:rsidR="006D6FD7" w:rsidRPr="00111042">
        <w:t xml:space="preserve"> (published price)</w:t>
      </w:r>
      <w:bookmarkEnd w:id="43"/>
    </w:p>
    <w:p w14:paraId="09408C49" w14:textId="32700021" w:rsidR="004A0D07" w:rsidRPr="004C7359" w:rsidRDefault="00735D54" w:rsidP="004C7359">
      <w:pPr>
        <w:pStyle w:val="3-BodyText"/>
        <w:rPr>
          <w:snapToGrid/>
        </w:rPr>
      </w:pPr>
      <w:bookmarkStart w:id="44" w:name="_Hlk107307804"/>
      <w:r>
        <w:t>For population 1, b</w:t>
      </w:r>
      <w:r w:rsidR="008C4CC5" w:rsidRPr="00111042">
        <w:t xml:space="preserve">ased on a dose of 5 mg per day, </w:t>
      </w:r>
      <w:r w:rsidR="00DC402C">
        <w:rPr>
          <w:iCs/>
        </w:rPr>
        <w:t>the maximum</w:t>
      </w:r>
      <w:r w:rsidR="008C4CC5" w:rsidRPr="000C053F">
        <w:rPr>
          <w:iCs/>
        </w:rPr>
        <w:t xml:space="preserve"> dose required,</w:t>
      </w:r>
      <w:r w:rsidR="008C4CC5" w:rsidRPr="00111042">
        <w:t xml:space="preserve"> the </w:t>
      </w:r>
      <w:r w:rsidR="00381F60" w:rsidRPr="00111042">
        <w:t>resubmission</w:t>
      </w:r>
      <w:r w:rsidR="008C4CC5" w:rsidRPr="00111042">
        <w:t xml:space="preserve"> estimated a cost of $33</w:t>
      </w:r>
      <w:r w:rsidR="00D1724F" w:rsidRPr="00111042">
        <w:t>0</w:t>
      </w:r>
      <w:r w:rsidR="008C4CC5" w:rsidRPr="00111042">
        <w:t xml:space="preserve">,000 per patient per </w:t>
      </w:r>
      <w:r w:rsidR="00D1724F" w:rsidRPr="00111042">
        <w:t>year</w:t>
      </w:r>
      <w:r w:rsidR="008C4CC5" w:rsidRPr="00111042">
        <w:t xml:space="preserve">, assuming no discontinuations and no wastage, based on the </w:t>
      </w:r>
      <w:r w:rsidR="00975193">
        <w:t xml:space="preserve">current PBS-listed </w:t>
      </w:r>
      <w:r w:rsidR="008C4CC5" w:rsidRPr="00111042">
        <w:t xml:space="preserve">published price of </w:t>
      </w:r>
      <w:r w:rsidR="00D1724F" w:rsidRPr="00111042">
        <w:t>risdiplam.</w:t>
      </w:r>
      <w:r w:rsidR="00B97107" w:rsidRPr="00111042">
        <w:t xml:space="preserve"> </w:t>
      </w:r>
      <w:r>
        <w:t>For population 2, based on the weight-based daily dose of risdiplam</w:t>
      </w:r>
      <w:r w:rsidR="00847801">
        <w:t xml:space="preserve"> and assuming treatment from birth,</w:t>
      </w:r>
      <w:r>
        <w:t xml:space="preserve"> the resubmission estimated a </w:t>
      </w:r>
      <w:r w:rsidR="005F1DA4">
        <w:t xml:space="preserve">cost of $89,369 in year 1, increasing each year up to $282,919 in year 5, </w:t>
      </w:r>
      <w:r w:rsidR="005F1DA4" w:rsidRPr="00111042">
        <w:t xml:space="preserve">based on the </w:t>
      </w:r>
      <w:r w:rsidR="005F1DA4">
        <w:t xml:space="preserve">current PBS-listed </w:t>
      </w:r>
      <w:r w:rsidR="005F1DA4" w:rsidRPr="00111042">
        <w:t>published price of risdiplam</w:t>
      </w:r>
      <w:r w:rsidR="005F1DA4">
        <w:t xml:space="preserve">. </w:t>
      </w:r>
      <w:r w:rsidR="001C7D64">
        <w:t>The published price of risdiplam was used in these calculation</w:t>
      </w:r>
      <w:r w:rsidR="0003183F">
        <w:t>s</w:t>
      </w:r>
      <w:r w:rsidR="001C7D64">
        <w:t xml:space="preserve"> as, based on the CMA</w:t>
      </w:r>
      <w:r w:rsidR="0003183F">
        <w:t xml:space="preserve"> presented in the submission</w:t>
      </w:r>
      <w:r w:rsidR="001C7D64">
        <w:t>, the published price of risdiplam resulted in a lower cost per patient than the published price of nusinersen (due to weight-based dosing and</w:t>
      </w:r>
      <w:r w:rsidR="00E43875">
        <w:t xml:space="preserve"> nusinersen</w:t>
      </w:r>
      <w:r w:rsidR="001C7D64">
        <w:t xml:space="preserve"> loading doses). </w:t>
      </w:r>
    </w:p>
    <w:p w14:paraId="268768EF" w14:textId="390CB105" w:rsidR="00B60939" w:rsidRPr="00111042" w:rsidRDefault="00B60939" w:rsidP="002B05A1">
      <w:pPr>
        <w:pStyle w:val="4-SubsectionHeading"/>
      </w:pPr>
      <w:bookmarkStart w:id="45" w:name="_Toc22897647"/>
      <w:bookmarkStart w:id="46" w:name="_Toc124937761"/>
      <w:bookmarkEnd w:id="44"/>
      <w:r w:rsidRPr="00111042">
        <w:t>Estimated PBS usage &amp; financial implications</w:t>
      </w:r>
      <w:bookmarkEnd w:id="45"/>
      <w:bookmarkEnd w:id="46"/>
    </w:p>
    <w:p w14:paraId="160E2259" w14:textId="2F8323FD" w:rsidR="008914A5" w:rsidRPr="00111042" w:rsidRDefault="008914A5" w:rsidP="008914A5">
      <w:pPr>
        <w:pStyle w:val="3-BodyText"/>
      </w:pPr>
      <w:bookmarkStart w:id="47" w:name="_Toc22897649"/>
      <w:bookmarkStart w:id="48" w:name="_Toc124937762"/>
      <w:r w:rsidRPr="00111042">
        <w:t xml:space="preserve">This resubmission </w:t>
      </w:r>
      <w:r w:rsidRPr="00853F56">
        <w:t>w</w:t>
      </w:r>
      <w:r w:rsidR="005F1DA4">
        <w:t xml:space="preserve">as </w:t>
      </w:r>
      <w:r w:rsidRPr="00111042">
        <w:t>considered by DUSC.</w:t>
      </w:r>
    </w:p>
    <w:p w14:paraId="3748677B" w14:textId="77777777" w:rsidR="008914A5" w:rsidRPr="00111042" w:rsidRDefault="008914A5" w:rsidP="008914A5">
      <w:pPr>
        <w:pStyle w:val="3-BodyText"/>
      </w:pPr>
      <w:r w:rsidRPr="00111042">
        <w:t xml:space="preserve">The resubmission used an epidemiological approach to estimate the PBS usage of risdiplam in both populations 1 and 2. An SMA incidence </w:t>
      </w:r>
      <w:r w:rsidRPr="00111042">
        <w:rPr>
          <w:rFonts w:cstheme="minorHAnsi"/>
        </w:rPr>
        <w:t xml:space="preserve">of 8.33/100,000 from the NSW/ACT SMA screening program was applied to estimate the total number of SMA patients born each year. </w:t>
      </w:r>
      <w:r w:rsidRPr="008914A5">
        <w:rPr>
          <w:rFonts w:cstheme="minorHAnsi"/>
        </w:rPr>
        <w:t xml:space="preserve">This value was lower than used in the March 2021 risdiplam </w:t>
      </w:r>
      <w:r w:rsidRPr="008914A5">
        <w:rPr>
          <w:rFonts w:cstheme="minorHAnsi"/>
        </w:rPr>
        <w:lastRenderedPageBreak/>
        <w:t>submission (8.6/100,000) and also in Verhaart (2017) (9.1/100,000), an epidemiological literature review of SMA. As such the incidence of SMA may be underestimated. The financial estimates were sensitive to minor variance in SMA incidence.</w:t>
      </w:r>
    </w:p>
    <w:p w14:paraId="6FB6A788" w14:textId="77777777" w:rsidR="008914A5" w:rsidRPr="00111042" w:rsidRDefault="008914A5" w:rsidP="008914A5">
      <w:pPr>
        <w:pStyle w:val="3-BodyText"/>
        <w:numPr>
          <w:ilvl w:val="0"/>
          <w:numId w:val="0"/>
        </w:numPr>
        <w:ind w:left="720" w:hanging="720"/>
        <w:rPr>
          <w:u w:val="single"/>
        </w:rPr>
      </w:pPr>
      <w:r w:rsidRPr="00111042">
        <w:rPr>
          <w:u w:val="single"/>
        </w:rPr>
        <w:t>Population 1 (adult population)</w:t>
      </w:r>
    </w:p>
    <w:p w14:paraId="3B817D60" w14:textId="162464DD" w:rsidR="001C7D64" w:rsidRPr="001C7D64" w:rsidRDefault="001C7D64" w:rsidP="001C7D64">
      <w:pPr>
        <w:pStyle w:val="Caption"/>
      </w:pPr>
      <w:r w:rsidRPr="001C7D64">
        <w:t xml:space="preserve">Table </w:t>
      </w:r>
      <w:r w:rsidR="00D45640">
        <w:fldChar w:fldCharType="begin"/>
      </w:r>
      <w:r w:rsidR="00D45640">
        <w:instrText xml:space="preserve"> SEQ Table \* ARABIC </w:instrText>
      </w:r>
      <w:r w:rsidR="00D45640">
        <w:fldChar w:fldCharType="separate"/>
      </w:r>
      <w:r w:rsidR="00D45640">
        <w:rPr>
          <w:noProof/>
        </w:rPr>
        <w:t>13</w:t>
      </w:r>
      <w:r w:rsidR="00D45640">
        <w:rPr>
          <w:noProof/>
        </w:rPr>
        <w:fldChar w:fldCharType="end"/>
      </w:r>
      <w:r w:rsidRPr="001C7D64">
        <w:rPr>
          <w:rStyle w:val="CommentReference"/>
          <w:b/>
          <w:szCs w:val="18"/>
        </w:rPr>
        <w:t xml:space="preserve">: </w:t>
      </w:r>
      <w:r w:rsidRPr="001C7D64">
        <w:t xml:space="preserve">Data sources and parameter values applied in the utilisation and financial estimates for Population 1 </w:t>
      </w:r>
    </w:p>
    <w:tbl>
      <w:tblPr>
        <w:tblStyle w:val="TableGrid11"/>
        <w:tblW w:w="9042" w:type="dxa"/>
        <w:tblLook w:val="04A0" w:firstRow="1" w:lastRow="0" w:firstColumn="1" w:lastColumn="0" w:noHBand="0" w:noVBand="1"/>
      </w:tblPr>
      <w:tblGrid>
        <w:gridCol w:w="1274"/>
        <w:gridCol w:w="1556"/>
        <w:gridCol w:w="2410"/>
        <w:gridCol w:w="3802"/>
      </w:tblGrid>
      <w:tr w:rsidR="005C514F" w:rsidRPr="007F42AF" w14:paraId="2EC97A1C" w14:textId="77777777" w:rsidTr="005C514F">
        <w:trPr>
          <w:trHeight w:val="70"/>
          <w:tblHeader/>
        </w:trPr>
        <w:tc>
          <w:tcPr>
            <w:tcW w:w="1274" w:type="dxa"/>
            <w:vAlign w:val="center"/>
          </w:tcPr>
          <w:p w14:paraId="71B392E8" w14:textId="77777777" w:rsidR="005C514F" w:rsidRPr="007F42AF" w:rsidRDefault="005C514F" w:rsidP="000C7164">
            <w:pPr>
              <w:jc w:val="center"/>
              <w:rPr>
                <w:rFonts w:ascii="Arial Narrow" w:hAnsi="Arial Narrow" w:cs="Times New Roman"/>
                <w:b/>
                <w:bCs/>
                <w:sz w:val="20"/>
                <w:szCs w:val="20"/>
              </w:rPr>
            </w:pPr>
            <w:r w:rsidRPr="007F42AF">
              <w:rPr>
                <w:rFonts w:ascii="Arial Narrow" w:hAnsi="Arial Narrow" w:cs="Times New Roman"/>
                <w:b/>
                <w:sz w:val="20"/>
                <w:szCs w:val="20"/>
                <w:lang w:eastAsia="en-AU"/>
              </w:rPr>
              <w:t>Data</w:t>
            </w:r>
          </w:p>
        </w:tc>
        <w:tc>
          <w:tcPr>
            <w:tcW w:w="1556" w:type="dxa"/>
            <w:vAlign w:val="center"/>
          </w:tcPr>
          <w:p w14:paraId="1117AF9E" w14:textId="77777777" w:rsidR="005C514F" w:rsidRPr="007F42AF" w:rsidRDefault="005C514F" w:rsidP="000C7164">
            <w:pPr>
              <w:jc w:val="center"/>
              <w:rPr>
                <w:rFonts w:ascii="Arial Narrow" w:hAnsi="Arial Narrow" w:cs="Times New Roman"/>
                <w:sz w:val="20"/>
                <w:szCs w:val="20"/>
              </w:rPr>
            </w:pPr>
            <w:r w:rsidRPr="007F42AF">
              <w:rPr>
                <w:rFonts w:ascii="Arial Narrow" w:hAnsi="Arial Narrow" w:cs="Times New Roman"/>
                <w:b/>
                <w:sz w:val="20"/>
                <w:szCs w:val="20"/>
                <w:lang w:eastAsia="en-AU"/>
              </w:rPr>
              <w:t>Value</w:t>
            </w:r>
          </w:p>
        </w:tc>
        <w:tc>
          <w:tcPr>
            <w:tcW w:w="2410" w:type="dxa"/>
            <w:vAlign w:val="center"/>
          </w:tcPr>
          <w:p w14:paraId="54B8F213" w14:textId="77777777" w:rsidR="005C514F" w:rsidRPr="007F42AF" w:rsidRDefault="005C514F" w:rsidP="000C7164">
            <w:pPr>
              <w:jc w:val="center"/>
              <w:rPr>
                <w:rFonts w:ascii="Arial Narrow" w:hAnsi="Arial Narrow" w:cs="Times New Roman"/>
                <w:sz w:val="20"/>
                <w:szCs w:val="20"/>
              </w:rPr>
            </w:pPr>
            <w:r w:rsidRPr="007F42AF">
              <w:rPr>
                <w:rFonts w:ascii="Arial Narrow" w:hAnsi="Arial Narrow" w:cs="Times New Roman"/>
                <w:b/>
                <w:sz w:val="20"/>
                <w:szCs w:val="20"/>
                <w:lang w:eastAsia="en-AU"/>
              </w:rPr>
              <w:t>Source</w:t>
            </w:r>
          </w:p>
        </w:tc>
        <w:tc>
          <w:tcPr>
            <w:tcW w:w="3802" w:type="dxa"/>
            <w:vAlign w:val="center"/>
          </w:tcPr>
          <w:p w14:paraId="649E7A5F" w14:textId="653A65A7" w:rsidR="005C514F" w:rsidRPr="007F42AF" w:rsidRDefault="005C514F" w:rsidP="000C7164">
            <w:pPr>
              <w:jc w:val="center"/>
              <w:rPr>
                <w:rFonts w:ascii="Arial Narrow" w:hAnsi="Arial Narrow" w:cs="Times New Roman"/>
                <w:sz w:val="20"/>
                <w:szCs w:val="20"/>
              </w:rPr>
            </w:pPr>
            <w:r>
              <w:rPr>
                <w:rFonts w:ascii="Arial Narrow" w:hAnsi="Arial Narrow" w:cs="Times New Roman"/>
                <w:b/>
                <w:sz w:val="20"/>
                <w:lang w:val="en-US" w:eastAsia="en-AU"/>
              </w:rPr>
              <w:t>Comment</w:t>
            </w:r>
          </w:p>
        </w:tc>
      </w:tr>
      <w:tr w:rsidR="001C7D64" w:rsidRPr="007F42AF" w14:paraId="7857F59F" w14:textId="77777777" w:rsidTr="000C7164">
        <w:trPr>
          <w:trHeight w:val="70"/>
        </w:trPr>
        <w:tc>
          <w:tcPr>
            <w:tcW w:w="9042" w:type="dxa"/>
            <w:gridSpan w:val="4"/>
          </w:tcPr>
          <w:p w14:paraId="025E57B9" w14:textId="77777777" w:rsidR="001C7D64" w:rsidRPr="007F42AF" w:rsidRDefault="001C7D64" w:rsidP="000C7164">
            <w:pPr>
              <w:jc w:val="left"/>
              <w:rPr>
                <w:rFonts w:ascii="Arial Narrow" w:hAnsi="Arial Narrow" w:cs="Times New Roman"/>
                <w:b/>
                <w:i/>
                <w:iCs/>
                <w:sz w:val="20"/>
                <w:szCs w:val="20"/>
                <w:lang w:eastAsia="en-AU"/>
              </w:rPr>
            </w:pPr>
            <w:r w:rsidRPr="007F42AF">
              <w:rPr>
                <w:rFonts w:ascii="Arial Narrow" w:hAnsi="Arial Narrow" w:cs="Times New Roman"/>
                <w:b/>
                <w:sz w:val="20"/>
                <w:szCs w:val="20"/>
                <w:lang w:eastAsia="en-AU"/>
              </w:rPr>
              <w:t>Eligible population</w:t>
            </w:r>
          </w:p>
        </w:tc>
      </w:tr>
      <w:tr w:rsidR="005C514F" w:rsidRPr="007F42AF" w14:paraId="1E5B779A" w14:textId="77777777" w:rsidTr="005C514F">
        <w:trPr>
          <w:trHeight w:val="284"/>
        </w:trPr>
        <w:tc>
          <w:tcPr>
            <w:tcW w:w="1274" w:type="dxa"/>
            <w:hideMark/>
          </w:tcPr>
          <w:p w14:paraId="6176D56A"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Australian live births</w:t>
            </w:r>
          </w:p>
        </w:tc>
        <w:tc>
          <w:tcPr>
            <w:tcW w:w="1556" w:type="dxa"/>
            <w:hideMark/>
          </w:tcPr>
          <w:p w14:paraId="26E62FA2"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Yr 1: 353,462</w:t>
            </w:r>
          </w:p>
          <w:p w14:paraId="67BE1172"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Yr 2: 358,304</w:t>
            </w:r>
          </w:p>
          <w:p w14:paraId="01B03A14"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Yr 3: 362,706</w:t>
            </w:r>
          </w:p>
          <w:p w14:paraId="60B0C7D0"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Yr 4: 366,687</w:t>
            </w:r>
          </w:p>
          <w:p w14:paraId="78EE5964"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Yr 5: 370,687</w:t>
            </w:r>
          </w:p>
          <w:p w14:paraId="6AE85892"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Yr 6: 373,433</w:t>
            </w:r>
          </w:p>
        </w:tc>
        <w:tc>
          <w:tcPr>
            <w:tcW w:w="2410" w:type="dxa"/>
            <w:hideMark/>
          </w:tcPr>
          <w:p w14:paraId="6E9AD3FE"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ABS 2020 – Live births from 1975-2011</w:t>
            </w:r>
          </w:p>
          <w:p w14:paraId="44C3BA53"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w:t>
            </w:r>
          </w:p>
          <w:p w14:paraId="23CFD028"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ABS 2012-2030 data</w:t>
            </w:r>
          </w:p>
        </w:tc>
        <w:tc>
          <w:tcPr>
            <w:tcW w:w="3802" w:type="dxa"/>
            <w:hideMark/>
          </w:tcPr>
          <w:p w14:paraId="727F7293" w14:textId="46D70EDA" w:rsidR="005C514F" w:rsidRPr="007F42AF" w:rsidRDefault="005C514F" w:rsidP="000C7164">
            <w:pPr>
              <w:jc w:val="left"/>
              <w:rPr>
                <w:rFonts w:ascii="Arial Narrow" w:hAnsi="Arial Narrow" w:cs="Times New Roman"/>
                <w:i/>
                <w:iCs/>
                <w:sz w:val="20"/>
                <w:szCs w:val="20"/>
              </w:rPr>
            </w:pPr>
            <w:r w:rsidRPr="007F42AF">
              <w:rPr>
                <w:rFonts w:ascii="Arial Narrow" w:hAnsi="Arial Narrow"/>
                <w:sz w:val="20"/>
                <w:szCs w:val="20"/>
              </w:rPr>
              <w:t>Only patients born from 1975</w:t>
            </w:r>
            <w:r>
              <w:rPr>
                <w:rFonts w:ascii="Arial Narrow" w:hAnsi="Arial Narrow"/>
                <w:sz w:val="20"/>
                <w:szCs w:val="20"/>
              </w:rPr>
              <w:t xml:space="preserve"> (aged &lt;48 years)</w:t>
            </w:r>
            <w:r w:rsidRPr="007F42AF">
              <w:rPr>
                <w:rFonts w:ascii="Arial Narrow" w:hAnsi="Arial Narrow"/>
                <w:sz w:val="20"/>
                <w:szCs w:val="20"/>
              </w:rPr>
              <w:t xml:space="preserve"> onwards were included. ESC noted that given patients with Type 3 SMA are expected to have a normal life expectancy, this approach underestimates the number of patients with Type 3 SMA in the adult population (Paragraph 6.84, </w:t>
            </w:r>
            <w:r w:rsidR="00454176">
              <w:rPr>
                <w:rFonts w:ascii="Arial Narrow" w:hAnsi="Arial Narrow"/>
                <w:sz w:val="20"/>
                <w:szCs w:val="20"/>
              </w:rPr>
              <w:t>r</w:t>
            </w:r>
            <w:r w:rsidRPr="007F42AF">
              <w:rPr>
                <w:rFonts w:ascii="Arial Narrow" w:hAnsi="Arial Narrow"/>
                <w:sz w:val="20"/>
                <w:szCs w:val="20"/>
              </w:rPr>
              <w:t>isdiplam PSD, March 2021</w:t>
            </w:r>
            <w:r w:rsidR="00454176">
              <w:rPr>
                <w:rFonts w:ascii="Arial Narrow" w:hAnsi="Arial Narrow"/>
                <w:sz w:val="20"/>
                <w:szCs w:val="20"/>
              </w:rPr>
              <w:t xml:space="preserve"> PBAC meeting</w:t>
            </w:r>
            <w:r w:rsidRPr="007F42AF">
              <w:rPr>
                <w:rFonts w:ascii="Arial Narrow" w:hAnsi="Arial Narrow"/>
                <w:sz w:val="20"/>
                <w:szCs w:val="20"/>
              </w:rPr>
              <w:t>).</w:t>
            </w:r>
            <w:r w:rsidRPr="007F42AF">
              <w:rPr>
                <w:rFonts w:ascii="Arial Narrow" w:hAnsi="Arial Narrow" w:cs="Times New Roman"/>
                <w:i/>
                <w:iCs/>
                <w:sz w:val="20"/>
                <w:szCs w:val="20"/>
              </w:rPr>
              <w:t xml:space="preserve"> </w:t>
            </w:r>
            <w:r w:rsidRPr="001C7D64">
              <w:rPr>
                <w:rFonts w:ascii="Arial Narrow" w:hAnsi="Arial Narrow" w:cs="Times New Roman"/>
                <w:sz w:val="20"/>
                <w:szCs w:val="20"/>
              </w:rPr>
              <w:t>DUSC considered the eligible population to be significantly underestimated due to the exclusion of patients born prior to 1975. The PSCR</w:t>
            </w:r>
            <w:r w:rsidR="00890494">
              <w:rPr>
                <w:rFonts w:ascii="Arial Narrow" w:hAnsi="Arial Narrow" w:cs="Times New Roman"/>
                <w:sz w:val="20"/>
                <w:szCs w:val="20"/>
              </w:rPr>
              <w:t xml:space="preserve"> </w:t>
            </w:r>
            <w:r w:rsidRPr="001C7D64">
              <w:rPr>
                <w:rFonts w:ascii="Arial Narrow" w:hAnsi="Arial Narrow" w:cs="Times New Roman"/>
                <w:sz w:val="20"/>
                <w:szCs w:val="20"/>
              </w:rPr>
              <w:t>acknowledged the number of adult patients could be higher.</w:t>
            </w:r>
          </w:p>
        </w:tc>
      </w:tr>
      <w:tr w:rsidR="005C514F" w:rsidRPr="007F42AF" w14:paraId="34134EA9" w14:textId="77777777" w:rsidTr="005C514F">
        <w:trPr>
          <w:trHeight w:val="1085"/>
        </w:trPr>
        <w:tc>
          <w:tcPr>
            <w:tcW w:w="1274" w:type="dxa"/>
            <w:hideMark/>
          </w:tcPr>
          <w:p w14:paraId="36080EB6"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Prevalent patients</w:t>
            </w:r>
          </w:p>
        </w:tc>
        <w:tc>
          <w:tcPr>
            <w:tcW w:w="1556" w:type="dxa"/>
            <w:hideMark/>
          </w:tcPr>
          <w:p w14:paraId="6E2925B2" w14:textId="57032DD0"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1: </w:t>
            </w:r>
            <w:r w:rsidR="00D370AA" w:rsidRPr="00D370AA">
              <w:rPr>
                <w:rFonts w:ascii="Arial Narrow" w:hAnsi="Arial Narrow" w:cs="Times New Roman"/>
                <w:color w:val="000000"/>
                <w:spacing w:val="36"/>
                <w:sz w:val="20"/>
                <w:szCs w:val="20"/>
                <w:shd w:val="solid" w:color="000000" w:fill="000000"/>
                <w:fitText w:val="438" w:id="-1233447424"/>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24"/>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85912">
              <w:rPr>
                <w:rFonts w:ascii="Arial Narrow" w:hAnsi="Arial Narrow" w:cs="Times New Roman"/>
                <w:sz w:val="20"/>
                <w:szCs w:val="20"/>
                <w:vertAlign w:val="superscript"/>
              </w:rPr>
              <w:t>1</w:t>
            </w:r>
          </w:p>
          <w:p w14:paraId="3B9805BD" w14:textId="54177262"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2: </w:t>
            </w:r>
            <w:r w:rsidR="00D370AA" w:rsidRPr="00D370AA">
              <w:rPr>
                <w:rFonts w:ascii="Arial Narrow" w:hAnsi="Arial Narrow" w:cs="Times New Roman"/>
                <w:color w:val="000000"/>
                <w:spacing w:val="36"/>
                <w:sz w:val="20"/>
                <w:szCs w:val="20"/>
                <w:shd w:val="solid" w:color="000000" w:fill="000000"/>
                <w:fitText w:val="438" w:id="-1233447423"/>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23"/>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85912">
              <w:rPr>
                <w:rFonts w:ascii="Arial Narrow" w:hAnsi="Arial Narrow" w:cs="Times New Roman"/>
                <w:sz w:val="20"/>
                <w:szCs w:val="20"/>
                <w:vertAlign w:val="superscript"/>
              </w:rPr>
              <w:t>1</w:t>
            </w:r>
          </w:p>
          <w:p w14:paraId="5221090A" w14:textId="7E75BFBC"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3: </w:t>
            </w:r>
            <w:r w:rsidR="00D370AA" w:rsidRPr="00D370AA">
              <w:rPr>
                <w:rFonts w:ascii="Arial Narrow" w:hAnsi="Arial Narrow" w:cs="Times New Roman"/>
                <w:color w:val="000000"/>
                <w:spacing w:val="36"/>
                <w:sz w:val="20"/>
                <w:szCs w:val="20"/>
                <w:shd w:val="solid" w:color="000000" w:fill="000000"/>
                <w:fitText w:val="438" w:id="-1233447422"/>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22"/>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85912">
              <w:rPr>
                <w:rFonts w:ascii="Arial Narrow" w:hAnsi="Arial Narrow" w:cs="Times New Roman"/>
                <w:sz w:val="20"/>
                <w:szCs w:val="20"/>
                <w:vertAlign w:val="superscript"/>
              </w:rPr>
              <w:t>1</w:t>
            </w:r>
          </w:p>
          <w:p w14:paraId="58649541" w14:textId="0CA51FDD"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4: </w:t>
            </w:r>
            <w:r w:rsidR="00D370AA" w:rsidRPr="00D370AA">
              <w:rPr>
                <w:rFonts w:ascii="Arial Narrow" w:hAnsi="Arial Narrow" w:cs="Times New Roman"/>
                <w:color w:val="000000"/>
                <w:spacing w:val="36"/>
                <w:sz w:val="20"/>
                <w:szCs w:val="20"/>
                <w:shd w:val="solid" w:color="000000" w:fill="000000"/>
                <w:fitText w:val="438" w:id="-1233447421"/>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21"/>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85912">
              <w:rPr>
                <w:rFonts w:ascii="Arial Narrow" w:hAnsi="Arial Narrow" w:cs="Times New Roman"/>
                <w:sz w:val="20"/>
                <w:szCs w:val="20"/>
                <w:vertAlign w:val="superscript"/>
              </w:rPr>
              <w:t>1</w:t>
            </w:r>
          </w:p>
          <w:p w14:paraId="25BEC98A" w14:textId="4512270B"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5: </w:t>
            </w:r>
            <w:r w:rsidR="00D370AA" w:rsidRPr="00D370AA">
              <w:rPr>
                <w:rFonts w:ascii="Arial Narrow" w:hAnsi="Arial Narrow" w:cs="Times New Roman"/>
                <w:color w:val="000000"/>
                <w:spacing w:val="36"/>
                <w:sz w:val="20"/>
                <w:szCs w:val="20"/>
                <w:shd w:val="solid" w:color="000000" w:fill="000000"/>
                <w:fitText w:val="438" w:id="-1233447420"/>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20"/>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85912">
              <w:rPr>
                <w:rFonts w:ascii="Arial Narrow" w:hAnsi="Arial Narrow" w:cs="Times New Roman"/>
                <w:sz w:val="20"/>
                <w:szCs w:val="20"/>
                <w:vertAlign w:val="superscript"/>
              </w:rPr>
              <w:t>1</w:t>
            </w:r>
          </w:p>
          <w:p w14:paraId="23466E54" w14:textId="73AD32FF"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6: </w:t>
            </w:r>
            <w:r w:rsidR="00D370AA" w:rsidRPr="00D370AA">
              <w:rPr>
                <w:rFonts w:ascii="Arial Narrow" w:hAnsi="Arial Narrow" w:cs="Times New Roman"/>
                <w:color w:val="000000"/>
                <w:spacing w:val="36"/>
                <w:sz w:val="20"/>
                <w:szCs w:val="20"/>
                <w:shd w:val="solid" w:color="000000" w:fill="000000"/>
                <w:fitText w:val="438" w:id="-1233447419"/>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9"/>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85912">
              <w:rPr>
                <w:rFonts w:ascii="Arial Narrow" w:hAnsi="Arial Narrow" w:cs="Times New Roman"/>
                <w:sz w:val="20"/>
                <w:szCs w:val="20"/>
                <w:vertAlign w:val="superscript"/>
              </w:rPr>
              <w:t>1</w:t>
            </w:r>
          </w:p>
        </w:tc>
        <w:tc>
          <w:tcPr>
            <w:tcW w:w="2410" w:type="dxa"/>
            <w:hideMark/>
          </w:tcPr>
          <w:p w14:paraId="60035306" w14:textId="77777777" w:rsidR="005C514F" w:rsidRPr="007F42AF" w:rsidRDefault="005C514F" w:rsidP="000C7164">
            <w:pPr>
              <w:jc w:val="left"/>
              <w:rPr>
                <w:rFonts w:ascii="Arial Narrow" w:hAnsi="Arial Narrow" w:cs="Times New Roman"/>
                <w:sz w:val="20"/>
                <w:szCs w:val="20"/>
              </w:rPr>
            </w:pPr>
            <w:r>
              <w:rPr>
                <w:rFonts w:ascii="Arial Narrow" w:hAnsi="Arial Narrow"/>
                <w:sz w:val="20"/>
                <w:szCs w:val="20"/>
              </w:rPr>
              <w:t>C</w:t>
            </w:r>
            <w:r w:rsidRPr="007F42AF">
              <w:rPr>
                <w:rFonts w:ascii="Arial Narrow" w:hAnsi="Arial Narrow"/>
                <w:sz w:val="20"/>
                <w:szCs w:val="20"/>
              </w:rPr>
              <w:t xml:space="preserve">ombination of literature and ABS data </w:t>
            </w:r>
          </w:p>
        </w:tc>
        <w:tc>
          <w:tcPr>
            <w:tcW w:w="3802" w:type="dxa"/>
            <w:hideMark/>
          </w:tcPr>
          <w:p w14:paraId="2A2E24E2"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Likely underestimated, </w:t>
            </w:r>
          </w:p>
          <w:p w14:paraId="2C4D7F24" w14:textId="4EB6567A" w:rsidR="005C514F" w:rsidRPr="00085912" w:rsidRDefault="005C514F" w:rsidP="000C7164">
            <w:pPr>
              <w:jc w:val="left"/>
              <w:rPr>
                <w:rFonts w:ascii="Arial Narrow" w:hAnsi="Arial Narrow" w:cs="Times New Roman"/>
                <w:sz w:val="20"/>
                <w:szCs w:val="20"/>
              </w:rPr>
            </w:pPr>
            <w:r>
              <w:rPr>
                <w:rFonts w:ascii="Arial Narrow" w:hAnsi="Arial Narrow"/>
                <w:sz w:val="20"/>
                <w:szCs w:val="20"/>
              </w:rPr>
              <w:t>t</w:t>
            </w:r>
            <w:r w:rsidRPr="007F42AF">
              <w:rPr>
                <w:rFonts w:ascii="Arial Narrow" w:hAnsi="Arial Narrow"/>
                <w:sz w:val="20"/>
                <w:szCs w:val="20"/>
              </w:rPr>
              <w:t>otal patient numbers diminish over time due to the use of a prevalence-only approach.</w:t>
            </w:r>
            <w:r w:rsidRPr="007F42AF">
              <w:rPr>
                <w:rFonts w:ascii="Arial Narrow" w:hAnsi="Arial Narrow" w:cs="Times New Roman"/>
                <w:i/>
                <w:iCs/>
                <w:sz w:val="20"/>
                <w:szCs w:val="20"/>
              </w:rPr>
              <w:t xml:space="preserve"> </w:t>
            </w:r>
            <w:r w:rsidRPr="001C7D64">
              <w:rPr>
                <w:rFonts w:ascii="Arial Narrow" w:hAnsi="Arial Narrow" w:cs="Times New Roman"/>
                <w:sz w:val="20"/>
                <w:szCs w:val="20"/>
              </w:rPr>
              <w:t>DUSC considered this was reasonable but uncertain due to the small number of patients and the differences in life expectancy between Type 2 and 3 SMA patients</w:t>
            </w:r>
            <w:r w:rsidR="00085912">
              <w:rPr>
                <w:rFonts w:ascii="Arial Narrow" w:hAnsi="Arial Narrow" w:cs="Times New Roman"/>
                <w:sz w:val="20"/>
                <w:szCs w:val="20"/>
              </w:rPr>
              <w:t>.</w:t>
            </w:r>
          </w:p>
        </w:tc>
      </w:tr>
      <w:tr w:rsidR="005C514F" w:rsidRPr="007F42AF" w14:paraId="02CF0A65" w14:textId="77777777" w:rsidTr="005C514F">
        <w:trPr>
          <w:trHeight w:val="131"/>
        </w:trPr>
        <w:tc>
          <w:tcPr>
            <w:tcW w:w="1274" w:type="dxa"/>
            <w:hideMark/>
          </w:tcPr>
          <w:p w14:paraId="63BD8747"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Grandfathered patients</w:t>
            </w:r>
          </w:p>
        </w:tc>
        <w:tc>
          <w:tcPr>
            <w:tcW w:w="1556" w:type="dxa"/>
            <w:hideMark/>
          </w:tcPr>
          <w:p w14:paraId="78FB9F7B" w14:textId="57F2C5FA" w:rsidR="005C514F" w:rsidRPr="007F42AF" w:rsidRDefault="00D370AA" w:rsidP="000C7164">
            <w:pPr>
              <w:jc w:val="left"/>
              <w:rPr>
                <w:rFonts w:ascii="Arial Narrow" w:hAnsi="Arial Narrow" w:cs="Times New Roman"/>
                <w:sz w:val="20"/>
                <w:szCs w:val="20"/>
              </w:rPr>
            </w:pPr>
            <w:r w:rsidRPr="00D370AA">
              <w:rPr>
                <w:rFonts w:ascii="Arial Narrow" w:hAnsi="Arial Narrow"/>
                <w:color w:val="000000"/>
                <w:spacing w:val="36"/>
                <w:sz w:val="20"/>
                <w:szCs w:val="20"/>
                <w:shd w:val="solid" w:color="000000" w:fill="000000"/>
                <w:fitText w:val="438" w:id="-1233447418"/>
                <w14:textFill>
                  <w14:solidFill>
                    <w14:srgbClr w14:val="000000">
                      <w14:alpha w14:val="100000"/>
                    </w14:srgbClr>
                  </w14:solidFill>
                </w14:textFill>
              </w:rPr>
              <w:t>|||||</w:t>
            </w:r>
            <w:r w:rsidRPr="00D370AA">
              <w:rPr>
                <w:rFonts w:ascii="Arial Narrow" w:hAnsi="Arial Narrow"/>
                <w:color w:val="000000"/>
                <w:spacing w:val="3"/>
                <w:sz w:val="20"/>
                <w:szCs w:val="20"/>
                <w:shd w:val="solid" w:color="000000" w:fill="000000"/>
                <w:fitText w:val="438" w:id="-1233447418"/>
                <w14:textFill>
                  <w14:solidFill>
                    <w14:srgbClr w14:val="000000">
                      <w14:alpha w14:val="100000"/>
                    </w14:srgbClr>
                  </w14:solidFill>
                </w14:textFill>
              </w:rPr>
              <w:t>|</w:t>
            </w:r>
            <w:r w:rsidR="00F76077" w:rsidRPr="00F76077">
              <w:rPr>
                <w:rFonts w:ascii="Arial Narrow" w:hAnsi="Arial Narrow"/>
                <w:sz w:val="20"/>
                <w:szCs w:val="20"/>
              </w:rPr>
              <w:t xml:space="preserve"> </w:t>
            </w:r>
            <w:r w:rsidR="00085912" w:rsidRPr="00085912">
              <w:rPr>
                <w:rFonts w:ascii="Arial Narrow" w:hAnsi="Arial Narrow" w:cs="Times New Roman"/>
                <w:sz w:val="20"/>
                <w:szCs w:val="20"/>
                <w:vertAlign w:val="superscript"/>
              </w:rPr>
              <w:t>1</w:t>
            </w:r>
            <w:r w:rsidR="00085912">
              <w:rPr>
                <w:rFonts w:ascii="Arial Narrow" w:hAnsi="Arial Narrow" w:cs="Times New Roman"/>
                <w:sz w:val="20"/>
                <w:szCs w:val="20"/>
                <w:vertAlign w:val="superscript"/>
              </w:rPr>
              <w:t xml:space="preserve"> </w:t>
            </w:r>
            <w:r w:rsidR="005C514F" w:rsidRPr="007D0D02">
              <w:rPr>
                <w:rFonts w:ascii="Arial Narrow" w:hAnsi="Arial Narrow"/>
                <w:sz w:val="20"/>
                <w:szCs w:val="20"/>
                <w:vertAlign w:val="superscript"/>
              </w:rPr>
              <w:t>a</w:t>
            </w:r>
          </w:p>
        </w:tc>
        <w:tc>
          <w:tcPr>
            <w:tcW w:w="2410" w:type="dxa"/>
            <w:hideMark/>
          </w:tcPr>
          <w:p w14:paraId="68223914"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sz w:val="20"/>
                <w:szCs w:val="20"/>
              </w:rPr>
              <w:t>Sponsor subsidised access programs</w:t>
            </w:r>
          </w:p>
        </w:tc>
        <w:tc>
          <w:tcPr>
            <w:tcW w:w="3802" w:type="dxa"/>
            <w:hideMark/>
          </w:tcPr>
          <w:p w14:paraId="5949E47A" w14:textId="43C20F0D" w:rsidR="005C514F" w:rsidRPr="007F42AF" w:rsidRDefault="005C514F" w:rsidP="000C7164">
            <w:pPr>
              <w:jc w:val="left"/>
              <w:rPr>
                <w:rFonts w:ascii="Arial Narrow" w:hAnsi="Arial Narrow" w:cs="Times New Roman"/>
                <w:i/>
                <w:iCs/>
                <w:sz w:val="20"/>
                <w:szCs w:val="20"/>
              </w:rPr>
            </w:pPr>
            <w:r w:rsidRPr="001C7D64">
              <w:rPr>
                <w:rFonts w:ascii="Arial Narrow" w:hAnsi="Arial Narrow" w:cs="Times New Roman"/>
                <w:sz w:val="20"/>
                <w:szCs w:val="20"/>
              </w:rPr>
              <w:t xml:space="preserve">DUSC noted most grandfather patients would be accounted for in the estimate of prevalent patient numbers.  </w:t>
            </w:r>
          </w:p>
        </w:tc>
      </w:tr>
      <w:tr w:rsidR="001C7D64" w:rsidRPr="007F42AF" w14:paraId="19EAC68D" w14:textId="77777777" w:rsidTr="000C7164">
        <w:trPr>
          <w:trHeight w:val="61"/>
        </w:trPr>
        <w:tc>
          <w:tcPr>
            <w:tcW w:w="9042" w:type="dxa"/>
            <w:gridSpan w:val="4"/>
          </w:tcPr>
          <w:p w14:paraId="5BCE71A6" w14:textId="77777777" w:rsidR="001C7D64" w:rsidRPr="007F42AF" w:rsidRDefault="001C7D64" w:rsidP="000C7164">
            <w:pPr>
              <w:jc w:val="left"/>
              <w:rPr>
                <w:rFonts w:ascii="Arial Narrow" w:hAnsi="Arial Narrow" w:cs="Times New Roman"/>
                <w:sz w:val="20"/>
                <w:szCs w:val="20"/>
              </w:rPr>
            </w:pPr>
            <w:r w:rsidRPr="007F42AF">
              <w:rPr>
                <w:rFonts w:ascii="Arial Narrow" w:hAnsi="Arial Narrow" w:cs="Times New Roman"/>
                <w:b/>
                <w:bCs/>
                <w:sz w:val="20"/>
                <w:szCs w:val="20"/>
              </w:rPr>
              <w:t xml:space="preserve">Treatment utilisation </w:t>
            </w:r>
          </w:p>
        </w:tc>
      </w:tr>
      <w:tr w:rsidR="005C514F" w:rsidRPr="007F42AF" w14:paraId="7AEA6375" w14:textId="77777777" w:rsidTr="005C514F">
        <w:trPr>
          <w:trHeight w:val="262"/>
        </w:trPr>
        <w:tc>
          <w:tcPr>
            <w:tcW w:w="1274" w:type="dxa"/>
          </w:tcPr>
          <w:p w14:paraId="5ECFC026"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Proportion of ‘intrathecal ineligible’ and ‘intrathecal eligible’ patients</w:t>
            </w:r>
          </w:p>
        </w:tc>
        <w:tc>
          <w:tcPr>
            <w:tcW w:w="1556" w:type="dxa"/>
          </w:tcPr>
          <w:p w14:paraId="630B6318" w14:textId="77777777" w:rsidR="005C514F" w:rsidRDefault="005C514F" w:rsidP="000C7164">
            <w:pPr>
              <w:spacing w:after="160"/>
              <w:jc w:val="left"/>
              <w:rPr>
                <w:rFonts w:ascii="Arial Narrow" w:hAnsi="Arial Narrow" w:cs="Times New Roman"/>
                <w:sz w:val="20"/>
                <w:szCs w:val="20"/>
              </w:rPr>
            </w:pPr>
            <w:r w:rsidRPr="007F42AF">
              <w:rPr>
                <w:rFonts w:ascii="Arial Narrow" w:hAnsi="Arial Narrow" w:cs="Times New Roman"/>
                <w:sz w:val="20"/>
                <w:szCs w:val="20"/>
              </w:rPr>
              <w:t>Intrathecal ineligible = 50%</w:t>
            </w:r>
          </w:p>
          <w:p w14:paraId="46E58222" w14:textId="77777777" w:rsidR="005C514F" w:rsidRPr="007F42AF" w:rsidRDefault="005C514F" w:rsidP="000C7164">
            <w:pPr>
              <w:spacing w:after="160"/>
              <w:jc w:val="left"/>
              <w:rPr>
                <w:rFonts w:ascii="Arial Narrow" w:hAnsi="Arial Narrow" w:cs="Times New Roman"/>
                <w:sz w:val="20"/>
                <w:szCs w:val="20"/>
              </w:rPr>
            </w:pPr>
            <w:r w:rsidRPr="007F42AF">
              <w:rPr>
                <w:rFonts w:ascii="Arial Narrow" w:hAnsi="Arial Narrow" w:cs="Times New Roman"/>
                <w:sz w:val="20"/>
                <w:szCs w:val="20"/>
              </w:rPr>
              <w:t>Intrathecal eligible = 50%</w:t>
            </w:r>
          </w:p>
        </w:tc>
        <w:tc>
          <w:tcPr>
            <w:tcW w:w="2410" w:type="dxa"/>
            <w:vMerge w:val="restart"/>
          </w:tcPr>
          <w:p w14:paraId="6DBE3A33" w14:textId="603C7022" w:rsidR="005C514F" w:rsidRPr="007F42AF" w:rsidRDefault="005C514F" w:rsidP="000C7164">
            <w:pPr>
              <w:spacing w:before="80" w:after="80"/>
              <w:jc w:val="left"/>
              <w:rPr>
                <w:rFonts w:ascii="Arial Narrow" w:hAnsi="Arial Narrow"/>
                <w:sz w:val="20"/>
                <w:szCs w:val="20"/>
                <w:lang w:eastAsia="en-AU"/>
              </w:rPr>
            </w:pPr>
            <w:r w:rsidRPr="007F42AF">
              <w:rPr>
                <w:rFonts w:ascii="Arial Narrow" w:hAnsi="Arial Narrow"/>
                <w:sz w:val="20"/>
                <w:szCs w:val="20"/>
                <w:lang w:eastAsia="en-AU"/>
              </w:rPr>
              <w:t xml:space="preserve">Uptake rate in intrathecal ineligible patients was an assumption. Uptake rate in intrathecal eligible patients was based on </w:t>
            </w:r>
            <w:r>
              <w:rPr>
                <w:rFonts w:ascii="Arial Narrow" w:hAnsi="Arial Narrow"/>
                <w:sz w:val="20"/>
                <w:szCs w:val="20"/>
                <w:lang w:eastAsia="en-AU"/>
              </w:rPr>
              <w:t>r</w:t>
            </w:r>
            <w:r w:rsidRPr="007F42AF">
              <w:rPr>
                <w:rFonts w:ascii="Arial Narrow" w:hAnsi="Arial Narrow"/>
                <w:sz w:val="20"/>
                <w:szCs w:val="20"/>
                <w:lang w:eastAsia="en-AU"/>
              </w:rPr>
              <w:t xml:space="preserve">esponses from the 2022 SMA Adult Advisory Board. </w:t>
            </w:r>
          </w:p>
          <w:p w14:paraId="35CBAD4A" w14:textId="09A6B1B4" w:rsidR="005C514F" w:rsidRPr="007F42AF" w:rsidRDefault="005C514F" w:rsidP="000C7164">
            <w:pPr>
              <w:spacing w:before="80" w:after="80"/>
              <w:jc w:val="left"/>
              <w:rPr>
                <w:rFonts w:ascii="Arial Narrow" w:hAnsi="Arial Narrow"/>
                <w:sz w:val="20"/>
                <w:szCs w:val="20"/>
                <w:lang w:eastAsia="en-AU"/>
              </w:rPr>
            </w:pPr>
            <w:r w:rsidRPr="007F42AF">
              <w:rPr>
                <w:rFonts w:ascii="Arial Narrow" w:hAnsi="Arial Narrow"/>
                <w:sz w:val="20"/>
                <w:szCs w:val="20"/>
                <w:lang w:eastAsia="en-AU"/>
              </w:rPr>
              <w:t>The financial estimates assumed a 100% continuation rate for risdiplam patients.</w:t>
            </w:r>
          </w:p>
        </w:tc>
        <w:tc>
          <w:tcPr>
            <w:tcW w:w="3802" w:type="dxa"/>
            <w:vMerge w:val="restart"/>
          </w:tcPr>
          <w:p w14:paraId="125CE8CD" w14:textId="77777777" w:rsidR="005C514F" w:rsidRPr="007F42AF" w:rsidRDefault="005C514F" w:rsidP="000C7164">
            <w:pPr>
              <w:spacing w:before="80" w:after="80"/>
              <w:jc w:val="left"/>
              <w:rPr>
                <w:rFonts w:ascii="Arial Narrow" w:hAnsi="Arial Narrow"/>
                <w:sz w:val="20"/>
                <w:szCs w:val="20"/>
                <w:lang w:eastAsia="en-AU"/>
              </w:rPr>
            </w:pPr>
            <w:r w:rsidRPr="007F42AF">
              <w:rPr>
                <w:rFonts w:ascii="Arial Narrow" w:hAnsi="Arial Narrow"/>
                <w:sz w:val="20"/>
                <w:szCs w:val="20"/>
                <w:lang w:eastAsia="en-AU"/>
              </w:rPr>
              <w:t>The assumption that the five Type 1 adult patients were ‘intrathecal eligible’ and currently receiving nusinersen was reasonable given the likelihood of survival to adulthood without DMT in Type 1 patients was low and these patients were likely on treatment.</w:t>
            </w:r>
          </w:p>
          <w:p w14:paraId="18868008" w14:textId="115BC051" w:rsidR="005C514F" w:rsidRPr="007F42AF" w:rsidRDefault="005C514F" w:rsidP="000C7164">
            <w:pPr>
              <w:jc w:val="left"/>
              <w:rPr>
                <w:rFonts w:ascii="Arial Narrow" w:hAnsi="Arial Narrow" w:cs="Times New Roman"/>
                <w:i/>
                <w:iCs/>
                <w:sz w:val="20"/>
                <w:szCs w:val="20"/>
              </w:rPr>
            </w:pPr>
            <w:r>
              <w:rPr>
                <w:rFonts w:ascii="Arial Narrow" w:hAnsi="Arial Narrow"/>
                <w:sz w:val="20"/>
                <w:szCs w:val="20"/>
                <w:lang w:eastAsia="en-AU"/>
              </w:rPr>
              <w:t xml:space="preserve">DUSC considered </w:t>
            </w:r>
            <w:r w:rsidRPr="005C514F">
              <w:rPr>
                <w:rFonts w:ascii="Arial Narrow" w:hAnsi="Arial Narrow" w:cs="Times New Roman"/>
                <w:sz w:val="20"/>
                <w:szCs w:val="20"/>
              </w:rPr>
              <w:t>the treatment uptake rate for intrathecal eligible patients was underestimated due to the ease of administration of an oral therapy compared to intrathecal therapy.</w:t>
            </w:r>
          </w:p>
        </w:tc>
      </w:tr>
      <w:tr w:rsidR="005C514F" w:rsidRPr="007F42AF" w14:paraId="3E853AD5" w14:textId="77777777" w:rsidTr="005C514F">
        <w:trPr>
          <w:trHeight w:val="2480"/>
        </w:trPr>
        <w:tc>
          <w:tcPr>
            <w:tcW w:w="1274" w:type="dxa"/>
          </w:tcPr>
          <w:p w14:paraId="0CF67452"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Uptake rate </w:t>
            </w:r>
          </w:p>
        </w:tc>
        <w:tc>
          <w:tcPr>
            <w:tcW w:w="1556" w:type="dxa"/>
          </w:tcPr>
          <w:p w14:paraId="65D92828"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Intrathecal ineligible: 100%</w:t>
            </w:r>
          </w:p>
          <w:p w14:paraId="56E6737A"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Intrathecal eligible:</w:t>
            </w:r>
          </w:p>
          <w:p w14:paraId="61E8ED34"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Type 1: </w:t>
            </w:r>
          </w:p>
          <w:p w14:paraId="3FE0D495"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1 40% increase by 20% each year </w:t>
            </w:r>
          </w:p>
          <w:p w14:paraId="2F48392A"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Type 2,3: </w:t>
            </w:r>
          </w:p>
          <w:p w14:paraId="00C5BC5B"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1 30% increase by 10% each year </w:t>
            </w:r>
          </w:p>
        </w:tc>
        <w:tc>
          <w:tcPr>
            <w:tcW w:w="2410" w:type="dxa"/>
            <w:vMerge/>
          </w:tcPr>
          <w:p w14:paraId="3CD79619" w14:textId="77777777" w:rsidR="005C514F" w:rsidRPr="007F42AF" w:rsidRDefault="005C514F" w:rsidP="000C7164">
            <w:pPr>
              <w:jc w:val="left"/>
              <w:rPr>
                <w:rFonts w:ascii="Arial Narrow" w:hAnsi="Arial Narrow" w:cs="Times New Roman"/>
                <w:sz w:val="20"/>
                <w:szCs w:val="20"/>
                <w:lang w:val="en-GB"/>
              </w:rPr>
            </w:pPr>
          </w:p>
        </w:tc>
        <w:tc>
          <w:tcPr>
            <w:tcW w:w="3802" w:type="dxa"/>
            <w:vMerge/>
          </w:tcPr>
          <w:p w14:paraId="3DB0B10E" w14:textId="77777777" w:rsidR="005C514F" w:rsidRPr="007F42AF" w:rsidRDefault="005C514F" w:rsidP="000C7164">
            <w:pPr>
              <w:jc w:val="left"/>
              <w:rPr>
                <w:rFonts w:ascii="Arial Narrow" w:hAnsi="Arial Narrow" w:cs="Times New Roman"/>
                <w:i/>
                <w:iCs/>
                <w:sz w:val="20"/>
                <w:szCs w:val="20"/>
              </w:rPr>
            </w:pPr>
          </w:p>
        </w:tc>
      </w:tr>
      <w:tr w:rsidR="005C514F" w:rsidRPr="007F42AF" w14:paraId="5859659A" w14:textId="77777777" w:rsidTr="005C514F">
        <w:trPr>
          <w:trHeight w:val="64"/>
        </w:trPr>
        <w:tc>
          <w:tcPr>
            <w:tcW w:w="1274" w:type="dxa"/>
          </w:tcPr>
          <w:p w14:paraId="182EC191"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Number treated </w:t>
            </w:r>
          </w:p>
        </w:tc>
        <w:tc>
          <w:tcPr>
            <w:tcW w:w="1556" w:type="dxa"/>
          </w:tcPr>
          <w:p w14:paraId="54C49664" w14:textId="62894B2C"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1: </w:t>
            </w:r>
            <w:r w:rsidR="00D370AA" w:rsidRPr="00D370AA">
              <w:rPr>
                <w:rFonts w:ascii="Arial Narrow" w:hAnsi="Arial Narrow" w:cs="Times New Roman"/>
                <w:color w:val="000000"/>
                <w:spacing w:val="36"/>
                <w:sz w:val="20"/>
                <w:szCs w:val="20"/>
                <w:shd w:val="solid" w:color="000000" w:fill="000000"/>
                <w:fitText w:val="438" w:id="-1233447417"/>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7"/>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85912">
              <w:rPr>
                <w:rFonts w:ascii="Arial Narrow" w:hAnsi="Arial Narrow" w:cs="Times New Roman"/>
                <w:sz w:val="20"/>
                <w:szCs w:val="20"/>
                <w:vertAlign w:val="superscript"/>
              </w:rPr>
              <w:t>1</w:t>
            </w:r>
          </w:p>
          <w:p w14:paraId="14CA5572" w14:textId="28AC1571"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2: </w:t>
            </w:r>
            <w:r w:rsidR="00D370AA" w:rsidRPr="00D370AA">
              <w:rPr>
                <w:rFonts w:ascii="Arial Narrow" w:hAnsi="Arial Narrow" w:cs="Times New Roman"/>
                <w:color w:val="000000"/>
                <w:spacing w:val="36"/>
                <w:sz w:val="20"/>
                <w:szCs w:val="20"/>
                <w:shd w:val="solid" w:color="000000" w:fill="000000"/>
                <w:fitText w:val="438" w:id="-1233447416"/>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6"/>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85912">
              <w:rPr>
                <w:rFonts w:ascii="Arial Narrow" w:hAnsi="Arial Narrow" w:cs="Times New Roman"/>
                <w:sz w:val="20"/>
                <w:szCs w:val="20"/>
                <w:vertAlign w:val="superscript"/>
              </w:rPr>
              <w:t>1</w:t>
            </w:r>
          </w:p>
          <w:p w14:paraId="313CA518" w14:textId="11DD8C2C"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3: </w:t>
            </w:r>
            <w:r w:rsidR="00D370AA" w:rsidRPr="00D370AA">
              <w:rPr>
                <w:rFonts w:ascii="Arial Narrow" w:hAnsi="Arial Narrow" w:cs="Times New Roman"/>
                <w:color w:val="000000"/>
                <w:spacing w:val="36"/>
                <w:sz w:val="20"/>
                <w:szCs w:val="20"/>
                <w:shd w:val="solid" w:color="000000" w:fill="000000"/>
                <w:fitText w:val="438" w:id="-1233447415"/>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5"/>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85912">
              <w:rPr>
                <w:rFonts w:ascii="Arial Narrow" w:hAnsi="Arial Narrow" w:cs="Times New Roman"/>
                <w:sz w:val="20"/>
                <w:szCs w:val="20"/>
                <w:vertAlign w:val="superscript"/>
              </w:rPr>
              <w:t>1</w:t>
            </w:r>
          </w:p>
          <w:p w14:paraId="7E9669C6" w14:textId="067422E5"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lastRenderedPageBreak/>
              <w:t xml:space="preserve">Yr 4: </w:t>
            </w:r>
            <w:r w:rsidR="00D370AA" w:rsidRPr="00D370AA">
              <w:rPr>
                <w:rFonts w:ascii="Arial Narrow" w:hAnsi="Arial Narrow" w:cs="Times New Roman"/>
                <w:color w:val="000000"/>
                <w:spacing w:val="36"/>
                <w:sz w:val="20"/>
                <w:szCs w:val="20"/>
                <w:shd w:val="solid" w:color="000000" w:fill="000000"/>
                <w:fitText w:val="438" w:id="-1233447414"/>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4"/>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85912">
              <w:rPr>
                <w:rFonts w:ascii="Arial Narrow" w:hAnsi="Arial Narrow" w:cs="Times New Roman"/>
                <w:sz w:val="20"/>
                <w:szCs w:val="20"/>
                <w:vertAlign w:val="superscript"/>
              </w:rPr>
              <w:t>1</w:t>
            </w:r>
          </w:p>
          <w:p w14:paraId="6B64CBE2" w14:textId="43D5B8AA"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5: </w:t>
            </w:r>
            <w:r w:rsidR="00D370AA" w:rsidRPr="00D370AA">
              <w:rPr>
                <w:rFonts w:ascii="Arial Narrow" w:hAnsi="Arial Narrow" w:cs="Times New Roman"/>
                <w:color w:val="000000"/>
                <w:spacing w:val="36"/>
                <w:sz w:val="20"/>
                <w:szCs w:val="20"/>
                <w:shd w:val="solid" w:color="000000" w:fill="000000"/>
                <w:fitText w:val="438" w:id="-1233447413"/>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3"/>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85912">
              <w:rPr>
                <w:rFonts w:ascii="Arial Narrow" w:hAnsi="Arial Narrow" w:cs="Times New Roman"/>
                <w:sz w:val="20"/>
                <w:szCs w:val="20"/>
                <w:vertAlign w:val="superscript"/>
              </w:rPr>
              <w:t>1</w:t>
            </w:r>
          </w:p>
          <w:p w14:paraId="14EEA027" w14:textId="785E3075" w:rsidR="005C514F" w:rsidRPr="007F42AF" w:rsidRDefault="005C514F" w:rsidP="000C7164">
            <w:pPr>
              <w:spacing w:after="80"/>
              <w:jc w:val="left"/>
              <w:rPr>
                <w:rFonts w:ascii="Arial Narrow" w:hAnsi="Arial Narrow"/>
                <w:sz w:val="20"/>
                <w:szCs w:val="20"/>
                <w:lang w:eastAsia="en-AU"/>
              </w:rPr>
            </w:pPr>
            <w:r w:rsidRPr="007F42AF">
              <w:rPr>
                <w:rFonts w:ascii="Arial Narrow" w:hAnsi="Arial Narrow" w:cs="Times New Roman"/>
                <w:sz w:val="20"/>
                <w:szCs w:val="20"/>
                <w:lang w:eastAsia="en-AU"/>
              </w:rPr>
              <w:t xml:space="preserve">Yr 6: </w:t>
            </w:r>
            <w:r w:rsidR="00D370AA" w:rsidRPr="00D370AA">
              <w:rPr>
                <w:rFonts w:ascii="Arial Narrow" w:hAnsi="Arial Narrow" w:cs="Times New Roman"/>
                <w:color w:val="000000"/>
                <w:spacing w:val="36"/>
                <w:sz w:val="20"/>
                <w:szCs w:val="20"/>
                <w:shd w:val="solid" w:color="000000" w:fill="000000"/>
                <w:fitText w:val="438" w:id="-1233447412"/>
                <w:lang w:eastAsia="en-AU"/>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2"/>
                <w:lang w:eastAsia="en-AU"/>
                <w14:textFill>
                  <w14:solidFill>
                    <w14:srgbClr w14:val="000000">
                      <w14:alpha w14:val="100000"/>
                    </w14:srgbClr>
                  </w14:solidFill>
                </w14:textFill>
              </w:rPr>
              <w:t>|</w:t>
            </w:r>
            <w:r w:rsidR="00F76077" w:rsidRPr="00F76077">
              <w:rPr>
                <w:rFonts w:ascii="Arial Narrow" w:hAnsi="Arial Narrow" w:cs="Times New Roman"/>
                <w:sz w:val="20"/>
                <w:szCs w:val="20"/>
                <w:lang w:eastAsia="en-AU"/>
              </w:rPr>
              <w:t xml:space="preserve"> </w:t>
            </w:r>
            <w:r w:rsidR="00085912" w:rsidRPr="00085912">
              <w:rPr>
                <w:rFonts w:ascii="Arial Narrow" w:hAnsi="Arial Narrow" w:cs="Times New Roman"/>
                <w:sz w:val="20"/>
                <w:szCs w:val="20"/>
                <w:vertAlign w:val="superscript"/>
              </w:rPr>
              <w:t>1</w:t>
            </w:r>
          </w:p>
        </w:tc>
        <w:tc>
          <w:tcPr>
            <w:tcW w:w="2410" w:type="dxa"/>
            <w:vMerge/>
          </w:tcPr>
          <w:p w14:paraId="2182C62C" w14:textId="77777777" w:rsidR="005C514F" w:rsidRPr="007F42AF" w:rsidRDefault="005C514F" w:rsidP="000C7164">
            <w:pPr>
              <w:jc w:val="left"/>
              <w:rPr>
                <w:rFonts w:ascii="Arial Narrow" w:hAnsi="Arial Narrow" w:cs="Times New Roman"/>
                <w:sz w:val="20"/>
                <w:szCs w:val="20"/>
                <w:lang w:val="en-GB"/>
              </w:rPr>
            </w:pPr>
          </w:p>
        </w:tc>
        <w:tc>
          <w:tcPr>
            <w:tcW w:w="3802" w:type="dxa"/>
            <w:vMerge/>
          </w:tcPr>
          <w:p w14:paraId="649F8FB8" w14:textId="77777777" w:rsidR="005C514F" w:rsidRPr="007F42AF" w:rsidRDefault="005C514F" w:rsidP="000C7164">
            <w:pPr>
              <w:jc w:val="left"/>
              <w:rPr>
                <w:rFonts w:ascii="Arial Narrow" w:hAnsi="Arial Narrow" w:cs="Times New Roman"/>
                <w:i/>
                <w:iCs/>
                <w:sz w:val="20"/>
                <w:szCs w:val="20"/>
              </w:rPr>
            </w:pPr>
          </w:p>
        </w:tc>
      </w:tr>
      <w:tr w:rsidR="005C514F" w:rsidRPr="007F42AF" w14:paraId="12B21857" w14:textId="77777777" w:rsidTr="005C514F">
        <w:trPr>
          <w:trHeight w:val="691"/>
        </w:trPr>
        <w:tc>
          <w:tcPr>
            <w:tcW w:w="1274" w:type="dxa"/>
          </w:tcPr>
          <w:p w14:paraId="789BA407"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Scripts per year</w:t>
            </w:r>
          </w:p>
        </w:tc>
        <w:tc>
          <w:tcPr>
            <w:tcW w:w="1556" w:type="dxa"/>
          </w:tcPr>
          <w:p w14:paraId="05F08DA4"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10.5 scripts/ year </w:t>
            </w:r>
          </w:p>
        </w:tc>
        <w:tc>
          <w:tcPr>
            <w:tcW w:w="2410" w:type="dxa"/>
          </w:tcPr>
          <w:p w14:paraId="78769209"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lang w:val="en-GB"/>
              </w:rPr>
              <w:t>Based on 180mg (3 bottles) per script, lasting 36 days at 5mg/day and 365.25 days per year</w:t>
            </w:r>
          </w:p>
        </w:tc>
        <w:tc>
          <w:tcPr>
            <w:tcW w:w="3802" w:type="dxa"/>
            <w:vMerge w:val="restart"/>
          </w:tcPr>
          <w:p w14:paraId="19CE089A" w14:textId="77777777" w:rsidR="005C514F" w:rsidRPr="007F42AF" w:rsidRDefault="005C514F" w:rsidP="000C7164">
            <w:pPr>
              <w:spacing w:before="80" w:after="80"/>
              <w:jc w:val="left"/>
              <w:rPr>
                <w:rFonts w:ascii="Arial Narrow" w:hAnsi="Arial Narrow"/>
                <w:sz w:val="20"/>
                <w:szCs w:val="20"/>
                <w:lang w:eastAsia="en-AU"/>
              </w:rPr>
            </w:pPr>
            <w:r w:rsidRPr="007F42AF">
              <w:rPr>
                <w:rFonts w:ascii="Arial Narrow" w:hAnsi="Arial Narrow"/>
                <w:sz w:val="20"/>
                <w:szCs w:val="20"/>
                <w:lang w:eastAsia="en-AU"/>
              </w:rPr>
              <w:t xml:space="preserve">The WHO weight-by-age data was used to inform weight-based dosing in the financial estimates. However, it was assumed patients initiated treatment at 1 month of age under the justification this aligns with median age at first dose in RAINBOWFISH. This may be reasonable. </w:t>
            </w:r>
          </w:p>
          <w:p w14:paraId="0FA39C5B" w14:textId="3C5CF73A" w:rsidR="005C514F" w:rsidRPr="007F42AF" w:rsidRDefault="005C514F" w:rsidP="000C7164">
            <w:pPr>
              <w:jc w:val="left"/>
              <w:rPr>
                <w:rFonts w:ascii="Arial Narrow" w:hAnsi="Arial Narrow" w:cs="Times New Roman"/>
                <w:i/>
                <w:iCs/>
                <w:sz w:val="20"/>
                <w:szCs w:val="20"/>
              </w:rPr>
            </w:pPr>
            <w:r w:rsidRPr="007F42AF">
              <w:rPr>
                <w:rFonts w:ascii="Arial Narrow" w:hAnsi="Arial Narrow"/>
                <w:sz w:val="20"/>
                <w:szCs w:val="20"/>
              </w:rPr>
              <w:t>Dosage likely underestimated given assumption of no wastage and most optimistic assumption of time of treatment initiation assumption in year 1</w:t>
            </w:r>
            <w:r w:rsidR="00354A90">
              <w:rPr>
                <w:rFonts w:ascii="Arial Narrow" w:hAnsi="Arial Narrow"/>
                <w:sz w:val="20"/>
                <w:szCs w:val="20"/>
              </w:rPr>
              <w:t>.</w:t>
            </w:r>
          </w:p>
        </w:tc>
      </w:tr>
      <w:tr w:rsidR="005C514F" w:rsidRPr="007F42AF" w14:paraId="7AC6FE1F" w14:textId="77777777" w:rsidTr="005C514F">
        <w:trPr>
          <w:trHeight w:val="744"/>
        </w:trPr>
        <w:tc>
          <w:tcPr>
            <w:tcW w:w="1274" w:type="dxa"/>
          </w:tcPr>
          <w:p w14:paraId="555C8DCE"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Scripts dispensed</w:t>
            </w:r>
          </w:p>
        </w:tc>
        <w:tc>
          <w:tcPr>
            <w:tcW w:w="1556" w:type="dxa"/>
          </w:tcPr>
          <w:p w14:paraId="5AB90D9F" w14:textId="753B006D"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1: </w:t>
            </w:r>
            <w:r w:rsidR="00D370AA" w:rsidRPr="00D370AA">
              <w:rPr>
                <w:rFonts w:ascii="Arial Narrow" w:hAnsi="Arial Narrow" w:cs="Times New Roman"/>
                <w:color w:val="000000"/>
                <w:spacing w:val="36"/>
                <w:sz w:val="20"/>
                <w:szCs w:val="20"/>
                <w:shd w:val="solid" w:color="000000" w:fill="000000"/>
                <w:fitText w:val="438" w:id="-1233447411"/>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1"/>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Pr>
                <w:rFonts w:ascii="Arial Narrow" w:hAnsi="Arial Narrow" w:cs="Times New Roman"/>
                <w:sz w:val="20"/>
                <w:szCs w:val="20"/>
                <w:vertAlign w:val="superscript"/>
              </w:rPr>
              <w:t>2</w:t>
            </w:r>
          </w:p>
          <w:p w14:paraId="084C7B49" w14:textId="6EAB8CD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2: </w:t>
            </w:r>
            <w:r w:rsidR="00D370AA" w:rsidRPr="00D370AA">
              <w:rPr>
                <w:rFonts w:ascii="Arial Narrow" w:hAnsi="Arial Narrow" w:cs="Times New Roman"/>
                <w:color w:val="000000"/>
                <w:spacing w:val="36"/>
                <w:sz w:val="20"/>
                <w:szCs w:val="20"/>
                <w:shd w:val="solid" w:color="000000" w:fill="000000"/>
                <w:fitText w:val="438" w:id="-1233447410"/>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0"/>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Pr>
                <w:rFonts w:ascii="Arial Narrow" w:hAnsi="Arial Narrow" w:cs="Times New Roman"/>
                <w:sz w:val="20"/>
                <w:szCs w:val="20"/>
                <w:vertAlign w:val="superscript"/>
              </w:rPr>
              <w:t>2</w:t>
            </w:r>
          </w:p>
          <w:p w14:paraId="79224FEC" w14:textId="60296EC6"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3: </w:t>
            </w:r>
            <w:r w:rsidR="00D370AA" w:rsidRPr="00D370AA">
              <w:rPr>
                <w:rFonts w:ascii="Arial Narrow" w:hAnsi="Arial Narrow" w:cs="Times New Roman"/>
                <w:color w:val="000000"/>
                <w:spacing w:val="36"/>
                <w:sz w:val="20"/>
                <w:szCs w:val="20"/>
                <w:shd w:val="solid" w:color="000000" w:fill="000000"/>
                <w:fitText w:val="438" w:id="-1233447409"/>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09"/>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Pr>
                <w:rFonts w:ascii="Arial Narrow" w:hAnsi="Arial Narrow" w:cs="Times New Roman"/>
                <w:sz w:val="20"/>
                <w:szCs w:val="20"/>
                <w:vertAlign w:val="superscript"/>
              </w:rPr>
              <w:t>2</w:t>
            </w:r>
          </w:p>
          <w:p w14:paraId="3460F79D" w14:textId="5B6FE79E"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4: </w:t>
            </w:r>
            <w:r w:rsidR="00D370AA" w:rsidRPr="00D370AA">
              <w:rPr>
                <w:rFonts w:ascii="Arial Narrow" w:hAnsi="Arial Narrow" w:cs="Times New Roman"/>
                <w:color w:val="000000"/>
                <w:spacing w:val="36"/>
                <w:sz w:val="20"/>
                <w:szCs w:val="20"/>
                <w:shd w:val="solid" w:color="000000" w:fill="000000"/>
                <w:fitText w:val="438" w:id="-1233447408"/>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08"/>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Pr>
                <w:rFonts w:ascii="Arial Narrow" w:hAnsi="Arial Narrow" w:cs="Times New Roman"/>
                <w:sz w:val="20"/>
                <w:szCs w:val="20"/>
                <w:vertAlign w:val="superscript"/>
              </w:rPr>
              <w:t>2</w:t>
            </w:r>
          </w:p>
          <w:p w14:paraId="070804A6" w14:textId="5239331A"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Yr 5: </w:t>
            </w:r>
            <w:r w:rsidR="00D370AA" w:rsidRPr="00D370AA">
              <w:rPr>
                <w:rFonts w:ascii="Arial Narrow" w:hAnsi="Arial Narrow" w:cs="Times New Roman"/>
                <w:color w:val="000000"/>
                <w:spacing w:val="36"/>
                <w:sz w:val="20"/>
                <w:szCs w:val="20"/>
                <w:shd w:val="solid" w:color="000000" w:fill="000000"/>
                <w:fitText w:val="438" w:id="-1233447424"/>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24"/>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Pr>
                <w:rFonts w:ascii="Arial Narrow" w:hAnsi="Arial Narrow" w:cs="Times New Roman"/>
                <w:sz w:val="20"/>
                <w:szCs w:val="20"/>
                <w:vertAlign w:val="superscript"/>
              </w:rPr>
              <w:t>2</w:t>
            </w:r>
          </w:p>
          <w:p w14:paraId="59A71A23" w14:textId="2909E2E1" w:rsidR="005C514F" w:rsidRPr="007F42AF" w:rsidRDefault="005C514F" w:rsidP="000C7164">
            <w:pPr>
              <w:spacing w:after="160"/>
              <w:jc w:val="left"/>
              <w:rPr>
                <w:rFonts w:ascii="Arial Narrow" w:hAnsi="Arial Narrow" w:cs="Times New Roman"/>
                <w:sz w:val="20"/>
                <w:szCs w:val="20"/>
              </w:rPr>
            </w:pPr>
            <w:r w:rsidRPr="007F42AF">
              <w:rPr>
                <w:rFonts w:ascii="Arial Narrow" w:hAnsi="Arial Narrow" w:cs="Times New Roman"/>
                <w:sz w:val="20"/>
                <w:szCs w:val="20"/>
              </w:rPr>
              <w:t xml:space="preserve">Yr 6: </w:t>
            </w:r>
            <w:r w:rsidR="00D370AA" w:rsidRPr="00D370AA">
              <w:rPr>
                <w:rFonts w:ascii="Arial Narrow" w:hAnsi="Arial Narrow" w:cs="Times New Roman"/>
                <w:color w:val="000000"/>
                <w:spacing w:val="36"/>
                <w:sz w:val="20"/>
                <w:szCs w:val="20"/>
                <w:shd w:val="solid" w:color="000000" w:fill="000000"/>
                <w:fitText w:val="438" w:id="-1233447423"/>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23"/>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Pr>
                <w:rFonts w:ascii="Arial Narrow" w:hAnsi="Arial Narrow" w:cs="Times New Roman"/>
                <w:sz w:val="20"/>
                <w:szCs w:val="20"/>
                <w:vertAlign w:val="superscript"/>
              </w:rPr>
              <w:t>2</w:t>
            </w:r>
          </w:p>
        </w:tc>
        <w:tc>
          <w:tcPr>
            <w:tcW w:w="2410" w:type="dxa"/>
          </w:tcPr>
          <w:p w14:paraId="7AA295A4" w14:textId="77777777" w:rsidR="005C514F" w:rsidRPr="007F42AF" w:rsidRDefault="005C514F" w:rsidP="000C7164">
            <w:pPr>
              <w:jc w:val="left"/>
              <w:rPr>
                <w:rFonts w:ascii="Arial Narrow" w:hAnsi="Arial Narrow" w:cs="Times New Roman"/>
                <w:sz w:val="20"/>
                <w:szCs w:val="20"/>
              </w:rPr>
            </w:pPr>
          </w:p>
        </w:tc>
        <w:tc>
          <w:tcPr>
            <w:tcW w:w="3802" w:type="dxa"/>
            <w:vMerge/>
          </w:tcPr>
          <w:p w14:paraId="06656456" w14:textId="33314AC3" w:rsidR="005C514F" w:rsidRPr="007F42AF" w:rsidRDefault="005C514F" w:rsidP="000C7164">
            <w:pPr>
              <w:jc w:val="left"/>
              <w:rPr>
                <w:rFonts w:ascii="Arial Narrow" w:hAnsi="Arial Narrow" w:cs="Times New Roman"/>
                <w:i/>
                <w:iCs/>
                <w:sz w:val="20"/>
                <w:szCs w:val="20"/>
              </w:rPr>
            </w:pPr>
          </w:p>
        </w:tc>
      </w:tr>
      <w:tr w:rsidR="005C514F" w:rsidRPr="007F42AF" w14:paraId="5BF82C3B" w14:textId="77777777" w:rsidTr="005C514F">
        <w:trPr>
          <w:trHeight w:val="691"/>
        </w:trPr>
        <w:tc>
          <w:tcPr>
            <w:tcW w:w="1274" w:type="dxa"/>
          </w:tcPr>
          <w:p w14:paraId="3F0FE505"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Substitution of nusinersen</w:t>
            </w:r>
          </w:p>
        </w:tc>
        <w:tc>
          <w:tcPr>
            <w:tcW w:w="1556" w:type="dxa"/>
          </w:tcPr>
          <w:p w14:paraId="5FD1D119"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100% of intrathecal eligible patients</w:t>
            </w:r>
          </w:p>
        </w:tc>
        <w:tc>
          <w:tcPr>
            <w:tcW w:w="2410" w:type="dxa"/>
          </w:tcPr>
          <w:p w14:paraId="0F4F9596"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Assumption</w:t>
            </w:r>
          </w:p>
        </w:tc>
        <w:tc>
          <w:tcPr>
            <w:tcW w:w="3802" w:type="dxa"/>
          </w:tcPr>
          <w:p w14:paraId="662CB3BC" w14:textId="31BC0948" w:rsidR="005C514F" w:rsidRPr="007F42AF" w:rsidRDefault="005C514F" w:rsidP="005C514F">
            <w:pPr>
              <w:jc w:val="left"/>
              <w:rPr>
                <w:rFonts w:ascii="Arial Narrow" w:hAnsi="Arial Narrow" w:cs="Times New Roman"/>
                <w:sz w:val="20"/>
                <w:szCs w:val="20"/>
              </w:rPr>
            </w:pPr>
            <w:r w:rsidRPr="007F42AF">
              <w:rPr>
                <w:rFonts w:ascii="Arial Narrow" w:hAnsi="Arial Narrow"/>
                <w:sz w:val="20"/>
                <w:szCs w:val="20"/>
              </w:rPr>
              <w:t xml:space="preserve">No substitution of ONA </w:t>
            </w:r>
            <w:proofErr w:type="gramStart"/>
            <w:r w:rsidRPr="007F42AF">
              <w:rPr>
                <w:rFonts w:ascii="Arial Narrow" w:hAnsi="Arial Narrow"/>
                <w:sz w:val="20"/>
                <w:szCs w:val="20"/>
              </w:rPr>
              <w:t>assumed,</w:t>
            </w:r>
            <w:proofErr w:type="gramEnd"/>
            <w:r w:rsidRPr="007F42AF">
              <w:rPr>
                <w:rFonts w:ascii="Arial Narrow" w:hAnsi="Arial Narrow"/>
                <w:sz w:val="20"/>
                <w:szCs w:val="20"/>
              </w:rPr>
              <w:t xml:space="preserve"> which may not be appropriate given clinicians suggest 60.8% of pre-symptomatic patients may use ONA.</w:t>
            </w:r>
          </w:p>
        </w:tc>
      </w:tr>
      <w:tr w:rsidR="005C514F" w:rsidRPr="007F42AF" w14:paraId="5DD1AAA7" w14:textId="77777777" w:rsidTr="005C514F">
        <w:trPr>
          <w:trHeight w:val="64"/>
        </w:trPr>
        <w:tc>
          <w:tcPr>
            <w:tcW w:w="1274" w:type="dxa"/>
            <w:vAlign w:val="center"/>
          </w:tcPr>
          <w:p w14:paraId="5AC5B3B7"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sz w:val="20"/>
                <w:szCs w:val="20"/>
              </w:rPr>
              <w:t>Nusinersen scripts offset</w:t>
            </w:r>
          </w:p>
        </w:tc>
        <w:tc>
          <w:tcPr>
            <w:tcW w:w="1556" w:type="dxa"/>
            <w:vAlign w:val="center"/>
          </w:tcPr>
          <w:p w14:paraId="6D8C5CFA"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sz w:val="20"/>
                <w:szCs w:val="20"/>
              </w:rPr>
              <w:t>3 fewer scripts per patient per year in intrathecal eligible</w:t>
            </w:r>
          </w:p>
        </w:tc>
        <w:tc>
          <w:tcPr>
            <w:tcW w:w="2410" w:type="dxa"/>
            <w:vAlign w:val="center"/>
          </w:tcPr>
          <w:p w14:paraId="3CD7D96F" w14:textId="4DFFA78A" w:rsidR="005C514F" w:rsidRPr="007F42AF" w:rsidRDefault="005C514F" w:rsidP="000C7164">
            <w:pPr>
              <w:jc w:val="left"/>
              <w:rPr>
                <w:rFonts w:ascii="Arial Narrow" w:hAnsi="Arial Narrow" w:cs="Times New Roman"/>
                <w:sz w:val="20"/>
                <w:szCs w:val="20"/>
              </w:rPr>
            </w:pPr>
            <w:r w:rsidRPr="007F42AF">
              <w:rPr>
                <w:rFonts w:ascii="Arial Narrow" w:hAnsi="Arial Narrow"/>
                <w:sz w:val="20"/>
                <w:szCs w:val="20"/>
              </w:rPr>
              <w:t xml:space="preserve">Consistent with Product </w:t>
            </w:r>
            <w:r w:rsidR="00354A90">
              <w:rPr>
                <w:rFonts w:ascii="Arial Narrow" w:hAnsi="Arial Narrow"/>
                <w:sz w:val="20"/>
                <w:szCs w:val="20"/>
              </w:rPr>
              <w:t>I</w:t>
            </w:r>
            <w:r w:rsidRPr="007F42AF">
              <w:rPr>
                <w:rFonts w:ascii="Arial Narrow" w:hAnsi="Arial Narrow"/>
                <w:sz w:val="20"/>
                <w:szCs w:val="20"/>
              </w:rPr>
              <w:t xml:space="preserve">nformation, </w:t>
            </w:r>
          </w:p>
        </w:tc>
        <w:tc>
          <w:tcPr>
            <w:tcW w:w="3802" w:type="dxa"/>
            <w:vAlign w:val="center"/>
          </w:tcPr>
          <w:p w14:paraId="5A392873" w14:textId="3F3BBC39" w:rsidR="005C514F" w:rsidRPr="007F42AF" w:rsidRDefault="005C514F" w:rsidP="000C7164">
            <w:pPr>
              <w:jc w:val="left"/>
              <w:rPr>
                <w:rFonts w:ascii="Arial Narrow" w:hAnsi="Arial Narrow" w:cs="Times New Roman"/>
                <w:i/>
                <w:iCs/>
                <w:sz w:val="20"/>
                <w:szCs w:val="20"/>
              </w:rPr>
            </w:pPr>
            <w:r w:rsidRPr="007F42AF">
              <w:rPr>
                <w:rFonts w:ascii="Arial Narrow" w:hAnsi="Arial Narrow"/>
                <w:sz w:val="20"/>
                <w:szCs w:val="20"/>
              </w:rPr>
              <w:t xml:space="preserve"> </w:t>
            </w:r>
            <w:r>
              <w:rPr>
                <w:rFonts w:ascii="Arial Narrow" w:hAnsi="Arial Narrow"/>
                <w:sz w:val="20"/>
                <w:szCs w:val="20"/>
              </w:rPr>
              <w:t>E</w:t>
            </w:r>
            <w:r w:rsidRPr="007F42AF">
              <w:rPr>
                <w:rFonts w:ascii="Arial Narrow" w:hAnsi="Arial Narrow"/>
                <w:sz w:val="20"/>
                <w:szCs w:val="20"/>
              </w:rPr>
              <w:t>xclusion of loading doses may underestimate number of doses offset</w:t>
            </w:r>
            <w:r>
              <w:rPr>
                <w:rFonts w:ascii="Arial Narrow" w:hAnsi="Arial Narrow"/>
                <w:sz w:val="20"/>
                <w:szCs w:val="20"/>
              </w:rPr>
              <w:t>.</w:t>
            </w:r>
          </w:p>
        </w:tc>
      </w:tr>
      <w:tr w:rsidR="005C514F" w:rsidRPr="007F42AF" w14:paraId="4BB3CFE1" w14:textId="77777777" w:rsidTr="005C514F">
        <w:trPr>
          <w:trHeight w:val="83"/>
        </w:trPr>
        <w:tc>
          <w:tcPr>
            <w:tcW w:w="1274" w:type="dxa"/>
            <w:vAlign w:val="center"/>
          </w:tcPr>
          <w:p w14:paraId="4F8CB191" w14:textId="77777777" w:rsidR="005C514F" w:rsidRPr="007F42AF" w:rsidRDefault="005C514F" w:rsidP="000C7164">
            <w:pPr>
              <w:jc w:val="left"/>
              <w:rPr>
                <w:rFonts w:ascii="Arial Narrow" w:hAnsi="Arial Narrow"/>
                <w:sz w:val="20"/>
                <w:szCs w:val="20"/>
              </w:rPr>
            </w:pPr>
            <w:r w:rsidRPr="007F42AF">
              <w:rPr>
                <w:rFonts w:ascii="Arial Narrow" w:hAnsi="Arial Narrow"/>
                <w:sz w:val="20"/>
                <w:szCs w:val="20"/>
              </w:rPr>
              <w:t>Adverse events (AE)</w:t>
            </w:r>
          </w:p>
        </w:tc>
        <w:tc>
          <w:tcPr>
            <w:tcW w:w="1556" w:type="dxa"/>
            <w:vAlign w:val="center"/>
          </w:tcPr>
          <w:p w14:paraId="6384ECE7" w14:textId="77777777" w:rsidR="005C514F" w:rsidRPr="007F42AF" w:rsidRDefault="005C514F" w:rsidP="000C7164">
            <w:pPr>
              <w:jc w:val="left"/>
              <w:rPr>
                <w:rFonts w:ascii="Arial Narrow" w:hAnsi="Arial Narrow"/>
                <w:sz w:val="20"/>
                <w:szCs w:val="20"/>
              </w:rPr>
            </w:pPr>
            <w:r w:rsidRPr="007F42AF">
              <w:rPr>
                <w:rFonts w:ascii="Arial Narrow" w:hAnsi="Arial Narrow"/>
                <w:sz w:val="20"/>
                <w:szCs w:val="20"/>
              </w:rPr>
              <w:t>Nil</w:t>
            </w:r>
          </w:p>
        </w:tc>
        <w:tc>
          <w:tcPr>
            <w:tcW w:w="2410" w:type="dxa"/>
            <w:vAlign w:val="center"/>
          </w:tcPr>
          <w:p w14:paraId="7D8142F7" w14:textId="77777777" w:rsidR="005C514F" w:rsidRPr="007F42AF" w:rsidRDefault="005C514F" w:rsidP="000C7164">
            <w:pPr>
              <w:jc w:val="left"/>
              <w:rPr>
                <w:rFonts w:ascii="Arial Narrow" w:hAnsi="Arial Narrow" w:cs="Times New Roman"/>
                <w:sz w:val="20"/>
                <w:szCs w:val="20"/>
              </w:rPr>
            </w:pPr>
            <w:r w:rsidRPr="007F42AF">
              <w:rPr>
                <w:rFonts w:ascii="Arial Narrow" w:hAnsi="Arial Narrow" w:cs="Times New Roman"/>
                <w:sz w:val="20"/>
                <w:szCs w:val="20"/>
              </w:rPr>
              <w:t xml:space="preserve">No cost to management of AEs assumed. </w:t>
            </w:r>
          </w:p>
          <w:p w14:paraId="62F2F0E5" w14:textId="77777777" w:rsidR="005C514F" w:rsidRPr="007F42AF" w:rsidRDefault="005C514F" w:rsidP="000C7164">
            <w:pPr>
              <w:jc w:val="left"/>
              <w:rPr>
                <w:rFonts w:ascii="Arial Narrow" w:hAnsi="Arial Narrow"/>
                <w:sz w:val="20"/>
                <w:szCs w:val="20"/>
              </w:rPr>
            </w:pPr>
          </w:p>
        </w:tc>
        <w:tc>
          <w:tcPr>
            <w:tcW w:w="3802" w:type="dxa"/>
            <w:vAlign w:val="center"/>
          </w:tcPr>
          <w:p w14:paraId="188F476D" w14:textId="250A09AB" w:rsidR="005C514F" w:rsidRPr="007F42AF" w:rsidRDefault="005C514F" w:rsidP="000C7164">
            <w:pPr>
              <w:jc w:val="left"/>
              <w:rPr>
                <w:rFonts w:ascii="Arial Narrow" w:hAnsi="Arial Narrow" w:cs="Times New Roman"/>
                <w:i/>
                <w:iCs/>
                <w:sz w:val="20"/>
                <w:szCs w:val="20"/>
              </w:rPr>
            </w:pPr>
            <w:r w:rsidRPr="007F42AF">
              <w:rPr>
                <w:rFonts w:ascii="Arial Narrow" w:hAnsi="Arial Narrow"/>
                <w:sz w:val="20"/>
                <w:szCs w:val="20"/>
              </w:rPr>
              <w:t>Risdiplam expected to have lower incidence of AEs compared to nusinersen, so omission of AE would increase total financial estimates.</w:t>
            </w:r>
          </w:p>
        </w:tc>
      </w:tr>
      <w:tr w:rsidR="001C7D64" w:rsidRPr="007F42AF" w14:paraId="035DECEB" w14:textId="77777777" w:rsidTr="000C7164">
        <w:trPr>
          <w:trHeight w:val="64"/>
        </w:trPr>
        <w:tc>
          <w:tcPr>
            <w:tcW w:w="9042" w:type="dxa"/>
            <w:gridSpan w:val="4"/>
            <w:vAlign w:val="center"/>
          </w:tcPr>
          <w:p w14:paraId="4C3AB5D1" w14:textId="77777777" w:rsidR="001C7D64" w:rsidRPr="007F42AF" w:rsidRDefault="001C7D64" w:rsidP="000C7164">
            <w:pPr>
              <w:jc w:val="left"/>
              <w:rPr>
                <w:rFonts w:ascii="Arial Narrow" w:hAnsi="Arial Narrow" w:cs="Times New Roman"/>
                <w:i/>
                <w:iCs/>
                <w:sz w:val="20"/>
                <w:szCs w:val="20"/>
              </w:rPr>
            </w:pPr>
            <w:r w:rsidRPr="007F42AF">
              <w:rPr>
                <w:rFonts w:ascii="Arial Narrow" w:hAnsi="Arial Narrow"/>
                <w:b/>
                <w:sz w:val="20"/>
                <w:szCs w:val="20"/>
              </w:rPr>
              <w:t>Costs</w:t>
            </w:r>
          </w:p>
        </w:tc>
      </w:tr>
      <w:tr w:rsidR="005C514F" w:rsidRPr="007F42AF" w14:paraId="78D46F54" w14:textId="77777777" w:rsidTr="005C514F">
        <w:trPr>
          <w:trHeight w:val="722"/>
        </w:trPr>
        <w:tc>
          <w:tcPr>
            <w:tcW w:w="1274" w:type="dxa"/>
            <w:vAlign w:val="center"/>
          </w:tcPr>
          <w:p w14:paraId="4556AC9E" w14:textId="77777777" w:rsidR="005C514F" w:rsidRPr="007F42AF" w:rsidRDefault="005C514F" w:rsidP="000C7164">
            <w:pPr>
              <w:jc w:val="left"/>
              <w:rPr>
                <w:rFonts w:ascii="Arial Narrow" w:hAnsi="Arial Narrow"/>
                <w:sz w:val="20"/>
                <w:szCs w:val="20"/>
              </w:rPr>
            </w:pPr>
            <w:r w:rsidRPr="007F42AF">
              <w:rPr>
                <w:rFonts w:ascii="Arial Narrow" w:hAnsi="Arial Narrow"/>
                <w:sz w:val="20"/>
                <w:szCs w:val="20"/>
              </w:rPr>
              <w:t>Proposed medicine</w:t>
            </w:r>
          </w:p>
        </w:tc>
        <w:tc>
          <w:tcPr>
            <w:tcW w:w="1556" w:type="dxa"/>
            <w:vAlign w:val="center"/>
          </w:tcPr>
          <w:p w14:paraId="2928FA8C" w14:textId="77777777" w:rsidR="005C514F" w:rsidRPr="007F42AF" w:rsidRDefault="005C514F" w:rsidP="000C7164">
            <w:pPr>
              <w:jc w:val="left"/>
              <w:rPr>
                <w:rFonts w:ascii="Arial Narrow" w:hAnsi="Arial Narrow"/>
                <w:sz w:val="20"/>
                <w:szCs w:val="20"/>
              </w:rPr>
            </w:pPr>
            <w:r w:rsidRPr="007F42AF">
              <w:rPr>
                <w:rFonts w:ascii="Arial Narrow" w:hAnsi="Arial Narrow"/>
                <w:sz w:val="20"/>
                <w:szCs w:val="20"/>
              </w:rPr>
              <w:t>$10,841.89</w:t>
            </w:r>
          </w:p>
        </w:tc>
        <w:tc>
          <w:tcPr>
            <w:tcW w:w="2410" w:type="dxa"/>
            <w:vAlign w:val="center"/>
          </w:tcPr>
          <w:p w14:paraId="24209BD6" w14:textId="77777777" w:rsidR="005C514F" w:rsidRPr="007F42AF" w:rsidRDefault="005C514F" w:rsidP="000C7164">
            <w:pPr>
              <w:spacing w:before="80" w:after="80"/>
              <w:jc w:val="left"/>
              <w:rPr>
                <w:rFonts w:ascii="Arial Narrow" w:hAnsi="Arial Narrow"/>
                <w:sz w:val="20"/>
                <w:szCs w:val="20"/>
                <w:lang w:eastAsia="en-AU"/>
              </w:rPr>
            </w:pPr>
            <w:r w:rsidRPr="007F42AF">
              <w:rPr>
                <w:rFonts w:ascii="Arial Narrow" w:hAnsi="Arial Narrow"/>
                <w:sz w:val="20"/>
                <w:szCs w:val="20"/>
                <w:lang w:eastAsia="en-AU"/>
              </w:rPr>
              <w:t>Published price (AEMP)</w:t>
            </w:r>
          </w:p>
          <w:p w14:paraId="12072574" w14:textId="77777777" w:rsidR="005C514F" w:rsidRPr="007F42AF" w:rsidRDefault="005C514F" w:rsidP="000C7164">
            <w:pPr>
              <w:jc w:val="left"/>
              <w:rPr>
                <w:rFonts w:ascii="Arial Narrow" w:hAnsi="Arial Narrow"/>
                <w:i/>
                <w:iCs/>
                <w:sz w:val="20"/>
                <w:szCs w:val="20"/>
              </w:rPr>
            </w:pPr>
            <w:r w:rsidRPr="007F42AF">
              <w:rPr>
                <w:rFonts w:ascii="Arial Narrow" w:hAnsi="Arial Narrow"/>
                <w:sz w:val="20"/>
                <w:szCs w:val="20"/>
              </w:rPr>
              <w:t xml:space="preserve">PBS Item 12606L </w:t>
            </w:r>
          </w:p>
        </w:tc>
        <w:tc>
          <w:tcPr>
            <w:tcW w:w="3802" w:type="dxa"/>
            <w:vAlign w:val="center"/>
          </w:tcPr>
          <w:p w14:paraId="785BE7B1" w14:textId="05CC5576" w:rsidR="005C514F" w:rsidRPr="007F42AF" w:rsidRDefault="005C514F" w:rsidP="000C7164">
            <w:pPr>
              <w:jc w:val="left"/>
              <w:rPr>
                <w:rFonts w:ascii="Arial Narrow" w:hAnsi="Arial Narrow" w:cs="Times New Roman"/>
                <w:i/>
                <w:iCs/>
                <w:sz w:val="20"/>
                <w:szCs w:val="20"/>
              </w:rPr>
            </w:pPr>
            <w:r>
              <w:rPr>
                <w:rFonts w:ascii="Arial Narrow" w:hAnsi="Arial Narrow"/>
                <w:sz w:val="20"/>
                <w:szCs w:val="20"/>
              </w:rPr>
              <w:t>-</w:t>
            </w:r>
          </w:p>
        </w:tc>
      </w:tr>
      <w:tr w:rsidR="005C514F" w:rsidRPr="007F42AF" w14:paraId="7EE3868B" w14:textId="77777777" w:rsidTr="005C514F">
        <w:trPr>
          <w:trHeight w:val="64"/>
        </w:trPr>
        <w:tc>
          <w:tcPr>
            <w:tcW w:w="1274" w:type="dxa"/>
            <w:vAlign w:val="center"/>
          </w:tcPr>
          <w:p w14:paraId="08BFD770" w14:textId="77777777" w:rsidR="005C514F" w:rsidRPr="007F42AF" w:rsidRDefault="005C514F" w:rsidP="000C7164">
            <w:pPr>
              <w:jc w:val="left"/>
              <w:rPr>
                <w:rFonts w:ascii="Arial Narrow" w:hAnsi="Arial Narrow"/>
                <w:sz w:val="20"/>
                <w:szCs w:val="20"/>
              </w:rPr>
            </w:pPr>
            <w:r w:rsidRPr="007F42AF">
              <w:rPr>
                <w:rFonts w:ascii="Arial Narrow" w:hAnsi="Arial Narrow"/>
                <w:sz w:val="20"/>
                <w:szCs w:val="20"/>
              </w:rPr>
              <w:t>Nusinersen</w:t>
            </w:r>
          </w:p>
        </w:tc>
        <w:tc>
          <w:tcPr>
            <w:tcW w:w="1556" w:type="dxa"/>
            <w:vAlign w:val="center"/>
          </w:tcPr>
          <w:p w14:paraId="42B8A925" w14:textId="77777777" w:rsidR="005C514F" w:rsidRPr="007F42AF" w:rsidRDefault="005C514F" w:rsidP="000C7164">
            <w:pPr>
              <w:jc w:val="left"/>
              <w:rPr>
                <w:rFonts w:ascii="Arial Narrow" w:hAnsi="Arial Narrow"/>
                <w:sz w:val="20"/>
                <w:szCs w:val="20"/>
              </w:rPr>
            </w:pPr>
            <w:r w:rsidRPr="007F42AF">
              <w:rPr>
                <w:rFonts w:ascii="Arial Narrow" w:hAnsi="Arial Narrow"/>
                <w:sz w:val="20"/>
                <w:szCs w:val="20"/>
              </w:rPr>
              <w:t>$110,000</w:t>
            </w:r>
          </w:p>
        </w:tc>
        <w:tc>
          <w:tcPr>
            <w:tcW w:w="2410" w:type="dxa"/>
            <w:vAlign w:val="center"/>
          </w:tcPr>
          <w:p w14:paraId="413DD8E4" w14:textId="77777777" w:rsidR="005C514F" w:rsidRPr="007F42AF" w:rsidRDefault="005C514F" w:rsidP="000C7164">
            <w:pPr>
              <w:jc w:val="left"/>
              <w:rPr>
                <w:rFonts w:ascii="Arial Narrow" w:hAnsi="Arial Narrow"/>
                <w:i/>
                <w:iCs/>
                <w:sz w:val="20"/>
                <w:szCs w:val="20"/>
              </w:rPr>
            </w:pPr>
            <w:r w:rsidRPr="007F42AF">
              <w:rPr>
                <w:rFonts w:ascii="Arial Narrow" w:hAnsi="Arial Narrow"/>
                <w:sz w:val="20"/>
                <w:szCs w:val="20"/>
              </w:rPr>
              <w:t>Published price (AEMP)</w:t>
            </w:r>
          </w:p>
        </w:tc>
        <w:tc>
          <w:tcPr>
            <w:tcW w:w="3802" w:type="dxa"/>
            <w:vAlign w:val="center"/>
          </w:tcPr>
          <w:p w14:paraId="010A3017" w14:textId="3B8F0C69" w:rsidR="005C514F" w:rsidRPr="007F42AF" w:rsidRDefault="005C514F" w:rsidP="000C7164">
            <w:pPr>
              <w:jc w:val="left"/>
              <w:rPr>
                <w:rFonts w:ascii="Arial Narrow" w:hAnsi="Arial Narrow" w:cs="Times New Roman"/>
                <w:i/>
                <w:iCs/>
                <w:sz w:val="20"/>
                <w:szCs w:val="20"/>
              </w:rPr>
            </w:pPr>
            <w:r>
              <w:rPr>
                <w:rFonts w:ascii="Arial Narrow" w:hAnsi="Arial Narrow"/>
                <w:sz w:val="20"/>
                <w:szCs w:val="20"/>
              </w:rPr>
              <w:t>-</w:t>
            </w:r>
          </w:p>
        </w:tc>
      </w:tr>
      <w:tr w:rsidR="005C514F" w:rsidRPr="007F42AF" w14:paraId="78FD3961" w14:textId="77777777" w:rsidTr="005C514F">
        <w:trPr>
          <w:trHeight w:val="64"/>
        </w:trPr>
        <w:tc>
          <w:tcPr>
            <w:tcW w:w="1274" w:type="dxa"/>
            <w:vAlign w:val="center"/>
          </w:tcPr>
          <w:p w14:paraId="79AD786E" w14:textId="77777777" w:rsidR="005C514F" w:rsidRPr="007F42AF" w:rsidRDefault="005C514F" w:rsidP="000C7164">
            <w:pPr>
              <w:jc w:val="left"/>
              <w:rPr>
                <w:rFonts w:ascii="Arial Narrow" w:hAnsi="Arial Narrow"/>
                <w:sz w:val="20"/>
                <w:szCs w:val="20"/>
              </w:rPr>
            </w:pPr>
            <w:r w:rsidRPr="007F42AF">
              <w:rPr>
                <w:rFonts w:ascii="Arial Narrow" w:hAnsi="Arial Narrow"/>
                <w:sz w:val="20"/>
                <w:szCs w:val="20"/>
              </w:rPr>
              <w:t>Patient copayment</w:t>
            </w:r>
          </w:p>
        </w:tc>
        <w:tc>
          <w:tcPr>
            <w:tcW w:w="1556" w:type="dxa"/>
            <w:vAlign w:val="center"/>
          </w:tcPr>
          <w:p w14:paraId="0EF21BF6" w14:textId="77777777" w:rsidR="005C514F" w:rsidRPr="007F42AF" w:rsidRDefault="005C514F" w:rsidP="000C7164">
            <w:pPr>
              <w:jc w:val="left"/>
              <w:rPr>
                <w:rFonts w:ascii="Arial Narrow" w:hAnsi="Arial Narrow"/>
                <w:sz w:val="20"/>
                <w:szCs w:val="20"/>
              </w:rPr>
            </w:pPr>
            <w:r w:rsidRPr="007F42AF">
              <w:rPr>
                <w:rFonts w:ascii="Arial Narrow" w:hAnsi="Arial Narrow"/>
                <w:sz w:val="20"/>
                <w:szCs w:val="20"/>
              </w:rPr>
              <w:t>$18.21</w:t>
            </w:r>
          </w:p>
        </w:tc>
        <w:tc>
          <w:tcPr>
            <w:tcW w:w="2410" w:type="dxa"/>
            <w:vAlign w:val="center"/>
          </w:tcPr>
          <w:p w14:paraId="7927538D" w14:textId="77777777" w:rsidR="005C514F" w:rsidRPr="007F42AF" w:rsidRDefault="005C514F" w:rsidP="000C7164">
            <w:pPr>
              <w:jc w:val="left"/>
              <w:rPr>
                <w:rFonts w:ascii="Arial Narrow" w:hAnsi="Arial Narrow"/>
                <w:i/>
                <w:iCs/>
                <w:sz w:val="20"/>
                <w:szCs w:val="20"/>
              </w:rPr>
            </w:pPr>
            <w:r w:rsidRPr="007F42AF">
              <w:rPr>
                <w:rFonts w:ascii="Arial Narrow" w:hAnsi="Arial Narrow"/>
                <w:sz w:val="20"/>
                <w:szCs w:val="20"/>
              </w:rPr>
              <w:t>PBS utilisation in 2021 for risdiplam</w:t>
            </w:r>
          </w:p>
        </w:tc>
        <w:tc>
          <w:tcPr>
            <w:tcW w:w="3802" w:type="dxa"/>
            <w:vAlign w:val="center"/>
          </w:tcPr>
          <w:p w14:paraId="1C8D6F8D" w14:textId="14AAEFCB" w:rsidR="005C514F" w:rsidRPr="007F42AF" w:rsidRDefault="005C514F" w:rsidP="000C7164">
            <w:pPr>
              <w:jc w:val="left"/>
              <w:rPr>
                <w:rFonts w:ascii="Arial Narrow" w:hAnsi="Arial Narrow" w:cs="Times New Roman"/>
                <w:i/>
                <w:iCs/>
                <w:sz w:val="20"/>
                <w:szCs w:val="20"/>
              </w:rPr>
            </w:pPr>
            <w:r>
              <w:rPr>
                <w:rFonts w:ascii="Arial Narrow" w:hAnsi="Arial Narrow"/>
                <w:sz w:val="20"/>
                <w:szCs w:val="20"/>
              </w:rPr>
              <w:t>-</w:t>
            </w:r>
          </w:p>
        </w:tc>
      </w:tr>
      <w:tr w:rsidR="005C514F" w:rsidRPr="007F42AF" w14:paraId="4CEBAA30" w14:textId="77777777" w:rsidTr="005C514F">
        <w:trPr>
          <w:trHeight w:val="134"/>
        </w:trPr>
        <w:tc>
          <w:tcPr>
            <w:tcW w:w="1274" w:type="dxa"/>
            <w:vAlign w:val="center"/>
          </w:tcPr>
          <w:p w14:paraId="258F312E" w14:textId="77777777" w:rsidR="005C514F" w:rsidRPr="007F42AF" w:rsidRDefault="005C514F" w:rsidP="000C7164">
            <w:pPr>
              <w:jc w:val="left"/>
              <w:rPr>
                <w:rFonts w:ascii="Arial Narrow" w:hAnsi="Arial Narrow"/>
                <w:sz w:val="20"/>
                <w:szCs w:val="20"/>
              </w:rPr>
            </w:pPr>
            <w:r w:rsidRPr="007F42AF">
              <w:rPr>
                <w:rFonts w:ascii="Arial Narrow" w:hAnsi="Arial Narrow"/>
                <w:sz w:val="20"/>
                <w:szCs w:val="20"/>
              </w:rPr>
              <w:t>MBS costs</w:t>
            </w:r>
          </w:p>
        </w:tc>
        <w:tc>
          <w:tcPr>
            <w:tcW w:w="1556" w:type="dxa"/>
            <w:vAlign w:val="center"/>
          </w:tcPr>
          <w:p w14:paraId="015E7DC4" w14:textId="77777777" w:rsidR="005C514F" w:rsidRPr="007F42AF" w:rsidRDefault="005C514F" w:rsidP="000C7164">
            <w:pPr>
              <w:jc w:val="left"/>
              <w:rPr>
                <w:rFonts w:ascii="Arial Narrow" w:hAnsi="Arial Narrow"/>
                <w:sz w:val="20"/>
                <w:szCs w:val="20"/>
              </w:rPr>
            </w:pPr>
            <w:r w:rsidRPr="007F42AF">
              <w:rPr>
                <w:rFonts w:ascii="Arial Narrow" w:hAnsi="Arial Narrow"/>
                <w:sz w:val="20"/>
                <w:szCs w:val="20"/>
              </w:rPr>
              <w:t>$46.15</w:t>
            </w:r>
          </w:p>
        </w:tc>
        <w:tc>
          <w:tcPr>
            <w:tcW w:w="2410" w:type="dxa"/>
            <w:vAlign w:val="center"/>
          </w:tcPr>
          <w:p w14:paraId="210B89B1" w14:textId="77777777" w:rsidR="005C514F" w:rsidRDefault="005C514F" w:rsidP="000C7164">
            <w:pPr>
              <w:jc w:val="left"/>
              <w:rPr>
                <w:rFonts w:ascii="Arial Narrow" w:hAnsi="Arial Narrow"/>
                <w:sz w:val="20"/>
                <w:szCs w:val="20"/>
              </w:rPr>
            </w:pPr>
            <w:r>
              <w:rPr>
                <w:rFonts w:ascii="Arial Narrow" w:hAnsi="Arial Narrow"/>
                <w:sz w:val="20"/>
                <w:szCs w:val="20"/>
              </w:rPr>
              <w:t>B</w:t>
            </w:r>
            <w:r w:rsidRPr="007F42AF">
              <w:rPr>
                <w:rFonts w:ascii="Arial Narrow" w:hAnsi="Arial Narrow"/>
                <w:sz w:val="20"/>
                <w:szCs w:val="20"/>
              </w:rPr>
              <w:t xml:space="preserve">ased on clinician advice from the SMA Roundtable meeting 2020. </w:t>
            </w:r>
          </w:p>
          <w:p w14:paraId="52AE1BB3" w14:textId="77777777" w:rsidR="005C514F" w:rsidRPr="007F42AF" w:rsidRDefault="005C514F" w:rsidP="000C7164">
            <w:pPr>
              <w:jc w:val="left"/>
              <w:rPr>
                <w:rFonts w:ascii="Arial Narrow" w:hAnsi="Arial Narrow"/>
                <w:i/>
                <w:iCs/>
                <w:sz w:val="20"/>
                <w:szCs w:val="20"/>
              </w:rPr>
            </w:pPr>
            <w:r w:rsidRPr="007F42AF">
              <w:rPr>
                <w:rFonts w:ascii="Arial Narrow" w:hAnsi="Arial Narrow"/>
                <w:sz w:val="20"/>
                <w:szCs w:val="20"/>
              </w:rPr>
              <w:t>MBS 105, 80% Fee applied in base case. One additional specialist visit for ‘intrathecal ineligible’ patients per year to reflect that patients would visit a specialist every 6 months on risdiplam versus every 12 months on no treatment.</w:t>
            </w:r>
          </w:p>
        </w:tc>
        <w:tc>
          <w:tcPr>
            <w:tcW w:w="3802" w:type="dxa"/>
            <w:vAlign w:val="center"/>
          </w:tcPr>
          <w:p w14:paraId="76E86806" w14:textId="30B6FE81" w:rsidR="005C514F" w:rsidRPr="007F42AF" w:rsidRDefault="005C514F" w:rsidP="000C7164">
            <w:pPr>
              <w:jc w:val="left"/>
              <w:rPr>
                <w:rFonts w:ascii="Arial Narrow" w:hAnsi="Arial Narrow" w:cs="Times New Roman"/>
                <w:i/>
                <w:iCs/>
                <w:sz w:val="20"/>
                <w:szCs w:val="20"/>
              </w:rPr>
            </w:pPr>
            <w:r>
              <w:rPr>
                <w:rFonts w:ascii="Arial Narrow" w:hAnsi="Arial Narrow"/>
                <w:sz w:val="20"/>
                <w:szCs w:val="20"/>
              </w:rPr>
              <w:t>T</w:t>
            </w:r>
            <w:r w:rsidRPr="007F42AF">
              <w:rPr>
                <w:rFonts w:ascii="Arial Narrow" w:hAnsi="Arial Narrow"/>
                <w:sz w:val="20"/>
                <w:szCs w:val="20"/>
              </w:rPr>
              <w:t xml:space="preserve">he resubmission inappropriately double counted patients from previous years as needing additional visits. Given that only prevalent patients were used to estimate population 1 patients, there was no need to consider continuing patients.   </w:t>
            </w:r>
          </w:p>
        </w:tc>
      </w:tr>
      <w:tr w:rsidR="005C514F" w:rsidRPr="007F42AF" w14:paraId="394CEA26" w14:textId="77777777" w:rsidTr="005C514F">
        <w:trPr>
          <w:trHeight w:val="691"/>
        </w:trPr>
        <w:tc>
          <w:tcPr>
            <w:tcW w:w="1274" w:type="dxa"/>
            <w:vAlign w:val="center"/>
          </w:tcPr>
          <w:p w14:paraId="07ECBE98" w14:textId="77777777" w:rsidR="005C514F" w:rsidRPr="007F42AF" w:rsidRDefault="005C514F" w:rsidP="000C7164">
            <w:pPr>
              <w:jc w:val="left"/>
              <w:rPr>
                <w:rFonts w:ascii="Arial Narrow" w:hAnsi="Arial Narrow"/>
                <w:sz w:val="20"/>
                <w:szCs w:val="20"/>
              </w:rPr>
            </w:pPr>
            <w:r w:rsidRPr="007F42AF">
              <w:rPr>
                <w:rFonts w:ascii="Arial Narrow" w:hAnsi="Arial Narrow"/>
                <w:sz w:val="20"/>
                <w:szCs w:val="20"/>
              </w:rPr>
              <w:t>Other offsets</w:t>
            </w:r>
          </w:p>
        </w:tc>
        <w:tc>
          <w:tcPr>
            <w:tcW w:w="1556" w:type="dxa"/>
            <w:vAlign w:val="center"/>
          </w:tcPr>
          <w:p w14:paraId="205887D1" w14:textId="77777777" w:rsidR="005C514F" w:rsidRPr="007F42AF" w:rsidRDefault="005C514F" w:rsidP="000C7164">
            <w:pPr>
              <w:jc w:val="left"/>
              <w:rPr>
                <w:rFonts w:ascii="Arial Narrow" w:hAnsi="Arial Narrow"/>
                <w:sz w:val="20"/>
                <w:szCs w:val="20"/>
              </w:rPr>
            </w:pPr>
            <w:r w:rsidRPr="007F42AF">
              <w:rPr>
                <w:rFonts w:ascii="Arial Narrow" w:hAnsi="Arial Narrow"/>
                <w:sz w:val="20"/>
                <w:szCs w:val="20"/>
              </w:rPr>
              <w:t>$1,252</w:t>
            </w:r>
          </w:p>
        </w:tc>
        <w:tc>
          <w:tcPr>
            <w:tcW w:w="2410" w:type="dxa"/>
            <w:vAlign w:val="center"/>
          </w:tcPr>
          <w:p w14:paraId="7F5F120C" w14:textId="77777777" w:rsidR="005C514F" w:rsidRPr="007F42AF" w:rsidRDefault="005C514F" w:rsidP="000C7164">
            <w:pPr>
              <w:jc w:val="left"/>
              <w:rPr>
                <w:rFonts w:ascii="Arial Narrow" w:hAnsi="Arial Narrow"/>
                <w:sz w:val="20"/>
                <w:szCs w:val="20"/>
              </w:rPr>
            </w:pPr>
            <w:r w:rsidRPr="007F42AF">
              <w:rPr>
                <w:rFonts w:ascii="Arial Narrow" w:hAnsi="Arial Narrow"/>
                <w:sz w:val="20"/>
                <w:szCs w:val="20"/>
              </w:rPr>
              <w:t>DRG B67B, assuming 131% paediatric cost adjustment</w:t>
            </w:r>
          </w:p>
        </w:tc>
        <w:tc>
          <w:tcPr>
            <w:tcW w:w="3802" w:type="dxa"/>
            <w:vAlign w:val="center"/>
          </w:tcPr>
          <w:p w14:paraId="407A9257" w14:textId="67E9D78F" w:rsidR="005C514F" w:rsidRPr="007F42AF" w:rsidRDefault="005C514F" w:rsidP="000C7164">
            <w:pPr>
              <w:jc w:val="left"/>
              <w:rPr>
                <w:rFonts w:ascii="Arial Narrow" w:hAnsi="Arial Narrow" w:cs="Times New Roman"/>
                <w:i/>
                <w:iCs/>
                <w:sz w:val="20"/>
                <w:szCs w:val="20"/>
              </w:rPr>
            </w:pPr>
            <w:r w:rsidRPr="007F42AF">
              <w:rPr>
                <w:rFonts w:ascii="Arial Narrow" w:hAnsi="Arial Narrow"/>
                <w:sz w:val="20"/>
                <w:szCs w:val="20"/>
              </w:rPr>
              <w:t>Consistent with claims in CMA, but may be overestimated compared to what has previously been accepted for nusinersen administration costs based on MBS items</w:t>
            </w:r>
            <w:r>
              <w:rPr>
                <w:rFonts w:ascii="Arial Narrow" w:hAnsi="Arial Narrow"/>
                <w:sz w:val="20"/>
                <w:szCs w:val="20"/>
              </w:rPr>
              <w:t xml:space="preserve">. </w:t>
            </w:r>
            <w:r w:rsidRPr="005C514F">
              <w:rPr>
                <w:rFonts w:ascii="Arial Narrow" w:hAnsi="Arial Narrow" w:cs="Times New Roman"/>
                <w:sz w:val="20"/>
                <w:szCs w:val="20"/>
              </w:rPr>
              <w:t>DUSC commented that MBS cost offsets would likely occur as initiating nusinersen treatment would likely require additional consultations.</w:t>
            </w:r>
          </w:p>
        </w:tc>
      </w:tr>
    </w:tbl>
    <w:p w14:paraId="56BF85C6" w14:textId="3DD1C143" w:rsidR="001C7D64" w:rsidRPr="007F42AF" w:rsidRDefault="001C7D64" w:rsidP="001C7D64">
      <w:pPr>
        <w:pStyle w:val="TableFooter"/>
        <w:rPr>
          <w:rFonts w:eastAsia="Calibri"/>
        </w:rPr>
      </w:pPr>
      <w:r w:rsidRPr="007F42AF">
        <w:rPr>
          <w:rFonts w:eastAsia="Calibri"/>
        </w:rPr>
        <w:t xml:space="preserve">a – The financial estimates provided in the resubmission ‘exclude grandfather patients’ (p162). An option to include the </w:t>
      </w:r>
      <w:r w:rsidR="003644EE">
        <w:rPr>
          <w:rFonts w:eastAsia="Calibri"/>
        </w:rPr>
        <w:t xml:space="preserve"> &lt; 500</w:t>
      </w:r>
      <w:r w:rsidRPr="007F42AF">
        <w:rPr>
          <w:rFonts w:eastAsia="Calibri"/>
        </w:rPr>
        <w:t xml:space="preserve"> grandfather patients was included in the Excel workbook, but not turned on when calculating financial estimates.</w:t>
      </w:r>
    </w:p>
    <w:p w14:paraId="0C7BF232" w14:textId="76CBF6D0" w:rsidR="001C7D64" w:rsidRDefault="001C7D64" w:rsidP="001C7D64">
      <w:pPr>
        <w:pStyle w:val="TableFooter"/>
        <w:rPr>
          <w:rFonts w:eastAsia="Calibri"/>
        </w:rPr>
      </w:pPr>
      <w:r w:rsidRPr="007F42AF">
        <w:rPr>
          <w:rFonts w:eastAsia="Calibri"/>
        </w:rPr>
        <w:t xml:space="preserve">Source: </w:t>
      </w:r>
      <w:r>
        <w:rPr>
          <w:rFonts w:eastAsia="Calibri"/>
        </w:rPr>
        <w:t xml:space="preserve">Table 4.1.1 pp.132-134 of the commentary on the resubmission. </w:t>
      </w:r>
    </w:p>
    <w:p w14:paraId="1BBCAD3F" w14:textId="77777777" w:rsidR="00085912" w:rsidRPr="009A6D58" w:rsidRDefault="00085912" w:rsidP="0008591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04EFD5D" w14:textId="77777777" w:rsidR="00085912" w:rsidRPr="009A6D58" w:rsidRDefault="00085912" w:rsidP="0008591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0A2D14">
        <w:rPr>
          <w:rFonts w:ascii="Arial Narrow" w:hAnsi="Arial Narrow"/>
          <w:i/>
          <w:sz w:val="18"/>
          <w:szCs w:val="18"/>
        </w:rPr>
        <w:t>&lt; 500</w:t>
      </w:r>
    </w:p>
    <w:p w14:paraId="09C86ECB" w14:textId="6E4A23E4" w:rsidR="00354A90" w:rsidRPr="00085912" w:rsidRDefault="00085912" w:rsidP="00085912">
      <w:pPr>
        <w:spacing w:after="12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0A2D14">
        <w:rPr>
          <w:rFonts w:ascii="Arial Narrow" w:hAnsi="Arial Narrow"/>
          <w:i/>
          <w:sz w:val="18"/>
          <w:szCs w:val="18"/>
        </w:rPr>
        <w:t>500 to &lt; 5,000</w:t>
      </w:r>
    </w:p>
    <w:p w14:paraId="4D46020B" w14:textId="03E78D66" w:rsidR="008914A5" w:rsidRPr="007F6F44" w:rsidRDefault="008914A5" w:rsidP="007F6F44">
      <w:pPr>
        <w:pStyle w:val="3-BodyText"/>
        <w:rPr>
          <w:rFonts w:cstheme="minorHAnsi"/>
          <w:b/>
          <w:bCs/>
        </w:rPr>
      </w:pPr>
      <w:r w:rsidRPr="00111042">
        <w:lastRenderedPageBreak/>
        <w:t>The resubmission stated that only patients born from 1975 onwards were included</w:t>
      </w:r>
      <w:r w:rsidRPr="0069608B">
        <w:rPr>
          <w:i/>
          <w:iCs/>
        </w:rPr>
        <w:t xml:space="preserve">. </w:t>
      </w:r>
      <w:r w:rsidRPr="008914A5">
        <w:t>As such, patients aged &gt;48 years were not included in the estimates. ESC has previously noted that given patients with Type 3 SMA are expected to have a normal life expectancy, this approach underestimates the number of patients with Type 3 SMA in the adult population (</w:t>
      </w:r>
      <w:r w:rsidR="00CA7E6C">
        <w:t>p</w:t>
      </w:r>
      <w:r w:rsidRPr="008914A5">
        <w:t xml:space="preserve">aragraph 6.84, </w:t>
      </w:r>
      <w:r w:rsidR="00CA7E6C">
        <w:t>r</w:t>
      </w:r>
      <w:r w:rsidRPr="008914A5">
        <w:t>isdiplam PSD, March 2021</w:t>
      </w:r>
      <w:r w:rsidR="008250C4">
        <w:t xml:space="preserve"> PBAC meeting</w:t>
      </w:r>
      <w:r w:rsidRPr="008914A5">
        <w:t xml:space="preserve">). </w:t>
      </w:r>
      <w:r w:rsidRPr="0069608B">
        <w:rPr>
          <w:rFonts w:cstheme="minorHAnsi"/>
        </w:rPr>
        <w:t>Including all patients aged over 19 years increased the total cost over the first six years of listing by 76%.</w:t>
      </w:r>
      <w:r w:rsidR="0069608B" w:rsidRPr="0069608B">
        <w:rPr>
          <w:rFonts w:cstheme="minorHAnsi"/>
        </w:rPr>
        <w:t xml:space="preserve"> </w:t>
      </w:r>
      <w:r w:rsidR="0069608B" w:rsidRPr="0069608B">
        <w:rPr>
          <w:rFonts w:cstheme="minorHAnsi"/>
          <w:lang w:val="en-GB"/>
        </w:rPr>
        <w:t xml:space="preserve">The </w:t>
      </w:r>
      <w:r w:rsidR="00890494">
        <w:rPr>
          <w:rFonts w:cstheme="minorHAnsi"/>
          <w:lang w:val="en-GB"/>
        </w:rPr>
        <w:t>p</w:t>
      </w:r>
      <w:r w:rsidR="0069608B" w:rsidRPr="0069608B">
        <w:rPr>
          <w:rFonts w:cstheme="minorHAnsi"/>
          <w:lang w:val="en-GB"/>
        </w:rPr>
        <w:t xml:space="preserve">re-PBAC response acknowledged the uncertainties present when trying to estimate the number of adult SMA patients </w:t>
      </w:r>
      <w:r w:rsidR="00332D24">
        <w:rPr>
          <w:rFonts w:cstheme="minorHAnsi"/>
          <w:lang w:val="en-GB"/>
        </w:rPr>
        <w:t>in</w:t>
      </w:r>
      <w:r w:rsidR="0069608B" w:rsidRPr="0069608B">
        <w:rPr>
          <w:rFonts w:cstheme="minorHAnsi"/>
          <w:lang w:val="en-GB"/>
        </w:rPr>
        <w:t xml:space="preserve"> Population 1</w:t>
      </w:r>
      <w:r w:rsidR="0069608B">
        <w:rPr>
          <w:rFonts w:cstheme="minorHAnsi"/>
          <w:lang w:val="en-GB"/>
        </w:rPr>
        <w:t xml:space="preserve">. The </w:t>
      </w:r>
      <w:r w:rsidR="00890494">
        <w:rPr>
          <w:rFonts w:cstheme="minorHAnsi"/>
          <w:lang w:val="en-GB"/>
        </w:rPr>
        <w:t>p</w:t>
      </w:r>
      <w:r w:rsidR="0069608B">
        <w:rPr>
          <w:rFonts w:cstheme="minorHAnsi"/>
          <w:lang w:val="en-GB"/>
        </w:rPr>
        <w:t>re-PBAC response also noted that the</w:t>
      </w:r>
      <w:r w:rsidR="0069608B" w:rsidRPr="0069608B">
        <w:rPr>
          <w:rFonts w:cstheme="minorHAnsi"/>
        </w:rPr>
        <w:t xml:space="preserve"> submission’s approach (incident cases included from 1975 onwards) to estimating the number of adult patients appeared to estimate a similar patient number </w:t>
      </w:r>
      <w:r w:rsidR="0069608B">
        <w:rPr>
          <w:rFonts w:cstheme="minorHAnsi"/>
        </w:rPr>
        <w:t xml:space="preserve">as </w:t>
      </w:r>
      <w:r w:rsidR="0069608B" w:rsidRPr="0069608B">
        <w:rPr>
          <w:rFonts w:cstheme="minorHAnsi"/>
        </w:rPr>
        <w:t>estimated by reports, such as the SMA Australia Values and Perspectives of Adults with SMA report (2020) and insights received from SMA Australia which estimate an adult membership of close to 200 members.</w:t>
      </w:r>
      <w:r w:rsidR="0069608B">
        <w:rPr>
          <w:rFonts w:cstheme="minorHAnsi"/>
        </w:rPr>
        <w:t xml:space="preserve"> The PBAC noted that the </w:t>
      </w:r>
      <w:r w:rsidR="001B78E2">
        <w:rPr>
          <w:rFonts w:cstheme="minorHAnsi"/>
        </w:rPr>
        <w:t xml:space="preserve">submission’s </w:t>
      </w:r>
      <w:r w:rsidR="0069608B">
        <w:rPr>
          <w:rFonts w:cstheme="minorHAnsi"/>
        </w:rPr>
        <w:t xml:space="preserve">estimates assumed a </w:t>
      </w:r>
      <w:r w:rsidR="001B78E2">
        <w:rPr>
          <w:rFonts w:cstheme="minorHAnsi"/>
        </w:rPr>
        <w:t xml:space="preserve">total </w:t>
      </w:r>
      <w:r w:rsidR="0069608B">
        <w:rPr>
          <w:rFonts w:cstheme="minorHAnsi"/>
        </w:rPr>
        <w:t>prevalent adult population o</w:t>
      </w:r>
      <w:r w:rsidR="001B78E2">
        <w:rPr>
          <w:rFonts w:cstheme="minorHAnsi"/>
        </w:rPr>
        <w:t xml:space="preserve">f </w:t>
      </w:r>
      <w:r w:rsidR="007F6F44" w:rsidRPr="007F6F44">
        <w:rPr>
          <w:rFonts w:cstheme="minorHAnsi"/>
        </w:rPr>
        <w:t>&lt; 500</w:t>
      </w:r>
      <w:r w:rsidR="007F6F44">
        <w:rPr>
          <w:rFonts w:cstheme="minorHAnsi"/>
          <w:b/>
          <w:bCs/>
        </w:rPr>
        <w:t xml:space="preserve"> </w:t>
      </w:r>
      <w:r w:rsidR="001B78E2" w:rsidRPr="007F6F44">
        <w:rPr>
          <w:rFonts w:cstheme="minorHAnsi"/>
        </w:rPr>
        <w:t>patients.</w:t>
      </w:r>
    </w:p>
    <w:p w14:paraId="11C940BB" w14:textId="6145DD96" w:rsidR="008914A5" w:rsidRPr="00111042" w:rsidRDefault="008914A5" w:rsidP="008914A5">
      <w:pPr>
        <w:pStyle w:val="3-BodyText"/>
      </w:pPr>
      <w:r w:rsidRPr="00111042">
        <w:t xml:space="preserve">The proportion of SMA Types 2 and 3 in population 1 were informed by incidence rates from Verhaart (2017). Six SMA natural history studies </w:t>
      </w:r>
      <w:r w:rsidRPr="00111042">
        <w:rPr>
          <w:rFonts w:cstheme="minorHAnsi"/>
        </w:rPr>
        <w:t xml:space="preserve">were used to inform survival in SMA type 2 patients. </w:t>
      </w:r>
      <w:r w:rsidRPr="008914A5">
        <w:rPr>
          <w:rFonts w:cstheme="minorHAnsi"/>
        </w:rPr>
        <w:t xml:space="preserve">These studies were published between 1997-2013, before the current SMA DMT landscape existed, and therefore likely underestimated Type 2 survival. These studies were used to inform the March 2021 risdiplam submission. Normal life expectancy was assumed for Type 3 patients. Five living adult Type 1 SMA patients were </w:t>
      </w:r>
      <w:r w:rsidR="00336A92">
        <w:rPr>
          <w:rFonts w:cstheme="minorHAnsi"/>
        </w:rPr>
        <w:t>added to</w:t>
      </w:r>
      <w:r w:rsidRPr="008914A5">
        <w:rPr>
          <w:rFonts w:cstheme="minorHAnsi"/>
        </w:rPr>
        <w:t xml:space="preserve"> the estimates. As per </w:t>
      </w:r>
      <w:r w:rsidRPr="008914A5">
        <w:rPr>
          <w:rFonts w:cstheme="minorHAnsi"/>
        </w:rPr>
        <w:fldChar w:fldCharType="begin"/>
      </w:r>
      <w:r w:rsidRPr="008914A5">
        <w:rPr>
          <w:rFonts w:cstheme="minorHAnsi"/>
        </w:rPr>
        <w:instrText xml:space="preserve"> REF _Ref121771216 \h  \* MERGEFORMAT </w:instrText>
      </w:r>
      <w:r w:rsidRPr="008914A5">
        <w:rPr>
          <w:rFonts w:cstheme="minorHAnsi"/>
        </w:rPr>
      </w:r>
      <w:r w:rsidRPr="008914A5">
        <w:rPr>
          <w:rFonts w:cstheme="minorHAnsi"/>
        </w:rPr>
        <w:fldChar w:fldCharType="separate"/>
      </w:r>
      <w:r w:rsidR="00D45640" w:rsidRPr="00111042">
        <w:t xml:space="preserve">Table </w:t>
      </w:r>
      <w:r w:rsidR="00D45640">
        <w:rPr>
          <w:noProof/>
        </w:rPr>
        <w:t>2</w:t>
      </w:r>
      <w:r w:rsidRPr="008914A5">
        <w:rPr>
          <w:rFonts w:cstheme="minorHAnsi"/>
        </w:rPr>
        <w:fldChar w:fldCharType="end"/>
      </w:r>
      <w:r w:rsidRPr="008914A5">
        <w:rPr>
          <w:rFonts w:cstheme="minorHAnsi"/>
        </w:rPr>
        <w:t xml:space="preserve"> patients with untreated Type 1 SMA have a life expectancy of 2 years. The submission did not provide treatment details of these patients, however if they received DMTs prior to 18 years of age they would </w:t>
      </w:r>
      <w:r w:rsidR="0022164C">
        <w:rPr>
          <w:rFonts w:cstheme="minorHAnsi"/>
        </w:rPr>
        <w:t xml:space="preserve">be </w:t>
      </w:r>
      <w:r w:rsidRPr="008914A5">
        <w:rPr>
          <w:rFonts w:cstheme="minorHAnsi"/>
        </w:rPr>
        <w:t xml:space="preserve">eligible for treatment under </w:t>
      </w:r>
      <w:r w:rsidR="0022164C">
        <w:rPr>
          <w:rFonts w:cstheme="minorHAnsi"/>
        </w:rPr>
        <w:t xml:space="preserve">the existing listings and </w:t>
      </w:r>
      <w:r w:rsidR="0073405B">
        <w:rPr>
          <w:rFonts w:cstheme="minorHAnsi"/>
        </w:rPr>
        <w:t>should</w:t>
      </w:r>
      <w:r w:rsidR="0022164C">
        <w:rPr>
          <w:rFonts w:cstheme="minorHAnsi"/>
        </w:rPr>
        <w:t xml:space="preserve"> not be included in population 1</w:t>
      </w:r>
      <w:r w:rsidRPr="008914A5">
        <w:rPr>
          <w:rFonts w:cstheme="minorHAnsi"/>
        </w:rPr>
        <w:t>.</w:t>
      </w:r>
    </w:p>
    <w:p w14:paraId="70C50C83" w14:textId="0AC39183" w:rsidR="008914A5" w:rsidRPr="008914A5" w:rsidRDefault="008914A5" w:rsidP="008914A5">
      <w:pPr>
        <w:pStyle w:val="3-BodyText"/>
      </w:pPr>
      <w:r w:rsidRPr="00111042">
        <w:rPr>
          <w:rFonts w:cstheme="minorHAnsi"/>
        </w:rPr>
        <w:t xml:space="preserve">The resubmission requested listing for </w:t>
      </w:r>
      <w:r w:rsidR="007F6F44" w:rsidRPr="007F6F44">
        <w:rPr>
          <w:rFonts w:cstheme="minorHAnsi"/>
        </w:rPr>
        <w:t>&lt; 500</w:t>
      </w:r>
      <w:r w:rsidRPr="00111042">
        <w:rPr>
          <w:rFonts w:cstheme="minorHAnsi"/>
        </w:rPr>
        <w:t xml:space="preserve"> grandfathered patients on a Sponsor-access program. However, </w:t>
      </w:r>
      <w:r w:rsidRPr="00111042">
        <w:t xml:space="preserve">the financial estimates provided in the resubmission </w:t>
      </w:r>
      <w:r w:rsidR="0073405B">
        <w:t>did not separately account for</w:t>
      </w:r>
      <w:r w:rsidR="0073405B" w:rsidRPr="00111042">
        <w:t xml:space="preserve"> </w:t>
      </w:r>
      <w:r w:rsidRPr="00111042">
        <w:t>grandfather patients</w:t>
      </w:r>
      <w:r w:rsidRPr="00111042">
        <w:rPr>
          <w:rFonts w:cstheme="minorHAnsi"/>
        </w:rPr>
        <w:t xml:space="preserve">. </w:t>
      </w:r>
      <w:r w:rsidR="00583C5E">
        <w:rPr>
          <w:rFonts w:cstheme="minorHAnsi"/>
        </w:rPr>
        <w:t xml:space="preserve">PBAC agreed with </w:t>
      </w:r>
      <w:r w:rsidR="003B5F4D">
        <w:rPr>
          <w:rFonts w:cstheme="minorHAnsi"/>
        </w:rPr>
        <w:t xml:space="preserve">DUSC that most of these patients would be accounted for in the prevalence estimates. </w:t>
      </w:r>
    </w:p>
    <w:p w14:paraId="79E14462" w14:textId="7B348962" w:rsidR="003B5F4D" w:rsidRPr="00111042" w:rsidRDefault="003B5F4D" w:rsidP="003B5F4D">
      <w:pPr>
        <w:pStyle w:val="3-BodyText"/>
      </w:pPr>
      <w:r>
        <w:rPr>
          <w:rFonts w:cstheme="minorHAnsi"/>
        </w:rPr>
        <w:t xml:space="preserve">The submission based several assumptions on data from the 2022 SMA Adult Advisory Board. In the Advisory Board data respondents commented on the reasons some adult patients were not able to be treated with nusinersen, or would prefer an oral treatment, but did not specifically comment on the proportion of patients expected to be eligible/ineligible for intrathecal administration. Some Advisory Board respondents indicated that they expected that up to 90% of their adult SMA patients would be treated with nusinersen. However, the submission assumed that 50% of patients would be ineligible for intrathecal administration. </w:t>
      </w:r>
    </w:p>
    <w:p w14:paraId="728FABE7" w14:textId="6C395B67" w:rsidR="00B87036" w:rsidRPr="00B87036" w:rsidRDefault="008914A5" w:rsidP="008914A5">
      <w:pPr>
        <w:pStyle w:val="3-BodyText"/>
      </w:pPr>
      <w:r w:rsidRPr="00111042">
        <w:rPr>
          <w:rFonts w:cstheme="minorHAnsi"/>
        </w:rPr>
        <w:t xml:space="preserve">The resubmission assumed that </w:t>
      </w:r>
      <w:r w:rsidR="000F72B3">
        <w:rPr>
          <w:rFonts w:cstheme="minorHAnsi"/>
        </w:rPr>
        <w:t xml:space="preserve">intrathecal eligible </w:t>
      </w:r>
      <w:r w:rsidRPr="00111042">
        <w:rPr>
          <w:rFonts w:cstheme="minorHAnsi"/>
        </w:rPr>
        <w:t>patients</w:t>
      </w:r>
      <w:r w:rsidR="003B5F4D">
        <w:rPr>
          <w:rFonts w:cstheme="minorHAnsi"/>
        </w:rPr>
        <w:t xml:space="preserve"> </w:t>
      </w:r>
      <w:r w:rsidRPr="00111042">
        <w:rPr>
          <w:rFonts w:cstheme="minorHAnsi"/>
        </w:rPr>
        <w:t>will be currently treated with nusinersen based on data from a 2022 SMA Adult Advisory Board</w:t>
      </w:r>
      <w:r w:rsidR="008250C4">
        <w:rPr>
          <w:rFonts w:cstheme="minorHAnsi"/>
        </w:rPr>
        <w:t>. T</w:t>
      </w:r>
      <w:r w:rsidRPr="00111042">
        <w:rPr>
          <w:rFonts w:cstheme="minorHAnsi"/>
        </w:rPr>
        <w:t xml:space="preserve">he Advisory Board </w:t>
      </w:r>
      <w:r w:rsidR="008250C4">
        <w:rPr>
          <w:rFonts w:cstheme="minorHAnsi"/>
        </w:rPr>
        <w:t xml:space="preserve">data was also used </w:t>
      </w:r>
      <w:r w:rsidRPr="00111042">
        <w:rPr>
          <w:rFonts w:cstheme="minorHAnsi"/>
        </w:rPr>
        <w:t>to assume uptake rates</w:t>
      </w:r>
      <w:r w:rsidR="000F72B3">
        <w:rPr>
          <w:rFonts w:cstheme="minorHAnsi"/>
        </w:rPr>
        <w:t xml:space="preserve"> for risdiplam</w:t>
      </w:r>
      <w:r w:rsidRPr="00111042">
        <w:rPr>
          <w:rFonts w:cstheme="minorHAnsi"/>
        </w:rPr>
        <w:t>. The assumption of a</w:t>
      </w:r>
      <w:r w:rsidR="000F72B3">
        <w:rPr>
          <w:rFonts w:cstheme="minorHAnsi"/>
        </w:rPr>
        <w:t xml:space="preserve"> risdiplam</w:t>
      </w:r>
      <w:r w:rsidRPr="00111042">
        <w:rPr>
          <w:rFonts w:cstheme="minorHAnsi"/>
        </w:rPr>
        <w:t xml:space="preserve"> uptake rate in year 1 of 30% for patients </w:t>
      </w:r>
      <w:r w:rsidR="000F72B3">
        <w:rPr>
          <w:rFonts w:cstheme="minorHAnsi"/>
        </w:rPr>
        <w:t xml:space="preserve">currently </w:t>
      </w:r>
      <w:r w:rsidRPr="00111042">
        <w:rPr>
          <w:rFonts w:cstheme="minorHAnsi"/>
        </w:rPr>
        <w:t xml:space="preserve">treated with nusinersen, </w:t>
      </w:r>
      <w:r w:rsidRPr="00111042">
        <w:rPr>
          <w:rFonts w:cstheme="minorHAnsi"/>
        </w:rPr>
        <w:lastRenderedPageBreak/>
        <w:t xml:space="preserve">increasing by 10% each year, was applied. </w:t>
      </w:r>
      <w:r w:rsidRPr="008914A5">
        <w:rPr>
          <w:rFonts w:cstheme="minorHAnsi"/>
        </w:rPr>
        <w:t>Th</w:t>
      </w:r>
      <w:r w:rsidR="003B5F4D">
        <w:rPr>
          <w:rFonts w:cstheme="minorHAnsi"/>
        </w:rPr>
        <w:t>e commentary and DUSC considered this</w:t>
      </w:r>
      <w:r w:rsidRPr="008914A5">
        <w:rPr>
          <w:rFonts w:cstheme="minorHAnsi"/>
        </w:rPr>
        <w:t xml:space="preserve"> may be an underestimate given the benefits of mode of administration and access of risdiplam versus nusinersen. For the </w:t>
      </w:r>
      <w:r w:rsidR="00063B5E">
        <w:rPr>
          <w:rFonts w:cstheme="minorHAnsi"/>
        </w:rPr>
        <w:t xml:space="preserve">intrathecal ineligible </w:t>
      </w:r>
      <w:r w:rsidRPr="008914A5">
        <w:rPr>
          <w:rFonts w:cstheme="minorHAnsi"/>
        </w:rPr>
        <w:t xml:space="preserve">patients </w:t>
      </w:r>
      <w:r>
        <w:rPr>
          <w:rFonts w:cstheme="minorHAnsi"/>
        </w:rPr>
        <w:t>the submission assumed a 100% uptake rate of risdiplam.</w:t>
      </w:r>
      <w:r w:rsidR="0022164C">
        <w:rPr>
          <w:rFonts w:cstheme="minorHAnsi"/>
        </w:rPr>
        <w:t xml:space="preserve"> </w:t>
      </w:r>
    </w:p>
    <w:p w14:paraId="6B9292C8" w14:textId="7606374F" w:rsidR="00C24AB6" w:rsidRPr="00C24AB6" w:rsidRDefault="00C24AB6" w:rsidP="008914A5">
      <w:pPr>
        <w:pStyle w:val="3-BodyText"/>
      </w:pPr>
      <w:r>
        <w:rPr>
          <w:rFonts w:cstheme="minorHAnsi"/>
        </w:rPr>
        <w:t>As the majority of additional patients (i.e. patients currently untreated with nusinersen who would be treated with risdiplam) were those assumed to be intrathecal ineligible (see</w:t>
      </w:r>
      <w:r w:rsidR="007E685C">
        <w:rPr>
          <w:rFonts w:cstheme="minorHAnsi"/>
        </w:rPr>
        <w:t xml:space="preserve"> </w:t>
      </w:r>
      <w:r w:rsidR="007E685C">
        <w:rPr>
          <w:rFonts w:cstheme="minorHAnsi"/>
        </w:rPr>
        <w:fldChar w:fldCharType="begin"/>
      </w:r>
      <w:r w:rsidR="007E685C">
        <w:rPr>
          <w:rFonts w:cstheme="minorHAnsi"/>
        </w:rPr>
        <w:instrText xml:space="preserve"> REF _Ref131157368 \h </w:instrText>
      </w:r>
      <w:r w:rsidR="007E685C">
        <w:rPr>
          <w:rFonts w:cstheme="minorHAnsi"/>
        </w:rPr>
      </w:r>
      <w:r w:rsidR="007E685C">
        <w:rPr>
          <w:rFonts w:cstheme="minorHAnsi"/>
        </w:rPr>
        <w:fldChar w:fldCharType="separate"/>
      </w:r>
      <w:r w:rsidR="00D45640" w:rsidRPr="00111042">
        <w:t xml:space="preserve">Table </w:t>
      </w:r>
      <w:r w:rsidR="00D45640">
        <w:rPr>
          <w:noProof/>
        </w:rPr>
        <w:t>15</w:t>
      </w:r>
      <w:r w:rsidR="007E685C">
        <w:rPr>
          <w:rFonts w:cstheme="minorHAnsi"/>
        </w:rPr>
        <w:fldChar w:fldCharType="end"/>
      </w:r>
      <w:r>
        <w:rPr>
          <w:rFonts w:cstheme="minorHAnsi"/>
        </w:rPr>
        <w:t xml:space="preserve">) this input had a substantial impact on the estimated number of patients treated with risdiplam. Reducing the proportion of intrathecal ineligible patients from 50% to 10% reduced the total risdiplam treated population 1 patients in year 1 from </w:t>
      </w:r>
      <w:r w:rsidR="007F6F44" w:rsidRPr="007F6F44">
        <w:rPr>
          <w:rFonts w:cstheme="minorHAnsi"/>
        </w:rPr>
        <w:t>&lt; 500</w:t>
      </w:r>
      <w:r>
        <w:rPr>
          <w:rFonts w:cstheme="minorHAnsi"/>
        </w:rPr>
        <w:t xml:space="preserve"> to </w:t>
      </w:r>
      <w:r w:rsidR="007F6F44" w:rsidRPr="007F6F44">
        <w:rPr>
          <w:rFonts w:cstheme="minorHAnsi"/>
        </w:rPr>
        <w:t>&lt; 500</w:t>
      </w:r>
      <w:r>
        <w:rPr>
          <w:rFonts w:cstheme="minorHAnsi"/>
        </w:rPr>
        <w:t xml:space="preserve">. </w:t>
      </w:r>
    </w:p>
    <w:p w14:paraId="47195F82" w14:textId="0354E99B" w:rsidR="008914A5" w:rsidRPr="00111042" w:rsidRDefault="008914A5" w:rsidP="008914A5">
      <w:pPr>
        <w:pStyle w:val="3-BodyText"/>
      </w:pPr>
      <w:r w:rsidRPr="00111042">
        <w:rPr>
          <w:rFonts w:cstheme="minorHAnsi"/>
        </w:rPr>
        <w:t xml:space="preserve">The resubmission assumed one additional MBS specialist visit per year for patients assumed to switch from no treatment to risdiplam. Reductions in nusinersen administration hospitalisations were included for patients assumed to switch to risdiplam. </w:t>
      </w:r>
    </w:p>
    <w:p w14:paraId="339A1D68" w14:textId="45635BE7" w:rsidR="008914A5" w:rsidRPr="008914A5" w:rsidRDefault="008914A5" w:rsidP="008914A5">
      <w:pPr>
        <w:pStyle w:val="3-BodyText"/>
      </w:pPr>
      <w:r w:rsidRPr="008914A5">
        <w:rPr>
          <w:rFonts w:cstheme="minorHAnsi"/>
        </w:rPr>
        <w:t xml:space="preserve">Based on PBS script data for August to December 2022, 57 patients received treatment under the nusinersen adult initiation listings (PBS item numbers 13052Y, 13064N, 13068T and 13042N). </w:t>
      </w:r>
      <w:r w:rsidR="00DE1D69">
        <w:rPr>
          <w:rFonts w:cstheme="minorHAnsi"/>
        </w:rPr>
        <w:t xml:space="preserve">However, the submission estimated that </w:t>
      </w:r>
      <w:r w:rsidR="00D37385">
        <w:rPr>
          <w:rFonts w:cstheme="minorHAnsi"/>
        </w:rPr>
        <w:t>&lt; 500</w:t>
      </w:r>
      <w:r w:rsidR="00DE1D69">
        <w:rPr>
          <w:rFonts w:cstheme="minorHAnsi"/>
        </w:rPr>
        <w:t xml:space="preserve"> adult patients would receive nusinersen in year 1 of the estimates. </w:t>
      </w:r>
    </w:p>
    <w:p w14:paraId="3A66EC8F" w14:textId="2E674A11" w:rsidR="008914A5" w:rsidRDefault="008914A5" w:rsidP="008914A5">
      <w:pPr>
        <w:pStyle w:val="3-BodyText"/>
        <w:numPr>
          <w:ilvl w:val="0"/>
          <w:numId w:val="0"/>
        </w:numPr>
        <w:rPr>
          <w:u w:val="single"/>
        </w:rPr>
      </w:pPr>
      <w:r w:rsidRPr="00111042">
        <w:rPr>
          <w:u w:val="single"/>
        </w:rPr>
        <w:t xml:space="preserve">Population 2 (pre-symptomatic 1/2 </w:t>
      </w:r>
      <w:r w:rsidR="0029435B" w:rsidRPr="0029435B">
        <w:rPr>
          <w:i/>
          <w:u w:val="single"/>
        </w:rPr>
        <w:t>SMN2</w:t>
      </w:r>
      <w:r w:rsidRPr="00111042">
        <w:rPr>
          <w:u w:val="single"/>
        </w:rPr>
        <w:t xml:space="preserve"> gene copy population)</w:t>
      </w:r>
    </w:p>
    <w:p w14:paraId="7BFBA4F3" w14:textId="70C9B079" w:rsidR="005C514F" w:rsidRPr="0051619D" w:rsidRDefault="005C514F" w:rsidP="005C514F">
      <w:pPr>
        <w:pStyle w:val="Caption"/>
        <w:rPr>
          <w:rFonts w:eastAsiaTheme="majorEastAsia" w:cstheme="majorBidi"/>
          <w:b w:val="0"/>
          <w:bCs w:val="0"/>
          <w:szCs w:val="16"/>
        </w:rPr>
      </w:pPr>
      <w:r w:rsidRPr="001C7D64">
        <w:t xml:space="preserve">Table </w:t>
      </w:r>
      <w:r w:rsidR="00D45640">
        <w:fldChar w:fldCharType="begin"/>
      </w:r>
      <w:r w:rsidR="00D45640">
        <w:instrText xml:space="preserve"> SEQ Table \* ARABIC </w:instrText>
      </w:r>
      <w:r w:rsidR="00D45640">
        <w:fldChar w:fldCharType="separate"/>
      </w:r>
      <w:r w:rsidR="00D45640">
        <w:rPr>
          <w:noProof/>
        </w:rPr>
        <w:t>14</w:t>
      </w:r>
      <w:r w:rsidR="00D45640">
        <w:rPr>
          <w:noProof/>
        </w:rPr>
        <w:fldChar w:fldCharType="end"/>
      </w:r>
      <w:r w:rsidRPr="001C7D64">
        <w:rPr>
          <w:rStyle w:val="CommentReference"/>
          <w:b/>
          <w:szCs w:val="18"/>
        </w:rPr>
        <w:t xml:space="preserve">: </w:t>
      </w:r>
      <w:r w:rsidRPr="00B12891">
        <w:rPr>
          <w:rFonts w:eastAsiaTheme="majorEastAsia" w:cstheme="majorBidi"/>
          <w:szCs w:val="16"/>
        </w:rPr>
        <w:t>Data sources and parameter values applied in the utilisation and financial estimates</w:t>
      </w:r>
      <w:r>
        <w:rPr>
          <w:rFonts w:eastAsiaTheme="majorEastAsia" w:cstheme="majorBidi"/>
          <w:szCs w:val="16"/>
        </w:rPr>
        <w:t xml:space="preserve"> in Population 2 </w:t>
      </w:r>
    </w:p>
    <w:tbl>
      <w:tblPr>
        <w:tblStyle w:val="TableGrid2"/>
        <w:tblW w:w="9169" w:type="dxa"/>
        <w:tblLook w:val="04A0" w:firstRow="1" w:lastRow="0" w:firstColumn="1" w:lastColumn="0" w:noHBand="0" w:noVBand="1"/>
      </w:tblPr>
      <w:tblGrid>
        <w:gridCol w:w="1129"/>
        <w:gridCol w:w="1276"/>
        <w:gridCol w:w="2126"/>
        <w:gridCol w:w="4631"/>
        <w:gridCol w:w="7"/>
      </w:tblGrid>
      <w:tr w:rsidR="00154A8B" w:rsidRPr="00AE2DBF" w14:paraId="7F2AE321" w14:textId="77777777" w:rsidTr="00597B89">
        <w:trPr>
          <w:gridAfter w:val="1"/>
          <w:wAfter w:w="7" w:type="dxa"/>
          <w:tblHeader/>
        </w:trPr>
        <w:tc>
          <w:tcPr>
            <w:tcW w:w="1129" w:type="dxa"/>
            <w:vAlign w:val="center"/>
          </w:tcPr>
          <w:p w14:paraId="7FF3F303" w14:textId="77777777" w:rsidR="00154A8B" w:rsidRPr="00AE2DBF" w:rsidRDefault="00154A8B" w:rsidP="000C7164">
            <w:pPr>
              <w:jc w:val="center"/>
              <w:rPr>
                <w:rFonts w:ascii="Arial Narrow" w:hAnsi="Arial Narrow" w:cs="Times New Roman"/>
                <w:sz w:val="20"/>
                <w:szCs w:val="20"/>
              </w:rPr>
            </w:pPr>
            <w:r w:rsidRPr="00AE2DBF">
              <w:rPr>
                <w:rFonts w:ascii="Arial Narrow" w:eastAsia="Times New Roman" w:hAnsi="Arial Narrow" w:cs="Times New Roman"/>
                <w:b/>
                <w:sz w:val="20"/>
                <w:szCs w:val="20"/>
                <w:lang w:eastAsia="en-AU"/>
              </w:rPr>
              <w:t>Data</w:t>
            </w:r>
          </w:p>
        </w:tc>
        <w:tc>
          <w:tcPr>
            <w:tcW w:w="1276" w:type="dxa"/>
            <w:vAlign w:val="center"/>
          </w:tcPr>
          <w:p w14:paraId="4CBEBA4B" w14:textId="77777777" w:rsidR="00154A8B" w:rsidRPr="00AE2DBF" w:rsidRDefault="00154A8B" w:rsidP="000C7164">
            <w:pPr>
              <w:jc w:val="center"/>
              <w:rPr>
                <w:rFonts w:ascii="Arial Narrow" w:hAnsi="Arial Narrow" w:cs="Times New Roman"/>
                <w:sz w:val="20"/>
                <w:szCs w:val="20"/>
              </w:rPr>
            </w:pPr>
            <w:r w:rsidRPr="00AE2DBF">
              <w:rPr>
                <w:rFonts w:ascii="Arial Narrow" w:eastAsia="Times New Roman" w:hAnsi="Arial Narrow" w:cs="Times New Roman"/>
                <w:b/>
                <w:sz w:val="20"/>
                <w:szCs w:val="20"/>
                <w:lang w:eastAsia="en-AU"/>
              </w:rPr>
              <w:t>Value</w:t>
            </w:r>
          </w:p>
        </w:tc>
        <w:tc>
          <w:tcPr>
            <w:tcW w:w="2126" w:type="dxa"/>
            <w:vAlign w:val="center"/>
          </w:tcPr>
          <w:p w14:paraId="4BFDA0FE" w14:textId="77777777" w:rsidR="00154A8B" w:rsidRPr="00AE2DBF" w:rsidRDefault="00154A8B" w:rsidP="000C7164">
            <w:pPr>
              <w:jc w:val="center"/>
              <w:rPr>
                <w:rFonts w:ascii="Arial Narrow" w:hAnsi="Arial Narrow" w:cs="Times New Roman"/>
                <w:sz w:val="20"/>
                <w:szCs w:val="20"/>
              </w:rPr>
            </w:pPr>
            <w:r w:rsidRPr="00AE2DBF">
              <w:rPr>
                <w:rFonts w:ascii="Arial Narrow" w:eastAsia="Times New Roman" w:hAnsi="Arial Narrow" w:cs="Times New Roman"/>
                <w:b/>
                <w:sz w:val="20"/>
                <w:szCs w:val="20"/>
                <w:lang w:eastAsia="en-AU"/>
              </w:rPr>
              <w:t>Source</w:t>
            </w:r>
          </w:p>
        </w:tc>
        <w:tc>
          <w:tcPr>
            <w:tcW w:w="4631" w:type="dxa"/>
            <w:vAlign w:val="center"/>
          </w:tcPr>
          <w:p w14:paraId="5588E0F4" w14:textId="759BFAD9" w:rsidR="00154A8B" w:rsidRPr="00AE2DBF" w:rsidRDefault="00154A8B" w:rsidP="00154A8B">
            <w:pPr>
              <w:jc w:val="center"/>
              <w:rPr>
                <w:rFonts w:ascii="Arial Narrow" w:hAnsi="Arial Narrow" w:cs="Times New Roman"/>
                <w:sz w:val="20"/>
                <w:szCs w:val="20"/>
              </w:rPr>
            </w:pPr>
            <w:r>
              <w:rPr>
                <w:rFonts w:ascii="Arial Narrow" w:hAnsi="Arial Narrow" w:cs="Times New Roman"/>
                <w:b/>
                <w:sz w:val="20"/>
                <w:lang w:val="en-US" w:eastAsia="en-AU"/>
              </w:rPr>
              <w:t>Comments</w:t>
            </w:r>
          </w:p>
        </w:tc>
      </w:tr>
      <w:tr w:rsidR="005C514F" w:rsidRPr="00AE2DBF" w14:paraId="772D6C8C" w14:textId="77777777" w:rsidTr="000C7164">
        <w:tc>
          <w:tcPr>
            <w:tcW w:w="9169" w:type="dxa"/>
            <w:gridSpan w:val="5"/>
          </w:tcPr>
          <w:p w14:paraId="2B5857CF" w14:textId="77777777" w:rsidR="005C514F" w:rsidRPr="00AE2DBF" w:rsidRDefault="005C514F" w:rsidP="000C7164">
            <w:pPr>
              <w:jc w:val="left"/>
              <w:rPr>
                <w:rFonts w:ascii="Arial Narrow" w:hAnsi="Arial Narrow" w:cs="Times New Roman"/>
                <w:sz w:val="20"/>
                <w:szCs w:val="20"/>
              </w:rPr>
            </w:pPr>
            <w:r w:rsidRPr="00AE2DBF">
              <w:rPr>
                <w:rFonts w:ascii="Arial Narrow" w:eastAsia="Times New Roman" w:hAnsi="Arial Narrow" w:cs="Times New Roman"/>
                <w:b/>
                <w:sz w:val="20"/>
                <w:szCs w:val="20"/>
                <w:lang w:eastAsia="en-AU"/>
              </w:rPr>
              <w:t>Eligible population</w:t>
            </w:r>
          </w:p>
        </w:tc>
      </w:tr>
      <w:tr w:rsidR="00E43875" w:rsidRPr="00AE2DBF" w14:paraId="6A4655D0" w14:textId="77777777" w:rsidTr="00B43FD9">
        <w:trPr>
          <w:gridAfter w:val="1"/>
          <w:wAfter w:w="7" w:type="dxa"/>
        </w:trPr>
        <w:tc>
          <w:tcPr>
            <w:tcW w:w="1129" w:type="dxa"/>
          </w:tcPr>
          <w:p w14:paraId="24AA3A96"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Australian live births</w:t>
            </w:r>
          </w:p>
          <w:p w14:paraId="31964C8F" w14:textId="77777777" w:rsidR="00E43875" w:rsidRPr="00AE2DBF" w:rsidRDefault="00E43875" w:rsidP="000C7164">
            <w:pPr>
              <w:jc w:val="left"/>
              <w:rPr>
                <w:rFonts w:ascii="Arial Narrow" w:hAnsi="Arial Narrow" w:cs="Times New Roman"/>
                <w:sz w:val="20"/>
                <w:szCs w:val="20"/>
              </w:rPr>
            </w:pPr>
          </w:p>
        </w:tc>
        <w:tc>
          <w:tcPr>
            <w:tcW w:w="1276" w:type="dxa"/>
          </w:tcPr>
          <w:p w14:paraId="6E03C909"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Yr 1: 353,462</w:t>
            </w:r>
          </w:p>
          <w:p w14:paraId="22445C3A"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Yr 2: 358,304</w:t>
            </w:r>
          </w:p>
          <w:p w14:paraId="3392DD96"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Yr 3: 362,706</w:t>
            </w:r>
          </w:p>
          <w:p w14:paraId="244B8608"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Yr 4: 366,687</w:t>
            </w:r>
          </w:p>
          <w:p w14:paraId="00619FC6"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Yr 5: 370,687</w:t>
            </w:r>
          </w:p>
          <w:p w14:paraId="3C3B319E"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Yr 6: 373,433</w:t>
            </w:r>
          </w:p>
        </w:tc>
        <w:tc>
          <w:tcPr>
            <w:tcW w:w="2126" w:type="dxa"/>
          </w:tcPr>
          <w:p w14:paraId="45EB4734"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ABS 2020 – Live births from 1975-2011</w:t>
            </w:r>
          </w:p>
          <w:p w14:paraId="6E175EB8"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 </w:t>
            </w:r>
          </w:p>
          <w:p w14:paraId="1199A7F7"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ABS 2012-2030 data</w:t>
            </w:r>
          </w:p>
          <w:p w14:paraId="4ECD7098" w14:textId="77777777" w:rsidR="00E43875" w:rsidRPr="00AE2DBF" w:rsidRDefault="00E43875" w:rsidP="000C7164">
            <w:pPr>
              <w:jc w:val="left"/>
              <w:rPr>
                <w:rFonts w:ascii="Arial Narrow" w:hAnsi="Arial Narrow" w:cs="Times New Roman"/>
                <w:sz w:val="20"/>
                <w:szCs w:val="20"/>
              </w:rPr>
            </w:pPr>
          </w:p>
        </w:tc>
        <w:tc>
          <w:tcPr>
            <w:tcW w:w="4631" w:type="dxa"/>
          </w:tcPr>
          <w:p w14:paraId="59F2347E" w14:textId="13117910" w:rsidR="00E43875" w:rsidRPr="00AE2DBF" w:rsidRDefault="00E43875" w:rsidP="000C7164">
            <w:pPr>
              <w:jc w:val="left"/>
              <w:rPr>
                <w:rFonts w:ascii="Arial Narrow" w:hAnsi="Arial Narrow" w:cs="Times New Roman"/>
                <w:i/>
                <w:iCs/>
                <w:sz w:val="20"/>
                <w:szCs w:val="20"/>
              </w:rPr>
            </w:pPr>
            <w:r>
              <w:rPr>
                <w:rFonts w:ascii="Arial Narrow" w:hAnsi="Arial Narrow" w:cs="Times New Roman"/>
                <w:i/>
                <w:iCs/>
                <w:sz w:val="20"/>
                <w:szCs w:val="20"/>
              </w:rPr>
              <w:t>-</w:t>
            </w:r>
          </w:p>
          <w:p w14:paraId="3BD4B591" w14:textId="77777777" w:rsidR="00E43875" w:rsidRPr="00AE2DBF" w:rsidRDefault="00E43875" w:rsidP="000C7164">
            <w:pPr>
              <w:jc w:val="left"/>
              <w:rPr>
                <w:rFonts w:ascii="Arial Narrow" w:hAnsi="Arial Narrow" w:cs="Times New Roman"/>
                <w:sz w:val="20"/>
                <w:szCs w:val="20"/>
              </w:rPr>
            </w:pPr>
          </w:p>
        </w:tc>
      </w:tr>
      <w:tr w:rsidR="00E43875" w:rsidRPr="00AE2DBF" w14:paraId="5485B0FF" w14:textId="77777777" w:rsidTr="00B43FD9">
        <w:trPr>
          <w:gridAfter w:val="1"/>
          <w:wAfter w:w="7" w:type="dxa"/>
          <w:trHeight w:val="1708"/>
        </w:trPr>
        <w:tc>
          <w:tcPr>
            <w:tcW w:w="1129" w:type="dxa"/>
          </w:tcPr>
          <w:p w14:paraId="2756FA1C"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Incident patients</w:t>
            </w:r>
          </w:p>
          <w:p w14:paraId="4EC5CD14" w14:textId="77777777" w:rsidR="00E43875" w:rsidRPr="00AE2DBF" w:rsidRDefault="00E43875" w:rsidP="000C7164">
            <w:pPr>
              <w:jc w:val="left"/>
              <w:rPr>
                <w:rFonts w:ascii="Arial Narrow" w:hAnsi="Arial Narrow" w:cs="Times New Roman"/>
                <w:sz w:val="20"/>
                <w:szCs w:val="20"/>
              </w:rPr>
            </w:pPr>
          </w:p>
        </w:tc>
        <w:tc>
          <w:tcPr>
            <w:tcW w:w="1276" w:type="dxa"/>
          </w:tcPr>
          <w:p w14:paraId="155947FE" w14:textId="14D011E9" w:rsidR="00E43875" w:rsidRPr="007F42AF" w:rsidRDefault="00E43875" w:rsidP="000C7164">
            <w:pPr>
              <w:jc w:val="left"/>
              <w:rPr>
                <w:rFonts w:ascii="Arial Narrow" w:hAnsi="Arial Narrow" w:cs="Times New Roman"/>
                <w:sz w:val="20"/>
                <w:szCs w:val="20"/>
              </w:rPr>
            </w:pPr>
            <w:r w:rsidRPr="007F42AF">
              <w:rPr>
                <w:rFonts w:ascii="Arial Narrow" w:hAnsi="Arial Narrow" w:cs="Times New Roman"/>
                <w:sz w:val="20"/>
                <w:szCs w:val="20"/>
              </w:rPr>
              <w:t xml:space="preserve">Yr 1: </w:t>
            </w:r>
            <w:r w:rsidR="00D370AA" w:rsidRPr="00D370AA">
              <w:rPr>
                <w:rFonts w:ascii="Arial Narrow" w:hAnsi="Arial Narrow" w:cs="Times New Roman"/>
                <w:color w:val="000000"/>
                <w:spacing w:val="36"/>
                <w:sz w:val="20"/>
                <w:szCs w:val="20"/>
                <w:shd w:val="solid" w:color="000000" w:fill="000000"/>
                <w:fitText w:val="438" w:id="-1233447422"/>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22"/>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A2D14">
              <w:rPr>
                <w:rFonts w:ascii="Arial Narrow" w:hAnsi="Arial Narrow" w:cs="Times New Roman"/>
                <w:sz w:val="20"/>
                <w:szCs w:val="20"/>
                <w:vertAlign w:val="superscript"/>
              </w:rPr>
              <w:t>1</w:t>
            </w:r>
          </w:p>
          <w:p w14:paraId="1D2B98F1" w14:textId="4DC5ADF2" w:rsidR="00E43875" w:rsidRPr="007F42AF" w:rsidRDefault="00E43875" w:rsidP="000C7164">
            <w:pPr>
              <w:jc w:val="left"/>
              <w:rPr>
                <w:rFonts w:ascii="Arial Narrow" w:hAnsi="Arial Narrow" w:cs="Times New Roman"/>
                <w:sz w:val="20"/>
                <w:szCs w:val="20"/>
              </w:rPr>
            </w:pPr>
            <w:r w:rsidRPr="007F42AF">
              <w:rPr>
                <w:rFonts w:ascii="Arial Narrow" w:hAnsi="Arial Narrow" w:cs="Times New Roman"/>
                <w:sz w:val="20"/>
                <w:szCs w:val="20"/>
              </w:rPr>
              <w:t xml:space="preserve">Yr 2: </w:t>
            </w:r>
            <w:r w:rsidR="00D370AA" w:rsidRPr="00D370AA">
              <w:rPr>
                <w:rFonts w:ascii="Arial Narrow" w:hAnsi="Arial Narrow" w:cs="Times New Roman"/>
                <w:color w:val="000000"/>
                <w:spacing w:val="36"/>
                <w:sz w:val="20"/>
                <w:szCs w:val="20"/>
                <w:shd w:val="solid" w:color="000000" w:fill="000000"/>
                <w:fitText w:val="438" w:id="-1233447421"/>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21"/>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A2D14">
              <w:rPr>
                <w:rFonts w:ascii="Arial Narrow" w:hAnsi="Arial Narrow" w:cs="Times New Roman"/>
                <w:sz w:val="20"/>
                <w:szCs w:val="20"/>
                <w:vertAlign w:val="superscript"/>
              </w:rPr>
              <w:t>1</w:t>
            </w:r>
          </w:p>
          <w:p w14:paraId="2C971BD6" w14:textId="247766F5" w:rsidR="00E43875" w:rsidRPr="007F42AF" w:rsidRDefault="00E43875" w:rsidP="000C7164">
            <w:pPr>
              <w:jc w:val="left"/>
              <w:rPr>
                <w:rFonts w:ascii="Arial Narrow" w:hAnsi="Arial Narrow" w:cs="Times New Roman"/>
                <w:sz w:val="20"/>
                <w:szCs w:val="20"/>
              </w:rPr>
            </w:pPr>
            <w:r w:rsidRPr="007F42AF">
              <w:rPr>
                <w:rFonts w:ascii="Arial Narrow" w:hAnsi="Arial Narrow" w:cs="Times New Roman"/>
                <w:sz w:val="20"/>
                <w:szCs w:val="20"/>
              </w:rPr>
              <w:t xml:space="preserve">Yr 3: </w:t>
            </w:r>
            <w:r w:rsidR="00D370AA" w:rsidRPr="00D370AA">
              <w:rPr>
                <w:rFonts w:ascii="Arial Narrow" w:hAnsi="Arial Narrow" w:cs="Times New Roman"/>
                <w:color w:val="000000"/>
                <w:spacing w:val="36"/>
                <w:sz w:val="20"/>
                <w:szCs w:val="20"/>
                <w:shd w:val="solid" w:color="000000" w:fill="000000"/>
                <w:fitText w:val="438" w:id="-1233447420"/>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20"/>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A2D14">
              <w:rPr>
                <w:rFonts w:ascii="Arial Narrow" w:hAnsi="Arial Narrow" w:cs="Times New Roman"/>
                <w:sz w:val="20"/>
                <w:szCs w:val="20"/>
                <w:vertAlign w:val="superscript"/>
              </w:rPr>
              <w:t>1</w:t>
            </w:r>
          </w:p>
          <w:p w14:paraId="3C13A2C1" w14:textId="12E80095" w:rsidR="00E43875" w:rsidRPr="007F42AF" w:rsidRDefault="00E43875" w:rsidP="000C7164">
            <w:pPr>
              <w:jc w:val="left"/>
              <w:rPr>
                <w:rFonts w:ascii="Arial Narrow" w:hAnsi="Arial Narrow" w:cs="Times New Roman"/>
                <w:sz w:val="20"/>
                <w:szCs w:val="20"/>
              </w:rPr>
            </w:pPr>
            <w:r w:rsidRPr="007F42AF">
              <w:rPr>
                <w:rFonts w:ascii="Arial Narrow" w:hAnsi="Arial Narrow" w:cs="Times New Roman"/>
                <w:sz w:val="20"/>
                <w:szCs w:val="20"/>
              </w:rPr>
              <w:t xml:space="preserve">Yr 4: </w:t>
            </w:r>
            <w:r w:rsidR="00D370AA" w:rsidRPr="00D370AA">
              <w:rPr>
                <w:rFonts w:ascii="Arial Narrow" w:hAnsi="Arial Narrow" w:cs="Times New Roman"/>
                <w:color w:val="000000"/>
                <w:spacing w:val="36"/>
                <w:sz w:val="20"/>
                <w:szCs w:val="20"/>
                <w:shd w:val="solid" w:color="000000" w:fill="000000"/>
                <w:fitText w:val="438" w:id="-1233447419"/>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9"/>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A2D14">
              <w:rPr>
                <w:rFonts w:ascii="Arial Narrow" w:hAnsi="Arial Narrow" w:cs="Times New Roman"/>
                <w:sz w:val="20"/>
                <w:szCs w:val="20"/>
                <w:vertAlign w:val="superscript"/>
              </w:rPr>
              <w:t>1</w:t>
            </w:r>
          </w:p>
          <w:p w14:paraId="5857A0ED" w14:textId="20860D79" w:rsidR="00E43875" w:rsidRPr="007F42AF" w:rsidRDefault="00E43875" w:rsidP="000C7164">
            <w:pPr>
              <w:jc w:val="left"/>
              <w:rPr>
                <w:rFonts w:ascii="Arial Narrow" w:hAnsi="Arial Narrow" w:cs="Times New Roman"/>
                <w:sz w:val="20"/>
                <w:szCs w:val="20"/>
              </w:rPr>
            </w:pPr>
            <w:r w:rsidRPr="007F42AF">
              <w:rPr>
                <w:rFonts w:ascii="Arial Narrow" w:hAnsi="Arial Narrow" w:cs="Times New Roman"/>
                <w:sz w:val="20"/>
                <w:szCs w:val="20"/>
              </w:rPr>
              <w:t xml:space="preserve">Yr 5: </w:t>
            </w:r>
            <w:r w:rsidR="00D370AA" w:rsidRPr="00D370AA">
              <w:rPr>
                <w:rFonts w:ascii="Arial Narrow" w:hAnsi="Arial Narrow" w:cs="Times New Roman"/>
                <w:color w:val="000000"/>
                <w:spacing w:val="36"/>
                <w:sz w:val="20"/>
                <w:szCs w:val="20"/>
                <w:shd w:val="solid" w:color="000000" w:fill="000000"/>
                <w:fitText w:val="438" w:id="-1233447418"/>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8"/>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A2D14">
              <w:rPr>
                <w:rFonts w:ascii="Arial Narrow" w:hAnsi="Arial Narrow" w:cs="Times New Roman"/>
                <w:sz w:val="20"/>
                <w:szCs w:val="20"/>
                <w:vertAlign w:val="superscript"/>
              </w:rPr>
              <w:t>1</w:t>
            </w:r>
          </w:p>
          <w:p w14:paraId="75D60E00" w14:textId="315DCC2C" w:rsidR="00E43875" w:rsidRPr="00AE2DBF" w:rsidRDefault="00E43875" w:rsidP="000C7164">
            <w:pPr>
              <w:jc w:val="left"/>
              <w:rPr>
                <w:rFonts w:ascii="Arial Narrow" w:hAnsi="Arial Narrow" w:cs="Times New Roman"/>
                <w:sz w:val="20"/>
                <w:szCs w:val="20"/>
              </w:rPr>
            </w:pPr>
            <w:r w:rsidRPr="007F42AF">
              <w:rPr>
                <w:rFonts w:ascii="Arial Narrow" w:hAnsi="Arial Narrow" w:cs="Times New Roman"/>
                <w:sz w:val="20"/>
                <w:szCs w:val="20"/>
              </w:rPr>
              <w:t xml:space="preserve">Yr 6: </w:t>
            </w:r>
            <w:r w:rsidR="00D370AA" w:rsidRPr="00D370AA">
              <w:rPr>
                <w:rFonts w:ascii="Arial Narrow" w:hAnsi="Arial Narrow" w:cs="Times New Roman"/>
                <w:color w:val="000000"/>
                <w:spacing w:val="36"/>
                <w:sz w:val="20"/>
                <w:szCs w:val="20"/>
                <w:shd w:val="solid" w:color="000000" w:fill="000000"/>
                <w:fitText w:val="438" w:id="-1233447417"/>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7"/>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85912" w:rsidRPr="000A2D14">
              <w:rPr>
                <w:rFonts w:ascii="Arial Narrow" w:hAnsi="Arial Narrow" w:cs="Times New Roman"/>
                <w:sz w:val="20"/>
                <w:szCs w:val="20"/>
                <w:vertAlign w:val="superscript"/>
              </w:rPr>
              <w:t>1</w:t>
            </w:r>
          </w:p>
        </w:tc>
        <w:tc>
          <w:tcPr>
            <w:tcW w:w="2126" w:type="dxa"/>
          </w:tcPr>
          <w:p w14:paraId="2FE400B3"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Incident cases based on NSW/ACT experience (n=21/252,081)</w:t>
            </w:r>
          </w:p>
          <w:p w14:paraId="58FB9FAE"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SMN2 gene copy proportions at birth from this used to extrapolate to likely SMA types</w:t>
            </w:r>
          </w:p>
        </w:tc>
        <w:tc>
          <w:tcPr>
            <w:tcW w:w="4631" w:type="dxa"/>
          </w:tcPr>
          <w:p w14:paraId="50A7E840" w14:textId="18D45348" w:rsidR="00E43875" w:rsidRPr="00E43875" w:rsidRDefault="00E43875" w:rsidP="000C7164">
            <w:pPr>
              <w:jc w:val="left"/>
              <w:rPr>
                <w:rFonts w:ascii="Arial Narrow" w:hAnsi="Arial Narrow" w:cs="Times New Roman"/>
                <w:sz w:val="20"/>
                <w:szCs w:val="20"/>
              </w:rPr>
            </w:pPr>
            <w:r w:rsidRPr="00E43875">
              <w:rPr>
                <w:rFonts w:ascii="Arial Narrow" w:hAnsi="Arial Narrow" w:cs="Times New Roman"/>
                <w:sz w:val="20"/>
                <w:szCs w:val="20"/>
              </w:rPr>
              <w:t xml:space="preserve">This is slightly underestimated and </w:t>
            </w:r>
            <w:r>
              <w:rPr>
                <w:rFonts w:ascii="Arial Narrow" w:hAnsi="Arial Narrow" w:cs="Times New Roman"/>
                <w:sz w:val="20"/>
                <w:szCs w:val="20"/>
              </w:rPr>
              <w:t xml:space="preserve">DUSC considered </w:t>
            </w:r>
            <w:r w:rsidRPr="00E43875">
              <w:rPr>
                <w:rFonts w:ascii="Arial Narrow" w:hAnsi="Arial Narrow" w:cs="Times New Roman"/>
                <w:sz w:val="20"/>
                <w:szCs w:val="20"/>
              </w:rPr>
              <w:t>the number of patients identified pre-symptomatically is likely to increase with application of newborn screening program across Australia.</w:t>
            </w:r>
          </w:p>
        </w:tc>
      </w:tr>
      <w:tr w:rsidR="005C514F" w:rsidRPr="00AE2DBF" w14:paraId="73A4FAF3" w14:textId="77777777" w:rsidTr="000C7164">
        <w:tc>
          <w:tcPr>
            <w:tcW w:w="9169" w:type="dxa"/>
            <w:gridSpan w:val="5"/>
          </w:tcPr>
          <w:p w14:paraId="27E41276" w14:textId="77777777" w:rsidR="005C514F" w:rsidRPr="00AE2DBF" w:rsidRDefault="005C514F" w:rsidP="000C7164">
            <w:pPr>
              <w:jc w:val="left"/>
              <w:rPr>
                <w:rFonts w:ascii="Arial Narrow" w:hAnsi="Arial Narrow" w:cs="Times New Roman"/>
                <w:b/>
                <w:bCs/>
                <w:sz w:val="20"/>
                <w:szCs w:val="20"/>
              </w:rPr>
            </w:pPr>
            <w:r w:rsidRPr="00AE2DBF">
              <w:rPr>
                <w:rFonts w:ascii="Arial Narrow" w:hAnsi="Arial Narrow" w:cs="Times New Roman"/>
                <w:b/>
                <w:bCs/>
                <w:sz w:val="20"/>
                <w:szCs w:val="20"/>
              </w:rPr>
              <w:t xml:space="preserve">Treatment utilisation </w:t>
            </w:r>
          </w:p>
        </w:tc>
      </w:tr>
      <w:tr w:rsidR="00E43875" w:rsidRPr="00AE2DBF" w14:paraId="51A8D6F7" w14:textId="77777777" w:rsidTr="00B43FD9">
        <w:trPr>
          <w:gridAfter w:val="1"/>
          <w:wAfter w:w="7" w:type="dxa"/>
        </w:trPr>
        <w:tc>
          <w:tcPr>
            <w:tcW w:w="1129" w:type="dxa"/>
          </w:tcPr>
          <w:p w14:paraId="1B3C446D"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 xml:space="preserve">Uptake rate </w:t>
            </w:r>
          </w:p>
        </w:tc>
        <w:tc>
          <w:tcPr>
            <w:tcW w:w="1276" w:type="dxa"/>
          </w:tcPr>
          <w:p w14:paraId="7219BEB8"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20.8%</w:t>
            </w:r>
          </w:p>
          <w:p w14:paraId="60B690BA" w14:textId="77777777" w:rsidR="00E43875" w:rsidRPr="00AE2DBF" w:rsidRDefault="00E43875" w:rsidP="000C7164">
            <w:pPr>
              <w:jc w:val="left"/>
              <w:rPr>
                <w:rFonts w:ascii="Arial Narrow" w:hAnsi="Arial Narrow" w:cs="Times New Roman"/>
                <w:sz w:val="20"/>
                <w:szCs w:val="20"/>
              </w:rPr>
            </w:pPr>
          </w:p>
        </w:tc>
        <w:tc>
          <w:tcPr>
            <w:tcW w:w="2126" w:type="dxa"/>
          </w:tcPr>
          <w:p w14:paraId="56DB2163"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Ad board, where:</w:t>
            </w:r>
          </w:p>
          <w:p w14:paraId="2F9CA96F"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ONA 60.8%</w:t>
            </w:r>
          </w:p>
          <w:p w14:paraId="281CD254"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risdiplam 20.8%</w:t>
            </w:r>
          </w:p>
          <w:p w14:paraId="74BDB389"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nusinersen 15%</w:t>
            </w:r>
          </w:p>
          <w:p w14:paraId="2C9D7280"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nil 2.5%</w:t>
            </w:r>
          </w:p>
        </w:tc>
        <w:tc>
          <w:tcPr>
            <w:tcW w:w="4631" w:type="dxa"/>
          </w:tcPr>
          <w:p w14:paraId="592DEB4D" w14:textId="3EF7A1B1" w:rsidR="00E43875" w:rsidRPr="00AE2DBF" w:rsidRDefault="00E43875" w:rsidP="000C7164">
            <w:pPr>
              <w:jc w:val="left"/>
              <w:rPr>
                <w:rFonts w:ascii="Arial Narrow" w:hAnsi="Arial Narrow" w:cs="Times New Roman"/>
                <w:i/>
                <w:iCs/>
                <w:sz w:val="20"/>
                <w:szCs w:val="20"/>
              </w:rPr>
            </w:pPr>
            <w:r>
              <w:rPr>
                <w:rFonts w:ascii="Arial Narrow" w:hAnsi="Arial Narrow"/>
                <w:sz w:val="20"/>
                <w:szCs w:val="20"/>
              </w:rPr>
              <w:t>U</w:t>
            </w:r>
            <w:r w:rsidRPr="00AE2DBF">
              <w:rPr>
                <w:rFonts w:ascii="Arial Narrow" w:hAnsi="Arial Narrow"/>
                <w:sz w:val="20"/>
                <w:szCs w:val="20"/>
              </w:rPr>
              <w:t>nclear whether uptake for risdiplam is reasonable given the safety risks of ONA, and the benefits of administration and access of risdiplam versus nusinersen. It may also have been inappropriate to have assumed the uptake rate remained constant each year as clinicians became more familiar with risdiplam</w:t>
            </w:r>
            <w:r>
              <w:rPr>
                <w:rFonts w:ascii="Arial Narrow" w:hAnsi="Arial Narrow"/>
                <w:sz w:val="20"/>
                <w:szCs w:val="20"/>
              </w:rPr>
              <w:t xml:space="preserve">. </w:t>
            </w:r>
            <w:r w:rsidRPr="00E43875">
              <w:rPr>
                <w:rFonts w:ascii="Arial Narrow" w:hAnsi="Arial Narrow" w:cs="Times New Roman"/>
                <w:sz w:val="20"/>
                <w:szCs w:val="20"/>
              </w:rPr>
              <w:t>Utilisation analysis conducted by the DUSC Secretariat noted the current low utilisation of nusinersen and ONA for pre-symptomatic SMA.</w:t>
            </w:r>
          </w:p>
        </w:tc>
      </w:tr>
      <w:tr w:rsidR="00E43875" w:rsidRPr="00AE2DBF" w14:paraId="5180DFBB" w14:textId="77777777" w:rsidTr="00B43FD9">
        <w:trPr>
          <w:gridAfter w:val="1"/>
          <w:wAfter w:w="7" w:type="dxa"/>
        </w:trPr>
        <w:tc>
          <w:tcPr>
            <w:tcW w:w="1129" w:type="dxa"/>
          </w:tcPr>
          <w:p w14:paraId="7D177AC8"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Scripts per year</w:t>
            </w:r>
          </w:p>
          <w:p w14:paraId="08CE4CA9" w14:textId="77777777" w:rsidR="00E43875" w:rsidRPr="00AE2DBF" w:rsidRDefault="00E43875" w:rsidP="000C7164">
            <w:pPr>
              <w:jc w:val="left"/>
              <w:rPr>
                <w:rFonts w:ascii="Arial Narrow" w:hAnsi="Arial Narrow" w:cs="Times New Roman"/>
                <w:sz w:val="20"/>
                <w:szCs w:val="20"/>
              </w:rPr>
            </w:pPr>
          </w:p>
        </w:tc>
        <w:tc>
          <w:tcPr>
            <w:tcW w:w="1276" w:type="dxa"/>
          </w:tcPr>
          <w:p w14:paraId="6D5FA890" w14:textId="4BABF1A5" w:rsidR="00E43875" w:rsidRPr="00EC0528"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 xml:space="preserve">Init: </w:t>
            </w:r>
            <w:r w:rsidRPr="00EC0528">
              <w:rPr>
                <w:rFonts w:ascii="Arial Narrow" w:hAnsi="Arial Narrow" w:cs="Times New Roman"/>
                <w:sz w:val="20"/>
                <w:szCs w:val="20"/>
              </w:rPr>
              <w:t>7.43</w:t>
            </w:r>
          </w:p>
          <w:p w14:paraId="09D28CDC" w14:textId="4550838D" w:rsidR="00E43875" w:rsidRPr="00EC0528" w:rsidRDefault="00E43875" w:rsidP="000C7164">
            <w:pPr>
              <w:jc w:val="left"/>
              <w:rPr>
                <w:rFonts w:ascii="Arial Narrow" w:hAnsi="Arial Narrow" w:cs="Times New Roman"/>
                <w:sz w:val="20"/>
                <w:szCs w:val="20"/>
              </w:rPr>
            </w:pPr>
            <w:r w:rsidRPr="00EC0528">
              <w:rPr>
                <w:rFonts w:ascii="Arial Narrow" w:hAnsi="Arial Narrow" w:cs="Times New Roman"/>
                <w:sz w:val="20"/>
                <w:szCs w:val="20"/>
              </w:rPr>
              <w:t>Yr 1: 12.11</w:t>
            </w:r>
          </w:p>
          <w:p w14:paraId="6D7280CD" w14:textId="3CD39FD9" w:rsidR="00E43875" w:rsidRPr="00AE2DBF" w:rsidRDefault="00E43875" w:rsidP="000C7164">
            <w:pPr>
              <w:jc w:val="left"/>
              <w:rPr>
                <w:rFonts w:ascii="Arial Narrow" w:hAnsi="Arial Narrow" w:cs="Times New Roman"/>
                <w:sz w:val="20"/>
                <w:szCs w:val="20"/>
              </w:rPr>
            </w:pPr>
            <w:r w:rsidRPr="00EC0528">
              <w:rPr>
                <w:rFonts w:ascii="Arial Narrow" w:hAnsi="Arial Narrow" w:cs="Times New Roman"/>
                <w:sz w:val="20"/>
                <w:szCs w:val="20"/>
              </w:rPr>
              <w:t>Yr 2: 9.44</w:t>
            </w:r>
          </w:p>
          <w:p w14:paraId="5CC4311B" w14:textId="1DA829B1" w:rsidR="00E43875" w:rsidRPr="00EC0528"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lastRenderedPageBreak/>
              <w:t xml:space="preserve">Yr 3: </w:t>
            </w:r>
            <w:r w:rsidRPr="00EC0528">
              <w:rPr>
                <w:rFonts w:ascii="Arial Narrow" w:hAnsi="Arial Narrow" w:cs="Times New Roman"/>
                <w:sz w:val="20"/>
                <w:szCs w:val="20"/>
              </w:rPr>
              <w:t>11.0</w:t>
            </w:r>
          </w:p>
          <w:p w14:paraId="6D9CC3BB" w14:textId="57542751" w:rsidR="00E43875" w:rsidRPr="00EC0528" w:rsidRDefault="00E43875" w:rsidP="000C7164">
            <w:pPr>
              <w:jc w:val="left"/>
              <w:rPr>
                <w:rFonts w:ascii="Arial Narrow" w:hAnsi="Arial Narrow" w:cs="Times New Roman"/>
                <w:sz w:val="20"/>
                <w:szCs w:val="20"/>
              </w:rPr>
            </w:pPr>
            <w:r w:rsidRPr="00EC0528">
              <w:rPr>
                <w:rFonts w:ascii="Arial Narrow" w:hAnsi="Arial Narrow" w:cs="Times New Roman"/>
                <w:sz w:val="20"/>
                <w:szCs w:val="20"/>
              </w:rPr>
              <w:t>Yr 4: 12.71</w:t>
            </w:r>
          </w:p>
          <w:p w14:paraId="320DBE7E" w14:textId="52753B39" w:rsidR="00E43875" w:rsidRPr="00EC0528" w:rsidRDefault="00E43875" w:rsidP="000C7164">
            <w:pPr>
              <w:jc w:val="left"/>
              <w:rPr>
                <w:rFonts w:ascii="Arial Narrow" w:hAnsi="Arial Narrow" w:cs="Times New Roman"/>
                <w:sz w:val="20"/>
                <w:szCs w:val="20"/>
              </w:rPr>
            </w:pPr>
            <w:r w:rsidRPr="00EC0528">
              <w:rPr>
                <w:rFonts w:ascii="Arial Narrow" w:hAnsi="Arial Narrow" w:cs="Times New Roman"/>
                <w:sz w:val="20"/>
                <w:szCs w:val="20"/>
              </w:rPr>
              <w:t>Yr 6: 14.25</w:t>
            </w:r>
          </w:p>
          <w:p w14:paraId="5451AE6E" w14:textId="766DC9A7" w:rsidR="00E43875" w:rsidRPr="00AE2DBF" w:rsidRDefault="00E43875" w:rsidP="000C7164">
            <w:pPr>
              <w:jc w:val="left"/>
              <w:rPr>
                <w:rFonts w:ascii="Arial Narrow" w:hAnsi="Arial Narrow" w:cs="Times New Roman"/>
                <w:sz w:val="20"/>
                <w:szCs w:val="20"/>
              </w:rPr>
            </w:pPr>
            <w:r w:rsidRPr="00EC0528">
              <w:rPr>
                <w:rFonts w:ascii="Arial Narrow" w:hAnsi="Arial Narrow" w:cs="Times New Roman"/>
                <w:sz w:val="20"/>
                <w:szCs w:val="20"/>
              </w:rPr>
              <w:t>Yr 6: 10.15</w:t>
            </w:r>
          </w:p>
        </w:tc>
        <w:tc>
          <w:tcPr>
            <w:tcW w:w="2126" w:type="dxa"/>
          </w:tcPr>
          <w:p w14:paraId="5C9D96D0"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lastRenderedPageBreak/>
              <w:t>Based on average weight by age in months</w:t>
            </w:r>
          </w:p>
          <w:p w14:paraId="24AF9623" w14:textId="77777777" w:rsidR="00E43875" w:rsidRPr="00AE2DBF" w:rsidRDefault="00E43875" w:rsidP="000C7164">
            <w:pPr>
              <w:jc w:val="left"/>
              <w:rPr>
                <w:rFonts w:ascii="Arial Narrow" w:hAnsi="Arial Narrow" w:cs="Times New Roman"/>
                <w:sz w:val="20"/>
                <w:szCs w:val="20"/>
              </w:rPr>
            </w:pPr>
          </w:p>
        </w:tc>
        <w:tc>
          <w:tcPr>
            <w:tcW w:w="4631" w:type="dxa"/>
          </w:tcPr>
          <w:p w14:paraId="0F9D9D24" w14:textId="77777777" w:rsidR="00E43875" w:rsidRPr="00AE2DBF" w:rsidRDefault="00E43875" w:rsidP="000C7164">
            <w:pPr>
              <w:jc w:val="left"/>
              <w:rPr>
                <w:rFonts w:ascii="Arial Narrow" w:hAnsi="Arial Narrow" w:cs="Times New Roman"/>
                <w:sz w:val="20"/>
                <w:szCs w:val="20"/>
              </w:rPr>
            </w:pPr>
            <w:r w:rsidRPr="00AE2DBF">
              <w:rPr>
                <w:rFonts w:ascii="Arial Narrow" w:hAnsi="Arial Narrow" w:cs="Times New Roman"/>
                <w:sz w:val="20"/>
                <w:szCs w:val="20"/>
              </w:rPr>
              <w:t>Some disparity between timing of start in trial vs weight-by-age assumptions</w:t>
            </w:r>
            <w:r>
              <w:rPr>
                <w:rFonts w:ascii="Arial Narrow" w:hAnsi="Arial Narrow" w:cs="Times New Roman"/>
                <w:sz w:val="20"/>
                <w:szCs w:val="20"/>
              </w:rPr>
              <w:t>.</w:t>
            </w:r>
          </w:p>
          <w:p w14:paraId="72F238FB" w14:textId="2CA21C29" w:rsidR="00E43875" w:rsidRPr="00AE2DBF" w:rsidRDefault="00E43875" w:rsidP="000C7164">
            <w:pPr>
              <w:jc w:val="left"/>
              <w:rPr>
                <w:rFonts w:ascii="Arial Narrow" w:hAnsi="Arial Narrow" w:cs="Times New Roman"/>
                <w:i/>
                <w:iCs/>
                <w:sz w:val="20"/>
                <w:szCs w:val="20"/>
              </w:rPr>
            </w:pPr>
            <w:r w:rsidRPr="00E43875">
              <w:rPr>
                <w:rFonts w:ascii="Arial Narrow" w:hAnsi="Arial Narrow" w:cs="Times New Roman"/>
                <w:sz w:val="20"/>
                <w:szCs w:val="20"/>
              </w:rPr>
              <w:lastRenderedPageBreak/>
              <w:t>DUSC considered this assumption to be underestimated particularly in older children due to the wastage associated with liquid formulation.</w:t>
            </w:r>
          </w:p>
        </w:tc>
      </w:tr>
      <w:tr w:rsidR="00B43FD9" w:rsidRPr="00AE2DBF" w14:paraId="610A710A" w14:textId="77777777" w:rsidTr="00B43FD9">
        <w:trPr>
          <w:gridAfter w:val="1"/>
          <w:wAfter w:w="7" w:type="dxa"/>
          <w:trHeight w:val="829"/>
        </w:trPr>
        <w:tc>
          <w:tcPr>
            <w:tcW w:w="1129" w:type="dxa"/>
          </w:tcPr>
          <w:p w14:paraId="5813EE29"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cs="Times New Roman"/>
                <w:sz w:val="20"/>
                <w:szCs w:val="20"/>
              </w:rPr>
              <w:lastRenderedPageBreak/>
              <w:t>Scripts dispensed</w:t>
            </w:r>
          </w:p>
          <w:p w14:paraId="0FA483F3" w14:textId="77777777" w:rsidR="00B43FD9" w:rsidRPr="00AE2DBF" w:rsidRDefault="00B43FD9" w:rsidP="000C7164">
            <w:pPr>
              <w:jc w:val="left"/>
              <w:rPr>
                <w:rFonts w:ascii="Arial Narrow" w:hAnsi="Arial Narrow" w:cs="Times New Roman"/>
                <w:sz w:val="20"/>
                <w:szCs w:val="20"/>
              </w:rPr>
            </w:pPr>
          </w:p>
        </w:tc>
        <w:tc>
          <w:tcPr>
            <w:tcW w:w="1276" w:type="dxa"/>
          </w:tcPr>
          <w:p w14:paraId="3566A7B7" w14:textId="7454A557" w:rsidR="00B43FD9" w:rsidRPr="00AE2DBF" w:rsidRDefault="00B43FD9" w:rsidP="000C7164">
            <w:pPr>
              <w:jc w:val="left"/>
              <w:rPr>
                <w:rFonts w:ascii="Arial Narrow" w:hAnsi="Arial Narrow" w:cs="Times New Roman"/>
                <w:sz w:val="20"/>
                <w:szCs w:val="20"/>
              </w:rPr>
            </w:pPr>
            <w:r w:rsidRPr="00AE2DBF">
              <w:rPr>
                <w:rFonts w:ascii="Arial Narrow" w:hAnsi="Arial Narrow" w:cs="Times New Roman"/>
                <w:sz w:val="20"/>
                <w:szCs w:val="20"/>
              </w:rPr>
              <w:t xml:space="preserve">Yr 1: </w:t>
            </w:r>
            <w:r w:rsidR="00D370AA" w:rsidRPr="00D370AA">
              <w:rPr>
                <w:rFonts w:ascii="Arial Narrow" w:hAnsi="Arial Narrow" w:cs="Times New Roman"/>
                <w:color w:val="000000"/>
                <w:spacing w:val="36"/>
                <w:sz w:val="20"/>
                <w:szCs w:val="20"/>
                <w:shd w:val="solid" w:color="000000" w:fill="000000"/>
                <w:fitText w:val="438" w:id="-1233447416"/>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6"/>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A2D14" w:rsidRPr="000A2D14">
              <w:rPr>
                <w:rFonts w:ascii="Arial Narrow" w:hAnsi="Arial Narrow" w:cs="Times New Roman"/>
                <w:sz w:val="20"/>
                <w:szCs w:val="20"/>
                <w:vertAlign w:val="superscript"/>
              </w:rPr>
              <w:t>1</w:t>
            </w:r>
          </w:p>
          <w:p w14:paraId="3E3CF84A" w14:textId="34427553" w:rsidR="00B43FD9" w:rsidRPr="00AE2DBF" w:rsidRDefault="00B43FD9" w:rsidP="000C7164">
            <w:pPr>
              <w:jc w:val="left"/>
              <w:rPr>
                <w:rFonts w:ascii="Arial Narrow" w:hAnsi="Arial Narrow" w:cs="Times New Roman"/>
                <w:sz w:val="20"/>
                <w:szCs w:val="20"/>
              </w:rPr>
            </w:pPr>
            <w:r w:rsidRPr="00AE2DBF">
              <w:rPr>
                <w:rFonts w:ascii="Arial Narrow" w:hAnsi="Arial Narrow" w:cs="Times New Roman"/>
                <w:sz w:val="20"/>
                <w:szCs w:val="20"/>
              </w:rPr>
              <w:t xml:space="preserve">Yr 2: </w:t>
            </w:r>
            <w:r w:rsidR="00D370AA" w:rsidRPr="00D370AA">
              <w:rPr>
                <w:rFonts w:ascii="Arial Narrow" w:hAnsi="Arial Narrow" w:cs="Times New Roman"/>
                <w:color w:val="000000"/>
                <w:spacing w:val="36"/>
                <w:sz w:val="20"/>
                <w:szCs w:val="20"/>
                <w:shd w:val="solid" w:color="000000" w:fill="000000"/>
                <w:fitText w:val="438" w:id="-1233447415"/>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415"/>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A2D14" w:rsidRPr="000A2D14">
              <w:rPr>
                <w:rFonts w:ascii="Arial Narrow" w:hAnsi="Arial Narrow" w:cs="Times New Roman"/>
                <w:sz w:val="20"/>
                <w:szCs w:val="20"/>
                <w:vertAlign w:val="superscript"/>
              </w:rPr>
              <w:t>1</w:t>
            </w:r>
          </w:p>
          <w:p w14:paraId="440DFC6F" w14:textId="17F1220C" w:rsidR="00B43FD9" w:rsidRPr="00AE2DBF" w:rsidRDefault="00B43FD9" w:rsidP="000C7164">
            <w:pPr>
              <w:jc w:val="left"/>
              <w:rPr>
                <w:rFonts w:ascii="Arial Narrow" w:hAnsi="Arial Narrow" w:cs="Times New Roman"/>
                <w:sz w:val="20"/>
                <w:szCs w:val="20"/>
              </w:rPr>
            </w:pPr>
            <w:r w:rsidRPr="00AE2DBF">
              <w:rPr>
                <w:rFonts w:ascii="Arial Narrow" w:hAnsi="Arial Narrow" w:cs="Times New Roman"/>
                <w:sz w:val="20"/>
                <w:szCs w:val="20"/>
              </w:rPr>
              <w:t xml:space="preserve">Yr 3: </w:t>
            </w:r>
            <w:r w:rsidR="00D370AA" w:rsidRPr="00D370AA">
              <w:rPr>
                <w:rFonts w:ascii="Arial Narrow" w:hAnsi="Arial Narrow" w:cs="Times New Roman"/>
                <w:color w:val="000000"/>
                <w:spacing w:val="36"/>
                <w:sz w:val="20"/>
                <w:szCs w:val="20"/>
                <w:shd w:val="solid" w:color="000000" w:fill="000000"/>
                <w:fitText w:val="438" w:id="-1233447168"/>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168"/>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A2D14" w:rsidRPr="000A2D14">
              <w:rPr>
                <w:rFonts w:ascii="Arial Narrow" w:hAnsi="Arial Narrow" w:cs="Times New Roman"/>
                <w:sz w:val="20"/>
                <w:szCs w:val="20"/>
                <w:vertAlign w:val="superscript"/>
              </w:rPr>
              <w:t>1</w:t>
            </w:r>
          </w:p>
          <w:p w14:paraId="679A0816" w14:textId="637ED2E3" w:rsidR="00B43FD9" w:rsidRPr="00AE2DBF" w:rsidRDefault="00B43FD9" w:rsidP="000C7164">
            <w:pPr>
              <w:jc w:val="left"/>
              <w:rPr>
                <w:rFonts w:ascii="Arial Narrow" w:hAnsi="Arial Narrow" w:cs="Times New Roman"/>
                <w:sz w:val="20"/>
                <w:szCs w:val="20"/>
              </w:rPr>
            </w:pPr>
            <w:r w:rsidRPr="00AE2DBF">
              <w:rPr>
                <w:rFonts w:ascii="Arial Narrow" w:hAnsi="Arial Narrow" w:cs="Times New Roman"/>
                <w:sz w:val="20"/>
                <w:szCs w:val="20"/>
              </w:rPr>
              <w:t xml:space="preserve">Yr 4: </w:t>
            </w:r>
            <w:r w:rsidR="00D370AA" w:rsidRPr="00D370AA">
              <w:rPr>
                <w:rFonts w:ascii="Arial Narrow" w:hAnsi="Arial Narrow" w:cs="Times New Roman"/>
                <w:color w:val="000000"/>
                <w:spacing w:val="36"/>
                <w:sz w:val="20"/>
                <w:szCs w:val="20"/>
                <w:shd w:val="solid" w:color="000000" w:fill="000000"/>
                <w:fitText w:val="438" w:id="-1233447167"/>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167"/>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A2D14" w:rsidRPr="000A2D14">
              <w:rPr>
                <w:rFonts w:ascii="Arial Narrow" w:hAnsi="Arial Narrow" w:cs="Times New Roman"/>
                <w:sz w:val="20"/>
                <w:szCs w:val="20"/>
                <w:vertAlign w:val="superscript"/>
              </w:rPr>
              <w:t>1</w:t>
            </w:r>
          </w:p>
          <w:p w14:paraId="1B352510" w14:textId="0705A663" w:rsidR="00B43FD9" w:rsidRPr="00AE2DBF" w:rsidRDefault="00B43FD9" w:rsidP="000C7164">
            <w:pPr>
              <w:jc w:val="left"/>
              <w:rPr>
                <w:rFonts w:ascii="Arial Narrow" w:hAnsi="Arial Narrow" w:cs="Times New Roman"/>
                <w:sz w:val="20"/>
                <w:szCs w:val="20"/>
              </w:rPr>
            </w:pPr>
            <w:r w:rsidRPr="00AE2DBF">
              <w:rPr>
                <w:rFonts w:ascii="Arial Narrow" w:hAnsi="Arial Narrow" w:cs="Times New Roman"/>
                <w:sz w:val="20"/>
                <w:szCs w:val="20"/>
              </w:rPr>
              <w:t xml:space="preserve">Yr 5: </w:t>
            </w:r>
            <w:r w:rsidR="00D370AA" w:rsidRPr="00D370AA">
              <w:rPr>
                <w:rFonts w:ascii="Arial Narrow" w:hAnsi="Arial Narrow" w:cs="Times New Roman"/>
                <w:color w:val="000000"/>
                <w:spacing w:val="36"/>
                <w:sz w:val="20"/>
                <w:szCs w:val="20"/>
                <w:shd w:val="solid" w:color="000000" w:fill="000000"/>
                <w:fitText w:val="438" w:id="-1233447166"/>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166"/>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A2D14" w:rsidRPr="000A2D14">
              <w:rPr>
                <w:rFonts w:ascii="Arial Narrow" w:hAnsi="Arial Narrow" w:cs="Times New Roman"/>
                <w:sz w:val="20"/>
                <w:szCs w:val="20"/>
                <w:vertAlign w:val="superscript"/>
              </w:rPr>
              <w:t>1</w:t>
            </w:r>
          </w:p>
          <w:p w14:paraId="60DB8DF5" w14:textId="22BF496B" w:rsidR="00B43FD9" w:rsidRPr="00AE2DBF" w:rsidRDefault="00B43FD9" w:rsidP="000C7164">
            <w:pPr>
              <w:jc w:val="left"/>
              <w:rPr>
                <w:rFonts w:ascii="Arial Narrow" w:hAnsi="Arial Narrow" w:cs="Times New Roman"/>
                <w:sz w:val="20"/>
                <w:szCs w:val="20"/>
              </w:rPr>
            </w:pPr>
            <w:r w:rsidRPr="00AE2DBF">
              <w:rPr>
                <w:rFonts w:ascii="Arial Narrow" w:hAnsi="Arial Narrow" w:cs="Times New Roman"/>
                <w:sz w:val="20"/>
                <w:szCs w:val="20"/>
              </w:rPr>
              <w:t xml:space="preserve">Yr 6: </w:t>
            </w:r>
            <w:r w:rsidR="00D370AA" w:rsidRPr="00D370AA">
              <w:rPr>
                <w:rFonts w:ascii="Arial Narrow" w:hAnsi="Arial Narrow" w:cs="Times New Roman"/>
                <w:color w:val="000000"/>
                <w:spacing w:val="36"/>
                <w:sz w:val="20"/>
                <w:szCs w:val="20"/>
                <w:shd w:val="solid" w:color="000000" w:fill="000000"/>
                <w:fitText w:val="438" w:id="-1233447165"/>
                <w14:textFill>
                  <w14:solidFill>
                    <w14:srgbClr w14:val="000000">
                      <w14:alpha w14:val="100000"/>
                    </w14:srgbClr>
                  </w14:solidFill>
                </w14:textFill>
              </w:rPr>
              <w:t>|||||</w:t>
            </w:r>
            <w:r w:rsidR="00D370AA" w:rsidRPr="00D370AA">
              <w:rPr>
                <w:rFonts w:ascii="Arial Narrow" w:hAnsi="Arial Narrow" w:cs="Times New Roman"/>
                <w:color w:val="000000"/>
                <w:spacing w:val="3"/>
                <w:sz w:val="20"/>
                <w:szCs w:val="20"/>
                <w:shd w:val="solid" w:color="000000" w:fill="000000"/>
                <w:fitText w:val="438" w:id="-1233447165"/>
                <w14:textFill>
                  <w14:solidFill>
                    <w14:srgbClr w14:val="000000">
                      <w14:alpha w14:val="100000"/>
                    </w14:srgbClr>
                  </w14:solidFill>
                </w14:textFill>
              </w:rPr>
              <w:t>|</w:t>
            </w:r>
            <w:r w:rsidR="00F76077" w:rsidRPr="00F76077">
              <w:rPr>
                <w:rFonts w:ascii="Arial Narrow" w:hAnsi="Arial Narrow" w:cs="Times New Roman"/>
                <w:sz w:val="20"/>
                <w:szCs w:val="20"/>
              </w:rPr>
              <w:t xml:space="preserve"> </w:t>
            </w:r>
            <w:r w:rsidR="000A2D14" w:rsidRPr="000A2D14">
              <w:rPr>
                <w:rFonts w:ascii="Arial Narrow" w:hAnsi="Arial Narrow" w:cs="Times New Roman"/>
                <w:sz w:val="20"/>
                <w:szCs w:val="20"/>
                <w:vertAlign w:val="superscript"/>
              </w:rPr>
              <w:t>1</w:t>
            </w:r>
          </w:p>
        </w:tc>
        <w:tc>
          <w:tcPr>
            <w:tcW w:w="2126" w:type="dxa"/>
          </w:tcPr>
          <w:p w14:paraId="61E1E437" w14:textId="621F1F91" w:rsidR="00B43FD9" w:rsidRPr="00E52432" w:rsidRDefault="00B43FD9" w:rsidP="000C7164">
            <w:pPr>
              <w:pStyle w:val="TableText0"/>
              <w:rPr>
                <w:szCs w:val="20"/>
              </w:rPr>
            </w:pPr>
            <w:r w:rsidRPr="00B43FD9">
              <w:rPr>
                <w:rFonts w:eastAsia="Calibri" w:cs="Arial"/>
                <w:bCs w:val="0"/>
                <w:sz w:val="20"/>
                <w:szCs w:val="20"/>
              </w:rPr>
              <w:t>Based on average weight by age in months. Number of bottles supplied also differed based on age (Initiation + Yr 1: 1 bottle, Yr 2-Yr 5: 2 bottles, Yr 6 onwards, 3 bottles)</w:t>
            </w:r>
            <w:r w:rsidRPr="002B7F5E">
              <w:rPr>
                <w:szCs w:val="20"/>
              </w:rPr>
              <w:t xml:space="preserve"> </w:t>
            </w:r>
          </w:p>
        </w:tc>
        <w:tc>
          <w:tcPr>
            <w:tcW w:w="4631" w:type="dxa"/>
          </w:tcPr>
          <w:p w14:paraId="660821ED" w14:textId="3AB2C15E" w:rsidR="00B43FD9" w:rsidRPr="00B43FD9" w:rsidRDefault="00B43FD9" w:rsidP="000C7164">
            <w:pPr>
              <w:jc w:val="left"/>
              <w:rPr>
                <w:rFonts w:ascii="Arial Narrow" w:hAnsi="Arial Narrow" w:cs="Times New Roman"/>
                <w:sz w:val="20"/>
                <w:szCs w:val="20"/>
              </w:rPr>
            </w:pPr>
            <w:r>
              <w:rPr>
                <w:rFonts w:ascii="Arial Narrow" w:hAnsi="Arial Narrow" w:cs="Times New Roman"/>
                <w:sz w:val="20"/>
                <w:szCs w:val="20"/>
              </w:rPr>
              <w:t>-</w:t>
            </w:r>
          </w:p>
        </w:tc>
      </w:tr>
      <w:tr w:rsidR="00B43FD9" w:rsidRPr="00AE2DBF" w14:paraId="610E8D7B" w14:textId="77777777" w:rsidTr="002C40EF">
        <w:trPr>
          <w:gridAfter w:val="1"/>
          <w:wAfter w:w="7" w:type="dxa"/>
          <w:trHeight w:val="680"/>
        </w:trPr>
        <w:tc>
          <w:tcPr>
            <w:tcW w:w="1129" w:type="dxa"/>
          </w:tcPr>
          <w:p w14:paraId="689F74B5"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cs="Times New Roman"/>
                <w:sz w:val="20"/>
                <w:szCs w:val="20"/>
              </w:rPr>
              <w:t>Substitution of nusinersen</w:t>
            </w:r>
          </w:p>
        </w:tc>
        <w:tc>
          <w:tcPr>
            <w:tcW w:w="1276" w:type="dxa"/>
          </w:tcPr>
          <w:p w14:paraId="484D290F"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cs="Times New Roman"/>
                <w:sz w:val="20"/>
                <w:szCs w:val="20"/>
              </w:rPr>
              <w:t xml:space="preserve">100% </w:t>
            </w:r>
          </w:p>
          <w:p w14:paraId="532CEE1A" w14:textId="77777777" w:rsidR="00B43FD9" w:rsidRPr="00AE2DBF" w:rsidRDefault="00B43FD9" w:rsidP="000C7164">
            <w:pPr>
              <w:jc w:val="left"/>
              <w:rPr>
                <w:rFonts w:ascii="Arial Narrow" w:hAnsi="Arial Narrow" w:cs="Times New Roman"/>
                <w:sz w:val="20"/>
                <w:szCs w:val="20"/>
              </w:rPr>
            </w:pPr>
          </w:p>
        </w:tc>
        <w:tc>
          <w:tcPr>
            <w:tcW w:w="2126" w:type="dxa"/>
          </w:tcPr>
          <w:p w14:paraId="7DB74A7C"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cs="Times New Roman"/>
                <w:sz w:val="20"/>
                <w:szCs w:val="20"/>
              </w:rPr>
              <w:t>Assumption</w:t>
            </w:r>
          </w:p>
          <w:p w14:paraId="7BB17E97" w14:textId="77777777" w:rsidR="00B43FD9" w:rsidRPr="00AE2DBF" w:rsidRDefault="00B43FD9" w:rsidP="000C7164">
            <w:pPr>
              <w:jc w:val="left"/>
              <w:rPr>
                <w:rFonts w:ascii="Arial Narrow" w:hAnsi="Arial Narrow" w:cs="Times New Roman"/>
                <w:sz w:val="20"/>
                <w:szCs w:val="20"/>
              </w:rPr>
            </w:pPr>
          </w:p>
        </w:tc>
        <w:tc>
          <w:tcPr>
            <w:tcW w:w="4631" w:type="dxa"/>
          </w:tcPr>
          <w:p w14:paraId="68ECD75A" w14:textId="610AA98F" w:rsidR="00B43FD9" w:rsidRPr="00AE2DBF" w:rsidRDefault="00B43FD9" w:rsidP="000C7164">
            <w:pPr>
              <w:jc w:val="left"/>
              <w:rPr>
                <w:rFonts w:ascii="Arial Narrow" w:hAnsi="Arial Narrow" w:cs="Times New Roman"/>
                <w:i/>
                <w:iCs/>
                <w:sz w:val="20"/>
                <w:szCs w:val="20"/>
              </w:rPr>
            </w:pPr>
            <w:r w:rsidRPr="00AE2DBF">
              <w:rPr>
                <w:rFonts w:ascii="Arial Narrow" w:hAnsi="Arial Narrow" w:cs="Times New Roman"/>
                <w:sz w:val="20"/>
                <w:szCs w:val="20"/>
              </w:rPr>
              <w:t>May be overestimate</w:t>
            </w:r>
            <w:r>
              <w:rPr>
                <w:rFonts w:ascii="Arial Narrow" w:hAnsi="Arial Narrow" w:cs="Times New Roman"/>
                <w:sz w:val="20"/>
                <w:szCs w:val="20"/>
              </w:rPr>
              <w:t>d</w:t>
            </w:r>
            <w:r w:rsidRPr="00AE2DBF">
              <w:rPr>
                <w:rFonts w:ascii="Arial Narrow" w:hAnsi="Arial Narrow" w:cs="Times New Roman"/>
                <w:sz w:val="20"/>
                <w:szCs w:val="20"/>
              </w:rPr>
              <w:t xml:space="preserve"> as not all patients would tolerate nusinersen administration</w:t>
            </w:r>
          </w:p>
        </w:tc>
      </w:tr>
      <w:tr w:rsidR="00B43FD9" w:rsidRPr="00AE2DBF" w14:paraId="5FE4683C" w14:textId="77777777" w:rsidTr="0022430F">
        <w:trPr>
          <w:gridAfter w:val="1"/>
          <w:wAfter w:w="7" w:type="dxa"/>
          <w:trHeight w:val="994"/>
        </w:trPr>
        <w:tc>
          <w:tcPr>
            <w:tcW w:w="1129" w:type="dxa"/>
          </w:tcPr>
          <w:p w14:paraId="06569635" w14:textId="77777777" w:rsidR="00B43FD9" w:rsidRPr="00AE2DBF" w:rsidRDefault="00B43FD9" w:rsidP="000C7164">
            <w:pPr>
              <w:jc w:val="left"/>
              <w:rPr>
                <w:rFonts w:ascii="Arial Narrow" w:hAnsi="Arial Narrow" w:cs="Times New Roman"/>
                <w:sz w:val="20"/>
                <w:szCs w:val="20"/>
              </w:rPr>
            </w:pPr>
            <w:r>
              <w:rPr>
                <w:rFonts w:ascii="Arial Narrow" w:hAnsi="Arial Narrow" w:cs="Times New Roman"/>
                <w:sz w:val="20"/>
                <w:szCs w:val="20"/>
              </w:rPr>
              <w:t>Nusinersen</w:t>
            </w:r>
            <w:r w:rsidRPr="00AE2DBF">
              <w:rPr>
                <w:rFonts w:ascii="Arial Narrow" w:hAnsi="Arial Narrow" w:cs="Times New Roman"/>
                <w:sz w:val="20"/>
                <w:szCs w:val="20"/>
              </w:rPr>
              <w:t xml:space="preserve"> scripts offset </w:t>
            </w:r>
          </w:p>
        </w:tc>
        <w:tc>
          <w:tcPr>
            <w:tcW w:w="1276" w:type="dxa"/>
          </w:tcPr>
          <w:p w14:paraId="42CD1FA8" w14:textId="77777777" w:rsidR="00B43FD9" w:rsidRPr="00236F04" w:rsidRDefault="00B43FD9" w:rsidP="00B43FD9">
            <w:pPr>
              <w:jc w:val="left"/>
              <w:rPr>
                <w:rFonts w:ascii="Arial Narrow" w:hAnsi="Arial Narrow" w:cstheme="majorBidi"/>
                <w:szCs w:val="20"/>
              </w:rPr>
            </w:pPr>
            <w:r w:rsidRPr="00B43FD9">
              <w:rPr>
                <w:rFonts w:ascii="Arial Narrow" w:hAnsi="Arial Narrow" w:cs="Times New Roman"/>
                <w:sz w:val="20"/>
                <w:szCs w:val="20"/>
              </w:rPr>
              <w:t>3 fewer scripts per year for all risdiplam patients</w:t>
            </w:r>
          </w:p>
        </w:tc>
        <w:tc>
          <w:tcPr>
            <w:tcW w:w="2126" w:type="dxa"/>
          </w:tcPr>
          <w:p w14:paraId="524456E8" w14:textId="7DFE9B0E" w:rsidR="00B43FD9" w:rsidRPr="00932F01" w:rsidRDefault="00B43FD9" w:rsidP="000C7164">
            <w:pPr>
              <w:jc w:val="left"/>
              <w:rPr>
                <w:rFonts w:ascii="Arial Narrow" w:hAnsi="Arial Narrow" w:cs="Times New Roman"/>
                <w:sz w:val="20"/>
                <w:szCs w:val="20"/>
              </w:rPr>
            </w:pPr>
            <w:r w:rsidRPr="00932F01">
              <w:rPr>
                <w:rFonts w:ascii="Arial Narrow" w:hAnsi="Arial Narrow"/>
                <w:sz w:val="20"/>
                <w:szCs w:val="20"/>
              </w:rPr>
              <w:t>Consistent with Product information</w:t>
            </w:r>
          </w:p>
        </w:tc>
        <w:tc>
          <w:tcPr>
            <w:tcW w:w="4631" w:type="dxa"/>
          </w:tcPr>
          <w:p w14:paraId="443928F0" w14:textId="5BD31AE5" w:rsidR="00B43FD9" w:rsidRPr="00AE2DBF" w:rsidRDefault="00B43FD9" w:rsidP="000C7164">
            <w:pPr>
              <w:jc w:val="left"/>
              <w:rPr>
                <w:rFonts w:ascii="Arial Narrow" w:hAnsi="Arial Narrow" w:cs="Times New Roman"/>
                <w:i/>
                <w:iCs/>
                <w:sz w:val="20"/>
                <w:szCs w:val="20"/>
              </w:rPr>
            </w:pPr>
            <w:r>
              <w:rPr>
                <w:rFonts w:ascii="Arial Narrow" w:hAnsi="Arial Narrow"/>
                <w:sz w:val="20"/>
                <w:szCs w:val="20"/>
              </w:rPr>
              <w:t>E</w:t>
            </w:r>
            <w:r w:rsidRPr="00932F01">
              <w:rPr>
                <w:rFonts w:ascii="Arial Narrow" w:hAnsi="Arial Narrow"/>
                <w:sz w:val="20"/>
                <w:szCs w:val="20"/>
              </w:rPr>
              <w:t>xclusion of loading doses may underestimate number of doses offset</w:t>
            </w:r>
          </w:p>
        </w:tc>
      </w:tr>
      <w:tr w:rsidR="00B43FD9" w:rsidRPr="00AE2DBF" w14:paraId="7F928906" w14:textId="77777777" w:rsidTr="00F034B1">
        <w:trPr>
          <w:gridAfter w:val="1"/>
          <w:wAfter w:w="7" w:type="dxa"/>
        </w:trPr>
        <w:tc>
          <w:tcPr>
            <w:tcW w:w="1129" w:type="dxa"/>
          </w:tcPr>
          <w:p w14:paraId="587FB8F6"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cs="Times New Roman"/>
                <w:sz w:val="20"/>
                <w:szCs w:val="20"/>
              </w:rPr>
              <w:t xml:space="preserve">Adverse events (AE) </w:t>
            </w:r>
          </w:p>
        </w:tc>
        <w:tc>
          <w:tcPr>
            <w:tcW w:w="1276" w:type="dxa"/>
          </w:tcPr>
          <w:p w14:paraId="36E7962D"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cs="Times New Roman"/>
                <w:sz w:val="20"/>
                <w:szCs w:val="20"/>
              </w:rPr>
              <w:t xml:space="preserve">Nil </w:t>
            </w:r>
          </w:p>
        </w:tc>
        <w:tc>
          <w:tcPr>
            <w:tcW w:w="2126" w:type="dxa"/>
          </w:tcPr>
          <w:p w14:paraId="6D7909E5" w14:textId="77777777" w:rsidR="00B43FD9" w:rsidRPr="00627D4E" w:rsidRDefault="00B43FD9" w:rsidP="000C7164">
            <w:pPr>
              <w:jc w:val="left"/>
              <w:rPr>
                <w:rFonts w:ascii="Arial Narrow" w:hAnsi="Arial Narrow" w:cs="Times New Roman"/>
                <w:sz w:val="20"/>
                <w:szCs w:val="20"/>
              </w:rPr>
            </w:pPr>
            <w:r w:rsidRPr="00627D4E">
              <w:rPr>
                <w:rFonts w:ascii="Arial Narrow" w:hAnsi="Arial Narrow"/>
                <w:sz w:val="20"/>
                <w:szCs w:val="20"/>
              </w:rPr>
              <w:t>No cost to management of AEs assumed</w:t>
            </w:r>
            <w:r>
              <w:rPr>
                <w:rFonts w:ascii="Arial Narrow" w:hAnsi="Arial Narrow"/>
                <w:sz w:val="20"/>
                <w:szCs w:val="20"/>
              </w:rPr>
              <w:t xml:space="preserve">. </w:t>
            </w:r>
          </w:p>
        </w:tc>
        <w:tc>
          <w:tcPr>
            <w:tcW w:w="4631" w:type="dxa"/>
          </w:tcPr>
          <w:p w14:paraId="07FC92A5" w14:textId="278F5109" w:rsidR="00B43FD9" w:rsidRPr="00AE2DBF" w:rsidRDefault="00B43FD9" w:rsidP="000C7164">
            <w:pPr>
              <w:jc w:val="left"/>
              <w:rPr>
                <w:rFonts w:ascii="Arial Narrow" w:hAnsi="Arial Narrow" w:cs="Times New Roman"/>
                <w:i/>
                <w:iCs/>
                <w:sz w:val="20"/>
                <w:szCs w:val="20"/>
              </w:rPr>
            </w:pPr>
            <w:r w:rsidRPr="00932F01">
              <w:rPr>
                <w:rFonts w:ascii="Arial Narrow" w:hAnsi="Arial Narrow"/>
                <w:sz w:val="20"/>
                <w:szCs w:val="20"/>
              </w:rPr>
              <w:t>Risdiplam expected to have lower incidence of AEs compared to nusinersen, so omission of AE would increase total financial estimates.</w:t>
            </w:r>
          </w:p>
        </w:tc>
      </w:tr>
      <w:tr w:rsidR="005C514F" w:rsidRPr="00AE2DBF" w14:paraId="0C768345" w14:textId="77777777" w:rsidTr="000C7164">
        <w:tc>
          <w:tcPr>
            <w:tcW w:w="9169" w:type="dxa"/>
            <w:gridSpan w:val="5"/>
          </w:tcPr>
          <w:p w14:paraId="339F9727" w14:textId="77777777" w:rsidR="005C514F" w:rsidRPr="00932F01" w:rsidRDefault="005C514F" w:rsidP="000C7164">
            <w:pPr>
              <w:jc w:val="left"/>
              <w:rPr>
                <w:rFonts w:ascii="Arial Narrow" w:hAnsi="Arial Narrow" w:cs="Times New Roman"/>
                <w:b/>
                <w:bCs/>
                <w:sz w:val="20"/>
                <w:szCs w:val="20"/>
              </w:rPr>
            </w:pPr>
            <w:r w:rsidRPr="00932F01">
              <w:rPr>
                <w:rFonts w:ascii="Arial Narrow" w:hAnsi="Arial Narrow" w:cs="Times New Roman"/>
                <w:b/>
                <w:bCs/>
                <w:sz w:val="20"/>
                <w:szCs w:val="20"/>
              </w:rPr>
              <w:t xml:space="preserve">Costs </w:t>
            </w:r>
          </w:p>
        </w:tc>
      </w:tr>
      <w:tr w:rsidR="00B43FD9" w:rsidRPr="00AE2DBF" w14:paraId="2A378C91" w14:textId="77777777" w:rsidTr="00A93D64">
        <w:trPr>
          <w:gridAfter w:val="1"/>
          <w:wAfter w:w="7" w:type="dxa"/>
        </w:trPr>
        <w:tc>
          <w:tcPr>
            <w:tcW w:w="1129" w:type="dxa"/>
          </w:tcPr>
          <w:p w14:paraId="3996A836"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sz w:val="20"/>
                <w:szCs w:val="20"/>
              </w:rPr>
              <w:t>Proposed medicine</w:t>
            </w:r>
          </w:p>
        </w:tc>
        <w:tc>
          <w:tcPr>
            <w:tcW w:w="1276" w:type="dxa"/>
          </w:tcPr>
          <w:p w14:paraId="63BFF7A8" w14:textId="77777777" w:rsidR="00B43FD9" w:rsidRPr="00B43FD9" w:rsidRDefault="00B43FD9" w:rsidP="000C7164">
            <w:pPr>
              <w:jc w:val="left"/>
              <w:rPr>
                <w:rFonts w:ascii="Arial Narrow" w:hAnsi="Arial Narrow"/>
                <w:sz w:val="20"/>
                <w:szCs w:val="20"/>
              </w:rPr>
            </w:pPr>
            <w:r w:rsidRPr="00AE2DBF">
              <w:rPr>
                <w:rFonts w:ascii="Arial Narrow" w:hAnsi="Arial Narrow"/>
                <w:sz w:val="20"/>
                <w:szCs w:val="20"/>
              </w:rPr>
              <w:t>$10,841.89</w:t>
            </w:r>
          </w:p>
        </w:tc>
        <w:tc>
          <w:tcPr>
            <w:tcW w:w="2126" w:type="dxa"/>
          </w:tcPr>
          <w:p w14:paraId="568CD247" w14:textId="77777777" w:rsidR="00B43FD9" w:rsidRPr="00B43FD9" w:rsidRDefault="00B43FD9" w:rsidP="000C7164">
            <w:pPr>
              <w:pStyle w:val="TableText0"/>
              <w:rPr>
                <w:rFonts w:eastAsia="Calibri" w:cs="Arial"/>
                <w:bCs w:val="0"/>
                <w:sz w:val="20"/>
                <w:szCs w:val="20"/>
              </w:rPr>
            </w:pPr>
            <w:r w:rsidRPr="00B43FD9">
              <w:rPr>
                <w:rFonts w:eastAsia="Calibri" w:cs="Arial"/>
                <w:bCs w:val="0"/>
                <w:sz w:val="20"/>
                <w:szCs w:val="20"/>
              </w:rPr>
              <w:t>Published price (AEMP)</w:t>
            </w:r>
          </w:p>
          <w:p w14:paraId="736BDD5C" w14:textId="77777777" w:rsidR="00B43FD9" w:rsidRPr="00B43FD9" w:rsidRDefault="00B43FD9" w:rsidP="000C7164">
            <w:pPr>
              <w:jc w:val="left"/>
              <w:rPr>
                <w:rFonts w:ascii="Arial Narrow" w:hAnsi="Arial Narrow"/>
                <w:sz w:val="20"/>
                <w:szCs w:val="20"/>
              </w:rPr>
            </w:pPr>
            <w:r w:rsidRPr="00AE2DBF">
              <w:rPr>
                <w:rFonts w:ascii="Arial Narrow" w:hAnsi="Arial Narrow"/>
                <w:sz w:val="20"/>
                <w:szCs w:val="20"/>
              </w:rPr>
              <w:t>PBS Item 12606L</w:t>
            </w:r>
          </w:p>
        </w:tc>
        <w:tc>
          <w:tcPr>
            <w:tcW w:w="4631" w:type="dxa"/>
          </w:tcPr>
          <w:p w14:paraId="0F78D95D" w14:textId="600489C7" w:rsidR="00B43FD9" w:rsidRPr="00B43FD9" w:rsidRDefault="00B43FD9" w:rsidP="000C7164">
            <w:pPr>
              <w:jc w:val="left"/>
              <w:rPr>
                <w:rFonts w:ascii="Arial Narrow" w:hAnsi="Arial Narrow" w:cs="Times New Roman"/>
                <w:sz w:val="20"/>
                <w:szCs w:val="20"/>
              </w:rPr>
            </w:pPr>
            <w:r>
              <w:rPr>
                <w:rFonts w:ascii="Arial Narrow" w:hAnsi="Arial Narrow" w:cs="Times New Roman"/>
                <w:sz w:val="20"/>
                <w:szCs w:val="20"/>
              </w:rPr>
              <w:t>-</w:t>
            </w:r>
          </w:p>
        </w:tc>
      </w:tr>
      <w:tr w:rsidR="00B43FD9" w:rsidRPr="00AE2DBF" w14:paraId="06BAA0A6" w14:textId="77777777" w:rsidTr="007D4CE3">
        <w:trPr>
          <w:gridAfter w:val="1"/>
          <w:wAfter w:w="7" w:type="dxa"/>
        </w:trPr>
        <w:tc>
          <w:tcPr>
            <w:tcW w:w="1129" w:type="dxa"/>
          </w:tcPr>
          <w:p w14:paraId="301870F7"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sz w:val="20"/>
                <w:szCs w:val="20"/>
              </w:rPr>
              <w:t>Nusinersen</w:t>
            </w:r>
          </w:p>
        </w:tc>
        <w:tc>
          <w:tcPr>
            <w:tcW w:w="1276" w:type="dxa"/>
          </w:tcPr>
          <w:p w14:paraId="34B288DA"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sz w:val="20"/>
                <w:szCs w:val="20"/>
              </w:rPr>
              <w:t>$110,000</w:t>
            </w:r>
          </w:p>
        </w:tc>
        <w:tc>
          <w:tcPr>
            <w:tcW w:w="2126" w:type="dxa"/>
          </w:tcPr>
          <w:p w14:paraId="4038D3DC"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sz w:val="20"/>
                <w:szCs w:val="20"/>
              </w:rPr>
              <w:t>Published price (AEMP)</w:t>
            </w:r>
          </w:p>
        </w:tc>
        <w:tc>
          <w:tcPr>
            <w:tcW w:w="4631" w:type="dxa"/>
          </w:tcPr>
          <w:p w14:paraId="13D252AE" w14:textId="292687D6" w:rsidR="00B43FD9" w:rsidRPr="00B43FD9" w:rsidRDefault="00B43FD9" w:rsidP="000C7164">
            <w:pPr>
              <w:jc w:val="left"/>
              <w:rPr>
                <w:rFonts w:ascii="Arial Narrow" w:hAnsi="Arial Narrow" w:cs="Times New Roman"/>
                <w:sz w:val="20"/>
                <w:szCs w:val="20"/>
              </w:rPr>
            </w:pPr>
            <w:r>
              <w:rPr>
                <w:rFonts w:ascii="Arial Narrow" w:hAnsi="Arial Narrow" w:cs="Times New Roman"/>
                <w:sz w:val="20"/>
                <w:szCs w:val="20"/>
              </w:rPr>
              <w:t>-</w:t>
            </w:r>
          </w:p>
        </w:tc>
      </w:tr>
      <w:tr w:rsidR="00B43FD9" w:rsidRPr="00AE2DBF" w14:paraId="2B975418" w14:textId="77777777" w:rsidTr="00EF5203">
        <w:trPr>
          <w:gridAfter w:val="1"/>
          <w:wAfter w:w="7" w:type="dxa"/>
        </w:trPr>
        <w:tc>
          <w:tcPr>
            <w:tcW w:w="1129" w:type="dxa"/>
          </w:tcPr>
          <w:p w14:paraId="40B1C610"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sz w:val="20"/>
                <w:szCs w:val="20"/>
              </w:rPr>
              <w:t>Patient copayment</w:t>
            </w:r>
          </w:p>
        </w:tc>
        <w:tc>
          <w:tcPr>
            <w:tcW w:w="1276" w:type="dxa"/>
          </w:tcPr>
          <w:p w14:paraId="7F0831C5"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sz w:val="20"/>
                <w:szCs w:val="20"/>
              </w:rPr>
              <w:t>$18.21</w:t>
            </w:r>
          </w:p>
        </w:tc>
        <w:tc>
          <w:tcPr>
            <w:tcW w:w="2126" w:type="dxa"/>
          </w:tcPr>
          <w:p w14:paraId="786A4A39"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sz w:val="20"/>
                <w:szCs w:val="20"/>
              </w:rPr>
              <w:t>PBS utilisation in 2021 for risdiplam</w:t>
            </w:r>
          </w:p>
        </w:tc>
        <w:tc>
          <w:tcPr>
            <w:tcW w:w="4631" w:type="dxa"/>
          </w:tcPr>
          <w:p w14:paraId="5F0DB2F5" w14:textId="5D5D514B" w:rsidR="00B43FD9" w:rsidRPr="00AE2DBF" w:rsidRDefault="00B43FD9" w:rsidP="000C7164">
            <w:pPr>
              <w:jc w:val="left"/>
              <w:rPr>
                <w:rFonts w:ascii="Arial Narrow" w:hAnsi="Arial Narrow" w:cs="Times New Roman"/>
                <w:i/>
                <w:iCs/>
                <w:sz w:val="20"/>
                <w:szCs w:val="20"/>
              </w:rPr>
            </w:pPr>
            <w:r>
              <w:rPr>
                <w:rFonts w:ascii="Arial Narrow" w:hAnsi="Arial Narrow"/>
                <w:sz w:val="20"/>
                <w:szCs w:val="20"/>
              </w:rPr>
              <w:t>-</w:t>
            </w:r>
          </w:p>
        </w:tc>
      </w:tr>
      <w:tr w:rsidR="00B43FD9" w:rsidRPr="00AE2DBF" w14:paraId="7436A547" w14:textId="77777777" w:rsidTr="00A86DD9">
        <w:trPr>
          <w:gridAfter w:val="1"/>
          <w:wAfter w:w="7" w:type="dxa"/>
        </w:trPr>
        <w:tc>
          <w:tcPr>
            <w:tcW w:w="1129" w:type="dxa"/>
          </w:tcPr>
          <w:p w14:paraId="6781F68E" w14:textId="77777777" w:rsidR="00B43FD9" w:rsidRPr="00AE2DBF" w:rsidRDefault="00B43FD9" w:rsidP="000C7164">
            <w:pPr>
              <w:jc w:val="left"/>
              <w:rPr>
                <w:rFonts w:ascii="Arial Narrow" w:hAnsi="Arial Narrow"/>
                <w:sz w:val="20"/>
                <w:szCs w:val="20"/>
              </w:rPr>
            </w:pPr>
            <w:r w:rsidRPr="00AE2DBF">
              <w:rPr>
                <w:rFonts w:ascii="Arial Narrow" w:hAnsi="Arial Narrow"/>
                <w:sz w:val="20"/>
                <w:szCs w:val="20"/>
              </w:rPr>
              <w:t>Other offsets</w:t>
            </w:r>
          </w:p>
        </w:tc>
        <w:tc>
          <w:tcPr>
            <w:tcW w:w="1276" w:type="dxa"/>
          </w:tcPr>
          <w:p w14:paraId="7FDC9D9E"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sz w:val="20"/>
                <w:szCs w:val="20"/>
              </w:rPr>
              <w:t>$1,640</w:t>
            </w:r>
          </w:p>
        </w:tc>
        <w:tc>
          <w:tcPr>
            <w:tcW w:w="2126" w:type="dxa"/>
          </w:tcPr>
          <w:p w14:paraId="4D97B627" w14:textId="77777777" w:rsidR="00B43FD9" w:rsidRPr="00AE2DBF" w:rsidRDefault="00B43FD9" w:rsidP="000C7164">
            <w:pPr>
              <w:jc w:val="left"/>
              <w:rPr>
                <w:rFonts w:ascii="Arial Narrow" w:hAnsi="Arial Narrow" w:cs="Times New Roman"/>
                <w:sz w:val="20"/>
                <w:szCs w:val="20"/>
              </w:rPr>
            </w:pPr>
            <w:r w:rsidRPr="00AE2DBF">
              <w:rPr>
                <w:rFonts w:ascii="Arial Narrow" w:hAnsi="Arial Narrow"/>
                <w:sz w:val="20"/>
                <w:szCs w:val="20"/>
              </w:rPr>
              <w:t>DRG B67B, assuming 131% paediatric cost adjustment</w:t>
            </w:r>
          </w:p>
        </w:tc>
        <w:tc>
          <w:tcPr>
            <w:tcW w:w="4631" w:type="dxa"/>
          </w:tcPr>
          <w:p w14:paraId="6D050250" w14:textId="692CDA21" w:rsidR="00B43FD9" w:rsidRPr="00AE2DBF" w:rsidRDefault="00B43FD9" w:rsidP="000C7164">
            <w:pPr>
              <w:jc w:val="left"/>
              <w:rPr>
                <w:rFonts w:ascii="Arial Narrow" w:hAnsi="Arial Narrow" w:cs="Times New Roman"/>
                <w:i/>
                <w:iCs/>
                <w:sz w:val="20"/>
                <w:szCs w:val="20"/>
              </w:rPr>
            </w:pPr>
            <w:r w:rsidRPr="00932F01">
              <w:rPr>
                <w:rFonts w:ascii="Arial Narrow" w:hAnsi="Arial Narrow"/>
                <w:sz w:val="20"/>
                <w:szCs w:val="20"/>
              </w:rPr>
              <w:t>Consistent with claims in CMA, but may be overestimated compared to what has previously been accepted for nusinersen administration costs based on MBS items</w:t>
            </w:r>
          </w:p>
        </w:tc>
      </w:tr>
    </w:tbl>
    <w:p w14:paraId="22AEBB77" w14:textId="2B61F93F" w:rsidR="005C514F" w:rsidRDefault="005C514F" w:rsidP="004C7359">
      <w:pPr>
        <w:snapToGrid w:val="0"/>
        <w:spacing w:after="120"/>
        <w:contextualSpacing/>
        <w:rPr>
          <w:rFonts w:ascii="Arial Narrow" w:eastAsia="Calibri" w:hAnsi="Arial Narrow"/>
          <w:sz w:val="20"/>
          <w:szCs w:val="20"/>
        </w:rPr>
      </w:pPr>
      <w:r w:rsidRPr="007F42AF">
        <w:rPr>
          <w:rFonts w:ascii="Arial Narrow" w:eastAsia="Calibri" w:hAnsi="Arial Narrow"/>
          <w:sz w:val="20"/>
          <w:szCs w:val="20"/>
        </w:rPr>
        <w:t xml:space="preserve">Source: </w:t>
      </w:r>
      <w:r>
        <w:rPr>
          <w:rFonts w:ascii="Arial Narrow" w:eastAsia="Calibri" w:hAnsi="Arial Narrow"/>
          <w:sz w:val="20"/>
          <w:szCs w:val="20"/>
        </w:rPr>
        <w:t xml:space="preserve">Table 4.1.1 pp.132-134 of the commentary on the resubmission. </w:t>
      </w:r>
    </w:p>
    <w:p w14:paraId="6A83D0D2" w14:textId="77777777" w:rsidR="000A2D14" w:rsidRPr="009A6D58" w:rsidRDefault="000A2D14" w:rsidP="000A2D1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8A3AF2A" w14:textId="7458B84B" w:rsidR="000A2D14" w:rsidRPr="000A2D14" w:rsidRDefault="000A2D14" w:rsidP="000A2D14">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0A2D14">
        <w:rPr>
          <w:rFonts w:ascii="Arial Narrow" w:hAnsi="Arial Narrow"/>
          <w:i/>
          <w:sz w:val="18"/>
          <w:szCs w:val="18"/>
        </w:rPr>
        <w:t>&lt; 500</w:t>
      </w:r>
    </w:p>
    <w:p w14:paraId="198DF242" w14:textId="7EC9D0BD" w:rsidR="008914A5" w:rsidRPr="00111042" w:rsidRDefault="008914A5" w:rsidP="008914A5">
      <w:pPr>
        <w:pStyle w:val="3-BodyText"/>
      </w:pPr>
      <w:r w:rsidRPr="00111042">
        <w:rPr>
          <w:rFonts w:cstheme="minorHAnsi"/>
        </w:rPr>
        <w:t>The resubmission assumed only incident (newborn) patients would make up the population 2 patient numbers</w:t>
      </w:r>
      <w:r w:rsidRPr="00111042">
        <w:rPr>
          <w:rFonts w:cstheme="minorHAnsi"/>
          <w:i/>
          <w:iCs/>
        </w:rPr>
        <w:t xml:space="preserve">. </w:t>
      </w:r>
      <w:r w:rsidRPr="008914A5">
        <w:rPr>
          <w:rFonts w:cstheme="minorHAnsi"/>
        </w:rPr>
        <w:t xml:space="preserve">This may not have been appropriate as it excludes currently living patients aged &lt;36 months in Year 1. PBS script data for 2022 indicates there were </w:t>
      </w:r>
      <w:r w:rsidR="00056B8F">
        <w:rPr>
          <w:rFonts w:cstheme="minorHAnsi"/>
        </w:rPr>
        <w:t>≤</w:t>
      </w:r>
      <w:r w:rsidRPr="008914A5">
        <w:rPr>
          <w:rFonts w:cstheme="minorHAnsi"/>
        </w:rPr>
        <w:t xml:space="preserve">5 patients who received initial treatment under the pre-symptomatic listings </w:t>
      </w:r>
      <w:r w:rsidR="00056B8F">
        <w:rPr>
          <w:rFonts w:cstheme="minorHAnsi"/>
        </w:rPr>
        <w:t xml:space="preserve">for nusinersen </w:t>
      </w:r>
      <w:r w:rsidRPr="008914A5">
        <w:rPr>
          <w:rFonts w:cstheme="minorHAnsi"/>
        </w:rPr>
        <w:t>(PBS items 12176W and 12177X)</w:t>
      </w:r>
      <w:r w:rsidR="00056B8F">
        <w:rPr>
          <w:rFonts w:cstheme="minorHAnsi"/>
        </w:rPr>
        <w:t>, and ≤</w:t>
      </w:r>
      <w:r w:rsidR="00056B8F" w:rsidRPr="008914A5">
        <w:rPr>
          <w:rFonts w:cstheme="minorHAnsi"/>
        </w:rPr>
        <w:t xml:space="preserve">5 patients who received treatment </w:t>
      </w:r>
      <w:r w:rsidR="00056B8F">
        <w:rPr>
          <w:rFonts w:cstheme="minorHAnsi"/>
        </w:rPr>
        <w:t>with ONA</w:t>
      </w:r>
      <w:r w:rsidRPr="008914A5">
        <w:rPr>
          <w:rFonts w:cstheme="minorHAnsi"/>
        </w:rPr>
        <w:t>. The number of patients identified pre</w:t>
      </w:r>
      <w:r w:rsidR="00056B8F">
        <w:rPr>
          <w:rFonts w:cstheme="minorHAnsi"/>
        </w:rPr>
        <w:noBreakHyphen/>
      </w:r>
      <w:r w:rsidRPr="008914A5">
        <w:rPr>
          <w:rFonts w:cstheme="minorHAnsi"/>
        </w:rPr>
        <w:t>symptomatically is likely to increase with wider application of newborn screening.</w:t>
      </w:r>
    </w:p>
    <w:p w14:paraId="75938C50" w14:textId="56894838" w:rsidR="008914A5" w:rsidRPr="00111042" w:rsidRDefault="008914A5" w:rsidP="008914A5">
      <w:pPr>
        <w:pStyle w:val="3-BodyText"/>
      </w:pPr>
      <w:r w:rsidRPr="00111042">
        <w:rPr>
          <w:rFonts w:cstheme="minorHAnsi"/>
        </w:rPr>
        <w:t xml:space="preserve">The proportion of patients with two </w:t>
      </w:r>
      <w:r w:rsidR="0029435B" w:rsidRPr="0029435B">
        <w:rPr>
          <w:rFonts w:cstheme="minorHAnsi"/>
          <w:i/>
        </w:rPr>
        <w:t>SMN2</w:t>
      </w:r>
      <w:r w:rsidRPr="00111042">
        <w:rPr>
          <w:rFonts w:cstheme="minorHAnsi"/>
        </w:rPr>
        <w:t xml:space="preserve"> gene copy numbers (57.1%) was sourced from the NSW/ACT SMA screening program and applied to estimate the total inciden</w:t>
      </w:r>
      <w:r>
        <w:rPr>
          <w:rFonts w:cstheme="minorHAnsi"/>
        </w:rPr>
        <w:t>t</w:t>
      </w:r>
      <w:r w:rsidRPr="00111042">
        <w:rPr>
          <w:rFonts w:cstheme="minorHAnsi"/>
        </w:rPr>
        <w:t xml:space="preserve"> population. The resubmission </w:t>
      </w:r>
      <w:r w:rsidRPr="00E40BA6">
        <w:rPr>
          <w:rFonts w:cstheme="minorHAnsi"/>
        </w:rPr>
        <w:t>reasonably</w:t>
      </w:r>
      <w:r w:rsidRPr="00111042">
        <w:rPr>
          <w:rFonts w:cstheme="minorHAnsi"/>
        </w:rPr>
        <w:t xml:space="preserve"> assumed no patients with one copy of the </w:t>
      </w:r>
      <w:r w:rsidR="0029435B" w:rsidRPr="0029435B">
        <w:rPr>
          <w:rFonts w:cstheme="minorHAnsi"/>
          <w:i/>
        </w:rPr>
        <w:t>SMN2</w:t>
      </w:r>
      <w:r w:rsidRPr="00111042">
        <w:rPr>
          <w:rFonts w:cstheme="minorHAnsi"/>
        </w:rPr>
        <w:t xml:space="preserve"> gene would be included in population 2 as these patients would likely be symptomatic at birth.</w:t>
      </w:r>
    </w:p>
    <w:p w14:paraId="387ADE10" w14:textId="07E915BE" w:rsidR="008914A5" w:rsidRPr="00111042" w:rsidRDefault="008914A5" w:rsidP="008914A5">
      <w:pPr>
        <w:pStyle w:val="3-BodyText"/>
      </w:pPr>
      <w:r w:rsidRPr="00111042">
        <w:rPr>
          <w:rFonts w:cstheme="minorHAnsi"/>
        </w:rPr>
        <w:t>The resubmission used age and w</w:t>
      </w:r>
      <w:r>
        <w:rPr>
          <w:rFonts w:cstheme="minorHAnsi"/>
        </w:rPr>
        <w:t>e</w:t>
      </w:r>
      <w:r w:rsidRPr="00111042">
        <w:rPr>
          <w:rFonts w:cstheme="minorHAnsi"/>
        </w:rPr>
        <w:t xml:space="preserve">ight-based dosing data, as was used to inform the CMA, in the financial estimates for population 2. </w:t>
      </w:r>
      <w:r w:rsidRPr="008914A5">
        <w:rPr>
          <w:rFonts w:cstheme="minorHAnsi"/>
        </w:rPr>
        <w:t xml:space="preserve">However, the </w:t>
      </w:r>
      <w:r w:rsidRPr="008914A5">
        <w:t xml:space="preserve">risdiplam doses </w:t>
      </w:r>
      <w:r w:rsidRPr="008914A5">
        <w:lastRenderedPageBreak/>
        <w:t xml:space="preserve">assumed in the CMA were lower than in the financial estimates due to weight changes being estimated monthly rather than annually. Additionally, dosages of risdiplam in population 2 during the first 6 years of listing (in which patients weigh less than 20 kg for the first 5 years) would be substantially lower than the dosages of risdiplam after year 6 (in which they would be using the maximum dose of 5 mg/daily), and as such, the financial estimates of the first 6 years of listing in population 2 </w:t>
      </w:r>
      <w:r w:rsidR="00336A92">
        <w:t>do</w:t>
      </w:r>
      <w:r w:rsidR="00336A92" w:rsidRPr="008914A5">
        <w:t xml:space="preserve"> </w:t>
      </w:r>
      <w:r w:rsidRPr="008914A5">
        <w:t xml:space="preserve">not reflect the total cost of listing of risdiplam </w:t>
      </w:r>
      <w:r w:rsidR="00336A92">
        <w:t>beyond 6 years</w:t>
      </w:r>
      <w:r w:rsidRPr="008914A5">
        <w:t>.</w:t>
      </w:r>
      <w:r w:rsidRPr="00111042">
        <w:rPr>
          <w:i/>
          <w:iCs/>
        </w:rPr>
        <w:t xml:space="preserve"> </w:t>
      </w:r>
    </w:p>
    <w:p w14:paraId="5CA5CF2C" w14:textId="77777777" w:rsidR="008914A5" w:rsidRPr="00111042" w:rsidRDefault="008914A5" w:rsidP="008914A5">
      <w:pPr>
        <w:pStyle w:val="3-BodyText"/>
      </w:pPr>
      <w:r w:rsidRPr="00111042">
        <w:rPr>
          <w:rFonts w:cstheme="minorHAnsi"/>
        </w:rPr>
        <w:t xml:space="preserve">Uptake rates (20.8%) were sourced from advisory board responses. </w:t>
      </w:r>
      <w:r w:rsidRPr="008914A5">
        <w:rPr>
          <w:rFonts w:cstheme="minorHAnsi"/>
        </w:rPr>
        <w:t>It is unclear whether an assumption of 20.8% uptake for risdiplam is reasonable given the safety risks of alternative DMTs such as ONA, and the benefits of administration and access of risdiplam versus nusinersen. It may also have been inappropriate to have assumed the uptake rate of 20.8% remained constant over each year as clinicians become more familiar with risdiplam.</w:t>
      </w:r>
    </w:p>
    <w:p w14:paraId="6009B023" w14:textId="4596FEE0" w:rsidR="008914A5" w:rsidRPr="00111042" w:rsidRDefault="008914A5" w:rsidP="008914A5">
      <w:pPr>
        <w:pStyle w:val="3-BodyText"/>
      </w:pPr>
      <w:r w:rsidRPr="00111042">
        <w:rPr>
          <w:rFonts w:cstheme="minorHAnsi"/>
        </w:rPr>
        <w:t xml:space="preserve">Reductions in nusinersen administration (based on AR DRG hospitalisations costs) were included for patients assumed to switch to risdiplam. </w:t>
      </w:r>
      <w:r w:rsidRPr="008914A5">
        <w:rPr>
          <w:rFonts w:cstheme="minorHAnsi"/>
        </w:rPr>
        <w:t xml:space="preserve">The unit cost for administration in the resubmission ($1,252 in adults and $1,640 in children) was substantially higher than administration costs applied in the nusinersen July 2020 submission ($402.25, </w:t>
      </w:r>
      <w:r w:rsidR="00336A92">
        <w:rPr>
          <w:rFonts w:cstheme="minorHAnsi"/>
        </w:rPr>
        <w:t>T</w:t>
      </w:r>
      <w:r w:rsidRPr="008914A5">
        <w:rPr>
          <w:rFonts w:cstheme="minorHAnsi"/>
        </w:rPr>
        <w:t>able 18, nusinersen, PSD, July 2020 PBAC meeting).</w:t>
      </w:r>
    </w:p>
    <w:p w14:paraId="6EB710CB" w14:textId="77777777" w:rsidR="008914A5" w:rsidRPr="00111042" w:rsidRDefault="008914A5" w:rsidP="008914A5">
      <w:pPr>
        <w:pStyle w:val="3-BodyText"/>
        <w:numPr>
          <w:ilvl w:val="0"/>
          <w:numId w:val="0"/>
        </w:numPr>
        <w:rPr>
          <w:u w:val="single"/>
        </w:rPr>
      </w:pPr>
      <w:r w:rsidRPr="00111042">
        <w:rPr>
          <w:rFonts w:cstheme="minorHAnsi"/>
          <w:u w:val="single"/>
        </w:rPr>
        <w:t xml:space="preserve">Estimation of use and financial impact </w:t>
      </w:r>
    </w:p>
    <w:p w14:paraId="000C3309" w14:textId="7CD08932" w:rsidR="008914A5" w:rsidRPr="00111042" w:rsidRDefault="008914A5" w:rsidP="008914A5">
      <w:pPr>
        <w:pStyle w:val="3-BodyText"/>
      </w:pPr>
      <w:r w:rsidRPr="00111042">
        <w:t xml:space="preserve">The resubmission used published risdiplam and nusinersen prices to estimate financial impacts. </w:t>
      </w:r>
    </w:p>
    <w:p w14:paraId="6F0E9A56" w14:textId="3B27F725" w:rsidR="008914A5" w:rsidRPr="00111042" w:rsidRDefault="008914A5" w:rsidP="008914A5">
      <w:pPr>
        <w:pStyle w:val="Caption"/>
        <w:rPr>
          <w:b w:val="0"/>
          <w:bCs w:val="0"/>
          <w:szCs w:val="20"/>
        </w:rPr>
      </w:pPr>
      <w:bookmarkStart w:id="49" w:name="_Ref131157368"/>
      <w:r w:rsidRPr="00111042">
        <w:lastRenderedPageBreak/>
        <w:t xml:space="preserve">Table </w:t>
      </w:r>
      <w:r w:rsidR="00D45640">
        <w:fldChar w:fldCharType="begin"/>
      </w:r>
      <w:r w:rsidR="00D45640">
        <w:instrText xml:space="preserve"> SEQ Table \* ARABIC </w:instrText>
      </w:r>
      <w:r w:rsidR="00D45640">
        <w:fldChar w:fldCharType="separate"/>
      </w:r>
      <w:r w:rsidR="00D45640">
        <w:rPr>
          <w:noProof/>
        </w:rPr>
        <w:t>15</w:t>
      </w:r>
      <w:r w:rsidR="00D45640">
        <w:rPr>
          <w:noProof/>
        </w:rPr>
        <w:fldChar w:fldCharType="end"/>
      </w:r>
      <w:bookmarkEnd w:id="49"/>
      <w:r w:rsidRPr="00111042">
        <w:rPr>
          <w:szCs w:val="20"/>
        </w:rPr>
        <w:t xml:space="preserve"> Financial estimates in population 1 and 2 using published prices </w:t>
      </w:r>
    </w:p>
    <w:tbl>
      <w:tblPr>
        <w:tblStyle w:val="TableGrid"/>
        <w:tblW w:w="9018" w:type="dxa"/>
        <w:tblLayout w:type="fixed"/>
        <w:tblLook w:val="04A0" w:firstRow="1" w:lastRow="0" w:firstColumn="1" w:lastColumn="0" w:noHBand="0" w:noVBand="1"/>
      </w:tblPr>
      <w:tblGrid>
        <w:gridCol w:w="1288"/>
        <w:gridCol w:w="692"/>
        <w:gridCol w:w="596"/>
        <w:gridCol w:w="254"/>
        <w:gridCol w:w="142"/>
        <w:gridCol w:w="142"/>
        <w:gridCol w:w="38"/>
        <w:gridCol w:w="478"/>
        <w:gridCol w:w="236"/>
        <w:gridCol w:w="459"/>
        <w:gridCol w:w="65"/>
        <w:gridCol w:w="764"/>
        <w:gridCol w:w="344"/>
        <w:gridCol w:w="944"/>
        <w:gridCol w:w="228"/>
        <w:gridCol w:w="1060"/>
        <w:gridCol w:w="113"/>
        <w:gridCol w:w="1175"/>
      </w:tblGrid>
      <w:tr w:rsidR="008914A5" w:rsidRPr="008914A5" w14:paraId="44ABC5F5" w14:textId="77777777" w:rsidTr="00A80A4C">
        <w:tc>
          <w:tcPr>
            <w:tcW w:w="1980" w:type="dxa"/>
            <w:gridSpan w:val="2"/>
            <w:tcBorders>
              <w:bottom w:val="single" w:sz="4" w:space="0" w:color="auto"/>
            </w:tcBorders>
            <w:vAlign w:val="center"/>
          </w:tcPr>
          <w:p w14:paraId="1E43CCAF" w14:textId="77777777" w:rsidR="008914A5" w:rsidRPr="008914A5" w:rsidRDefault="008914A5" w:rsidP="00A80A4C">
            <w:pPr>
              <w:keepNext/>
              <w:keepLines/>
              <w:jc w:val="left"/>
              <w:rPr>
                <w:rFonts w:ascii="Arial Narrow" w:hAnsi="Arial Narrow"/>
                <w:sz w:val="20"/>
                <w:szCs w:val="20"/>
              </w:rPr>
            </w:pPr>
          </w:p>
        </w:tc>
        <w:tc>
          <w:tcPr>
            <w:tcW w:w="1172" w:type="dxa"/>
            <w:gridSpan w:val="5"/>
            <w:tcBorders>
              <w:bottom w:val="single" w:sz="4" w:space="0" w:color="auto"/>
            </w:tcBorders>
            <w:vAlign w:val="center"/>
          </w:tcPr>
          <w:p w14:paraId="2A100501" w14:textId="77777777" w:rsidR="008914A5" w:rsidRPr="008914A5" w:rsidRDefault="008914A5" w:rsidP="00452A4C">
            <w:pPr>
              <w:keepNext/>
              <w:keepLines/>
              <w:jc w:val="center"/>
              <w:rPr>
                <w:rFonts w:ascii="Arial Narrow" w:hAnsi="Arial Narrow"/>
                <w:b/>
                <w:bCs/>
                <w:sz w:val="20"/>
                <w:szCs w:val="20"/>
              </w:rPr>
            </w:pPr>
            <w:r w:rsidRPr="008914A5">
              <w:rPr>
                <w:rFonts w:ascii="Arial Narrow" w:hAnsi="Arial Narrow"/>
                <w:b/>
                <w:bCs/>
                <w:sz w:val="20"/>
                <w:szCs w:val="20"/>
              </w:rPr>
              <w:t>2023</w:t>
            </w:r>
          </w:p>
        </w:tc>
        <w:tc>
          <w:tcPr>
            <w:tcW w:w="1173" w:type="dxa"/>
            <w:gridSpan w:val="3"/>
            <w:tcBorders>
              <w:bottom w:val="single" w:sz="4" w:space="0" w:color="auto"/>
            </w:tcBorders>
            <w:vAlign w:val="center"/>
          </w:tcPr>
          <w:p w14:paraId="439CD061" w14:textId="77777777" w:rsidR="008914A5" w:rsidRPr="008914A5" w:rsidRDefault="008914A5" w:rsidP="00452A4C">
            <w:pPr>
              <w:keepNext/>
              <w:keepLines/>
              <w:jc w:val="center"/>
              <w:rPr>
                <w:rFonts w:ascii="Arial Narrow" w:hAnsi="Arial Narrow"/>
                <w:b/>
                <w:bCs/>
                <w:sz w:val="20"/>
                <w:szCs w:val="20"/>
              </w:rPr>
            </w:pPr>
            <w:r w:rsidRPr="008914A5">
              <w:rPr>
                <w:rFonts w:ascii="Arial Narrow" w:hAnsi="Arial Narrow"/>
                <w:b/>
                <w:bCs/>
                <w:sz w:val="20"/>
                <w:szCs w:val="20"/>
              </w:rPr>
              <w:t>2024</w:t>
            </w:r>
          </w:p>
        </w:tc>
        <w:tc>
          <w:tcPr>
            <w:tcW w:w="1173" w:type="dxa"/>
            <w:gridSpan w:val="3"/>
            <w:tcBorders>
              <w:bottom w:val="single" w:sz="4" w:space="0" w:color="auto"/>
            </w:tcBorders>
            <w:vAlign w:val="center"/>
          </w:tcPr>
          <w:p w14:paraId="71F2EAFB" w14:textId="77777777" w:rsidR="008914A5" w:rsidRPr="008914A5" w:rsidRDefault="008914A5" w:rsidP="00452A4C">
            <w:pPr>
              <w:keepNext/>
              <w:keepLines/>
              <w:jc w:val="center"/>
              <w:rPr>
                <w:rFonts w:ascii="Arial Narrow" w:hAnsi="Arial Narrow"/>
                <w:b/>
                <w:bCs/>
                <w:sz w:val="20"/>
                <w:szCs w:val="20"/>
              </w:rPr>
            </w:pPr>
            <w:r w:rsidRPr="008914A5">
              <w:rPr>
                <w:rFonts w:ascii="Arial Narrow" w:hAnsi="Arial Narrow"/>
                <w:b/>
                <w:bCs/>
                <w:sz w:val="20"/>
                <w:szCs w:val="20"/>
              </w:rPr>
              <w:t>2025</w:t>
            </w:r>
          </w:p>
        </w:tc>
        <w:tc>
          <w:tcPr>
            <w:tcW w:w="1172" w:type="dxa"/>
            <w:gridSpan w:val="2"/>
            <w:tcBorders>
              <w:bottom w:val="single" w:sz="4" w:space="0" w:color="auto"/>
            </w:tcBorders>
            <w:vAlign w:val="center"/>
          </w:tcPr>
          <w:p w14:paraId="0F2DA5E8" w14:textId="77777777" w:rsidR="008914A5" w:rsidRPr="008914A5" w:rsidRDefault="008914A5" w:rsidP="00452A4C">
            <w:pPr>
              <w:keepNext/>
              <w:keepLines/>
              <w:jc w:val="center"/>
              <w:rPr>
                <w:rFonts w:ascii="Arial Narrow" w:hAnsi="Arial Narrow"/>
                <w:b/>
                <w:bCs/>
                <w:sz w:val="20"/>
                <w:szCs w:val="20"/>
              </w:rPr>
            </w:pPr>
            <w:r w:rsidRPr="008914A5">
              <w:rPr>
                <w:rFonts w:ascii="Arial Narrow" w:hAnsi="Arial Narrow"/>
                <w:b/>
                <w:bCs/>
                <w:sz w:val="20"/>
                <w:szCs w:val="20"/>
              </w:rPr>
              <w:t>2026</w:t>
            </w:r>
          </w:p>
        </w:tc>
        <w:tc>
          <w:tcPr>
            <w:tcW w:w="1173" w:type="dxa"/>
            <w:gridSpan w:val="2"/>
            <w:tcBorders>
              <w:bottom w:val="single" w:sz="4" w:space="0" w:color="auto"/>
            </w:tcBorders>
            <w:vAlign w:val="center"/>
          </w:tcPr>
          <w:p w14:paraId="65427F89" w14:textId="77777777" w:rsidR="008914A5" w:rsidRPr="008914A5" w:rsidRDefault="008914A5" w:rsidP="00452A4C">
            <w:pPr>
              <w:keepNext/>
              <w:keepLines/>
              <w:jc w:val="center"/>
              <w:rPr>
                <w:rFonts w:ascii="Arial Narrow" w:hAnsi="Arial Narrow"/>
                <w:b/>
                <w:bCs/>
                <w:sz w:val="20"/>
                <w:szCs w:val="20"/>
              </w:rPr>
            </w:pPr>
            <w:r w:rsidRPr="008914A5">
              <w:rPr>
                <w:rFonts w:ascii="Arial Narrow" w:hAnsi="Arial Narrow"/>
                <w:b/>
                <w:bCs/>
                <w:sz w:val="20"/>
                <w:szCs w:val="20"/>
              </w:rPr>
              <w:t>2027</w:t>
            </w:r>
          </w:p>
        </w:tc>
        <w:tc>
          <w:tcPr>
            <w:tcW w:w="1175" w:type="dxa"/>
            <w:tcBorders>
              <w:bottom w:val="single" w:sz="4" w:space="0" w:color="auto"/>
            </w:tcBorders>
            <w:vAlign w:val="center"/>
          </w:tcPr>
          <w:p w14:paraId="432384D5" w14:textId="77777777" w:rsidR="008914A5" w:rsidRPr="008914A5" w:rsidRDefault="008914A5" w:rsidP="00452A4C">
            <w:pPr>
              <w:keepNext/>
              <w:keepLines/>
              <w:jc w:val="center"/>
              <w:rPr>
                <w:rFonts w:ascii="Arial Narrow" w:hAnsi="Arial Narrow"/>
                <w:b/>
                <w:bCs/>
                <w:sz w:val="20"/>
                <w:szCs w:val="20"/>
              </w:rPr>
            </w:pPr>
            <w:r w:rsidRPr="008914A5">
              <w:rPr>
                <w:rFonts w:ascii="Arial Narrow" w:hAnsi="Arial Narrow"/>
                <w:b/>
                <w:bCs/>
                <w:sz w:val="20"/>
                <w:szCs w:val="20"/>
              </w:rPr>
              <w:t>2028</w:t>
            </w:r>
          </w:p>
        </w:tc>
      </w:tr>
      <w:tr w:rsidR="00E834C3" w:rsidRPr="00E834C3" w14:paraId="232E6748" w14:textId="77777777" w:rsidTr="00A80A4C">
        <w:tc>
          <w:tcPr>
            <w:tcW w:w="2830" w:type="dxa"/>
            <w:gridSpan w:val="4"/>
            <w:tcBorders>
              <w:right w:val="nil"/>
            </w:tcBorders>
            <w:vAlign w:val="center"/>
          </w:tcPr>
          <w:p w14:paraId="40B55D57" w14:textId="029E42F9" w:rsidR="00E834C3" w:rsidRPr="00E834C3" w:rsidRDefault="00E834C3" w:rsidP="00A80A4C">
            <w:pPr>
              <w:keepNext/>
              <w:keepLines/>
              <w:jc w:val="left"/>
              <w:rPr>
                <w:rFonts w:ascii="Arial Narrow" w:hAnsi="Arial Narrow"/>
                <w:b/>
                <w:bCs/>
                <w:sz w:val="20"/>
                <w:szCs w:val="20"/>
              </w:rPr>
            </w:pPr>
            <w:r w:rsidRPr="00E834C3">
              <w:rPr>
                <w:rFonts w:ascii="Arial Narrow" w:hAnsi="Arial Narrow"/>
                <w:b/>
                <w:bCs/>
                <w:sz w:val="20"/>
                <w:szCs w:val="20"/>
              </w:rPr>
              <w:t>Population 1 patient estimates</w:t>
            </w:r>
          </w:p>
        </w:tc>
        <w:tc>
          <w:tcPr>
            <w:tcW w:w="284" w:type="dxa"/>
            <w:gridSpan w:val="2"/>
            <w:tcBorders>
              <w:left w:val="nil"/>
              <w:right w:val="nil"/>
            </w:tcBorders>
            <w:vAlign w:val="center"/>
          </w:tcPr>
          <w:p w14:paraId="08CAB058" w14:textId="77777777" w:rsidR="00E834C3" w:rsidRPr="00E834C3" w:rsidRDefault="00E834C3" w:rsidP="00452A4C">
            <w:pPr>
              <w:keepNext/>
              <w:keepLines/>
              <w:jc w:val="center"/>
              <w:rPr>
                <w:rFonts w:ascii="Arial Narrow" w:hAnsi="Arial Narrow"/>
                <w:b/>
                <w:bCs/>
                <w:sz w:val="20"/>
                <w:szCs w:val="20"/>
              </w:rPr>
            </w:pPr>
          </w:p>
        </w:tc>
        <w:tc>
          <w:tcPr>
            <w:tcW w:w="1276" w:type="dxa"/>
            <w:gridSpan w:val="5"/>
            <w:tcBorders>
              <w:left w:val="nil"/>
              <w:right w:val="nil"/>
            </w:tcBorders>
            <w:vAlign w:val="center"/>
          </w:tcPr>
          <w:p w14:paraId="62DBDC5C" w14:textId="77777777" w:rsidR="00E834C3" w:rsidRPr="00E834C3" w:rsidRDefault="00E834C3" w:rsidP="00452A4C">
            <w:pPr>
              <w:keepNext/>
              <w:keepLines/>
              <w:jc w:val="center"/>
              <w:rPr>
                <w:rFonts w:ascii="Arial Narrow" w:hAnsi="Arial Narrow"/>
                <w:b/>
                <w:bCs/>
                <w:sz w:val="20"/>
                <w:szCs w:val="20"/>
              </w:rPr>
            </w:pPr>
          </w:p>
        </w:tc>
        <w:tc>
          <w:tcPr>
            <w:tcW w:w="764" w:type="dxa"/>
            <w:tcBorders>
              <w:left w:val="nil"/>
              <w:right w:val="nil"/>
            </w:tcBorders>
            <w:vAlign w:val="center"/>
          </w:tcPr>
          <w:p w14:paraId="27A19EB3" w14:textId="77777777" w:rsidR="00E834C3" w:rsidRPr="00E834C3" w:rsidRDefault="00E834C3" w:rsidP="00452A4C">
            <w:pPr>
              <w:keepNext/>
              <w:keepLines/>
              <w:jc w:val="center"/>
              <w:rPr>
                <w:rFonts w:ascii="Arial Narrow" w:hAnsi="Arial Narrow"/>
                <w:b/>
                <w:bCs/>
                <w:sz w:val="20"/>
                <w:szCs w:val="20"/>
              </w:rPr>
            </w:pPr>
          </w:p>
        </w:tc>
        <w:tc>
          <w:tcPr>
            <w:tcW w:w="1288" w:type="dxa"/>
            <w:gridSpan w:val="2"/>
            <w:tcBorders>
              <w:left w:val="nil"/>
              <w:right w:val="nil"/>
            </w:tcBorders>
            <w:vAlign w:val="center"/>
          </w:tcPr>
          <w:p w14:paraId="7E51F45E" w14:textId="77777777" w:rsidR="00E834C3" w:rsidRPr="00E834C3" w:rsidRDefault="00E834C3" w:rsidP="00452A4C">
            <w:pPr>
              <w:keepNext/>
              <w:keepLines/>
              <w:jc w:val="center"/>
              <w:rPr>
                <w:rFonts w:ascii="Arial Narrow" w:hAnsi="Arial Narrow"/>
                <w:b/>
                <w:bCs/>
                <w:sz w:val="20"/>
                <w:szCs w:val="20"/>
              </w:rPr>
            </w:pPr>
          </w:p>
        </w:tc>
        <w:tc>
          <w:tcPr>
            <w:tcW w:w="1288" w:type="dxa"/>
            <w:gridSpan w:val="2"/>
            <w:tcBorders>
              <w:left w:val="nil"/>
              <w:right w:val="nil"/>
            </w:tcBorders>
            <w:vAlign w:val="center"/>
          </w:tcPr>
          <w:p w14:paraId="2918B4F5" w14:textId="77777777" w:rsidR="00E834C3" w:rsidRPr="00E834C3" w:rsidRDefault="00E834C3" w:rsidP="00452A4C">
            <w:pPr>
              <w:keepNext/>
              <w:keepLines/>
              <w:jc w:val="center"/>
              <w:rPr>
                <w:rFonts w:ascii="Arial Narrow" w:hAnsi="Arial Narrow"/>
                <w:b/>
                <w:bCs/>
                <w:sz w:val="20"/>
                <w:szCs w:val="20"/>
              </w:rPr>
            </w:pPr>
          </w:p>
        </w:tc>
        <w:tc>
          <w:tcPr>
            <w:tcW w:w="1288" w:type="dxa"/>
            <w:gridSpan w:val="2"/>
            <w:tcBorders>
              <w:left w:val="nil"/>
            </w:tcBorders>
            <w:vAlign w:val="center"/>
          </w:tcPr>
          <w:p w14:paraId="33E2E9C1" w14:textId="77777777" w:rsidR="00E834C3" w:rsidRPr="00E834C3" w:rsidRDefault="00E834C3" w:rsidP="00452A4C">
            <w:pPr>
              <w:keepNext/>
              <w:keepLines/>
              <w:jc w:val="center"/>
              <w:rPr>
                <w:rFonts w:ascii="Arial Narrow" w:hAnsi="Arial Narrow"/>
                <w:b/>
                <w:bCs/>
                <w:sz w:val="20"/>
                <w:szCs w:val="20"/>
              </w:rPr>
            </w:pPr>
          </w:p>
        </w:tc>
      </w:tr>
      <w:tr w:rsidR="00E834C3" w:rsidRPr="008914A5" w14:paraId="68C21BF7" w14:textId="77777777" w:rsidTr="00A80A4C">
        <w:tc>
          <w:tcPr>
            <w:tcW w:w="1980" w:type="dxa"/>
            <w:gridSpan w:val="2"/>
            <w:tcBorders>
              <w:bottom w:val="single" w:sz="4" w:space="0" w:color="auto"/>
            </w:tcBorders>
            <w:vAlign w:val="center"/>
          </w:tcPr>
          <w:p w14:paraId="217275E0" w14:textId="06F969A5" w:rsidR="00E834C3" w:rsidRPr="008914A5" w:rsidRDefault="00E834C3" w:rsidP="00A80A4C">
            <w:pPr>
              <w:keepNext/>
              <w:keepLines/>
              <w:jc w:val="left"/>
              <w:rPr>
                <w:rFonts w:ascii="Arial Narrow" w:hAnsi="Arial Narrow"/>
                <w:sz w:val="20"/>
                <w:szCs w:val="20"/>
              </w:rPr>
            </w:pPr>
            <w:r>
              <w:rPr>
                <w:rFonts w:ascii="Arial Narrow" w:hAnsi="Arial Narrow"/>
                <w:sz w:val="20"/>
                <w:szCs w:val="20"/>
              </w:rPr>
              <w:t>Total prevalent patients</w:t>
            </w:r>
          </w:p>
        </w:tc>
        <w:tc>
          <w:tcPr>
            <w:tcW w:w="1172" w:type="dxa"/>
            <w:gridSpan w:val="5"/>
            <w:tcBorders>
              <w:bottom w:val="single" w:sz="4" w:space="0" w:color="auto"/>
            </w:tcBorders>
            <w:vAlign w:val="center"/>
          </w:tcPr>
          <w:p w14:paraId="3F20E565" w14:textId="10D874F4" w:rsidR="00E834C3"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4"/>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4"/>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3"/>
            <w:tcBorders>
              <w:bottom w:val="single" w:sz="4" w:space="0" w:color="auto"/>
            </w:tcBorders>
            <w:vAlign w:val="center"/>
          </w:tcPr>
          <w:p w14:paraId="6C0D376B" w14:textId="2B9B173E" w:rsidR="00E834C3"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3"/>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3"/>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3"/>
            <w:tcBorders>
              <w:bottom w:val="single" w:sz="4" w:space="0" w:color="auto"/>
            </w:tcBorders>
            <w:vAlign w:val="center"/>
          </w:tcPr>
          <w:p w14:paraId="5213FB02" w14:textId="4A7BABA8" w:rsidR="00E834C3"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2"/>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2"/>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2" w:type="dxa"/>
            <w:gridSpan w:val="2"/>
            <w:tcBorders>
              <w:bottom w:val="single" w:sz="4" w:space="0" w:color="auto"/>
            </w:tcBorders>
            <w:vAlign w:val="center"/>
          </w:tcPr>
          <w:p w14:paraId="63914E5F" w14:textId="3D783258" w:rsidR="00E834C3"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1"/>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1"/>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2"/>
            <w:tcBorders>
              <w:bottom w:val="single" w:sz="4" w:space="0" w:color="auto"/>
            </w:tcBorders>
            <w:vAlign w:val="center"/>
          </w:tcPr>
          <w:p w14:paraId="587879C3" w14:textId="7045CF60" w:rsidR="00E834C3"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0"/>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0"/>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5" w:type="dxa"/>
            <w:tcBorders>
              <w:bottom w:val="single" w:sz="4" w:space="0" w:color="auto"/>
            </w:tcBorders>
            <w:vAlign w:val="center"/>
          </w:tcPr>
          <w:p w14:paraId="20E41338" w14:textId="12B209F5" w:rsidR="00E834C3"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9"/>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9"/>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r>
      <w:tr w:rsidR="0029435B" w:rsidRPr="008914A5" w14:paraId="6DDD388C" w14:textId="77777777" w:rsidTr="00761CC0">
        <w:tc>
          <w:tcPr>
            <w:tcW w:w="1980" w:type="dxa"/>
            <w:gridSpan w:val="2"/>
            <w:tcBorders>
              <w:bottom w:val="nil"/>
            </w:tcBorders>
          </w:tcPr>
          <w:p w14:paraId="18090AE8" w14:textId="0F99A539" w:rsidR="0029435B" w:rsidRPr="008914A5" w:rsidRDefault="00E834C3" w:rsidP="00A80A4C">
            <w:pPr>
              <w:keepNext/>
              <w:keepLines/>
              <w:jc w:val="left"/>
              <w:rPr>
                <w:rFonts w:ascii="Arial Narrow" w:hAnsi="Arial Narrow"/>
                <w:sz w:val="20"/>
                <w:szCs w:val="20"/>
              </w:rPr>
            </w:pPr>
            <w:r>
              <w:rPr>
                <w:rFonts w:ascii="Arial Narrow" w:hAnsi="Arial Narrow"/>
                <w:sz w:val="20"/>
                <w:szCs w:val="20"/>
              </w:rPr>
              <w:t>Treated with ris:</w:t>
            </w:r>
            <w:r>
              <w:rPr>
                <w:rFonts w:ascii="Arial Narrow" w:hAnsi="Arial Narrow"/>
                <w:sz w:val="20"/>
                <w:szCs w:val="20"/>
              </w:rPr>
              <w:br/>
              <w:t>I</w:t>
            </w:r>
            <w:r w:rsidR="0029435B" w:rsidRPr="0029435B">
              <w:rPr>
                <w:rFonts w:ascii="Arial Narrow" w:hAnsi="Arial Narrow"/>
                <w:sz w:val="20"/>
                <w:szCs w:val="20"/>
              </w:rPr>
              <w:t>ntrathecal eligible</w:t>
            </w:r>
          </w:p>
        </w:tc>
        <w:tc>
          <w:tcPr>
            <w:tcW w:w="1172" w:type="dxa"/>
            <w:gridSpan w:val="5"/>
            <w:tcBorders>
              <w:bottom w:val="nil"/>
            </w:tcBorders>
            <w:vAlign w:val="bottom"/>
          </w:tcPr>
          <w:p w14:paraId="2DF41FC1" w14:textId="1A2AC66C" w:rsidR="0029435B"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8"/>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8"/>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3"/>
            <w:tcBorders>
              <w:bottom w:val="nil"/>
            </w:tcBorders>
            <w:vAlign w:val="bottom"/>
          </w:tcPr>
          <w:p w14:paraId="0972EECE" w14:textId="34B11C39" w:rsidR="0029435B"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7"/>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7"/>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3"/>
            <w:tcBorders>
              <w:bottom w:val="nil"/>
            </w:tcBorders>
            <w:vAlign w:val="bottom"/>
          </w:tcPr>
          <w:p w14:paraId="19401773" w14:textId="1ED490EC" w:rsidR="0029435B"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6"/>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6"/>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2" w:type="dxa"/>
            <w:gridSpan w:val="2"/>
            <w:tcBorders>
              <w:bottom w:val="nil"/>
            </w:tcBorders>
            <w:vAlign w:val="bottom"/>
          </w:tcPr>
          <w:p w14:paraId="4AD05C9C" w14:textId="392D3F11" w:rsidR="0029435B"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5"/>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5"/>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2"/>
            <w:tcBorders>
              <w:bottom w:val="nil"/>
            </w:tcBorders>
            <w:vAlign w:val="bottom"/>
          </w:tcPr>
          <w:p w14:paraId="367DB19A" w14:textId="17831829" w:rsidR="0029435B"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4"/>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4"/>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5" w:type="dxa"/>
            <w:tcBorders>
              <w:bottom w:val="nil"/>
            </w:tcBorders>
            <w:vAlign w:val="bottom"/>
          </w:tcPr>
          <w:p w14:paraId="0F132E20" w14:textId="371B17E3" w:rsidR="0029435B"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3"/>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3"/>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r>
      <w:tr w:rsidR="0029435B" w:rsidRPr="008914A5" w14:paraId="15F56597" w14:textId="77777777" w:rsidTr="00A80A4C">
        <w:tc>
          <w:tcPr>
            <w:tcW w:w="1980" w:type="dxa"/>
            <w:gridSpan w:val="2"/>
            <w:tcBorders>
              <w:top w:val="nil"/>
            </w:tcBorders>
          </w:tcPr>
          <w:p w14:paraId="7B8B0C20" w14:textId="04208702" w:rsidR="0029435B" w:rsidRPr="0029435B" w:rsidRDefault="00E834C3" w:rsidP="00A80A4C">
            <w:pPr>
              <w:keepNext/>
              <w:keepLines/>
              <w:jc w:val="left"/>
              <w:rPr>
                <w:rFonts w:ascii="Arial Narrow" w:hAnsi="Arial Narrow"/>
                <w:sz w:val="20"/>
                <w:szCs w:val="20"/>
              </w:rPr>
            </w:pPr>
            <w:r>
              <w:rPr>
                <w:rFonts w:ascii="Arial Narrow" w:hAnsi="Arial Narrow"/>
                <w:sz w:val="20"/>
                <w:szCs w:val="20"/>
              </w:rPr>
              <w:t>I</w:t>
            </w:r>
            <w:r w:rsidR="0029435B" w:rsidRPr="0029435B">
              <w:rPr>
                <w:rFonts w:ascii="Arial Narrow" w:hAnsi="Arial Narrow"/>
                <w:sz w:val="20"/>
                <w:szCs w:val="20"/>
              </w:rPr>
              <w:t>ntrathecal ineligible</w:t>
            </w:r>
          </w:p>
        </w:tc>
        <w:tc>
          <w:tcPr>
            <w:tcW w:w="1172" w:type="dxa"/>
            <w:gridSpan w:val="5"/>
            <w:tcBorders>
              <w:top w:val="nil"/>
            </w:tcBorders>
            <w:vAlign w:val="bottom"/>
          </w:tcPr>
          <w:p w14:paraId="205D2355" w14:textId="3F7F0802" w:rsidR="0029435B"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2"/>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2"/>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3"/>
            <w:tcBorders>
              <w:top w:val="nil"/>
            </w:tcBorders>
            <w:vAlign w:val="bottom"/>
          </w:tcPr>
          <w:p w14:paraId="30214986" w14:textId="60CC6C54" w:rsidR="0029435B"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8"/>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8"/>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3"/>
            <w:tcBorders>
              <w:top w:val="nil"/>
            </w:tcBorders>
            <w:vAlign w:val="bottom"/>
          </w:tcPr>
          <w:p w14:paraId="080E64C3" w14:textId="7219A48A" w:rsidR="0029435B"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7"/>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7"/>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2" w:type="dxa"/>
            <w:gridSpan w:val="2"/>
            <w:tcBorders>
              <w:top w:val="nil"/>
            </w:tcBorders>
            <w:vAlign w:val="bottom"/>
          </w:tcPr>
          <w:p w14:paraId="2B3C4078" w14:textId="212E5810" w:rsidR="0029435B"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6"/>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6"/>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2"/>
            <w:tcBorders>
              <w:top w:val="nil"/>
            </w:tcBorders>
            <w:vAlign w:val="bottom"/>
          </w:tcPr>
          <w:p w14:paraId="4181F4D7" w14:textId="0ED69C1D" w:rsidR="0029435B"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5"/>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5"/>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5" w:type="dxa"/>
            <w:tcBorders>
              <w:top w:val="nil"/>
            </w:tcBorders>
            <w:vAlign w:val="bottom"/>
          </w:tcPr>
          <w:p w14:paraId="319AAD41" w14:textId="5189D74F" w:rsidR="0029435B" w:rsidRPr="000A2D14" w:rsidRDefault="00D370AA" w:rsidP="00E834C3">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4"/>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4"/>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r>
      <w:tr w:rsidR="0029435B" w:rsidRPr="008914A5" w14:paraId="5C7A1A6C" w14:textId="77777777" w:rsidTr="00A80A4C">
        <w:tc>
          <w:tcPr>
            <w:tcW w:w="1980" w:type="dxa"/>
            <w:gridSpan w:val="2"/>
            <w:vAlign w:val="center"/>
          </w:tcPr>
          <w:p w14:paraId="0CD61509" w14:textId="10263361" w:rsidR="0029435B" w:rsidRPr="008914A5" w:rsidRDefault="00EB0F50" w:rsidP="00A80A4C">
            <w:pPr>
              <w:keepNext/>
              <w:keepLines/>
              <w:jc w:val="left"/>
              <w:rPr>
                <w:rFonts w:ascii="Arial Narrow" w:hAnsi="Arial Narrow"/>
                <w:sz w:val="20"/>
                <w:szCs w:val="20"/>
                <w:vertAlign w:val="superscript"/>
              </w:rPr>
            </w:pPr>
            <w:r>
              <w:rPr>
                <w:rFonts w:ascii="Arial Narrow" w:hAnsi="Arial Narrow"/>
                <w:sz w:val="20"/>
                <w:szCs w:val="20"/>
              </w:rPr>
              <w:t>Total p</w:t>
            </w:r>
            <w:r w:rsidR="0029435B" w:rsidRPr="008914A5">
              <w:rPr>
                <w:rFonts w:ascii="Arial Narrow" w:hAnsi="Arial Narrow"/>
                <w:sz w:val="20"/>
                <w:szCs w:val="20"/>
              </w:rPr>
              <w:t>opulation 1 patients treated</w:t>
            </w:r>
            <w:r w:rsidR="00A80A4C">
              <w:rPr>
                <w:rFonts w:ascii="Arial Narrow" w:hAnsi="Arial Narrow"/>
                <w:sz w:val="20"/>
                <w:szCs w:val="20"/>
              </w:rPr>
              <w:t xml:space="preserve"> (ris)</w:t>
            </w:r>
          </w:p>
        </w:tc>
        <w:tc>
          <w:tcPr>
            <w:tcW w:w="1172" w:type="dxa"/>
            <w:gridSpan w:val="5"/>
            <w:vAlign w:val="center"/>
          </w:tcPr>
          <w:p w14:paraId="0BF1A342" w14:textId="004043BA"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3"/>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3"/>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3"/>
            <w:vAlign w:val="center"/>
          </w:tcPr>
          <w:p w14:paraId="5010DC2A" w14:textId="05550FEC"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2"/>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2"/>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3"/>
            <w:vAlign w:val="center"/>
          </w:tcPr>
          <w:p w14:paraId="31DB1226" w14:textId="44B6DD45"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1"/>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1"/>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2" w:type="dxa"/>
            <w:gridSpan w:val="2"/>
            <w:vAlign w:val="center"/>
          </w:tcPr>
          <w:p w14:paraId="3C53FBF2" w14:textId="72EBB30C"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0"/>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0"/>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2"/>
            <w:vAlign w:val="center"/>
          </w:tcPr>
          <w:p w14:paraId="7CF538F8" w14:textId="0A26EDC3"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9"/>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9"/>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5" w:type="dxa"/>
            <w:vAlign w:val="center"/>
          </w:tcPr>
          <w:p w14:paraId="66977BED" w14:textId="1AD3F390"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8"/>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8"/>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r>
      <w:tr w:rsidR="00A80A4C" w:rsidRPr="00E834C3" w14:paraId="57E728E4" w14:textId="77777777" w:rsidTr="00A80A4C">
        <w:tc>
          <w:tcPr>
            <w:tcW w:w="2972" w:type="dxa"/>
            <w:gridSpan w:val="5"/>
            <w:tcBorders>
              <w:right w:val="nil"/>
            </w:tcBorders>
            <w:vAlign w:val="center"/>
          </w:tcPr>
          <w:p w14:paraId="43C26BD3" w14:textId="0302E1AD" w:rsidR="00A80A4C" w:rsidRPr="00E834C3" w:rsidRDefault="00A80A4C" w:rsidP="000C7164">
            <w:pPr>
              <w:keepNext/>
              <w:keepLines/>
              <w:jc w:val="left"/>
              <w:rPr>
                <w:rFonts w:ascii="Arial Narrow" w:hAnsi="Arial Narrow"/>
                <w:b/>
                <w:bCs/>
                <w:sz w:val="20"/>
                <w:szCs w:val="20"/>
              </w:rPr>
            </w:pPr>
            <w:r w:rsidRPr="00E834C3">
              <w:rPr>
                <w:rFonts w:ascii="Arial Narrow" w:hAnsi="Arial Narrow"/>
                <w:b/>
                <w:bCs/>
                <w:sz w:val="20"/>
                <w:szCs w:val="20"/>
              </w:rPr>
              <w:t xml:space="preserve">Population </w:t>
            </w:r>
            <w:r>
              <w:rPr>
                <w:rFonts w:ascii="Arial Narrow" w:hAnsi="Arial Narrow"/>
                <w:b/>
                <w:bCs/>
                <w:sz w:val="20"/>
                <w:szCs w:val="20"/>
              </w:rPr>
              <w:t>2</w:t>
            </w:r>
            <w:r w:rsidRPr="00E834C3">
              <w:rPr>
                <w:rFonts w:ascii="Arial Narrow" w:hAnsi="Arial Narrow"/>
                <w:b/>
                <w:bCs/>
                <w:sz w:val="20"/>
                <w:szCs w:val="20"/>
              </w:rPr>
              <w:t xml:space="preserve"> patient estimates</w:t>
            </w:r>
          </w:p>
        </w:tc>
        <w:tc>
          <w:tcPr>
            <w:tcW w:w="658" w:type="dxa"/>
            <w:gridSpan w:val="3"/>
            <w:tcBorders>
              <w:left w:val="nil"/>
              <w:right w:val="nil"/>
            </w:tcBorders>
            <w:vAlign w:val="center"/>
          </w:tcPr>
          <w:p w14:paraId="14AF5253" w14:textId="77777777" w:rsidR="00A80A4C" w:rsidRPr="00E834C3" w:rsidRDefault="00A80A4C" w:rsidP="000C7164">
            <w:pPr>
              <w:keepNext/>
              <w:keepLines/>
              <w:jc w:val="center"/>
              <w:rPr>
                <w:rFonts w:ascii="Arial Narrow" w:hAnsi="Arial Narrow"/>
                <w:b/>
                <w:bCs/>
                <w:sz w:val="20"/>
                <w:szCs w:val="20"/>
              </w:rPr>
            </w:pPr>
          </w:p>
        </w:tc>
        <w:tc>
          <w:tcPr>
            <w:tcW w:w="236" w:type="dxa"/>
            <w:tcBorders>
              <w:left w:val="nil"/>
              <w:right w:val="nil"/>
            </w:tcBorders>
            <w:vAlign w:val="center"/>
          </w:tcPr>
          <w:p w14:paraId="24F5F75F" w14:textId="77777777" w:rsidR="00A80A4C" w:rsidRPr="00E834C3" w:rsidRDefault="00A80A4C" w:rsidP="000C7164">
            <w:pPr>
              <w:keepNext/>
              <w:keepLines/>
              <w:jc w:val="center"/>
              <w:rPr>
                <w:rFonts w:ascii="Arial Narrow" w:hAnsi="Arial Narrow"/>
                <w:b/>
                <w:bCs/>
                <w:sz w:val="20"/>
                <w:szCs w:val="20"/>
              </w:rPr>
            </w:pPr>
          </w:p>
        </w:tc>
        <w:tc>
          <w:tcPr>
            <w:tcW w:w="1288" w:type="dxa"/>
            <w:gridSpan w:val="3"/>
            <w:tcBorders>
              <w:left w:val="nil"/>
              <w:right w:val="nil"/>
            </w:tcBorders>
            <w:vAlign w:val="center"/>
          </w:tcPr>
          <w:p w14:paraId="0B1FBA5A" w14:textId="77777777" w:rsidR="00A80A4C" w:rsidRPr="00E834C3" w:rsidRDefault="00A80A4C" w:rsidP="000C7164">
            <w:pPr>
              <w:keepNext/>
              <w:keepLines/>
              <w:jc w:val="center"/>
              <w:rPr>
                <w:rFonts w:ascii="Arial Narrow" w:hAnsi="Arial Narrow"/>
                <w:b/>
                <w:bCs/>
                <w:sz w:val="20"/>
                <w:szCs w:val="20"/>
              </w:rPr>
            </w:pPr>
          </w:p>
        </w:tc>
        <w:tc>
          <w:tcPr>
            <w:tcW w:w="1288" w:type="dxa"/>
            <w:gridSpan w:val="2"/>
            <w:tcBorders>
              <w:left w:val="nil"/>
              <w:right w:val="nil"/>
            </w:tcBorders>
            <w:vAlign w:val="center"/>
          </w:tcPr>
          <w:p w14:paraId="5B3CC312" w14:textId="77777777" w:rsidR="00A80A4C" w:rsidRPr="00E834C3" w:rsidRDefault="00A80A4C" w:rsidP="000C7164">
            <w:pPr>
              <w:keepNext/>
              <w:keepLines/>
              <w:jc w:val="center"/>
              <w:rPr>
                <w:rFonts w:ascii="Arial Narrow" w:hAnsi="Arial Narrow"/>
                <w:b/>
                <w:bCs/>
                <w:sz w:val="20"/>
                <w:szCs w:val="20"/>
              </w:rPr>
            </w:pPr>
          </w:p>
        </w:tc>
        <w:tc>
          <w:tcPr>
            <w:tcW w:w="1288" w:type="dxa"/>
            <w:gridSpan w:val="2"/>
            <w:tcBorders>
              <w:left w:val="nil"/>
              <w:right w:val="nil"/>
            </w:tcBorders>
            <w:vAlign w:val="center"/>
          </w:tcPr>
          <w:p w14:paraId="4514621B" w14:textId="77777777" w:rsidR="00A80A4C" w:rsidRPr="00E834C3" w:rsidRDefault="00A80A4C" w:rsidP="000C7164">
            <w:pPr>
              <w:keepNext/>
              <w:keepLines/>
              <w:jc w:val="center"/>
              <w:rPr>
                <w:rFonts w:ascii="Arial Narrow" w:hAnsi="Arial Narrow"/>
                <w:b/>
                <w:bCs/>
                <w:sz w:val="20"/>
                <w:szCs w:val="20"/>
              </w:rPr>
            </w:pPr>
          </w:p>
        </w:tc>
        <w:tc>
          <w:tcPr>
            <w:tcW w:w="1288" w:type="dxa"/>
            <w:gridSpan w:val="2"/>
            <w:tcBorders>
              <w:left w:val="nil"/>
            </w:tcBorders>
            <w:vAlign w:val="center"/>
          </w:tcPr>
          <w:p w14:paraId="3A04741C" w14:textId="77777777" w:rsidR="00A80A4C" w:rsidRPr="00E834C3" w:rsidRDefault="00A80A4C" w:rsidP="000C7164">
            <w:pPr>
              <w:keepNext/>
              <w:keepLines/>
              <w:jc w:val="center"/>
              <w:rPr>
                <w:rFonts w:ascii="Arial Narrow" w:hAnsi="Arial Narrow"/>
                <w:b/>
                <w:bCs/>
                <w:sz w:val="20"/>
                <w:szCs w:val="20"/>
              </w:rPr>
            </w:pPr>
          </w:p>
        </w:tc>
      </w:tr>
      <w:tr w:rsidR="0029435B" w:rsidRPr="008914A5" w14:paraId="1F05CEC1" w14:textId="77777777" w:rsidTr="00A80A4C">
        <w:tc>
          <w:tcPr>
            <w:tcW w:w="1980" w:type="dxa"/>
            <w:gridSpan w:val="2"/>
            <w:vAlign w:val="center"/>
          </w:tcPr>
          <w:p w14:paraId="53548D94" w14:textId="1295ED79" w:rsidR="0029435B" w:rsidRPr="008914A5" w:rsidRDefault="0029435B" w:rsidP="00A80A4C">
            <w:pPr>
              <w:keepNext/>
              <w:keepLines/>
              <w:jc w:val="left"/>
              <w:rPr>
                <w:rFonts w:ascii="Arial Narrow" w:hAnsi="Arial Narrow"/>
                <w:sz w:val="20"/>
                <w:szCs w:val="20"/>
                <w:vertAlign w:val="superscript"/>
              </w:rPr>
            </w:pPr>
            <w:r w:rsidRPr="008914A5">
              <w:rPr>
                <w:rFonts w:ascii="Arial Narrow" w:hAnsi="Arial Narrow"/>
                <w:sz w:val="20"/>
                <w:szCs w:val="20"/>
              </w:rPr>
              <w:t xml:space="preserve">Population 2 patients treated </w:t>
            </w:r>
            <w:r w:rsidR="00A80A4C">
              <w:rPr>
                <w:rFonts w:ascii="Arial Narrow" w:hAnsi="Arial Narrow"/>
                <w:sz w:val="20"/>
                <w:szCs w:val="20"/>
              </w:rPr>
              <w:t>(ris)</w:t>
            </w:r>
          </w:p>
        </w:tc>
        <w:tc>
          <w:tcPr>
            <w:tcW w:w="1172" w:type="dxa"/>
            <w:gridSpan w:val="5"/>
            <w:vAlign w:val="center"/>
          </w:tcPr>
          <w:p w14:paraId="6DC859A1" w14:textId="1AA965D5"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7"/>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7"/>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3"/>
            <w:vAlign w:val="center"/>
          </w:tcPr>
          <w:p w14:paraId="3A2360C9" w14:textId="4575A9CC"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6"/>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6"/>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3"/>
            <w:vAlign w:val="center"/>
          </w:tcPr>
          <w:p w14:paraId="7A44DD0D" w14:textId="4B4E261F"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5"/>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5"/>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2" w:type="dxa"/>
            <w:gridSpan w:val="2"/>
            <w:vAlign w:val="center"/>
          </w:tcPr>
          <w:p w14:paraId="3EE13A5A" w14:textId="7FF4BFEB"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4"/>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4"/>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2"/>
            <w:vAlign w:val="center"/>
          </w:tcPr>
          <w:p w14:paraId="618867A2" w14:textId="70F36AB9"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3"/>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3"/>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5" w:type="dxa"/>
            <w:vAlign w:val="center"/>
          </w:tcPr>
          <w:p w14:paraId="48FCA2FE" w14:textId="44DB6378"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2"/>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2"/>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r>
      <w:tr w:rsidR="00A80A4C" w:rsidRPr="00E834C3" w14:paraId="5199BADC" w14:textId="77777777" w:rsidTr="00A80A4C">
        <w:tc>
          <w:tcPr>
            <w:tcW w:w="1288" w:type="dxa"/>
            <w:tcBorders>
              <w:right w:val="nil"/>
            </w:tcBorders>
            <w:vAlign w:val="center"/>
          </w:tcPr>
          <w:p w14:paraId="6AAA7830" w14:textId="26F63025" w:rsidR="00A80A4C" w:rsidRPr="00E834C3" w:rsidRDefault="00A80A4C" w:rsidP="000C7164">
            <w:pPr>
              <w:keepNext/>
              <w:keepLines/>
              <w:jc w:val="left"/>
              <w:rPr>
                <w:rFonts w:ascii="Arial Narrow" w:hAnsi="Arial Narrow"/>
                <w:b/>
                <w:bCs/>
                <w:sz w:val="20"/>
                <w:szCs w:val="20"/>
              </w:rPr>
            </w:pPr>
            <w:r>
              <w:rPr>
                <w:rFonts w:ascii="Arial Narrow" w:hAnsi="Arial Narrow"/>
                <w:b/>
                <w:bCs/>
                <w:sz w:val="20"/>
                <w:szCs w:val="20"/>
              </w:rPr>
              <w:t>Scripts</w:t>
            </w:r>
          </w:p>
        </w:tc>
        <w:tc>
          <w:tcPr>
            <w:tcW w:w="1288" w:type="dxa"/>
            <w:gridSpan w:val="2"/>
            <w:tcBorders>
              <w:left w:val="nil"/>
              <w:right w:val="nil"/>
            </w:tcBorders>
            <w:vAlign w:val="center"/>
          </w:tcPr>
          <w:p w14:paraId="28D1AB5F" w14:textId="77777777" w:rsidR="00A80A4C" w:rsidRPr="00E834C3" w:rsidRDefault="00A80A4C" w:rsidP="000C7164">
            <w:pPr>
              <w:keepNext/>
              <w:keepLines/>
              <w:jc w:val="center"/>
              <w:rPr>
                <w:rFonts w:ascii="Arial Narrow" w:hAnsi="Arial Narrow"/>
                <w:b/>
                <w:bCs/>
                <w:sz w:val="20"/>
                <w:szCs w:val="20"/>
              </w:rPr>
            </w:pPr>
          </w:p>
        </w:tc>
        <w:tc>
          <w:tcPr>
            <w:tcW w:w="1290" w:type="dxa"/>
            <w:gridSpan w:val="6"/>
            <w:tcBorders>
              <w:left w:val="nil"/>
              <w:right w:val="nil"/>
            </w:tcBorders>
            <w:vAlign w:val="center"/>
          </w:tcPr>
          <w:p w14:paraId="0EA81E80" w14:textId="77777777" w:rsidR="00A80A4C" w:rsidRPr="00E834C3" w:rsidRDefault="00A80A4C" w:rsidP="000C7164">
            <w:pPr>
              <w:keepNext/>
              <w:keepLines/>
              <w:jc w:val="center"/>
              <w:rPr>
                <w:rFonts w:ascii="Arial Narrow" w:hAnsi="Arial Narrow"/>
                <w:b/>
                <w:bCs/>
                <w:sz w:val="20"/>
                <w:szCs w:val="20"/>
              </w:rPr>
            </w:pPr>
          </w:p>
        </w:tc>
        <w:tc>
          <w:tcPr>
            <w:tcW w:w="1288" w:type="dxa"/>
            <w:gridSpan w:val="3"/>
            <w:tcBorders>
              <w:left w:val="nil"/>
              <w:right w:val="nil"/>
            </w:tcBorders>
            <w:vAlign w:val="center"/>
          </w:tcPr>
          <w:p w14:paraId="62A6D6CF" w14:textId="77777777" w:rsidR="00A80A4C" w:rsidRPr="00E834C3" w:rsidRDefault="00A80A4C" w:rsidP="000C7164">
            <w:pPr>
              <w:keepNext/>
              <w:keepLines/>
              <w:jc w:val="center"/>
              <w:rPr>
                <w:rFonts w:ascii="Arial Narrow" w:hAnsi="Arial Narrow"/>
                <w:b/>
                <w:bCs/>
                <w:sz w:val="20"/>
                <w:szCs w:val="20"/>
              </w:rPr>
            </w:pPr>
          </w:p>
        </w:tc>
        <w:tc>
          <w:tcPr>
            <w:tcW w:w="1288" w:type="dxa"/>
            <w:gridSpan w:val="2"/>
            <w:tcBorders>
              <w:left w:val="nil"/>
              <w:right w:val="nil"/>
            </w:tcBorders>
            <w:vAlign w:val="center"/>
          </w:tcPr>
          <w:p w14:paraId="358BB9E3" w14:textId="77777777" w:rsidR="00A80A4C" w:rsidRPr="00E834C3" w:rsidRDefault="00A80A4C" w:rsidP="000C7164">
            <w:pPr>
              <w:keepNext/>
              <w:keepLines/>
              <w:jc w:val="center"/>
              <w:rPr>
                <w:rFonts w:ascii="Arial Narrow" w:hAnsi="Arial Narrow"/>
                <w:b/>
                <w:bCs/>
                <w:sz w:val="20"/>
                <w:szCs w:val="20"/>
              </w:rPr>
            </w:pPr>
          </w:p>
        </w:tc>
        <w:tc>
          <w:tcPr>
            <w:tcW w:w="1288" w:type="dxa"/>
            <w:gridSpan w:val="2"/>
            <w:tcBorders>
              <w:left w:val="nil"/>
              <w:right w:val="nil"/>
            </w:tcBorders>
            <w:vAlign w:val="center"/>
          </w:tcPr>
          <w:p w14:paraId="4C670884" w14:textId="77777777" w:rsidR="00A80A4C" w:rsidRPr="00E834C3" w:rsidRDefault="00A80A4C" w:rsidP="000C7164">
            <w:pPr>
              <w:keepNext/>
              <w:keepLines/>
              <w:jc w:val="center"/>
              <w:rPr>
                <w:rFonts w:ascii="Arial Narrow" w:hAnsi="Arial Narrow"/>
                <w:b/>
                <w:bCs/>
                <w:sz w:val="20"/>
                <w:szCs w:val="20"/>
              </w:rPr>
            </w:pPr>
          </w:p>
        </w:tc>
        <w:tc>
          <w:tcPr>
            <w:tcW w:w="1288" w:type="dxa"/>
            <w:gridSpan w:val="2"/>
            <w:tcBorders>
              <w:left w:val="nil"/>
            </w:tcBorders>
            <w:vAlign w:val="center"/>
          </w:tcPr>
          <w:p w14:paraId="27BE7BA2" w14:textId="77777777" w:rsidR="00A80A4C" w:rsidRPr="00E834C3" w:rsidRDefault="00A80A4C" w:rsidP="000C7164">
            <w:pPr>
              <w:keepNext/>
              <w:keepLines/>
              <w:jc w:val="center"/>
              <w:rPr>
                <w:rFonts w:ascii="Arial Narrow" w:hAnsi="Arial Narrow"/>
                <w:b/>
                <w:bCs/>
                <w:sz w:val="20"/>
                <w:szCs w:val="20"/>
              </w:rPr>
            </w:pPr>
          </w:p>
        </w:tc>
      </w:tr>
      <w:tr w:rsidR="0029435B" w:rsidRPr="008914A5" w14:paraId="7B5BF8F9" w14:textId="77777777" w:rsidTr="00A80A4C">
        <w:tc>
          <w:tcPr>
            <w:tcW w:w="1980" w:type="dxa"/>
            <w:gridSpan w:val="2"/>
            <w:vAlign w:val="center"/>
          </w:tcPr>
          <w:p w14:paraId="3CD98BD8" w14:textId="01CCD928" w:rsidR="0029435B" w:rsidRPr="008914A5" w:rsidRDefault="0029435B" w:rsidP="00A80A4C">
            <w:pPr>
              <w:keepNext/>
              <w:keepLines/>
              <w:jc w:val="left"/>
              <w:rPr>
                <w:rFonts w:ascii="Arial Narrow" w:hAnsi="Arial Narrow"/>
                <w:sz w:val="20"/>
                <w:szCs w:val="20"/>
              </w:rPr>
            </w:pPr>
            <w:r w:rsidRPr="008914A5">
              <w:rPr>
                <w:rFonts w:ascii="Arial Narrow" w:hAnsi="Arial Narrow"/>
                <w:sz w:val="20"/>
                <w:szCs w:val="20"/>
              </w:rPr>
              <w:t xml:space="preserve">Number of </w:t>
            </w:r>
            <w:r w:rsidR="00A80A4C">
              <w:rPr>
                <w:rFonts w:ascii="Arial Narrow" w:hAnsi="Arial Narrow"/>
                <w:sz w:val="20"/>
                <w:szCs w:val="20"/>
              </w:rPr>
              <w:t xml:space="preserve">ris </w:t>
            </w:r>
            <w:r w:rsidRPr="008914A5">
              <w:rPr>
                <w:rFonts w:ascii="Arial Narrow" w:hAnsi="Arial Narrow"/>
                <w:sz w:val="20"/>
                <w:szCs w:val="20"/>
              </w:rPr>
              <w:t>scripts population 1</w:t>
            </w:r>
            <w:r w:rsidRPr="008914A5">
              <w:rPr>
                <w:rFonts w:ascii="Arial Narrow" w:hAnsi="Arial Narrow"/>
                <w:sz w:val="20"/>
                <w:szCs w:val="20"/>
                <w:vertAlign w:val="superscript"/>
              </w:rPr>
              <w:t>a</w:t>
            </w:r>
          </w:p>
        </w:tc>
        <w:tc>
          <w:tcPr>
            <w:tcW w:w="1172" w:type="dxa"/>
            <w:gridSpan w:val="5"/>
            <w:vAlign w:val="center"/>
          </w:tcPr>
          <w:p w14:paraId="00D6AD1F" w14:textId="2598D2EC"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8"/>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8"/>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2</w:t>
            </w:r>
          </w:p>
        </w:tc>
        <w:tc>
          <w:tcPr>
            <w:tcW w:w="1173" w:type="dxa"/>
            <w:gridSpan w:val="3"/>
            <w:vAlign w:val="center"/>
          </w:tcPr>
          <w:p w14:paraId="46BC34F6" w14:textId="00B0316A"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7"/>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7"/>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2</w:t>
            </w:r>
          </w:p>
        </w:tc>
        <w:tc>
          <w:tcPr>
            <w:tcW w:w="1173" w:type="dxa"/>
            <w:gridSpan w:val="3"/>
            <w:vAlign w:val="center"/>
          </w:tcPr>
          <w:p w14:paraId="3D488BC6" w14:textId="57216608"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6"/>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6"/>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2</w:t>
            </w:r>
          </w:p>
        </w:tc>
        <w:tc>
          <w:tcPr>
            <w:tcW w:w="1172" w:type="dxa"/>
            <w:gridSpan w:val="2"/>
            <w:vAlign w:val="center"/>
          </w:tcPr>
          <w:p w14:paraId="2326F808" w14:textId="48F8D28E"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5"/>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5"/>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2</w:t>
            </w:r>
          </w:p>
        </w:tc>
        <w:tc>
          <w:tcPr>
            <w:tcW w:w="1173" w:type="dxa"/>
            <w:gridSpan w:val="2"/>
            <w:vAlign w:val="center"/>
          </w:tcPr>
          <w:p w14:paraId="2906213A" w14:textId="680BDD50"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4"/>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4"/>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2</w:t>
            </w:r>
          </w:p>
        </w:tc>
        <w:tc>
          <w:tcPr>
            <w:tcW w:w="1175" w:type="dxa"/>
            <w:vAlign w:val="center"/>
          </w:tcPr>
          <w:p w14:paraId="6B356B22" w14:textId="75E96E55"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3"/>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3"/>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2</w:t>
            </w:r>
          </w:p>
        </w:tc>
      </w:tr>
      <w:tr w:rsidR="0029435B" w:rsidRPr="008914A5" w14:paraId="3E386D0A" w14:textId="77777777" w:rsidTr="00A80A4C">
        <w:tc>
          <w:tcPr>
            <w:tcW w:w="1980" w:type="dxa"/>
            <w:gridSpan w:val="2"/>
            <w:vAlign w:val="center"/>
          </w:tcPr>
          <w:p w14:paraId="126B71F4" w14:textId="20CC76A8" w:rsidR="0029435B" w:rsidRPr="008914A5" w:rsidRDefault="0029435B" w:rsidP="00A80A4C">
            <w:pPr>
              <w:keepNext/>
              <w:keepLines/>
              <w:jc w:val="left"/>
              <w:rPr>
                <w:rFonts w:ascii="Arial Narrow" w:hAnsi="Arial Narrow"/>
                <w:sz w:val="20"/>
                <w:szCs w:val="20"/>
              </w:rPr>
            </w:pPr>
            <w:r w:rsidRPr="008914A5">
              <w:rPr>
                <w:rFonts w:ascii="Arial Narrow" w:hAnsi="Arial Narrow"/>
                <w:sz w:val="20"/>
                <w:szCs w:val="20"/>
              </w:rPr>
              <w:t xml:space="preserve">Number of </w:t>
            </w:r>
            <w:r w:rsidR="00A80A4C">
              <w:rPr>
                <w:rFonts w:ascii="Arial Narrow" w:hAnsi="Arial Narrow"/>
                <w:sz w:val="20"/>
                <w:szCs w:val="20"/>
              </w:rPr>
              <w:t xml:space="preserve">ris </w:t>
            </w:r>
            <w:r w:rsidRPr="008914A5">
              <w:rPr>
                <w:rFonts w:ascii="Arial Narrow" w:hAnsi="Arial Narrow"/>
                <w:sz w:val="20"/>
                <w:szCs w:val="20"/>
              </w:rPr>
              <w:t>scripts population 2</w:t>
            </w:r>
            <w:r w:rsidRPr="008914A5">
              <w:rPr>
                <w:rFonts w:ascii="Arial Narrow" w:hAnsi="Arial Narrow"/>
                <w:sz w:val="20"/>
                <w:szCs w:val="20"/>
                <w:vertAlign w:val="superscript"/>
              </w:rPr>
              <w:t>b</w:t>
            </w:r>
          </w:p>
        </w:tc>
        <w:tc>
          <w:tcPr>
            <w:tcW w:w="1172" w:type="dxa"/>
            <w:gridSpan w:val="5"/>
            <w:vAlign w:val="center"/>
          </w:tcPr>
          <w:p w14:paraId="3EFF5D1B" w14:textId="4E3F4B3E"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2"/>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2"/>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3"/>
            <w:vAlign w:val="center"/>
          </w:tcPr>
          <w:p w14:paraId="65A3A8E0" w14:textId="5F9AFA04"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1"/>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1"/>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3"/>
            <w:vAlign w:val="center"/>
          </w:tcPr>
          <w:p w14:paraId="529291EF" w14:textId="1D3406F6"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0"/>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0"/>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2" w:type="dxa"/>
            <w:gridSpan w:val="2"/>
            <w:vAlign w:val="center"/>
          </w:tcPr>
          <w:p w14:paraId="5BF561A1" w14:textId="35A855F8"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9"/>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9"/>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3" w:type="dxa"/>
            <w:gridSpan w:val="2"/>
            <w:vAlign w:val="center"/>
          </w:tcPr>
          <w:p w14:paraId="6FAF353A" w14:textId="5B184852"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8"/>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8"/>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c>
          <w:tcPr>
            <w:tcW w:w="1175" w:type="dxa"/>
            <w:vAlign w:val="center"/>
          </w:tcPr>
          <w:p w14:paraId="2F99E6CF" w14:textId="7EC89D38"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7"/>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7"/>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sidRPr="000A2D14">
              <w:rPr>
                <w:rFonts w:ascii="Arial Narrow" w:hAnsi="Arial Narrow"/>
                <w:sz w:val="20"/>
                <w:szCs w:val="20"/>
                <w:vertAlign w:val="superscript"/>
              </w:rPr>
              <w:t>1</w:t>
            </w:r>
          </w:p>
        </w:tc>
      </w:tr>
      <w:tr w:rsidR="00A80A4C" w:rsidRPr="00E834C3" w14:paraId="6DC3A825" w14:textId="77777777" w:rsidTr="00A80A4C">
        <w:tc>
          <w:tcPr>
            <w:tcW w:w="1288" w:type="dxa"/>
            <w:tcBorders>
              <w:right w:val="nil"/>
            </w:tcBorders>
            <w:vAlign w:val="center"/>
          </w:tcPr>
          <w:p w14:paraId="7DB5E18F" w14:textId="5612FE7D" w:rsidR="00A80A4C" w:rsidRPr="00E834C3" w:rsidRDefault="00A80A4C" w:rsidP="000C7164">
            <w:pPr>
              <w:keepNext/>
              <w:keepLines/>
              <w:jc w:val="left"/>
              <w:rPr>
                <w:rFonts w:ascii="Arial Narrow" w:hAnsi="Arial Narrow"/>
                <w:b/>
                <w:bCs/>
                <w:sz w:val="20"/>
                <w:szCs w:val="20"/>
              </w:rPr>
            </w:pPr>
            <w:r>
              <w:rPr>
                <w:rFonts w:ascii="Arial Narrow" w:hAnsi="Arial Narrow"/>
                <w:b/>
                <w:bCs/>
                <w:sz w:val="20"/>
                <w:szCs w:val="20"/>
              </w:rPr>
              <w:t>Cost</w:t>
            </w:r>
          </w:p>
        </w:tc>
        <w:tc>
          <w:tcPr>
            <w:tcW w:w="1288" w:type="dxa"/>
            <w:gridSpan w:val="2"/>
            <w:tcBorders>
              <w:left w:val="nil"/>
              <w:right w:val="nil"/>
            </w:tcBorders>
            <w:vAlign w:val="center"/>
          </w:tcPr>
          <w:p w14:paraId="459B2F93" w14:textId="77777777" w:rsidR="00A80A4C" w:rsidRPr="00E834C3" w:rsidRDefault="00A80A4C" w:rsidP="000C7164">
            <w:pPr>
              <w:keepNext/>
              <w:keepLines/>
              <w:jc w:val="center"/>
              <w:rPr>
                <w:rFonts w:ascii="Arial Narrow" w:hAnsi="Arial Narrow"/>
                <w:b/>
                <w:bCs/>
                <w:sz w:val="20"/>
                <w:szCs w:val="20"/>
              </w:rPr>
            </w:pPr>
          </w:p>
        </w:tc>
        <w:tc>
          <w:tcPr>
            <w:tcW w:w="1290" w:type="dxa"/>
            <w:gridSpan w:val="6"/>
            <w:tcBorders>
              <w:left w:val="nil"/>
              <w:right w:val="nil"/>
            </w:tcBorders>
            <w:vAlign w:val="center"/>
          </w:tcPr>
          <w:p w14:paraId="6D7CE15B" w14:textId="77777777" w:rsidR="00A80A4C" w:rsidRPr="00E834C3" w:rsidRDefault="00A80A4C" w:rsidP="000C7164">
            <w:pPr>
              <w:keepNext/>
              <w:keepLines/>
              <w:jc w:val="center"/>
              <w:rPr>
                <w:rFonts w:ascii="Arial Narrow" w:hAnsi="Arial Narrow"/>
                <w:b/>
                <w:bCs/>
                <w:sz w:val="20"/>
                <w:szCs w:val="20"/>
              </w:rPr>
            </w:pPr>
          </w:p>
        </w:tc>
        <w:tc>
          <w:tcPr>
            <w:tcW w:w="1288" w:type="dxa"/>
            <w:gridSpan w:val="3"/>
            <w:tcBorders>
              <w:left w:val="nil"/>
              <w:right w:val="nil"/>
            </w:tcBorders>
            <w:vAlign w:val="center"/>
          </w:tcPr>
          <w:p w14:paraId="6ADE60C8" w14:textId="77777777" w:rsidR="00A80A4C" w:rsidRPr="00E834C3" w:rsidRDefault="00A80A4C" w:rsidP="000C7164">
            <w:pPr>
              <w:keepNext/>
              <w:keepLines/>
              <w:jc w:val="center"/>
              <w:rPr>
                <w:rFonts w:ascii="Arial Narrow" w:hAnsi="Arial Narrow"/>
                <w:b/>
                <w:bCs/>
                <w:sz w:val="20"/>
                <w:szCs w:val="20"/>
              </w:rPr>
            </w:pPr>
          </w:p>
        </w:tc>
        <w:tc>
          <w:tcPr>
            <w:tcW w:w="1288" w:type="dxa"/>
            <w:gridSpan w:val="2"/>
            <w:tcBorders>
              <w:left w:val="nil"/>
              <w:right w:val="nil"/>
            </w:tcBorders>
            <w:vAlign w:val="center"/>
          </w:tcPr>
          <w:p w14:paraId="7033DB41" w14:textId="77777777" w:rsidR="00A80A4C" w:rsidRPr="00E834C3" w:rsidRDefault="00A80A4C" w:rsidP="000C7164">
            <w:pPr>
              <w:keepNext/>
              <w:keepLines/>
              <w:jc w:val="center"/>
              <w:rPr>
                <w:rFonts w:ascii="Arial Narrow" w:hAnsi="Arial Narrow"/>
                <w:b/>
                <w:bCs/>
                <w:sz w:val="20"/>
                <w:szCs w:val="20"/>
              </w:rPr>
            </w:pPr>
          </w:p>
        </w:tc>
        <w:tc>
          <w:tcPr>
            <w:tcW w:w="1288" w:type="dxa"/>
            <w:gridSpan w:val="2"/>
            <w:tcBorders>
              <w:left w:val="nil"/>
              <w:right w:val="nil"/>
            </w:tcBorders>
            <w:vAlign w:val="center"/>
          </w:tcPr>
          <w:p w14:paraId="106F3D89" w14:textId="77777777" w:rsidR="00A80A4C" w:rsidRPr="00E834C3" w:rsidRDefault="00A80A4C" w:rsidP="000C7164">
            <w:pPr>
              <w:keepNext/>
              <w:keepLines/>
              <w:jc w:val="center"/>
              <w:rPr>
                <w:rFonts w:ascii="Arial Narrow" w:hAnsi="Arial Narrow"/>
                <w:b/>
                <w:bCs/>
                <w:sz w:val="20"/>
                <w:szCs w:val="20"/>
              </w:rPr>
            </w:pPr>
          </w:p>
        </w:tc>
        <w:tc>
          <w:tcPr>
            <w:tcW w:w="1288" w:type="dxa"/>
            <w:gridSpan w:val="2"/>
            <w:tcBorders>
              <w:left w:val="nil"/>
            </w:tcBorders>
            <w:vAlign w:val="center"/>
          </w:tcPr>
          <w:p w14:paraId="16985A0F" w14:textId="77777777" w:rsidR="00A80A4C" w:rsidRPr="00E834C3" w:rsidRDefault="00A80A4C" w:rsidP="000C7164">
            <w:pPr>
              <w:keepNext/>
              <w:keepLines/>
              <w:jc w:val="center"/>
              <w:rPr>
                <w:rFonts w:ascii="Arial Narrow" w:hAnsi="Arial Narrow"/>
                <w:b/>
                <w:bCs/>
                <w:sz w:val="20"/>
                <w:szCs w:val="20"/>
              </w:rPr>
            </w:pPr>
          </w:p>
        </w:tc>
      </w:tr>
      <w:tr w:rsidR="0029435B" w:rsidRPr="008914A5" w14:paraId="4D4E17EA" w14:textId="77777777" w:rsidTr="00A80A4C">
        <w:tc>
          <w:tcPr>
            <w:tcW w:w="1980" w:type="dxa"/>
            <w:gridSpan w:val="2"/>
            <w:vAlign w:val="center"/>
          </w:tcPr>
          <w:p w14:paraId="15BBEA4F" w14:textId="77777777" w:rsidR="0029435B" w:rsidRPr="008914A5" w:rsidRDefault="0029435B" w:rsidP="00A80A4C">
            <w:pPr>
              <w:keepNext/>
              <w:keepLines/>
              <w:jc w:val="left"/>
              <w:rPr>
                <w:rFonts w:ascii="Arial Narrow" w:hAnsi="Arial Narrow"/>
                <w:sz w:val="20"/>
                <w:szCs w:val="20"/>
              </w:rPr>
            </w:pPr>
            <w:r w:rsidRPr="008914A5">
              <w:rPr>
                <w:rFonts w:ascii="Arial Narrow" w:hAnsi="Arial Narrow"/>
                <w:sz w:val="20"/>
                <w:szCs w:val="20"/>
              </w:rPr>
              <w:t>Net cost population 1</w:t>
            </w:r>
          </w:p>
        </w:tc>
        <w:tc>
          <w:tcPr>
            <w:tcW w:w="1172" w:type="dxa"/>
            <w:gridSpan w:val="5"/>
            <w:vAlign w:val="center"/>
          </w:tcPr>
          <w:p w14:paraId="65188BB9" w14:textId="362B2374"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6"/>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6"/>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3</w:t>
            </w:r>
          </w:p>
        </w:tc>
        <w:tc>
          <w:tcPr>
            <w:tcW w:w="1173" w:type="dxa"/>
            <w:gridSpan w:val="3"/>
            <w:vAlign w:val="center"/>
          </w:tcPr>
          <w:p w14:paraId="79B52CCB" w14:textId="0A321004"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5"/>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5"/>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3</w:t>
            </w:r>
          </w:p>
        </w:tc>
        <w:tc>
          <w:tcPr>
            <w:tcW w:w="1173" w:type="dxa"/>
            <w:gridSpan w:val="3"/>
            <w:vAlign w:val="center"/>
          </w:tcPr>
          <w:p w14:paraId="368459DD" w14:textId="6F86C7C7"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4"/>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4"/>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3</w:t>
            </w:r>
          </w:p>
        </w:tc>
        <w:tc>
          <w:tcPr>
            <w:tcW w:w="1172" w:type="dxa"/>
            <w:gridSpan w:val="2"/>
            <w:vAlign w:val="center"/>
          </w:tcPr>
          <w:p w14:paraId="0E783F57" w14:textId="7278D383"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3"/>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3"/>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8</w:t>
            </w:r>
          </w:p>
        </w:tc>
        <w:tc>
          <w:tcPr>
            <w:tcW w:w="1173" w:type="dxa"/>
            <w:gridSpan w:val="2"/>
            <w:vAlign w:val="center"/>
          </w:tcPr>
          <w:p w14:paraId="3622AE18" w14:textId="2CEC44C6"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2"/>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2"/>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8</w:t>
            </w:r>
          </w:p>
        </w:tc>
        <w:tc>
          <w:tcPr>
            <w:tcW w:w="1175" w:type="dxa"/>
            <w:vAlign w:val="center"/>
          </w:tcPr>
          <w:p w14:paraId="6B7D9F1D" w14:textId="03447B10"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8"/>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8"/>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8</w:t>
            </w:r>
          </w:p>
        </w:tc>
      </w:tr>
      <w:tr w:rsidR="0029435B" w:rsidRPr="008914A5" w14:paraId="20C4E69A" w14:textId="77777777" w:rsidTr="00A80A4C">
        <w:tc>
          <w:tcPr>
            <w:tcW w:w="1980" w:type="dxa"/>
            <w:gridSpan w:val="2"/>
            <w:vAlign w:val="center"/>
          </w:tcPr>
          <w:p w14:paraId="47F859ED" w14:textId="77777777" w:rsidR="0029435B" w:rsidRPr="008914A5" w:rsidRDefault="0029435B" w:rsidP="00A80A4C">
            <w:pPr>
              <w:keepNext/>
              <w:keepLines/>
              <w:jc w:val="left"/>
              <w:rPr>
                <w:rFonts w:ascii="Arial Narrow" w:hAnsi="Arial Narrow"/>
                <w:sz w:val="20"/>
                <w:szCs w:val="20"/>
                <w:vertAlign w:val="superscript"/>
              </w:rPr>
            </w:pPr>
            <w:r w:rsidRPr="008914A5">
              <w:rPr>
                <w:rFonts w:ascii="Arial Narrow" w:hAnsi="Arial Narrow"/>
                <w:sz w:val="20"/>
                <w:szCs w:val="20"/>
              </w:rPr>
              <w:t>Net cost population 2</w:t>
            </w:r>
          </w:p>
        </w:tc>
        <w:tc>
          <w:tcPr>
            <w:tcW w:w="1172" w:type="dxa"/>
            <w:gridSpan w:val="5"/>
            <w:vAlign w:val="center"/>
          </w:tcPr>
          <w:p w14:paraId="1D9EC4D9" w14:textId="4454A021"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7"/>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7"/>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4</w:t>
            </w:r>
          </w:p>
        </w:tc>
        <w:tc>
          <w:tcPr>
            <w:tcW w:w="1173" w:type="dxa"/>
            <w:gridSpan w:val="3"/>
            <w:vAlign w:val="center"/>
          </w:tcPr>
          <w:p w14:paraId="6EF273F3" w14:textId="506DBD79"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6"/>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6"/>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4</w:t>
            </w:r>
          </w:p>
        </w:tc>
        <w:tc>
          <w:tcPr>
            <w:tcW w:w="1173" w:type="dxa"/>
            <w:gridSpan w:val="3"/>
            <w:vAlign w:val="center"/>
          </w:tcPr>
          <w:p w14:paraId="6657172E" w14:textId="788CCF6C"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5"/>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5"/>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4</w:t>
            </w:r>
          </w:p>
        </w:tc>
        <w:tc>
          <w:tcPr>
            <w:tcW w:w="1172" w:type="dxa"/>
            <w:gridSpan w:val="2"/>
            <w:vAlign w:val="center"/>
          </w:tcPr>
          <w:p w14:paraId="36211AC0" w14:textId="35A2821E"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4"/>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4"/>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4</w:t>
            </w:r>
          </w:p>
        </w:tc>
        <w:tc>
          <w:tcPr>
            <w:tcW w:w="1173" w:type="dxa"/>
            <w:gridSpan w:val="2"/>
            <w:vAlign w:val="center"/>
          </w:tcPr>
          <w:p w14:paraId="2F0C05D4" w14:textId="654BDABC"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3"/>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3"/>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4</w:t>
            </w:r>
          </w:p>
        </w:tc>
        <w:tc>
          <w:tcPr>
            <w:tcW w:w="1175" w:type="dxa"/>
            <w:vAlign w:val="center"/>
          </w:tcPr>
          <w:p w14:paraId="7B4853D4" w14:textId="25E7E6EE"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2"/>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2"/>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4</w:t>
            </w:r>
          </w:p>
        </w:tc>
      </w:tr>
      <w:tr w:rsidR="0029435B" w:rsidRPr="008914A5" w14:paraId="7C14182C" w14:textId="77777777" w:rsidTr="00A80A4C">
        <w:tc>
          <w:tcPr>
            <w:tcW w:w="1980" w:type="dxa"/>
            <w:gridSpan w:val="2"/>
            <w:vAlign w:val="center"/>
          </w:tcPr>
          <w:p w14:paraId="3CCF5BB7" w14:textId="25358570" w:rsidR="0029435B" w:rsidRPr="008914A5" w:rsidRDefault="0029435B" w:rsidP="00A80A4C">
            <w:pPr>
              <w:keepNext/>
              <w:keepLines/>
              <w:jc w:val="left"/>
              <w:rPr>
                <w:rFonts w:ascii="Arial Narrow" w:hAnsi="Arial Narrow"/>
                <w:sz w:val="20"/>
                <w:szCs w:val="20"/>
              </w:rPr>
            </w:pPr>
            <w:r w:rsidRPr="008914A5">
              <w:rPr>
                <w:rFonts w:ascii="Arial Narrow" w:hAnsi="Arial Narrow"/>
                <w:sz w:val="20"/>
                <w:szCs w:val="20"/>
              </w:rPr>
              <w:t>Net cost population 1+2</w:t>
            </w:r>
          </w:p>
        </w:tc>
        <w:tc>
          <w:tcPr>
            <w:tcW w:w="1172" w:type="dxa"/>
            <w:gridSpan w:val="5"/>
            <w:vAlign w:val="center"/>
          </w:tcPr>
          <w:p w14:paraId="79FE570A" w14:textId="79FC72C1"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1"/>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1"/>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3</w:t>
            </w:r>
          </w:p>
        </w:tc>
        <w:tc>
          <w:tcPr>
            <w:tcW w:w="1173" w:type="dxa"/>
            <w:gridSpan w:val="3"/>
            <w:vAlign w:val="center"/>
          </w:tcPr>
          <w:p w14:paraId="2D5E197D" w14:textId="5FCA4F02"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0"/>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0"/>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3</w:t>
            </w:r>
          </w:p>
        </w:tc>
        <w:tc>
          <w:tcPr>
            <w:tcW w:w="1173" w:type="dxa"/>
            <w:gridSpan w:val="3"/>
            <w:vAlign w:val="center"/>
          </w:tcPr>
          <w:p w14:paraId="0E0497D2" w14:textId="39F1CBA5"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9"/>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9"/>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8</w:t>
            </w:r>
          </w:p>
        </w:tc>
        <w:tc>
          <w:tcPr>
            <w:tcW w:w="1172" w:type="dxa"/>
            <w:gridSpan w:val="2"/>
            <w:vAlign w:val="center"/>
          </w:tcPr>
          <w:p w14:paraId="61410ABC" w14:textId="1C608920"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8"/>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8"/>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8</w:t>
            </w:r>
          </w:p>
        </w:tc>
        <w:tc>
          <w:tcPr>
            <w:tcW w:w="1173" w:type="dxa"/>
            <w:gridSpan w:val="2"/>
            <w:vAlign w:val="center"/>
          </w:tcPr>
          <w:p w14:paraId="1745B806" w14:textId="71B984C9"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7"/>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7"/>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8</w:t>
            </w:r>
          </w:p>
        </w:tc>
        <w:tc>
          <w:tcPr>
            <w:tcW w:w="1175" w:type="dxa"/>
            <w:vAlign w:val="center"/>
          </w:tcPr>
          <w:p w14:paraId="68B17CF8" w14:textId="2714D31D"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6"/>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6"/>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9</w:t>
            </w:r>
          </w:p>
        </w:tc>
      </w:tr>
      <w:tr w:rsidR="0029435B" w:rsidRPr="008914A5" w14:paraId="4BA05DBE" w14:textId="77777777" w:rsidTr="00A80A4C">
        <w:tc>
          <w:tcPr>
            <w:tcW w:w="1980" w:type="dxa"/>
            <w:gridSpan w:val="2"/>
            <w:vAlign w:val="center"/>
          </w:tcPr>
          <w:p w14:paraId="29F04746" w14:textId="77777777" w:rsidR="0029435B" w:rsidRPr="008914A5" w:rsidRDefault="0029435B" w:rsidP="00A80A4C">
            <w:pPr>
              <w:keepNext/>
              <w:keepLines/>
              <w:jc w:val="left"/>
              <w:rPr>
                <w:rFonts w:ascii="Arial Narrow" w:hAnsi="Arial Narrow"/>
                <w:sz w:val="20"/>
                <w:szCs w:val="20"/>
              </w:rPr>
            </w:pPr>
            <w:r w:rsidRPr="008914A5">
              <w:rPr>
                <w:rFonts w:ascii="Arial Narrow" w:hAnsi="Arial Narrow"/>
                <w:sz w:val="20"/>
                <w:szCs w:val="20"/>
              </w:rPr>
              <w:t>Net offset from nusinersen</w:t>
            </w:r>
          </w:p>
        </w:tc>
        <w:tc>
          <w:tcPr>
            <w:tcW w:w="1172" w:type="dxa"/>
            <w:gridSpan w:val="5"/>
            <w:vAlign w:val="center"/>
          </w:tcPr>
          <w:p w14:paraId="01EB0281" w14:textId="6144EF33" w:rsidR="0029435B" w:rsidRPr="000A2D14" w:rsidRDefault="00D370AA" w:rsidP="00A80A4C">
            <w:pPr>
              <w:keepNext/>
              <w:keepLines/>
              <w:rPr>
                <w:rFonts w:ascii="Arial Narrow" w:hAnsi="Arial Narrow"/>
                <w:sz w:val="20"/>
                <w:szCs w:val="20"/>
                <w:highlight w:val="darkGray"/>
              </w:rPr>
            </w:pPr>
            <w:r w:rsidRPr="00D370AA">
              <w:rPr>
                <w:rFonts w:ascii="Arial Narrow" w:hAnsi="Arial Narrow" w:cs="Calibri"/>
                <w:color w:val="000000"/>
                <w:spacing w:val="10"/>
                <w:sz w:val="20"/>
                <w:szCs w:val="20"/>
                <w:shd w:val="solid" w:color="000000" w:fill="000000"/>
                <w:fitText w:val="418" w:id="-1233447155"/>
                <w14:textFill>
                  <w14:solidFill>
                    <w14:srgbClr w14:val="000000">
                      <w14:alpha w14:val="100000"/>
                    </w14:srgbClr>
                  </w14:solidFill>
                </w14:textFill>
              </w:rPr>
              <w:t>|||  ||</w:t>
            </w:r>
            <w:r w:rsidRPr="00D370AA">
              <w:rPr>
                <w:rFonts w:ascii="Arial Narrow" w:hAnsi="Arial Narrow" w:cs="Calibri"/>
                <w:color w:val="000000"/>
                <w:spacing w:val="2"/>
                <w:sz w:val="20"/>
                <w:szCs w:val="20"/>
                <w:shd w:val="solid" w:color="000000" w:fill="000000"/>
                <w:fitText w:val="418" w:id="-1233447155"/>
                <w14:textFill>
                  <w14:solidFill>
                    <w14:srgbClr w14:val="000000">
                      <w14:alpha w14:val="100000"/>
                    </w14:srgbClr>
                  </w14:solidFill>
                </w14:textFill>
              </w:rPr>
              <w:t>|</w:t>
            </w:r>
            <w:r w:rsidR="00F76077" w:rsidRPr="00F76077">
              <w:rPr>
                <w:rFonts w:ascii="Arial Narrow" w:hAnsi="Arial Narrow" w:cs="Calibri"/>
                <w:sz w:val="20"/>
                <w:szCs w:val="20"/>
              </w:rPr>
              <w:t xml:space="preserve"> </w:t>
            </w:r>
            <w:r w:rsidR="000A2D14">
              <w:rPr>
                <w:rFonts w:ascii="Arial Narrow" w:hAnsi="Arial Narrow"/>
                <w:sz w:val="20"/>
                <w:szCs w:val="20"/>
                <w:vertAlign w:val="superscript"/>
              </w:rPr>
              <w:t>5</w:t>
            </w:r>
          </w:p>
        </w:tc>
        <w:tc>
          <w:tcPr>
            <w:tcW w:w="1173" w:type="dxa"/>
            <w:gridSpan w:val="3"/>
            <w:vAlign w:val="center"/>
          </w:tcPr>
          <w:p w14:paraId="2FCBB993" w14:textId="3947A240" w:rsidR="0029435B" w:rsidRPr="000A2D14" w:rsidRDefault="00D370AA" w:rsidP="00A80A4C">
            <w:pPr>
              <w:keepNext/>
              <w:keepLines/>
              <w:rPr>
                <w:rFonts w:ascii="Arial Narrow" w:hAnsi="Arial Narrow"/>
                <w:sz w:val="20"/>
                <w:szCs w:val="20"/>
                <w:highlight w:val="darkGray"/>
              </w:rPr>
            </w:pPr>
            <w:r w:rsidRPr="00D370AA">
              <w:rPr>
                <w:rFonts w:ascii="Arial Narrow" w:hAnsi="Arial Narrow" w:cs="Calibri"/>
                <w:color w:val="000000"/>
                <w:spacing w:val="10"/>
                <w:sz w:val="20"/>
                <w:szCs w:val="20"/>
                <w:shd w:val="solid" w:color="000000" w:fill="000000"/>
                <w:fitText w:val="418" w:id="-1233447154"/>
                <w14:textFill>
                  <w14:solidFill>
                    <w14:srgbClr w14:val="000000">
                      <w14:alpha w14:val="100000"/>
                    </w14:srgbClr>
                  </w14:solidFill>
                </w14:textFill>
              </w:rPr>
              <w:t>|||  ||</w:t>
            </w:r>
            <w:r w:rsidRPr="00D370AA">
              <w:rPr>
                <w:rFonts w:ascii="Arial Narrow" w:hAnsi="Arial Narrow" w:cs="Calibri"/>
                <w:color w:val="000000"/>
                <w:spacing w:val="2"/>
                <w:sz w:val="20"/>
                <w:szCs w:val="20"/>
                <w:shd w:val="solid" w:color="000000" w:fill="000000"/>
                <w:fitText w:val="418" w:id="-1233447154"/>
                <w14:textFill>
                  <w14:solidFill>
                    <w14:srgbClr w14:val="000000">
                      <w14:alpha w14:val="100000"/>
                    </w14:srgbClr>
                  </w14:solidFill>
                </w14:textFill>
              </w:rPr>
              <w:t>|</w:t>
            </w:r>
            <w:r w:rsidR="00F76077" w:rsidRPr="00F76077">
              <w:rPr>
                <w:rFonts w:ascii="Arial Narrow" w:hAnsi="Arial Narrow" w:cs="Calibri"/>
                <w:sz w:val="20"/>
                <w:szCs w:val="20"/>
              </w:rPr>
              <w:t xml:space="preserve"> </w:t>
            </w:r>
            <w:r w:rsidR="000A2D14">
              <w:rPr>
                <w:rFonts w:ascii="Arial Narrow" w:hAnsi="Arial Narrow"/>
                <w:sz w:val="20"/>
                <w:szCs w:val="20"/>
                <w:vertAlign w:val="superscript"/>
              </w:rPr>
              <w:t>5</w:t>
            </w:r>
          </w:p>
        </w:tc>
        <w:tc>
          <w:tcPr>
            <w:tcW w:w="1173" w:type="dxa"/>
            <w:gridSpan w:val="3"/>
            <w:vAlign w:val="center"/>
          </w:tcPr>
          <w:p w14:paraId="359B0469" w14:textId="56278501" w:rsidR="0029435B" w:rsidRPr="000A2D14" w:rsidRDefault="00D370AA" w:rsidP="00A80A4C">
            <w:pPr>
              <w:keepNext/>
              <w:keepLines/>
              <w:rPr>
                <w:rFonts w:ascii="Arial Narrow" w:hAnsi="Arial Narrow"/>
                <w:sz w:val="20"/>
                <w:szCs w:val="20"/>
                <w:highlight w:val="darkGray"/>
              </w:rPr>
            </w:pPr>
            <w:r w:rsidRPr="00D370AA">
              <w:rPr>
                <w:rFonts w:ascii="Arial Narrow" w:hAnsi="Arial Narrow" w:cs="Calibri"/>
                <w:color w:val="000000"/>
                <w:spacing w:val="10"/>
                <w:sz w:val="20"/>
                <w:szCs w:val="20"/>
                <w:shd w:val="solid" w:color="000000" w:fill="000000"/>
                <w:fitText w:val="419" w:id="-1233447153"/>
                <w14:textFill>
                  <w14:solidFill>
                    <w14:srgbClr w14:val="000000">
                      <w14:alpha w14:val="100000"/>
                    </w14:srgbClr>
                  </w14:solidFill>
                </w14:textFill>
              </w:rPr>
              <w:t>|||  ||</w:t>
            </w:r>
            <w:r w:rsidRPr="00D370AA">
              <w:rPr>
                <w:rFonts w:ascii="Arial Narrow" w:hAnsi="Arial Narrow" w:cs="Calibri"/>
                <w:color w:val="000000"/>
                <w:spacing w:val="3"/>
                <w:sz w:val="20"/>
                <w:szCs w:val="20"/>
                <w:shd w:val="solid" w:color="000000" w:fill="000000"/>
                <w:fitText w:val="419" w:id="-1233447153"/>
                <w14:textFill>
                  <w14:solidFill>
                    <w14:srgbClr w14:val="000000">
                      <w14:alpha w14:val="100000"/>
                    </w14:srgbClr>
                  </w14:solidFill>
                </w14:textFill>
              </w:rPr>
              <w:t>|</w:t>
            </w:r>
            <w:r w:rsidR="00F76077" w:rsidRPr="00F76077">
              <w:rPr>
                <w:rFonts w:ascii="Arial Narrow" w:hAnsi="Arial Narrow" w:cs="Calibri"/>
                <w:sz w:val="20"/>
                <w:szCs w:val="20"/>
              </w:rPr>
              <w:t xml:space="preserve"> </w:t>
            </w:r>
            <w:r w:rsidR="000A2D14">
              <w:rPr>
                <w:rFonts w:ascii="Arial Narrow" w:hAnsi="Arial Narrow"/>
                <w:sz w:val="20"/>
                <w:szCs w:val="20"/>
                <w:vertAlign w:val="superscript"/>
              </w:rPr>
              <w:t>5</w:t>
            </w:r>
          </w:p>
        </w:tc>
        <w:tc>
          <w:tcPr>
            <w:tcW w:w="1172" w:type="dxa"/>
            <w:gridSpan w:val="2"/>
            <w:vAlign w:val="center"/>
          </w:tcPr>
          <w:p w14:paraId="17050FFB" w14:textId="7DCAAFF1" w:rsidR="0029435B" w:rsidRPr="000A2D14" w:rsidRDefault="00D370AA" w:rsidP="00A80A4C">
            <w:pPr>
              <w:keepNext/>
              <w:keepLines/>
              <w:rPr>
                <w:rFonts w:ascii="Arial Narrow" w:hAnsi="Arial Narrow"/>
                <w:sz w:val="20"/>
                <w:szCs w:val="20"/>
                <w:highlight w:val="darkGray"/>
              </w:rPr>
            </w:pPr>
            <w:r w:rsidRPr="00D370AA">
              <w:rPr>
                <w:rFonts w:ascii="Arial Narrow" w:hAnsi="Arial Narrow" w:cs="Calibri"/>
                <w:color w:val="000000"/>
                <w:spacing w:val="10"/>
                <w:sz w:val="20"/>
                <w:szCs w:val="20"/>
                <w:shd w:val="solid" w:color="000000" w:fill="000000"/>
                <w:fitText w:val="419" w:id="-1233447152"/>
                <w14:textFill>
                  <w14:solidFill>
                    <w14:srgbClr w14:val="000000">
                      <w14:alpha w14:val="100000"/>
                    </w14:srgbClr>
                  </w14:solidFill>
                </w14:textFill>
              </w:rPr>
              <w:t>|||  ||</w:t>
            </w:r>
            <w:r w:rsidRPr="00D370AA">
              <w:rPr>
                <w:rFonts w:ascii="Arial Narrow" w:hAnsi="Arial Narrow" w:cs="Calibri"/>
                <w:color w:val="000000"/>
                <w:spacing w:val="3"/>
                <w:sz w:val="20"/>
                <w:szCs w:val="20"/>
                <w:shd w:val="solid" w:color="000000" w:fill="000000"/>
                <w:fitText w:val="419" w:id="-1233447152"/>
                <w14:textFill>
                  <w14:solidFill>
                    <w14:srgbClr w14:val="000000">
                      <w14:alpha w14:val="100000"/>
                    </w14:srgbClr>
                  </w14:solidFill>
                </w14:textFill>
              </w:rPr>
              <w:t>|</w:t>
            </w:r>
            <w:r w:rsidR="00F76077" w:rsidRPr="00F76077">
              <w:rPr>
                <w:rFonts w:ascii="Arial Narrow" w:hAnsi="Arial Narrow" w:cs="Calibri"/>
                <w:sz w:val="20"/>
                <w:szCs w:val="20"/>
              </w:rPr>
              <w:t xml:space="preserve"> </w:t>
            </w:r>
            <w:r w:rsidR="000A2D14">
              <w:rPr>
                <w:rFonts w:ascii="Arial Narrow" w:hAnsi="Arial Narrow"/>
                <w:sz w:val="20"/>
                <w:szCs w:val="20"/>
                <w:vertAlign w:val="superscript"/>
              </w:rPr>
              <w:t>6</w:t>
            </w:r>
          </w:p>
        </w:tc>
        <w:tc>
          <w:tcPr>
            <w:tcW w:w="1173" w:type="dxa"/>
            <w:gridSpan w:val="2"/>
            <w:vAlign w:val="center"/>
          </w:tcPr>
          <w:p w14:paraId="3842CFE0" w14:textId="299F42D8" w:rsidR="0029435B" w:rsidRPr="000A2D14" w:rsidRDefault="00D370AA" w:rsidP="00A80A4C">
            <w:pPr>
              <w:keepNext/>
              <w:keepLines/>
              <w:rPr>
                <w:rFonts w:ascii="Arial Narrow" w:hAnsi="Arial Narrow"/>
                <w:sz w:val="20"/>
                <w:szCs w:val="20"/>
                <w:highlight w:val="darkGray"/>
              </w:rPr>
            </w:pPr>
            <w:r w:rsidRPr="00D370AA">
              <w:rPr>
                <w:rFonts w:ascii="Arial Narrow" w:hAnsi="Arial Narrow" w:cs="Calibri"/>
                <w:color w:val="000000"/>
                <w:spacing w:val="10"/>
                <w:sz w:val="20"/>
                <w:szCs w:val="20"/>
                <w:shd w:val="solid" w:color="000000" w:fill="000000"/>
                <w:fitText w:val="419" w:id="-1233447168"/>
                <w14:textFill>
                  <w14:solidFill>
                    <w14:srgbClr w14:val="000000">
                      <w14:alpha w14:val="100000"/>
                    </w14:srgbClr>
                  </w14:solidFill>
                </w14:textFill>
              </w:rPr>
              <w:t>|||  ||</w:t>
            </w:r>
            <w:r w:rsidRPr="00D370AA">
              <w:rPr>
                <w:rFonts w:ascii="Arial Narrow" w:hAnsi="Arial Narrow" w:cs="Calibri"/>
                <w:color w:val="000000"/>
                <w:spacing w:val="3"/>
                <w:sz w:val="20"/>
                <w:szCs w:val="20"/>
                <w:shd w:val="solid" w:color="000000" w:fill="000000"/>
                <w:fitText w:val="419" w:id="-1233447168"/>
                <w14:textFill>
                  <w14:solidFill>
                    <w14:srgbClr w14:val="000000">
                      <w14:alpha w14:val="100000"/>
                    </w14:srgbClr>
                  </w14:solidFill>
                </w14:textFill>
              </w:rPr>
              <w:t>|</w:t>
            </w:r>
            <w:r w:rsidR="00F76077" w:rsidRPr="00F76077">
              <w:rPr>
                <w:rFonts w:ascii="Arial Narrow" w:hAnsi="Arial Narrow" w:cs="Calibri"/>
                <w:sz w:val="20"/>
                <w:szCs w:val="20"/>
              </w:rPr>
              <w:t xml:space="preserve"> </w:t>
            </w:r>
            <w:r w:rsidR="000A2D14">
              <w:rPr>
                <w:rFonts w:ascii="Arial Narrow" w:hAnsi="Arial Narrow"/>
                <w:sz w:val="20"/>
                <w:szCs w:val="20"/>
                <w:vertAlign w:val="superscript"/>
              </w:rPr>
              <w:t>6</w:t>
            </w:r>
          </w:p>
        </w:tc>
        <w:tc>
          <w:tcPr>
            <w:tcW w:w="1175" w:type="dxa"/>
            <w:vAlign w:val="center"/>
          </w:tcPr>
          <w:p w14:paraId="762D86FC" w14:textId="66E75DDF" w:rsidR="0029435B" w:rsidRPr="000A2D14" w:rsidRDefault="00D370AA" w:rsidP="00A80A4C">
            <w:pPr>
              <w:keepNext/>
              <w:keepLines/>
              <w:rPr>
                <w:rFonts w:ascii="Arial Narrow" w:hAnsi="Arial Narrow"/>
                <w:sz w:val="20"/>
                <w:szCs w:val="20"/>
                <w:highlight w:val="darkGray"/>
              </w:rPr>
            </w:pPr>
            <w:r w:rsidRPr="00D370AA">
              <w:rPr>
                <w:rFonts w:ascii="Arial Narrow" w:hAnsi="Arial Narrow" w:cs="Calibri"/>
                <w:color w:val="000000"/>
                <w:spacing w:val="10"/>
                <w:sz w:val="20"/>
                <w:szCs w:val="20"/>
                <w:shd w:val="solid" w:color="000000" w:fill="000000"/>
                <w:fitText w:val="418" w:id="-1233447167"/>
                <w14:textFill>
                  <w14:solidFill>
                    <w14:srgbClr w14:val="000000">
                      <w14:alpha w14:val="100000"/>
                    </w14:srgbClr>
                  </w14:solidFill>
                </w14:textFill>
              </w:rPr>
              <w:t>|||  ||</w:t>
            </w:r>
            <w:r w:rsidRPr="00D370AA">
              <w:rPr>
                <w:rFonts w:ascii="Arial Narrow" w:hAnsi="Arial Narrow" w:cs="Calibri"/>
                <w:color w:val="000000"/>
                <w:spacing w:val="2"/>
                <w:sz w:val="20"/>
                <w:szCs w:val="20"/>
                <w:shd w:val="solid" w:color="000000" w:fill="000000"/>
                <w:fitText w:val="418" w:id="-1233447167"/>
                <w14:textFill>
                  <w14:solidFill>
                    <w14:srgbClr w14:val="000000">
                      <w14:alpha w14:val="100000"/>
                    </w14:srgbClr>
                  </w14:solidFill>
                </w14:textFill>
              </w:rPr>
              <w:t>|</w:t>
            </w:r>
            <w:r w:rsidR="00F76077" w:rsidRPr="00F76077">
              <w:rPr>
                <w:rFonts w:ascii="Arial Narrow" w:hAnsi="Arial Narrow" w:cs="Calibri"/>
                <w:sz w:val="20"/>
                <w:szCs w:val="20"/>
              </w:rPr>
              <w:t xml:space="preserve"> </w:t>
            </w:r>
            <w:r w:rsidR="000A2D14">
              <w:rPr>
                <w:rFonts w:ascii="Arial Narrow" w:hAnsi="Arial Narrow"/>
                <w:sz w:val="20"/>
                <w:szCs w:val="20"/>
                <w:vertAlign w:val="superscript"/>
              </w:rPr>
              <w:t>6</w:t>
            </w:r>
          </w:p>
        </w:tc>
      </w:tr>
      <w:tr w:rsidR="0029435B" w:rsidRPr="008914A5" w14:paraId="40C8A228" w14:textId="77777777" w:rsidTr="00A80A4C">
        <w:tc>
          <w:tcPr>
            <w:tcW w:w="1980" w:type="dxa"/>
            <w:gridSpan w:val="2"/>
            <w:vAlign w:val="center"/>
          </w:tcPr>
          <w:p w14:paraId="623926F3" w14:textId="136DE363" w:rsidR="0029435B" w:rsidRPr="008914A5" w:rsidRDefault="0029435B" w:rsidP="00A80A4C">
            <w:pPr>
              <w:keepNext/>
              <w:keepLines/>
              <w:jc w:val="left"/>
              <w:rPr>
                <w:rFonts w:ascii="Arial Narrow" w:hAnsi="Arial Narrow"/>
                <w:sz w:val="20"/>
                <w:szCs w:val="20"/>
              </w:rPr>
            </w:pPr>
            <w:r w:rsidRPr="008914A5">
              <w:rPr>
                <w:rFonts w:ascii="Arial Narrow" w:hAnsi="Arial Narrow"/>
                <w:sz w:val="20"/>
                <w:szCs w:val="20"/>
              </w:rPr>
              <w:t>Net cost to PBS/RPBS population 1+2</w:t>
            </w:r>
          </w:p>
        </w:tc>
        <w:tc>
          <w:tcPr>
            <w:tcW w:w="1172" w:type="dxa"/>
            <w:gridSpan w:val="5"/>
            <w:vAlign w:val="center"/>
          </w:tcPr>
          <w:p w14:paraId="45982BD1" w14:textId="46A7FCC6"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6"/>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6"/>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6</w:t>
            </w:r>
          </w:p>
        </w:tc>
        <w:tc>
          <w:tcPr>
            <w:tcW w:w="1173" w:type="dxa"/>
            <w:gridSpan w:val="3"/>
            <w:vAlign w:val="center"/>
          </w:tcPr>
          <w:p w14:paraId="79D5CE35" w14:textId="794408FD"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5"/>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5"/>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6</w:t>
            </w:r>
          </w:p>
        </w:tc>
        <w:tc>
          <w:tcPr>
            <w:tcW w:w="1173" w:type="dxa"/>
            <w:gridSpan w:val="3"/>
            <w:vAlign w:val="center"/>
          </w:tcPr>
          <w:p w14:paraId="1A54CCEE" w14:textId="09CA5202"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4"/>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4"/>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6</w:t>
            </w:r>
          </w:p>
        </w:tc>
        <w:tc>
          <w:tcPr>
            <w:tcW w:w="1172" w:type="dxa"/>
            <w:gridSpan w:val="2"/>
            <w:vAlign w:val="center"/>
          </w:tcPr>
          <w:p w14:paraId="42467BBC" w14:textId="1FB07454"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3"/>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3"/>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6</w:t>
            </w:r>
          </w:p>
        </w:tc>
        <w:tc>
          <w:tcPr>
            <w:tcW w:w="1173" w:type="dxa"/>
            <w:gridSpan w:val="2"/>
            <w:vAlign w:val="center"/>
          </w:tcPr>
          <w:p w14:paraId="2505BAC2" w14:textId="54495C14"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2"/>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2"/>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6</w:t>
            </w:r>
          </w:p>
        </w:tc>
        <w:tc>
          <w:tcPr>
            <w:tcW w:w="1175" w:type="dxa"/>
            <w:vAlign w:val="center"/>
          </w:tcPr>
          <w:p w14:paraId="67DA67AF" w14:textId="22DBD417"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1"/>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1"/>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6</w:t>
            </w:r>
          </w:p>
        </w:tc>
      </w:tr>
      <w:tr w:rsidR="0029435B" w:rsidRPr="008914A5" w14:paraId="03D0D25C" w14:textId="77777777" w:rsidTr="00A80A4C">
        <w:tc>
          <w:tcPr>
            <w:tcW w:w="1980" w:type="dxa"/>
            <w:gridSpan w:val="2"/>
            <w:vAlign w:val="center"/>
          </w:tcPr>
          <w:p w14:paraId="6C019C7D" w14:textId="77777777" w:rsidR="0029435B" w:rsidRPr="008914A5" w:rsidRDefault="0029435B" w:rsidP="00A80A4C">
            <w:pPr>
              <w:keepNext/>
              <w:keepLines/>
              <w:jc w:val="left"/>
              <w:rPr>
                <w:rFonts w:ascii="Arial Narrow" w:hAnsi="Arial Narrow"/>
                <w:sz w:val="20"/>
                <w:szCs w:val="20"/>
              </w:rPr>
            </w:pPr>
            <w:r w:rsidRPr="008914A5">
              <w:rPr>
                <w:rFonts w:ascii="Arial Narrow" w:hAnsi="Arial Narrow"/>
                <w:sz w:val="20"/>
                <w:szCs w:val="20"/>
              </w:rPr>
              <w:t>MBS cost (population 1)</w:t>
            </w:r>
          </w:p>
        </w:tc>
        <w:tc>
          <w:tcPr>
            <w:tcW w:w="1172" w:type="dxa"/>
            <w:gridSpan w:val="5"/>
            <w:vAlign w:val="center"/>
          </w:tcPr>
          <w:p w14:paraId="14DD5DF3" w14:textId="37207709"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0"/>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0"/>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4</w:t>
            </w:r>
          </w:p>
        </w:tc>
        <w:tc>
          <w:tcPr>
            <w:tcW w:w="1173" w:type="dxa"/>
            <w:gridSpan w:val="3"/>
            <w:vAlign w:val="center"/>
          </w:tcPr>
          <w:p w14:paraId="0B69F48B" w14:textId="25104BE3"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9"/>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9"/>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4</w:t>
            </w:r>
          </w:p>
        </w:tc>
        <w:tc>
          <w:tcPr>
            <w:tcW w:w="1173" w:type="dxa"/>
            <w:gridSpan w:val="3"/>
            <w:vAlign w:val="center"/>
          </w:tcPr>
          <w:p w14:paraId="7AD733FC" w14:textId="47F5AD3E"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8"/>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8"/>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4</w:t>
            </w:r>
          </w:p>
        </w:tc>
        <w:tc>
          <w:tcPr>
            <w:tcW w:w="1172" w:type="dxa"/>
            <w:gridSpan w:val="2"/>
            <w:vAlign w:val="center"/>
          </w:tcPr>
          <w:p w14:paraId="2CF2534B" w14:textId="613AADB1"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7"/>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7"/>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4</w:t>
            </w:r>
          </w:p>
        </w:tc>
        <w:tc>
          <w:tcPr>
            <w:tcW w:w="1173" w:type="dxa"/>
            <w:gridSpan w:val="2"/>
            <w:vAlign w:val="center"/>
          </w:tcPr>
          <w:p w14:paraId="67722AC0" w14:textId="04F9D126"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6"/>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6"/>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4</w:t>
            </w:r>
          </w:p>
        </w:tc>
        <w:tc>
          <w:tcPr>
            <w:tcW w:w="1175" w:type="dxa"/>
            <w:vAlign w:val="center"/>
          </w:tcPr>
          <w:p w14:paraId="21DF0508" w14:textId="484EAE7C"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5"/>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5"/>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4</w:t>
            </w:r>
          </w:p>
        </w:tc>
      </w:tr>
      <w:tr w:rsidR="0029435B" w:rsidRPr="008914A5" w14:paraId="1929F2ED" w14:textId="77777777" w:rsidTr="00A80A4C">
        <w:tc>
          <w:tcPr>
            <w:tcW w:w="1980" w:type="dxa"/>
            <w:gridSpan w:val="2"/>
            <w:vAlign w:val="center"/>
          </w:tcPr>
          <w:p w14:paraId="7D22CDB6" w14:textId="77777777" w:rsidR="0029435B" w:rsidRPr="008914A5" w:rsidRDefault="0029435B" w:rsidP="00A80A4C">
            <w:pPr>
              <w:keepNext/>
              <w:keepLines/>
              <w:jc w:val="left"/>
              <w:rPr>
                <w:rFonts w:ascii="Arial Narrow" w:hAnsi="Arial Narrow"/>
                <w:sz w:val="20"/>
                <w:szCs w:val="20"/>
              </w:rPr>
            </w:pPr>
            <w:r w:rsidRPr="008914A5">
              <w:rPr>
                <w:rFonts w:ascii="Arial Narrow" w:hAnsi="Arial Narrow"/>
                <w:sz w:val="20"/>
                <w:szCs w:val="20"/>
              </w:rPr>
              <w:t>Hospital cost offset (population 1+2)</w:t>
            </w:r>
          </w:p>
        </w:tc>
        <w:tc>
          <w:tcPr>
            <w:tcW w:w="1172" w:type="dxa"/>
            <w:gridSpan w:val="5"/>
            <w:vAlign w:val="center"/>
          </w:tcPr>
          <w:p w14:paraId="3B3ACB75" w14:textId="63A0CC31"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4"/>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4"/>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7</w:t>
            </w:r>
          </w:p>
        </w:tc>
        <w:tc>
          <w:tcPr>
            <w:tcW w:w="1173" w:type="dxa"/>
            <w:gridSpan w:val="3"/>
            <w:vAlign w:val="center"/>
          </w:tcPr>
          <w:p w14:paraId="599C2995" w14:textId="442C3CD2"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3"/>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3"/>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7</w:t>
            </w:r>
          </w:p>
        </w:tc>
        <w:tc>
          <w:tcPr>
            <w:tcW w:w="1173" w:type="dxa"/>
            <w:gridSpan w:val="3"/>
            <w:vAlign w:val="center"/>
          </w:tcPr>
          <w:p w14:paraId="56F4306A" w14:textId="1BD16C76"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52"/>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52"/>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7</w:t>
            </w:r>
          </w:p>
        </w:tc>
        <w:tc>
          <w:tcPr>
            <w:tcW w:w="1172" w:type="dxa"/>
            <w:gridSpan w:val="2"/>
            <w:vAlign w:val="center"/>
          </w:tcPr>
          <w:p w14:paraId="70F232F0" w14:textId="00953296"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8"/>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8"/>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7</w:t>
            </w:r>
          </w:p>
        </w:tc>
        <w:tc>
          <w:tcPr>
            <w:tcW w:w="1173" w:type="dxa"/>
            <w:gridSpan w:val="2"/>
            <w:vAlign w:val="center"/>
          </w:tcPr>
          <w:p w14:paraId="169918A0" w14:textId="2B24E7B4"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7"/>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7"/>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7</w:t>
            </w:r>
          </w:p>
        </w:tc>
        <w:tc>
          <w:tcPr>
            <w:tcW w:w="1175" w:type="dxa"/>
            <w:vAlign w:val="center"/>
          </w:tcPr>
          <w:p w14:paraId="0A527A49" w14:textId="57A54337" w:rsidR="0029435B" w:rsidRPr="000A2D14" w:rsidRDefault="00D370AA" w:rsidP="0029435B">
            <w:pPr>
              <w:keepNext/>
              <w:keepLines/>
              <w:jc w:val="center"/>
              <w:rPr>
                <w:rFonts w:ascii="Arial Narrow" w:hAnsi="Arial Narrow"/>
                <w:sz w:val="20"/>
                <w:szCs w:val="20"/>
                <w:highlight w:val="darkGray"/>
              </w:rPr>
            </w:pPr>
            <w:r w:rsidRPr="00D370AA">
              <w:rPr>
                <w:rFonts w:ascii="Arial Narrow" w:hAnsi="Arial Narrow"/>
                <w:color w:val="000000"/>
                <w:spacing w:val="202"/>
                <w:sz w:val="20"/>
                <w:szCs w:val="20"/>
                <w:shd w:val="solid" w:color="000000" w:fill="000000"/>
                <w:fitText w:val="288" w:id="-1233447166"/>
                <w14:textFill>
                  <w14:solidFill>
                    <w14:srgbClr w14:val="000000">
                      <w14:alpha w14:val="100000"/>
                    </w14:srgbClr>
                  </w14:solidFill>
                </w14:textFill>
              </w:rPr>
              <w:t>|</w:t>
            </w:r>
            <w:r w:rsidRPr="00D370AA">
              <w:rPr>
                <w:rFonts w:ascii="Arial Narrow" w:hAnsi="Arial Narrow"/>
                <w:color w:val="000000"/>
                <w:spacing w:val="1"/>
                <w:sz w:val="20"/>
                <w:szCs w:val="20"/>
                <w:shd w:val="solid" w:color="000000" w:fill="000000"/>
                <w:fitText w:val="288" w:id="-1233447166"/>
                <w14:textFill>
                  <w14:solidFill>
                    <w14:srgbClr w14:val="000000">
                      <w14:alpha w14:val="100000"/>
                    </w14:srgbClr>
                  </w14:solidFill>
                </w14:textFill>
              </w:rPr>
              <w:t>|</w:t>
            </w:r>
            <w:r w:rsidR="00F76077" w:rsidRPr="00F76077">
              <w:rPr>
                <w:rFonts w:ascii="Arial Narrow" w:hAnsi="Arial Narrow"/>
                <w:sz w:val="20"/>
                <w:szCs w:val="20"/>
              </w:rPr>
              <w:t xml:space="preserve"> </w:t>
            </w:r>
            <w:r w:rsidR="000A2D14">
              <w:rPr>
                <w:rFonts w:ascii="Arial Narrow" w:hAnsi="Arial Narrow"/>
                <w:sz w:val="20"/>
                <w:szCs w:val="20"/>
                <w:vertAlign w:val="superscript"/>
              </w:rPr>
              <w:t>7</w:t>
            </w:r>
          </w:p>
        </w:tc>
      </w:tr>
      <w:tr w:rsidR="0029435B" w:rsidRPr="008914A5" w14:paraId="2F64AB74" w14:textId="77777777" w:rsidTr="00A80A4C">
        <w:tc>
          <w:tcPr>
            <w:tcW w:w="1980" w:type="dxa"/>
            <w:gridSpan w:val="2"/>
            <w:vAlign w:val="center"/>
          </w:tcPr>
          <w:p w14:paraId="79592E9C" w14:textId="77777777" w:rsidR="0029435B" w:rsidRPr="008914A5" w:rsidRDefault="0029435B" w:rsidP="00A80A4C">
            <w:pPr>
              <w:keepNext/>
              <w:keepLines/>
              <w:jc w:val="left"/>
              <w:rPr>
                <w:rFonts w:ascii="Arial Narrow" w:hAnsi="Arial Narrow"/>
                <w:b/>
                <w:bCs/>
                <w:sz w:val="20"/>
                <w:szCs w:val="20"/>
              </w:rPr>
            </w:pPr>
            <w:r w:rsidRPr="008914A5">
              <w:rPr>
                <w:rFonts w:ascii="Arial Narrow" w:hAnsi="Arial Narrow"/>
                <w:b/>
                <w:bCs/>
                <w:sz w:val="20"/>
                <w:szCs w:val="20"/>
              </w:rPr>
              <w:t>Total cost to government population 1+2</w:t>
            </w:r>
          </w:p>
        </w:tc>
        <w:tc>
          <w:tcPr>
            <w:tcW w:w="1172" w:type="dxa"/>
            <w:gridSpan w:val="5"/>
            <w:vAlign w:val="center"/>
          </w:tcPr>
          <w:p w14:paraId="6D5DFF92" w14:textId="25830AFA" w:rsidR="0029435B" w:rsidRPr="000A2D14" w:rsidRDefault="00D370AA" w:rsidP="0029435B">
            <w:pPr>
              <w:keepNext/>
              <w:keepLines/>
              <w:jc w:val="center"/>
              <w:rPr>
                <w:rFonts w:ascii="Arial Narrow" w:hAnsi="Arial Narrow"/>
                <w:b/>
                <w:bCs/>
                <w:sz w:val="20"/>
                <w:szCs w:val="20"/>
                <w:highlight w:val="darkGray"/>
              </w:rPr>
            </w:pPr>
            <w:r w:rsidRPr="00D370AA">
              <w:rPr>
                <w:rFonts w:ascii="Arial Narrow" w:hAnsi="Arial Narrow"/>
                <w:b/>
                <w:bCs/>
                <w:color w:val="000000"/>
                <w:spacing w:val="55"/>
                <w:sz w:val="20"/>
                <w:szCs w:val="20"/>
                <w:shd w:val="solid" w:color="000000" w:fill="000000"/>
                <w:fitText w:val="350" w:id="-1233447165"/>
                <w14:textFill>
                  <w14:solidFill>
                    <w14:srgbClr w14:val="000000">
                      <w14:alpha w14:val="100000"/>
                    </w14:srgbClr>
                  </w14:solidFill>
                </w14:textFill>
              </w:rPr>
              <w:t>|||</w:t>
            </w:r>
            <w:r w:rsidRPr="00D370AA">
              <w:rPr>
                <w:rFonts w:ascii="Arial Narrow" w:hAnsi="Arial Narrow"/>
                <w:b/>
                <w:bCs/>
                <w:color w:val="000000"/>
                <w:spacing w:val="2"/>
                <w:sz w:val="20"/>
                <w:szCs w:val="20"/>
                <w:shd w:val="solid" w:color="000000" w:fill="000000"/>
                <w:fitText w:val="350" w:id="-1233447165"/>
                <w14:textFill>
                  <w14:solidFill>
                    <w14:srgbClr w14:val="000000">
                      <w14:alpha w14:val="100000"/>
                    </w14:srgbClr>
                  </w14:solidFill>
                </w14:textFill>
              </w:rPr>
              <w:t>|</w:t>
            </w:r>
            <w:r w:rsidR="00F76077" w:rsidRPr="00F76077">
              <w:rPr>
                <w:rFonts w:ascii="Arial Narrow" w:hAnsi="Arial Narrow"/>
                <w:b/>
                <w:bCs/>
                <w:sz w:val="20"/>
                <w:szCs w:val="20"/>
              </w:rPr>
              <w:t xml:space="preserve"> </w:t>
            </w:r>
            <w:r w:rsidR="000A2D14">
              <w:rPr>
                <w:rFonts w:ascii="Arial Narrow" w:hAnsi="Arial Narrow"/>
                <w:sz w:val="20"/>
                <w:szCs w:val="20"/>
                <w:vertAlign w:val="superscript"/>
              </w:rPr>
              <w:t>6</w:t>
            </w:r>
          </w:p>
        </w:tc>
        <w:tc>
          <w:tcPr>
            <w:tcW w:w="1173" w:type="dxa"/>
            <w:gridSpan w:val="3"/>
            <w:vAlign w:val="center"/>
          </w:tcPr>
          <w:p w14:paraId="4A226944" w14:textId="5F05CA2E" w:rsidR="0029435B" w:rsidRPr="000A2D14" w:rsidRDefault="00D370AA" w:rsidP="0029435B">
            <w:pPr>
              <w:keepNext/>
              <w:keepLines/>
              <w:jc w:val="center"/>
              <w:rPr>
                <w:rFonts w:ascii="Arial Narrow" w:hAnsi="Arial Narrow"/>
                <w:b/>
                <w:bCs/>
                <w:sz w:val="20"/>
                <w:szCs w:val="20"/>
                <w:highlight w:val="darkGray"/>
              </w:rPr>
            </w:pPr>
            <w:r w:rsidRPr="00D370AA">
              <w:rPr>
                <w:rFonts w:ascii="Arial Narrow" w:hAnsi="Arial Narrow"/>
                <w:b/>
                <w:bCs/>
                <w:color w:val="000000"/>
                <w:spacing w:val="55"/>
                <w:sz w:val="20"/>
                <w:szCs w:val="20"/>
                <w:shd w:val="solid" w:color="000000" w:fill="000000"/>
                <w:fitText w:val="350" w:id="-1233447164"/>
                <w14:textFill>
                  <w14:solidFill>
                    <w14:srgbClr w14:val="000000">
                      <w14:alpha w14:val="100000"/>
                    </w14:srgbClr>
                  </w14:solidFill>
                </w14:textFill>
              </w:rPr>
              <w:t>|||</w:t>
            </w:r>
            <w:r w:rsidRPr="00D370AA">
              <w:rPr>
                <w:rFonts w:ascii="Arial Narrow" w:hAnsi="Arial Narrow"/>
                <w:b/>
                <w:bCs/>
                <w:color w:val="000000"/>
                <w:spacing w:val="2"/>
                <w:sz w:val="20"/>
                <w:szCs w:val="20"/>
                <w:shd w:val="solid" w:color="000000" w:fill="000000"/>
                <w:fitText w:val="350" w:id="-1233447164"/>
                <w14:textFill>
                  <w14:solidFill>
                    <w14:srgbClr w14:val="000000">
                      <w14:alpha w14:val="100000"/>
                    </w14:srgbClr>
                  </w14:solidFill>
                </w14:textFill>
              </w:rPr>
              <w:t>|</w:t>
            </w:r>
            <w:r w:rsidR="00F76077" w:rsidRPr="00F76077">
              <w:rPr>
                <w:rFonts w:ascii="Arial Narrow" w:hAnsi="Arial Narrow"/>
                <w:b/>
                <w:bCs/>
                <w:sz w:val="20"/>
                <w:szCs w:val="20"/>
              </w:rPr>
              <w:t xml:space="preserve"> </w:t>
            </w:r>
            <w:r w:rsidR="000A2D14">
              <w:rPr>
                <w:rFonts w:ascii="Arial Narrow" w:hAnsi="Arial Narrow"/>
                <w:sz w:val="20"/>
                <w:szCs w:val="20"/>
                <w:vertAlign w:val="superscript"/>
              </w:rPr>
              <w:t>6</w:t>
            </w:r>
          </w:p>
        </w:tc>
        <w:tc>
          <w:tcPr>
            <w:tcW w:w="1173" w:type="dxa"/>
            <w:gridSpan w:val="3"/>
            <w:vAlign w:val="center"/>
          </w:tcPr>
          <w:p w14:paraId="252D3ED4" w14:textId="4E89956B" w:rsidR="0029435B" w:rsidRPr="000A2D14" w:rsidRDefault="00D370AA" w:rsidP="0029435B">
            <w:pPr>
              <w:keepNext/>
              <w:keepLines/>
              <w:jc w:val="center"/>
              <w:rPr>
                <w:rFonts w:ascii="Arial Narrow" w:hAnsi="Arial Narrow"/>
                <w:b/>
                <w:bCs/>
                <w:sz w:val="20"/>
                <w:szCs w:val="20"/>
                <w:highlight w:val="darkGray"/>
              </w:rPr>
            </w:pPr>
            <w:r w:rsidRPr="00D370AA">
              <w:rPr>
                <w:rFonts w:ascii="Arial Narrow" w:hAnsi="Arial Narrow"/>
                <w:b/>
                <w:bCs/>
                <w:color w:val="000000"/>
                <w:spacing w:val="55"/>
                <w:sz w:val="20"/>
                <w:szCs w:val="20"/>
                <w:shd w:val="solid" w:color="000000" w:fill="000000"/>
                <w:fitText w:val="351" w:id="-1233447163"/>
                <w14:textFill>
                  <w14:solidFill>
                    <w14:srgbClr w14:val="000000">
                      <w14:alpha w14:val="100000"/>
                    </w14:srgbClr>
                  </w14:solidFill>
                </w14:textFill>
              </w:rPr>
              <w:t>|||</w:t>
            </w:r>
            <w:r w:rsidRPr="00D370AA">
              <w:rPr>
                <w:rFonts w:ascii="Arial Narrow" w:hAnsi="Arial Narrow"/>
                <w:b/>
                <w:bCs/>
                <w:color w:val="000000"/>
                <w:spacing w:val="3"/>
                <w:sz w:val="20"/>
                <w:szCs w:val="20"/>
                <w:shd w:val="solid" w:color="000000" w:fill="000000"/>
                <w:fitText w:val="351" w:id="-1233447163"/>
                <w14:textFill>
                  <w14:solidFill>
                    <w14:srgbClr w14:val="000000">
                      <w14:alpha w14:val="100000"/>
                    </w14:srgbClr>
                  </w14:solidFill>
                </w14:textFill>
              </w:rPr>
              <w:t>|</w:t>
            </w:r>
            <w:r w:rsidR="00F76077" w:rsidRPr="00F76077">
              <w:rPr>
                <w:rFonts w:ascii="Arial Narrow" w:hAnsi="Arial Narrow"/>
                <w:b/>
                <w:bCs/>
                <w:sz w:val="20"/>
                <w:szCs w:val="20"/>
              </w:rPr>
              <w:t xml:space="preserve"> </w:t>
            </w:r>
            <w:r w:rsidR="000A2D14">
              <w:rPr>
                <w:rFonts w:ascii="Arial Narrow" w:hAnsi="Arial Narrow"/>
                <w:sz w:val="20"/>
                <w:szCs w:val="20"/>
                <w:vertAlign w:val="superscript"/>
              </w:rPr>
              <w:t>6</w:t>
            </w:r>
          </w:p>
        </w:tc>
        <w:tc>
          <w:tcPr>
            <w:tcW w:w="1172" w:type="dxa"/>
            <w:gridSpan w:val="2"/>
            <w:vAlign w:val="center"/>
          </w:tcPr>
          <w:p w14:paraId="53D01EC9" w14:textId="55F6E68A" w:rsidR="0029435B" w:rsidRPr="000A2D14" w:rsidRDefault="00D370AA" w:rsidP="0029435B">
            <w:pPr>
              <w:keepNext/>
              <w:keepLines/>
              <w:jc w:val="center"/>
              <w:rPr>
                <w:rFonts w:ascii="Arial Narrow" w:hAnsi="Arial Narrow"/>
                <w:b/>
                <w:bCs/>
                <w:sz w:val="20"/>
                <w:szCs w:val="20"/>
                <w:highlight w:val="darkGray"/>
              </w:rPr>
            </w:pPr>
            <w:r w:rsidRPr="00D370AA">
              <w:rPr>
                <w:rFonts w:ascii="Arial Narrow" w:hAnsi="Arial Narrow"/>
                <w:b/>
                <w:bCs/>
                <w:color w:val="000000"/>
                <w:spacing w:val="55"/>
                <w:sz w:val="20"/>
                <w:szCs w:val="20"/>
                <w:shd w:val="solid" w:color="000000" w:fill="000000"/>
                <w:fitText w:val="351" w:id="-1233447162"/>
                <w14:textFill>
                  <w14:solidFill>
                    <w14:srgbClr w14:val="000000">
                      <w14:alpha w14:val="100000"/>
                    </w14:srgbClr>
                  </w14:solidFill>
                </w14:textFill>
              </w:rPr>
              <w:t>|||</w:t>
            </w:r>
            <w:r w:rsidRPr="00D370AA">
              <w:rPr>
                <w:rFonts w:ascii="Arial Narrow" w:hAnsi="Arial Narrow"/>
                <w:b/>
                <w:bCs/>
                <w:color w:val="000000"/>
                <w:spacing w:val="3"/>
                <w:sz w:val="20"/>
                <w:szCs w:val="20"/>
                <w:shd w:val="solid" w:color="000000" w:fill="000000"/>
                <w:fitText w:val="351" w:id="-1233447162"/>
                <w14:textFill>
                  <w14:solidFill>
                    <w14:srgbClr w14:val="000000">
                      <w14:alpha w14:val="100000"/>
                    </w14:srgbClr>
                  </w14:solidFill>
                </w14:textFill>
              </w:rPr>
              <w:t>|</w:t>
            </w:r>
            <w:r w:rsidR="00F76077" w:rsidRPr="00F76077">
              <w:rPr>
                <w:rFonts w:ascii="Arial Narrow" w:hAnsi="Arial Narrow"/>
                <w:b/>
                <w:bCs/>
                <w:sz w:val="20"/>
                <w:szCs w:val="20"/>
              </w:rPr>
              <w:t xml:space="preserve"> </w:t>
            </w:r>
            <w:r w:rsidR="000A2D14">
              <w:rPr>
                <w:rFonts w:ascii="Arial Narrow" w:hAnsi="Arial Narrow"/>
                <w:sz w:val="20"/>
                <w:szCs w:val="20"/>
                <w:vertAlign w:val="superscript"/>
              </w:rPr>
              <w:t>6</w:t>
            </w:r>
          </w:p>
        </w:tc>
        <w:tc>
          <w:tcPr>
            <w:tcW w:w="1173" w:type="dxa"/>
            <w:gridSpan w:val="2"/>
            <w:vAlign w:val="center"/>
          </w:tcPr>
          <w:p w14:paraId="7239E1B4" w14:textId="2A0BE4AD" w:rsidR="0029435B" w:rsidRPr="000A2D14" w:rsidRDefault="00D370AA" w:rsidP="0029435B">
            <w:pPr>
              <w:keepNext/>
              <w:keepLines/>
              <w:jc w:val="center"/>
              <w:rPr>
                <w:rFonts w:ascii="Arial Narrow" w:hAnsi="Arial Narrow"/>
                <w:b/>
                <w:bCs/>
                <w:sz w:val="20"/>
                <w:szCs w:val="20"/>
                <w:highlight w:val="darkGray"/>
              </w:rPr>
            </w:pPr>
            <w:r w:rsidRPr="00D370AA">
              <w:rPr>
                <w:rFonts w:ascii="Arial Narrow" w:hAnsi="Arial Narrow"/>
                <w:b/>
                <w:bCs/>
                <w:color w:val="000000"/>
                <w:spacing w:val="55"/>
                <w:sz w:val="20"/>
                <w:szCs w:val="20"/>
                <w:shd w:val="solid" w:color="000000" w:fill="000000"/>
                <w:fitText w:val="351" w:id="-1233447161"/>
                <w14:textFill>
                  <w14:solidFill>
                    <w14:srgbClr w14:val="000000">
                      <w14:alpha w14:val="100000"/>
                    </w14:srgbClr>
                  </w14:solidFill>
                </w14:textFill>
              </w:rPr>
              <w:t>|||</w:t>
            </w:r>
            <w:r w:rsidRPr="00D370AA">
              <w:rPr>
                <w:rFonts w:ascii="Arial Narrow" w:hAnsi="Arial Narrow"/>
                <w:b/>
                <w:bCs/>
                <w:color w:val="000000"/>
                <w:spacing w:val="3"/>
                <w:sz w:val="20"/>
                <w:szCs w:val="20"/>
                <w:shd w:val="solid" w:color="000000" w:fill="000000"/>
                <w:fitText w:val="351" w:id="-1233447161"/>
                <w14:textFill>
                  <w14:solidFill>
                    <w14:srgbClr w14:val="000000">
                      <w14:alpha w14:val="100000"/>
                    </w14:srgbClr>
                  </w14:solidFill>
                </w14:textFill>
              </w:rPr>
              <w:t>|</w:t>
            </w:r>
            <w:r w:rsidR="00F76077" w:rsidRPr="00F76077">
              <w:rPr>
                <w:rFonts w:ascii="Arial Narrow" w:hAnsi="Arial Narrow"/>
                <w:b/>
                <w:bCs/>
                <w:sz w:val="20"/>
                <w:szCs w:val="20"/>
              </w:rPr>
              <w:t xml:space="preserve"> </w:t>
            </w:r>
            <w:r w:rsidR="000A2D14">
              <w:rPr>
                <w:rFonts w:ascii="Arial Narrow" w:hAnsi="Arial Narrow"/>
                <w:sz w:val="20"/>
                <w:szCs w:val="20"/>
                <w:vertAlign w:val="superscript"/>
              </w:rPr>
              <w:t>6</w:t>
            </w:r>
          </w:p>
        </w:tc>
        <w:tc>
          <w:tcPr>
            <w:tcW w:w="1175" w:type="dxa"/>
            <w:vAlign w:val="center"/>
          </w:tcPr>
          <w:p w14:paraId="3194AAAE" w14:textId="7F2D64B2" w:rsidR="0029435B" w:rsidRPr="000A2D14" w:rsidRDefault="00D370AA" w:rsidP="0029435B">
            <w:pPr>
              <w:keepNext/>
              <w:keepLines/>
              <w:jc w:val="center"/>
              <w:rPr>
                <w:rFonts w:ascii="Arial Narrow" w:hAnsi="Arial Narrow"/>
                <w:b/>
                <w:bCs/>
                <w:sz w:val="20"/>
                <w:szCs w:val="20"/>
                <w:highlight w:val="darkGray"/>
              </w:rPr>
            </w:pPr>
            <w:r w:rsidRPr="00D370AA">
              <w:rPr>
                <w:rFonts w:ascii="Arial Narrow" w:hAnsi="Arial Narrow"/>
                <w:b/>
                <w:bCs/>
                <w:color w:val="000000"/>
                <w:spacing w:val="55"/>
                <w:sz w:val="20"/>
                <w:szCs w:val="20"/>
                <w:shd w:val="solid" w:color="000000" w:fill="000000"/>
                <w:fitText w:val="350" w:id="-1233447160"/>
                <w14:textFill>
                  <w14:solidFill>
                    <w14:srgbClr w14:val="000000">
                      <w14:alpha w14:val="100000"/>
                    </w14:srgbClr>
                  </w14:solidFill>
                </w14:textFill>
              </w:rPr>
              <w:t>|||</w:t>
            </w:r>
            <w:r w:rsidRPr="00D370AA">
              <w:rPr>
                <w:rFonts w:ascii="Arial Narrow" w:hAnsi="Arial Narrow"/>
                <w:b/>
                <w:bCs/>
                <w:color w:val="000000"/>
                <w:spacing w:val="2"/>
                <w:sz w:val="20"/>
                <w:szCs w:val="20"/>
                <w:shd w:val="solid" w:color="000000" w:fill="000000"/>
                <w:fitText w:val="350" w:id="-1233447160"/>
                <w14:textFill>
                  <w14:solidFill>
                    <w14:srgbClr w14:val="000000">
                      <w14:alpha w14:val="100000"/>
                    </w14:srgbClr>
                  </w14:solidFill>
                </w14:textFill>
              </w:rPr>
              <w:t>|</w:t>
            </w:r>
            <w:r w:rsidR="00F76077" w:rsidRPr="00F76077">
              <w:rPr>
                <w:rFonts w:ascii="Arial Narrow" w:hAnsi="Arial Narrow"/>
                <w:b/>
                <w:bCs/>
                <w:sz w:val="20"/>
                <w:szCs w:val="20"/>
              </w:rPr>
              <w:t xml:space="preserve"> </w:t>
            </w:r>
            <w:r w:rsidR="000A2D14">
              <w:rPr>
                <w:rFonts w:ascii="Arial Narrow" w:hAnsi="Arial Narrow"/>
                <w:sz w:val="20"/>
                <w:szCs w:val="20"/>
                <w:vertAlign w:val="superscript"/>
              </w:rPr>
              <w:t>6</w:t>
            </w:r>
          </w:p>
        </w:tc>
      </w:tr>
    </w:tbl>
    <w:p w14:paraId="43F64554" w14:textId="77777777" w:rsidR="00FC4D4D" w:rsidRDefault="00FC4D4D" w:rsidP="00FC4D4D">
      <w:pPr>
        <w:keepNext/>
        <w:keepLines/>
        <w:rPr>
          <w:rFonts w:ascii="Arial Narrow" w:hAnsi="Arial Narrow"/>
          <w:sz w:val="18"/>
          <w:szCs w:val="18"/>
        </w:rPr>
      </w:pPr>
      <w:r w:rsidRPr="00111042">
        <w:rPr>
          <w:rFonts w:ascii="Arial Narrow" w:hAnsi="Arial Narrow"/>
          <w:sz w:val="18"/>
          <w:szCs w:val="18"/>
        </w:rPr>
        <w:t>Source: Table 4.9, p160, table 4.10, table 4.21, p170, table 4.22, p170, table 4.38, p178 of the resubmission Section 4 Workbook Risdiplam 2022.xlsx</w:t>
      </w:r>
    </w:p>
    <w:p w14:paraId="44125D9A" w14:textId="77777777" w:rsidR="008914A5" w:rsidRPr="00111042" w:rsidRDefault="008914A5" w:rsidP="008914A5">
      <w:pPr>
        <w:keepNext/>
        <w:keepLines/>
        <w:rPr>
          <w:rFonts w:ascii="Arial Narrow" w:hAnsi="Arial Narrow"/>
          <w:sz w:val="18"/>
          <w:szCs w:val="18"/>
        </w:rPr>
      </w:pPr>
      <w:r w:rsidRPr="00111042">
        <w:rPr>
          <w:rFonts w:ascii="Arial Narrow" w:hAnsi="Arial Narrow"/>
          <w:sz w:val="18"/>
          <w:szCs w:val="18"/>
        </w:rPr>
        <w:t>a - Assumed each patient will use 10.15 scripts, with 3 bottles per script, per year</w:t>
      </w:r>
    </w:p>
    <w:p w14:paraId="5F93307E" w14:textId="0AA30947" w:rsidR="008914A5" w:rsidRDefault="008914A5" w:rsidP="000A2D14">
      <w:pPr>
        <w:keepNext/>
        <w:keepLines/>
        <w:rPr>
          <w:rFonts w:ascii="Arial Narrow" w:hAnsi="Arial Narrow"/>
          <w:sz w:val="18"/>
          <w:szCs w:val="18"/>
        </w:rPr>
      </w:pPr>
      <w:r w:rsidRPr="00111042">
        <w:rPr>
          <w:rFonts w:ascii="Arial Narrow" w:hAnsi="Arial Narrow"/>
          <w:sz w:val="18"/>
          <w:szCs w:val="18"/>
        </w:rPr>
        <w:t>b - Based on patient weight which was informed by WHO 50</w:t>
      </w:r>
      <w:r w:rsidRPr="00111042">
        <w:rPr>
          <w:rFonts w:ascii="Arial Narrow" w:hAnsi="Arial Narrow"/>
          <w:sz w:val="18"/>
          <w:szCs w:val="18"/>
          <w:vertAlign w:val="superscript"/>
        </w:rPr>
        <w:t>th</w:t>
      </w:r>
      <w:r w:rsidRPr="00111042">
        <w:rPr>
          <w:rFonts w:ascii="Arial Narrow" w:hAnsi="Arial Narrow"/>
          <w:sz w:val="18"/>
          <w:szCs w:val="18"/>
        </w:rPr>
        <w:t xml:space="preserve"> percentile (see Table 4.1.1 of the commentary)</w:t>
      </w:r>
    </w:p>
    <w:p w14:paraId="73332345" w14:textId="77777777" w:rsidR="000A2D14" w:rsidRPr="009A6D58" w:rsidRDefault="000A2D14" w:rsidP="000A2D1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BDCF339" w14:textId="62DF264C" w:rsidR="000A2D14" w:rsidRPr="009A6D58" w:rsidRDefault="000A2D14" w:rsidP="000A2D1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0A2D14">
        <w:rPr>
          <w:rFonts w:ascii="Arial Narrow" w:hAnsi="Arial Narrow"/>
          <w:i/>
          <w:sz w:val="18"/>
          <w:szCs w:val="18"/>
        </w:rPr>
        <w:t>&lt; 500</w:t>
      </w:r>
    </w:p>
    <w:p w14:paraId="366B8D93" w14:textId="26362E63" w:rsidR="000A2D14" w:rsidRPr="009A6D58" w:rsidRDefault="000A2D14" w:rsidP="000A2D1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0A2D14">
        <w:rPr>
          <w:rFonts w:ascii="Arial Narrow" w:hAnsi="Arial Narrow"/>
          <w:i/>
          <w:sz w:val="18"/>
          <w:szCs w:val="18"/>
        </w:rPr>
        <w:t>500 to &lt; 5,000</w:t>
      </w:r>
    </w:p>
    <w:p w14:paraId="57231F43" w14:textId="307CC44E" w:rsidR="000A2D14" w:rsidRDefault="000A2D14" w:rsidP="000A2D1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0A2D14">
        <w:rPr>
          <w:rFonts w:ascii="Arial Narrow" w:hAnsi="Arial Narrow"/>
          <w:i/>
          <w:sz w:val="18"/>
          <w:szCs w:val="18"/>
        </w:rPr>
        <w:t>$30 million to &lt; $40 million</w:t>
      </w:r>
    </w:p>
    <w:p w14:paraId="79732587" w14:textId="75764A68" w:rsidR="000A2D14" w:rsidRDefault="000A2D14" w:rsidP="000A2D14">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0A2D14">
        <w:rPr>
          <w:rFonts w:ascii="Arial Narrow" w:hAnsi="Arial Narrow"/>
          <w:i/>
          <w:sz w:val="18"/>
          <w:szCs w:val="18"/>
        </w:rPr>
        <w:t>$0 to &lt; $10 million</w:t>
      </w:r>
    </w:p>
    <w:p w14:paraId="5173A43A" w14:textId="738B2B92" w:rsidR="000A2D14" w:rsidRDefault="000A2D14" w:rsidP="000A2D14">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0A2D14">
        <w:rPr>
          <w:rFonts w:ascii="Arial Narrow" w:hAnsi="Arial Narrow"/>
          <w:i/>
          <w:sz w:val="18"/>
          <w:szCs w:val="18"/>
        </w:rPr>
        <w:t>$10 million to &lt; $20 million</w:t>
      </w:r>
    </w:p>
    <w:p w14:paraId="2BA79394" w14:textId="3F7AA1F9" w:rsidR="000A2D14" w:rsidRDefault="000A2D14" w:rsidP="000A2D14">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0A2D14">
        <w:rPr>
          <w:rFonts w:ascii="Arial Narrow" w:hAnsi="Arial Narrow"/>
          <w:i/>
          <w:sz w:val="18"/>
          <w:szCs w:val="18"/>
        </w:rPr>
        <w:t>$20 million to &lt; $30 million</w:t>
      </w:r>
    </w:p>
    <w:p w14:paraId="15D9B3D4" w14:textId="0AA5FC0E" w:rsidR="000A2D14" w:rsidRPr="000A2D14" w:rsidRDefault="000A2D14" w:rsidP="000A2D14">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0A2D14">
        <w:rPr>
          <w:rFonts w:ascii="Arial Narrow" w:hAnsi="Arial Narrow"/>
          <w:i/>
          <w:sz w:val="18"/>
          <w:szCs w:val="18"/>
        </w:rPr>
        <w:t>net cost saving</w:t>
      </w:r>
    </w:p>
    <w:p w14:paraId="7CC7BE3A" w14:textId="379EFA06" w:rsidR="000A2D14" w:rsidRDefault="000A2D14" w:rsidP="000A2D14">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0A2D14">
        <w:rPr>
          <w:rFonts w:ascii="Arial Narrow" w:hAnsi="Arial Narrow"/>
          <w:i/>
          <w:sz w:val="18"/>
          <w:szCs w:val="18"/>
        </w:rPr>
        <w:t>$40 million to &lt; $50 million</w:t>
      </w:r>
    </w:p>
    <w:p w14:paraId="04A9F9BD" w14:textId="010F3CFD" w:rsidR="000A2D14" w:rsidRPr="000A2D14" w:rsidRDefault="000A2D14" w:rsidP="000A2D14">
      <w:pPr>
        <w:spacing w:after="120"/>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0A2D14">
        <w:rPr>
          <w:rFonts w:ascii="Arial Narrow" w:hAnsi="Arial Narrow"/>
          <w:i/>
          <w:sz w:val="18"/>
          <w:szCs w:val="18"/>
        </w:rPr>
        <w:t>$50 million to &lt; $60 million</w:t>
      </w:r>
    </w:p>
    <w:p w14:paraId="62C90487" w14:textId="43CC7070" w:rsidR="008914A5" w:rsidRPr="000A2D14" w:rsidRDefault="008914A5" w:rsidP="000A2D14">
      <w:pPr>
        <w:pStyle w:val="3-BodyText"/>
        <w:rPr>
          <w:b/>
          <w:bCs/>
        </w:rPr>
      </w:pPr>
      <w:r w:rsidRPr="00111042">
        <w:t xml:space="preserve">The resubmission estimated a total cost of </w:t>
      </w:r>
      <w:r w:rsidR="000A2D14" w:rsidRPr="000A2D14">
        <w:t>$20 million to &lt; $30 million</w:t>
      </w:r>
      <w:r w:rsidR="000A2D14">
        <w:rPr>
          <w:b/>
          <w:bCs/>
        </w:rPr>
        <w:t xml:space="preserve"> </w:t>
      </w:r>
      <w:r w:rsidRPr="00111042">
        <w:t xml:space="preserve">in year 1 decreasing to </w:t>
      </w:r>
      <w:r w:rsidR="000A2D14" w:rsidRPr="000A2D14">
        <w:t>$20 million to &lt; $30 million</w:t>
      </w:r>
      <w:r w:rsidR="000A2D14">
        <w:rPr>
          <w:b/>
          <w:bCs/>
        </w:rPr>
        <w:t xml:space="preserve"> </w:t>
      </w:r>
      <w:r w:rsidRPr="00111042">
        <w:t>in year 6 using the published price for risdiplam.</w:t>
      </w:r>
      <w:r w:rsidRPr="008914A5">
        <w:t xml:space="preserve"> </w:t>
      </w:r>
    </w:p>
    <w:p w14:paraId="4B7FD48F" w14:textId="61587BB5" w:rsidR="008914A5" w:rsidRPr="00111042" w:rsidRDefault="00FC4D4D" w:rsidP="004C7359">
      <w:pPr>
        <w:pStyle w:val="3-BodyText"/>
      </w:pPr>
      <w:r>
        <w:t xml:space="preserve">Overall </w:t>
      </w:r>
      <w:r w:rsidR="008914A5" w:rsidRPr="008914A5">
        <w:t>DUSC consider</w:t>
      </w:r>
      <w:r w:rsidR="005E4C91">
        <w:t>ed</w:t>
      </w:r>
      <w:r w:rsidR="008914A5" w:rsidRPr="008914A5">
        <w:t xml:space="preserve"> the </w:t>
      </w:r>
      <w:r w:rsidR="00A80A4C">
        <w:rPr>
          <w:rFonts w:cstheme="minorHAnsi"/>
        </w:rPr>
        <w:t>number of eligible patients and patients treated in population 1</w:t>
      </w:r>
      <w:r w:rsidR="008914A5" w:rsidRPr="008914A5">
        <w:t xml:space="preserve"> presented in the submission to be significantly underestimated. </w:t>
      </w:r>
      <w:r w:rsidR="005E4C91">
        <w:t xml:space="preserve">In addition to excluding patients older than 48 years and potentially underestimated treatment uptake from patients currently treated with nusinersen, DUSC noted that </w:t>
      </w:r>
      <w:r w:rsidR="008914A5" w:rsidRPr="008914A5">
        <w:rPr>
          <w:lang w:val="en-US"/>
        </w:rPr>
        <w:lastRenderedPageBreak/>
        <w:t xml:space="preserve">scripts per year for </w:t>
      </w:r>
      <w:r w:rsidR="005E4C91">
        <w:rPr>
          <w:lang w:val="en-US"/>
        </w:rPr>
        <w:t>both populations</w:t>
      </w:r>
      <w:r w:rsidR="008914A5" w:rsidRPr="008914A5">
        <w:rPr>
          <w:lang w:val="en-US"/>
        </w:rPr>
        <w:t xml:space="preserve"> were underestimated due to wastage associated with liquid formulations. </w:t>
      </w:r>
    </w:p>
    <w:p w14:paraId="6015A395" w14:textId="7877658E" w:rsidR="00576972" w:rsidRPr="00111042" w:rsidRDefault="00576972" w:rsidP="00606FBA">
      <w:pPr>
        <w:pStyle w:val="4-SubsectionHeading"/>
      </w:pPr>
      <w:r w:rsidRPr="00111042">
        <w:t>Financial Management – Risk Sharing Arrangements</w:t>
      </w:r>
      <w:bookmarkEnd w:id="47"/>
      <w:bookmarkEnd w:id="48"/>
    </w:p>
    <w:p w14:paraId="243746C2" w14:textId="6ED4F06B" w:rsidR="00B701C3" w:rsidRPr="00111042" w:rsidRDefault="00DD7F0F" w:rsidP="004C2AC2">
      <w:pPr>
        <w:pStyle w:val="3-BodyText"/>
      </w:pPr>
      <w:r w:rsidRPr="00111042">
        <w:t xml:space="preserve">For population 1, the </w:t>
      </w:r>
      <w:r w:rsidR="00381F60" w:rsidRPr="00111042">
        <w:t>resubmission</w:t>
      </w:r>
      <w:r w:rsidRPr="00111042">
        <w:t xml:space="preserve"> proposed an increase in the Risk Sharing Agreement (RSA) subsidisation cap currently in place for nusinersen in order to account for the additional population 1 patients who would be eligible to access PBS-subsidised risdiplam therapy</w:t>
      </w:r>
      <w:r w:rsidR="009F4363" w:rsidRPr="00111042">
        <w:t xml:space="preserve"> who were otherwise not receiving therapy.</w:t>
      </w:r>
      <w:r w:rsidR="00BD228D">
        <w:t xml:space="preserve"> The </w:t>
      </w:r>
      <w:r w:rsidR="00B63002">
        <w:t>p</w:t>
      </w:r>
      <w:r w:rsidR="00BD228D">
        <w:t xml:space="preserve">re-PBAC response further stated that </w:t>
      </w:r>
      <w:r w:rsidR="00B63002">
        <w:rPr>
          <w:rFonts w:ascii="Calibri" w:hAnsi="Calibri" w:cs="Calibri"/>
          <w:color w:val="000000"/>
        </w:rPr>
        <w:t>‘</w:t>
      </w:r>
      <w:r w:rsidR="00BD228D">
        <w:rPr>
          <w:rFonts w:ascii="Calibri" w:hAnsi="Calibri" w:cs="Calibri"/>
          <w:color w:val="000000"/>
        </w:rPr>
        <w:t>a</w:t>
      </w:r>
      <w:r w:rsidR="00BD228D" w:rsidRPr="00C601AF">
        <w:rPr>
          <w:rFonts w:ascii="Calibri" w:hAnsi="Calibri" w:cs="Calibri"/>
          <w:color w:val="000000"/>
        </w:rPr>
        <w:t xml:space="preserve"> reasonable and justifiable approach to the expansion of the expenditure caps would be an increase, commensurate with the incremental cost of Population 1.</w:t>
      </w:r>
      <w:r w:rsidR="00B63002">
        <w:rPr>
          <w:rFonts w:ascii="Calibri" w:hAnsi="Calibri" w:cs="Calibri"/>
          <w:color w:val="000000"/>
        </w:rPr>
        <w:t>’</w:t>
      </w:r>
    </w:p>
    <w:p w14:paraId="0EBC8B54" w14:textId="769E056A" w:rsidR="00576972" w:rsidRDefault="00814E07" w:rsidP="00661104">
      <w:pPr>
        <w:pStyle w:val="3-BodyText"/>
      </w:pPr>
      <w:r w:rsidRPr="00111042">
        <w:t xml:space="preserve">For population 2, the </w:t>
      </w:r>
      <w:r w:rsidR="00381F60" w:rsidRPr="00111042">
        <w:t>resubmission</w:t>
      </w:r>
      <w:r w:rsidRPr="00111042">
        <w:t xml:space="preserve"> stated the Sponsor is willing to enter into the existing nusinersen RSA.</w:t>
      </w:r>
    </w:p>
    <w:p w14:paraId="27429810" w14:textId="7B963B02" w:rsidR="00C12BA6" w:rsidRDefault="00C02C39" w:rsidP="00D503A1">
      <w:pPr>
        <w:ind w:firstLine="720"/>
        <w:rPr>
          <w:i/>
          <w:iCs/>
        </w:rPr>
      </w:pPr>
      <w:r w:rsidRPr="00C02C39">
        <w:rPr>
          <w:i/>
          <w:iCs/>
        </w:rPr>
        <w:t>For more detail on PBAC’s view, see section 7 PBAC outcome.</w:t>
      </w:r>
    </w:p>
    <w:p w14:paraId="2AB8F6D4" w14:textId="77777777" w:rsidR="008914A5" w:rsidRPr="0090150D" w:rsidRDefault="008914A5" w:rsidP="004C7359">
      <w:pPr>
        <w:pStyle w:val="2-SectionHeading"/>
        <w:numPr>
          <w:ilvl w:val="0"/>
          <w:numId w:val="1"/>
        </w:numPr>
      </w:pPr>
      <w:bookmarkStart w:id="50" w:name="_Hlk76381249"/>
      <w:r w:rsidRPr="0090150D">
        <w:t>PBAC Outcome</w:t>
      </w:r>
    </w:p>
    <w:p w14:paraId="71A4E0A3" w14:textId="000A5A61" w:rsidR="00BD228D" w:rsidRPr="005925F1" w:rsidRDefault="00BD228D" w:rsidP="005F135F">
      <w:pPr>
        <w:pStyle w:val="3-BodyText"/>
        <w:rPr>
          <w:rFonts w:cs="Calibri"/>
          <w:snapToGrid/>
          <w:sz w:val="22"/>
        </w:rPr>
      </w:pPr>
      <w:bookmarkStart w:id="51" w:name="_Hlk111543188"/>
      <w:r w:rsidRPr="00964059">
        <w:rPr>
          <w:bCs/>
          <w:lang w:val="en-GB"/>
        </w:rPr>
        <w:t xml:space="preserve">The PBAC recommended the listing of </w:t>
      </w:r>
      <w:r>
        <w:t>risdiplam for adults diagnosed with 5q spinal muscular atrophy (SMA) with symptom onset prior to 19 years of age and n</w:t>
      </w:r>
      <w:r w:rsidRPr="00FC6E5C">
        <w:t>o</w:t>
      </w:r>
      <w:r>
        <w:t xml:space="preserve"> initiation of disease-modifying treatment (DMT) during childhood (population 1) and </w:t>
      </w:r>
      <w:r w:rsidRPr="00BD228D">
        <w:t>patients aged &lt;36 months with a confirmed genetic diagnosis of SMA (</w:t>
      </w:r>
      <w:r w:rsidR="007425CF" w:rsidRPr="007425CF">
        <w:rPr>
          <w:i/>
        </w:rPr>
        <w:t>SMA1</w:t>
      </w:r>
      <w:r w:rsidRPr="00BD228D">
        <w:t xml:space="preserve"> deletion or mutation) who have an </w:t>
      </w:r>
      <w:r w:rsidR="0029435B" w:rsidRPr="0029435B">
        <w:rPr>
          <w:i/>
        </w:rPr>
        <w:t>SMN2</w:t>
      </w:r>
      <w:r w:rsidRPr="00BD228D">
        <w:t xml:space="preserve"> gene copy number of 1 or 2 and are pre-symptomatic</w:t>
      </w:r>
      <w:r>
        <w:t xml:space="preserve"> (population 2) </w:t>
      </w:r>
      <w:r w:rsidRPr="00964059">
        <w:rPr>
          <w:bCs/>
          <w:lang w:val="en-GB"/>
        </w:rPr>
        <w:t>on the basis that it should be available only under special arrangements under Section 100</w:t>
      </w:r>
      <w:r>
        <w:t xml:space="preserve">. </w:t>
      </w:r>
      <w:r w:rsidRPr="00294DE9">
        <w:rPr>
          <w:noProof/>
          <w:lang w:val="en-US"/>
        </w:rPr>
        <w:t xml:space="preserve">The PBAC’s recommendation for listing </w:t>
      </w:r>
      <w:r>
        <w:rPr>
          <w:noProof/>
          <w:lang w:val="en-US"/>
        </w:rPr>
        <w:t xml:space="preserve">in these populations </w:t>
      </w:r>
      <w:r w:rsidRPr="00294DE9">
        <w:rPr>
          <w:noProof/>
          <w:lang w:val="en-US"/>
        </w:rPr>
        <w:t xml:space="preserve">was based on, among other matters, its assessment, as described above, that the cost-effectiveness of </w:t>
      </w:r>
      <w:r>
        <w:rPr>
          <w:noProof/>
          <w:lang w:val="en-US"/>
        </w:rPr>
        <w:t>risdiplam</w:t>
      </w:r>
      <w:r w:rsidRPr="00294DE9">
        <w:rPr>
          <w:noProof/>
          <w:lang w:val="en-US"/>
        </w:rPr>
        <w:t xml:space="preserve"> would be acceptable if it were cost-minimised against </w:t>
      </w:r>
      <w:r>
        <w:rPr>
          <w:noProof/>
          <w:lang w:val="en-US"/>
        </w:rPr>
        <w:t xml:space="preserve">nusinersen. The PBAC </w:t>
      </w:r>
      <w:r w:rsidR="00332D24">
        <w:rPr>
          <w:noProof/>
          <w:lang w:val="en-US"/>
        </w:rPr>
        <w:t>noted that the sponsor withdrew the request for listing of</w:t>
      </w:r>
      <w:r>
        <w:rPr>
          <w:noProof/>
          <w:lang w:val="en-US"/>
        </w:rPr>
        <w:t xml:space="preserve"> risdiplam</w:t>
      </w:r>
      <w:r w:rsidR="00332D24">
        <w:rPr>
          <w:noProof/>
          <w:lang w:val="en-US"/>
        </w:rPr>
        <w:t xml:space="preserve"> for</w:t>
      </w:r>
      <w:r>
        <w:rPr>
          <w:noProof/>
          <w:lang w:val="en-US"/>
        </w:rPr>
        <w:t xml:space="preserve"> </w:t>
      </w:r>
      <w:r>
        <w:t>patients aged &lt;36 months with a confirmed genetic diagnosis of SMA (</w:t>
      </w:r>
      <w:r w:rsidRPr="007425CF">
        <w:rPr>
          <w:i/>
          <w:iCs/>
        </w:rPr>
        <w:t>SMA1</w:t>
      </w:r>
      <w:r>
        <w:t xml:space="preserve"> deletion or mutation) who have a </w:t>
      </w:r>
      <w:r>
        <w:rPr>
          <w:i/>
        </w:rPr>
        <w:t>SMN2</w:t>
      </w:r>
      <w:r>
        <w:t xml:space="preserve"> gene copy number of 3 and are pre-symptomatic. </w:t>
      </w:r>
    </w:p>
    <w:bookmarkEnd w:id="51"/>
    <w:p w14:paraId="5552EB5A" w14:textId="5E09C802" w:rsidR="008F704C" w:rsidRPr="00B5412A" w:rsidRDefault="008F704C" w:rsidP="005F135F">
      <w:pPr>
        <w:pStyle w:val="3-BodyText"/>
        <w:rPr>
          <w:lang w:val="en-GB"/>
        </w:rPr>
      </w:pPr>
      <w:r>
        <w:t>The PBAC’s recommendation was based on equi-effective doses of</w:t>
      </w:r>
      <w:r w:rsidRPr="00B51162">
        <w:t xml:space="preserve"> </w:t>
      </w:r>
      <w:r w:rsidRPr="00F71866">
        <w:t xml:space="preserve">5 mg of risdiplam </w:t>
      </w:r>
      <w:r>
        <w:t>daily and</w:t>
      </w:r>
      <w:r w:rsidRPr="00F71866">
        <w:t xml:space="preserve"> nusinersen 12 mg (5 mL) per administration </w:t>
      </w:r>
      <w:r>
        <w:t xml:space="preserve">every 4 months (3 per year, </w:t>
      </w:r>
      <w:r w:rsidRPr="00F71866">
        <w:t>i.e. excluding nusinersen loading doses)</w:t>
      </w:r>
      <w:r>
        <w:t xml:space="preserve"> consistent with its previous advice in patients with SMA type 1-3 (paragraph 7.2, risdiplam PSD, March 2021 PBAC meeting)</w:t>
      </w:r>
      <w:r w:rsidRPr="00F71866">
        <w:t>.</w:t>
      </w:r>
    </w:p>
    <w:p w14:paraId="78DE3898" w14:textId="5F2857D3" w:rsidR="00FC6E5C" w:rsidRPr="00525B39" w:rsidRDefault="00FC6E5C" w:rsidP="008E29A7">
      <w:pPr>
        <w:widowControl w:val="0"/>
        <w:numPr>
          <w:ilvl w:val="1"/>
          <w:numId w:val="1"/>
        </w:numPr>
        <w:spacing w:after="120"/>
        <w:rPr>
          <w:rFonts w:asciiTheme="minorHAnsi" w:hAnsiTheme="minorHAnsi"/>
          <w:bCs/>
          <w:lang w:val="en-GB"/>
        </w:rPr>
      </w:pPr>
      <w:r>
        <w:t>The PBAC acknowledged that there is a clinical need for an orally administered treatment for SMA, noting the important factors for patients and carers associated with the less invasive route of administration. As identified in consumer comments, risdiplam has advantages in reducing the treatment burden for patients in terms of increasing independence and reducing the need for patients to travel to specialist hospitals for administration of treatment. The PBAC also noted that there are likely to be patients for whom intrathecal administration of nusinersen is not feasible due to high grade scoliosis.</w:t>
      </w:r>
    </w:p>
    <w:p w14:paraId="3B936320" w14:textId="45C58B61" w:rsidR="008914A5" w:rsidRPr="00CE42B4" w:rsidRDefault="00FC6E5C" w:rsidP="008E29A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 xml:space="preserve">The PBAC considered that it was reasonable for the restrictions for populations 1 and 2 to align with the existing restrictions for nusinersen, with the exception of </w:t>
      </w:r>
      <w:r w:rsidR="00DE4E5A">
        <w:rPr>
          <w:rFonts w:asciiTheme="minorHAnsi" w:hAnsiTheme="minorHAnsi"/>
          <w:snapToGrid w:val="0"/>
          <w:lang w:val="en-GB"/>
        </w:rPr>
        <w:t xml:space="preserve">criteria relating to loading doses, which are not relevant to risdiplam. The PBAC considered that for population 1 it was appropriate to include criteria in the initial treatment listing to allow treatment of patients who had previously accessed risdiplam </w:t>
      </w:r>
      <w:r w:rsidR="00DE4E5A" w:rsidRPr="00DE4E5A">
        <w:rPr>
          <w:rFonts w:asciiTheme="minorHAnsi" w:hAnsiTheme="minorHAnsi"/>
          <w:snapToGrid w:val="0"/>
          <w:lang w:val="en-GB"/>
        </w:rPr>
        <w:t>via non</w:t>
      </w:r>
      <w:r w:rsidR="00DE4E5A">
        <w:rPr>
          <w:rFonts w:asciiTheme="minorHAnsi" w:hAnsiTheme="minorHAnsi"/>
          <w:snapToGrid w:val="0"/>
          <w:lang w:val="en-GB"/>
        </w:rPr>
        <w:noBreakHyphen/>
      </w:r>
      <w:r w:rsidR="00DE4E5A" w:rsidRPr="00DE4E5A">
        <w:rPr>
          <w:rFonts w:asciiTheme="minorHAnsi" w:hAnsiTheme="minorHAnsi"/>
          <w:snapToGrid w:val="0"/>
          <w:lang w:val="en-GB"/>
        </w:rPr>
        <w:t>PBS supply (e.g. clinical trial</w:t>
      </w:r>
      <w:r w:rsidR="00DE4E5A">
        <w:rPr>
          <w:rFonts w:asciiTheme="minorHAnsi" w:hAnsiTheme="minorHAnsi"/>
          <w:snapToGrid w:val="0"/>
          <w:lang w:val="en-GB"/>
        </w:rPr>
        <w:t xml:space="preserve"> or</w:t>
      </w:r>
      <w:r w:rsidR="00DE4E5A" w:rsidRPr="00DE4E5A">
        <w:rPr>
          <w:rFonts w:asciiTheme="minorHAnsi" w:hAnsiTheme="minorHAnsi"/>
          <w:snapToGrid w:val="0"/>
          <w:lang w:val="en-GB"/>
        </w:rPr>
        <w:t xml:space="preserve"> sponsor compassionate access)</w:t>
      </w:r>
      <w:r w:rsidR="00DE4E5A">
        <w:rPr>
          <w:rFonts w:asciiTheme="minorHAnsi" w:hAnsiTheme="minorHAnsi"/>
          <w:snapToGrid w:val="0"/>
          <w:lang w:val="en-GB"/>
        </w:rPr>
        <w:t xml:space="preserve">, </w:t>
      </w:r>
      <w:r w:rsidR="00056B8F">
        <w:rPr>
          <w:rFonts w:asciiTheme="minorHAnsi" w:hAnsiTheme="minorHAnsi"/>
          <w:snapToGrid w:val="0"/>
          <w:lang w:val="en-GB"/>
        </w:rPr>
        <w:t>who would otherwise have met the PBS criteria. The PBAC note</w:t>
      </w:r>
      <w:r w:rsidR="00737CA8">
        <w:rPr>
          <w:rFonts w:asciiTheme="minorHAnsi" w:hAnsiTheme="minorHAnsi"/>
          <w:snapToGrid w:val="0"/>
          <w:lang w:val="en-GB"/>
        </w:rPr>
        <w:t>d</w:t>
      </w:r>
      <w:r w:rsidR="00056B8F">
        <w:rPr>
          <w:rFonts w:asciiTheme="minorHAnsi" w:hAnsiTheme="minorHAnsi"/>
          <w:snapToGrid w:val="0"/>
          <w:lang w:val="en-GB"/>
        </w:rPr>
        <w:t xml:space="preserve"> that this would</w:t>
      </w:r>
      <w:r w:rsidR="00DE4E5A">
        <w:rPr>
          <w:rFonts w:asciiTheme="minorHAnsi" w:hAnsiTheme="minorHAnsi"/>
          <w:snapToGrid w:val="0"/>
          <w:lang w:val="en-GB"/>
        </w:rPr>
        <w:t xml:space="preserve"> negate the need for a separate grandfather listing</w:t>
      </w:r>
      <w:r w:rsidR="00DE4E5A" w:rsidRPr="00DE4E5A">
        <w:rPr>
          <w:rFonts w:asciiTheme="minorHAnsi" w:hAnsiTheme="minorHAnsi"/>
          <w:snapToGrid w:val="0"/>
          <w:lang w:val="en-GB"/>
        </w:rPr>
        <w:t>.</w:t>
      </w:r>
      <w:r w:rsidR="008C495B">
        <w:rPr>
          <w:rFonts w:asciiTheme="minorHAnsi" w:hAnsiTheme="minorHAnsi"/>
          <w:snapToGrid w:val="0"/>
          <w:lang w:val="en-GB"/>
        </w:rPr>
        <w:t xml:space="preserve"> </w:t>
      </w:r>
      <w:bookmarkStart w:id="52" w:name="_Hlk131146151"/>
      <w:r w:rsidR="008C495B">
        <w:rPr>
          <w:rFonts w:cstheme="minorHAnsi"/>
          <w:iCs/>
        </w:rPr>
        <w:t xml:space="preserve">The PBAC </w:t>
      </w:r>
      <w:r w:rsidR="003C1189">
        <w:rPr>
          <w:rFonts w:cstheme="minorHAnsi"/>
          <w:iCs/>
        </w:rPr>
        <w:t xml:space="preserve">recalled it </w:t>
      </w:r>
      <w:r w:rsidR="008C495B">
        <w:rPr>
          <w:rFonts w:cstheme="minorHAnsi"/>
          <w:iCs/>
        </w:rPr>
        <w:t xml:space="preserve">previously </w:t>
      </w:r>
      <w:r w:rsidR="008C495B">
        <w:t xml:space="preserve">considered the restrictions for nusinersen (in adult patients) should require that assessment of suitability for continuation of treatment takes place every 6 months after 2 years of treatment (para 3.7, nusinersen PSD, March 2022 PBAC meeting). The PBAC considered that the number of repeats in the initial and continuing listings for risdiplam should align with this recommendation for assessment of suitability for continuation </w:t>
      </w:r>
      <w:r w:rsidR="003C1189">
        <w:t>of treatment</w:t>
      </w:r>
      <w:r w:rsidR="008C495B">
        <w:t>.</w:t>
      </w:r>
      <w:bookmarkEnd w:id="52"/>
    </w:p>
    <w:p w14:paraId="3B8AE9FA" w14:textId="44394DA6" w:rsidR="008914A5" w:rsidRPr="00CE42B4" w:rsidRDefault="008E29A7" w:rsidP="008E29A7">
      <w:pPr>
        <w:widowControl w:val="0"/>
        <w:numPr>
          <w:ilvl w:val="1"/>
          <w:numId w:val="1"/>
        </w:numPr>
        <w:spacing w:after="120"/>
        <w:rPr>
          <w:rFonts w:asciiTheme="minorHAnsi" w:hAnsiTheme="minorHAnsi"/>
          <w:snapToGrid w:val="0"/>
          <w:lang w:val="en-GB"/>
        </w:rPr>
      </w:pPr>
      <w:r>
        <w:t xml:space="preserve">For populations 1 and 2, the resubmission appropriately nominated nusinersen as the main comparator. </w:t>
      </w:r>
      <w:r>
        <w:rPr>
          <w:lang w:val="en-GB"/>
        </w:rPr>
        <w:t xml:space="preserve">For population 2 the PBAC also considered that ONA is a relevant comparator for </w:t>
      </w:r>
      <w:r w:rsidR="004C429B" w:rsidRPr="00111042">
        <w:t>patients aged &lt;9 months of age</w:t>
      </w:r>
      <w:r w:rsidR="004C429B">
        <w:t>.</w:t>
      </w:r>
    </w:p>
    <w:p w14:paraId="1FEF3900" w14:textId="6B66D201" w:rsidR="008928BF" w:rsidRPr="00635C59" w:rsidRDefault="004C429B" w:rsidP="00F72D76">
      <w:pPr>
        <w:widowControl w:val="0"/>
        <w:numPr>
          <w:ilvl w:val="1"/>
          <w:numId w:val="1"/>
        </w:numPr>
        <w:spacing w:after="120"/>
        <w:rPr>
          <w:rFonts w:asciiTheme="minorHAnsi" w:hAnsiTheme="minorHAnsi"/>
          <w:snapToGrid w:val="0"/>
          <w:szCs w:val="20"/>
        </w:rPr>
      </w:pPr>
      <w:r>
        <w:t>The PBAC noted that the clinical evidence presented consisted of</w:t>
      </w:r>
      <w:r w:rsidRPr="004C429B">
        <w:t xml:space="preserve"> unanchored naïve side by side comparisons of point estimates </w:t>
      </w:r>
      <w:r w:rsidR="00737CA8">
        <w:t>for</w:t>
      </w:r>
      <w:r w:rsidRPr="004C429B">
        <w:t xml:space="preserve"> several outcomes. No formal comparison was made on any of the outcomes provided, and no MCID was proposed to allow assessment of non-inferiority. </w:t>
      </w:r>
      <w:r>
        <w:t xml:space="preserve">The PBAC noted that the evidence in population 1 was based on single-arm </w:t>
      </w:r>
      <w:r w:rsidR="00456016">
        <w:t>non</w:t>
      </w:r>
      <w:r>
        <w:t>randomi</w:t>
      </w:r>
      <w:r w:rsidR="00456016">
        <w:t>s</w:t>
      </w:r>
      <w:r>
        <w:t>ed studies with a high risk of bias</w:t>
      </w:r>
      <w:r w:rsidR="001433C1">
        <w:t xml:space="preserve"> and limited applicability to the proposed PBS population</w:t>
      </w:r>
      <w:r>
        <w:t xml:space="preserve">. In addition there </w:t>
      </w:r>
      <w:r w:rsidRPr="004C429B">
        <w:t xml:space="preserve">was significant heterogeneity between the studies and follow </w:t>
      </w:r>
      <w:r w:rsidR="00262F38">
        <w:t xml:space="preserve">up </w:t>
      </w:r>
      <w:r w:rsidRPr="004C429B">
        <w:t>was limited</w:t>
      </w:r>
      <w:r>
        <w:t>.</w:t>
      </w:r>
      <w:r w:rsidRPr="004C429B">
        <w:t xml:space="preserve"> In population 2 the studies had very small sample </w:t>
      </w:r>
      <w:r w:rsidRPr="006535F2">
        <w:t>sizes</w:t>
      </w:r>
      <w:r w:rsidR="00456016" w:rsidRPr="006535F2">
        <w:t xml:space="preserve"> (</w:t>
      </w:r>
      <w:r w:rsidR="006535F2" w:rsidRPr="006535F2">
        <w:t>n=18-25</w:t>
      </w:r>
      <w:r w:rsidR="00456016" w:rsidRPr="006535F2">
        <w:t>)</w:t>
      </w:r>
      <w:r w:rsidR="00262F38" w:rsidRPr="006535F2">
        <w:t>,</w:t>
      </w:r>
      <w:r w:rsidRPr="004C429B">
        <w:t xml:space="preserve"> and short follow up of outcomes as well as differences in assessment times for specific outcomes</w:t>
      </w:r>
      <w:r w:rsidR="00262F38">
        <w:t>. In addition,</w:t>
      </w:r>
      <w:r w:rsidR="00E46894">
        <w:t xml:space="preserve"> no comparison to ONA was presented</w:t>
      </w:r>
      <w:r w:rsidRPr="004C429B">
        <w:t xml:space="preserve">. Overall, the </w:t>
      </w:r>
      <w:r w:rsidR="00E46894">
        <w:t xml:space="preserve">PBAC considered that the </w:t>
      </w:r>
      <w:r w:rsidRPr="004C429B">
        <w:t>evidence provided was of poor quality, particularly for population 1</w:t>
      </w:r>
      <w:r w:rsidR="00E46894">
        <w:t>.</w:t>
      </w:r>
      <w:r w:rsidR="00635C59">
        <w:t xml:space="preserve"> However,</w:t>
      </w:r>
      <w:r w:rsidR="008928BF">
        <w:t xml:space="preserve"> the PBAC considered that for </w:t>
      </w:r>
      <w:r w:rsidR="00262F38">
        <w:t xml:space="preserve">both </w:t>
      </w:r>
      <w:r w:rsidR="008928BF">
        <w:t>populations the clinical claim of non</w:t>
      </w:r>
      <w:r w:rsidR="008928BF">
        <w:noBreakHyphen/>
        <w:t>inferior efficacy was clinically plausible, consistent with previous comparisons between risdiplam and nusinersen</w:t>
      </w:r>
      <w:r w:rsidR="008928BF" w:rsidRPr="00635C59">
        <w:rPr>
          <w:rFonts w:asciiTheme="minorHAnsi" w:hAnsiTheme="minorHAnsi"/>
          <w:snapToGrid w:val="0"/>
          <w:szCs w:val="20"/>
        </w:rPr>
        <w:t>, noting the limitations of the data available.</w:t>
      </w:r>
      <w:r w:rsidR="00291E5F">
        <w:rPr>
          <w:rFonts w:asciiTheme="minorHAnsi" w:hAnsiTheme="minorHAnsi"/>
          <w:snapToGrid w:val="0"/>
          <w:szCs w:val="20"/>
        </w:rPr>
        <w:t xml:space="preserve"> </w:t>
      </w:r>
    </w:p>
    <w:p w14:paraId="1AA9FCEF" w14:textId="5E52DAA3" w:rsidR="008928BF" w:rsidRDefault="008928BF" w:rsidP="008928BF">
      <w:pPr>
        <w:pStyle w:val="3-BodyText"/>
      </w:pPr>
      <w:r w:rsidRPr="00115EF7">
        <w:rPr>
          <w:szCs w:val="20"/>
        </w:rPr>
        <w:t>The PBAC considered that the claim of non-inferior comparative safety</w:t>
      </w:r>
      <w:r>
        <w:rPr>
          <w:szCs w:val="20"/>
        </w:rPr>
        <w:t xml:space="preserve">, </w:t>
      </w:r>
      <w:r w:rsidRPr="000C053F">
        <w:t>with a favourable safety profile in some patients</w:t>
      </w:r>
      <w:r>
        <w:t>,</w:t>
      </w:r>
      <w:r w:rsidRPr="000C053F">
        <w:t xml:space="preserve"> </w:t>
      </w:r>
      <w:r>
        <w:t xml:space="preserve">was </w:t>
      </w:r>
      <w:r w:rsidRPr="000C053F">
        <w:t xml:space="preserve">reasonable. The PBAC </w:t>
      </w:r>
      <w:r>
        <w:t xml:space="preserve">recalled it </w:t>
      </w:r>
      <w:r w:rsidR="00262F38">
        <w:t xml:space="preserve">had </w:t>
      </w:r>
      <w:r w:rsidRPr="000C053F">
        <w:t xml:space="preserve">previously acknowledged that a conclusion of a favourable safety profile </w:t>
      </w:r>
      <w:r w:rsidR="00262F38">
        <w:t>for</w:t>
      </w:r>
      <w:r w:rsidRPr="000C053F">
        <w:t xml:space="preserve"> risdiplam over nusinersen in some patients</w:t>
      </w:r>
      <w:r w:rsidR="00635C59">
        <w:t xml:space="preserve"> was reasonable</w:t>
      </w:r>
      <w:r>
        <w:t xml:space="preserve"> </w:t>
      </w:r>
      <w:r w:rsidRPr="000C053F">
        <w:t>given the less invasive route of administration (</w:t>
      </w:r>
      <w:r>
        <w:t>p</w:t>
      </w:r>
      <w:r w:rsidRPr="000C053F">
        <w:t xml:space="preserve">ara 7.8, risdiplam </w:t>
      </w:r>
      <w:r>
        <w:t>PSD</w:t>
      </w:r>
      <w:r w:rsidRPr="000C053F">
        <w:t>, March 2021 PBAC meeting).</w:t>
      </w:r>
    </w:p>
    <w:p w14:paraId="52293E72" w14:textId="7DC7C31E" w:rsidR="00113396" w:rsidRPr="00113396" w:rsidRDefault="008F704C" w:rsidP="0052557C">
      <w:pPr>
        <w:pStyle w:val="3-BodyText"/>
        <w:spacing w:after="160"/>
        <w:rPr>
          <w:snapToGrid/>
        </w:rPr>
      </w:pPr>
      <w:r>
        <w:t xml:space="preserve">The PBAC noted that the submission proposed equi-effective doses that incorporated loading doses for nusinersen, rather than maintenance (steady state) dosing. The PBAC noted this increased the </w:t>
      </w:r>
      <w:r w:rsidR="00CF6681">
        <w:t xml:space="preserve">cost-minimised </w:t>
      </w:r>
      <w:r>
        <w:t xml:space="preserve">price for risdiplam and considered </w:t>
      </w:r>
      <w:r w:rsidR="00262F38">
        <w:t xml:space="preserve">it </w:t>
      </w:r>
      <w:r>
        <w:t xml:space="preserve">was not justified. </w:t>
      </w:r>
      <w:r w:rsidR="00286CF6">
        <w:t>The PBAC also noted that for population 2 the proposed equi</w:t>
      </w:r>
      <w:r w:rsidR="00816A40">
        <w:noBreakHyphen/>
      </w:r>
      <w:r w:rsidR="00286CF6">
        <w:t>effective doses were based on weight-based dosing for paediatric patients assuming that patients begin treatment at birth. Th</w:t>
      </w:r>
      <w:r w:rsidR="00262F38">
        <w:t>is underestimated the</w:t>
      </w:r>
      <w:r w:rsidR="00286CF6">
        <w:t xml:space="preserve"> </w:t>
      </w:r>
      <w:r w:rsidR="00262F38">
        <w:t xml:space="preserve">use </w:t>
      </w:r>
      <w:r w:rsidR="00286CF6">
        <w:t xml:space="preserve">of </w:t>
      </w:r>
      <w:r w:rsidR="00286CF6">
        <w:lastRenderedPageBreak/>
        <w:t xml:space="preserve">risdiplam </w:t>
      </w:r>
      <w:r w:rsidR="00262F38">
        <w:t xml:space="preserve">as doses are higher in older infants and children and hence </w:t>
      </w:r>
      <w:r w:rsidR="00286CF6">
        <w:t xml:space="preserve">increased the </w:t>
      </w:r>
      <w:r w:rsidR="00CF6681">
        <w:t xml:space="preserve">cost-minimised </w:t>
      </w:r>
      <w:r w:rsidR="00286CF6">
        <w:t xml:space="preserve">price for risdiplam. </w:t>
      </w:r>
      <w:r w:rsidR="00CF7C98">
        <w:t xml:space="preserve">In addition, the PBAC noted DUSC’s comments regarding the potential for additional wastage </w:t>
      </w:r>
      <w:r w:rsidR="00DB32C9">
        <w:t xml:space="preserve">with risdiplam </w:t>
      </w:r>
      <w:r w:rsidR="00CF7C98">
        <w:t>due to its liquid formulation for administration, which was not accounted for in the proposed equi</w:t>
      </w:r>
      <w:r w:rsidR="00816A40">
        <w:noBreakHyphen/>
      </w:r>
      <w:r w:rsidR="00CF7C98">
        <w:t xml:space="preserve">effective dose </w:t>
      </w:r>
      <w:r w:rsidR="00456016">
        <w:t>calculations</w:t>
      </w:r>
      <w:r w:rsidR="00CF7C98">
        <w:t>.</w:t>
      </w:r>
    </w:p>
    <w:p w14:paraId="0DEF9340" w14:textId="77777777" w:rsidR="00291E5F" w:rsidRPr="00291E5F" w:rsidRDefault="00635C59" w:rsidP="00CF6681">
      <w:pPr>
        <w:pStyle w:val="3-BodyText"/>
        <w:spacing w:after="160"/>
        <w:rPr>
          <w:snapToGrid/>
        </w:rPr>
      </w:pPr>
      <w:r>
        <w:t>The PBAC noted that w</w:t>
      </w:r>
      <w:r w:rsidR="00CF6681" w:rsidRPr="00AF346B">
        <w:t xml:space="preserve">here cost per patient calculations are uncertain, the guiding principle is that the Australian Government should not bear the financial risk of this uncertainty because the Australian population already has access to therapy that is at least as effective and safe. </w:t>
      </w:r>
      <w:r w:rsidR="00CF6681">
        <w:t xml:space="preserve">As in its previous advice, the PBAC considered that a conservative approach (assuming that all patients treated with risdiplam would require 5 mg per day and excluding costs for nusinersen loading doses and administration) was appropriate, given the limitations of the available evidence for risdiplam and nusinersen and the high treatment costs. </w:t>
      </w:r>
    </w:p>
    <w:p w14:paraId="364BFACA" w14:textId="5F5FD505" w:rsidR="008250C4" w:rsidRPr="00DA44B3" w:rsidRDefault="008250C4" w:rsidP="00A56184">
      <w:pPr>
        <w:pStyle w:val="3-BodyText"/>
      </w:pPr>
      <w:r w:rsidRPr="00CF7C98">
        <w:rPr>
          <w:rFonts w:cstheme="minorHAnsi"/>
        </w:rPr>
        <w:t xml:space="preserve">Overall, the Commentary and DUSC considered the number of eligible patients and patients treated in population 1 was likely underestimated due to not accounting for patients older than 48 years and potentially underestimating the </w:t>
      </w:r>
      <w:r w:rsidR="00EF79ED">
        <w:rPr>
          <w:rFonts w:cstheme="minorHAnsi"/>
        </w:rPr>
        <w:t>substitution</w:t>
      </w:r>
      <w:r w:rsidRPr="00CF7C98">
        <w:rPr>
          <w:rFonts w:cstheme="minorHAnsi"/>
        </w:rPr>
        <w:t xml:space="preserve"> from nusinersen. However, the PBAC </w:t>
      </w:r>
      <w:r w:rsidR="00156027" w:rsidRPr="00CF7C98">
        <w:rPr>
          <w:rFonts w:cstheme="minorHAnsi"/>
        </w:rPr>
        <w:t>noted</w:t>
      </w:r>
      <w:r w:rsidRPr="00CF7C98">
        <w:rPr>
          <w:rFonts w:cstheme="minorHAnsi"/>
        </w:rPr>
        <w:t xml:space="preserve"> the </w:t>
      </w:r>
      <w:r w:rsidR="0012184F">
        <w:rPr>
          <w:rFonts w:cstheme="minorHAnsi"/>
        </w:rPr>
        <w:t>actual</w:t>
      </w:r>
      <w:r w:rsidR="0012184F" w:rsidRPr="00CF7C98">
        <w:rPr>
          <w:rFonts w:cstheme="minorHAnsi"/>
        </w:rPr>
        <w:t xml:space="preserve"> </w:t>
      </w:r>
      <w:r w:rsidR="0012184F">
        <w:rPr>
          <w:rFonts w:cstheme="minorHAnsi"/>
        </w:rPr>
        <w:t>use</w:t>
      </w:r>
      <w:r w:rsidR="0012184F" w:rsidRPr="00CF7C98">
        <w:rPr>
          <w:rFonts w:cstheme="minorHAnsi"/>
        </w:rPr>
        <w:t xml:space="preserve"> </w:t>
      </w:r>
      <w:r w:rsidRPr="00CF7C98">
        <w:rPr>
          <w:rFonts w:cstheme="minorHAnsi"/>
        </w:rPr>
        <w:t xml:space="preserve">of nusinersen in adult patients was substantially </w:t>
      </w:r>
      <w:r w:rsidR="0012184F">
        <w:rPr>
          <w:rFonts w:cstheme="minorHAnsi"/>
        </w:rPr>
        <w:t>less than estimated</w:t>
      </w:r>
      <w:r w:rsidR="000F72B3" w:rsidRPr="00CF7C98">
        <w:rPr>
          <w:rFonts w:cstheme="minorHAnsi"/>
        </w:rPr>
        <w:t xml:space="preserve"> (</w:t>
      </w:r>
      <w:r w:rsidR="00CE2CA2" w:rsidRPr="00CF7C98">
        <w:rPr>
          <w:rFonts w:cstheme="minorHAnsi"/>
        </w:rPr>
        <w:t>57</w:t>
      </w:r>
      <w:r w:rsidR="00AD52EB" w:rsidRPr="00CF7C98">
        <w:rPr>
          <w:rFonts w:cstheme="minorHAnsi"/>
        </w:rPr>
        <w:t xml:space="preserve"> as at December 2022</w:t>
      </w:r>
      <w:r w:rsidR="0012184F">
        <w:rPr>
          <w:rFonts w:cstheme="minorHAnsi"/>
        </w:rPr>
        <w:t xml:space="preserve"> based on PBS data</w:t>
      </w:r>
      <w:r w:rsidR="000F72B3" w:rsidRPr="00CF7C98">
        <w:rPr>
          <w:rFonts w:cstheme="minorHAnsi"/>
        </w:rPr>
        <w:t xml:space="preserve"> vs </w:t>
      </w:r>
      <w:r w:rsidR="007F6F44" w:rsidRPr="007F6F44">
        <w:rPr>
          <w:rFonts w:cstheme="minorHAnsi"/>
        </w:rPr>
        <w:t>&lt; 500</w:t>
      </w:r>
      <w:r w:rsidR="0012184F">
        <w:rPr>
          <w:rFonts w:cstheme="minorHAnsi"/>
        </w:rPr>
        <w:t xml:space="preserve"> estimated for</w:t>
      </w:r>
      <w:r w:rsidR="00AD52EB" w:rsidRPr="00CF7C98">
        <w:rPr>
          <w:rFonts w:cstheme="minorHAnsi"/>
        </w:rPr>
        <w:t xml:space="preserve"> year 1</w:t>
      </w:r>
      <w:r w:rsidR="000F72B3" w:rsidRPr="00CF7C98">
        <w:rPr>
          <w:rFonts w:cstheme="minorHAnsi"/>
        </w:rPr>
        <w:t>)</w:t>
      </w:r>
      <w:r w:rsidR="00CE2CA2" w:rsidRPr="00CF7C98">
        <w:rPr>
          <w:rFonts w:cstheme="minorHAnsi"/>
        </w:rPr>
        <w:t xml:space="preserve">. </w:t>
      </w:r>
      <w:r w:rsidRPr="00CF7C98">
        <w:rPr>
          <w:rFonts w:cstheme="minorHAnsi"/>
        </w:rPr>
        <w:t xml:space="preserve">The PBAC </w:t>
      </w:r>
      <w:r w:rsidR="0012184F">
        <w:rPr>
          <w:rFonts w:cstheme="minorHAnsi"/>
        </w:rPr>
        <w:t>noted</w:t>
      </w:r>
      <w:r w:rsidR="0012184F" w:rsidRPr="00CF7C98">
        <w:rPr>
          <w:rFonts w:cstheme="minorHAnsi"/>
        </w:rPr>
        <w:t xml:space="preserve"> </w:t>
      </w:r>
      <w:r w:rsidRPr="00CF7C98">
        <w:rPr>
          <w:rFonts w:cstheme="minorHAnsi"/>
        </w:rPr>
        <w:t xml:space="preserve">that </w:t>
      </w:r>
      <w:r w:rsidR="00726A89" w:rsidRPr="00CF7C98">
        <w:rPr>
          <w:rFonts w:cstheme="minorHAnsi"/>
        </w:rPr>
        <w:t>early uptake</w:t>
      </w:r>
      <w:r w:rsidR="0012184F">
        <w:rPr>
          <w:rFonts w:cstheme="minorHAnsi"/>
        </w:rPr>
        <w:t xml:space="preserve"> of nusinersen</w:t>
      </w:r>
      <w:r w:rsidR="00726A89" w:rsidRPr="00CF7C98">
        <w:rPr>
          <w:rFonts w:cstheme="minorHAnsi"/>
        </w:rPr>
        <w:t xml:space="preserve"> in the adult population appears to be below expected levels</w:t>
      </w:r>
      <w:r w:rsidR="00AD52EB" w:rsidRPr="00CF7C98">
        <w:rPr>
          <w:rFonts w:cstheme="minorHAnsi"/>
        </w:rPr>
        <w:t xml:space="preserve"> despite a high level of awareness and anticipation for the August 2022 listing </w:t>
      </w:r>
      <w:r w:rsidR="0012184F">
        <w:rPr>
          <w:rFonts w:cstheme="minorHAnsi"/>
        </w:rPr>
        <w:t>for</w:t>
      </w:r>
      <w:r w:rsidR="00AD52EB" w:rsidRPr="00CF7C98">
        <w:rPr>
          <w:rFonts w:cstheme="minorHAnsi"/>
        </w:rPr>
        <w:t xml:space="preserve"> the adult population. </w:t>
      </w:r>
      <w:r w:rsidR="00321758" w:rsidRPr="00CF7C98">
        <w:rPr>
          <w:rFonts w:cstheme="minorHAnsi"/>
        </w:rPr>
        <w:t xml:space="preserve">In addition, </w:t>
      </w:r>
      <w:r w:rsidR="00CF7C98" w:rsidRPr="00CF7C98">
        <w:rPr>
          <w:rFonts w:cstheme="minorHAnsi"/>
        </w:rPr>
        <w:t>the proportion of patients considered ineligible for intrathecal administration was uncertain</w:t>
      </w:r>
      <w:r w:rsidR="00D306B2">
        <w:rPr>
          <w:rFonts w:cstheme="minorHAnsi"/>
        </w:rPr>
        <w:t xml:space="preserve"> and likely lower than estimated in the submission,</w:t>
      </w:r>
      <w:r w:rsidR="00CF7C98" w:rsidRPr="00CF7C98">
        <w:rPr>
          <w:rFonts w:cstheme="minorHAnsi"/>
        </w:rPr>
        <w:t xml:space="preserve"> and the </w:t>
      </w:r>
      <w:r w:rsidR="0012184F">
        <w:rPr>
          <w:rFonts w:cstheme="minorHAnsi"/>
        </w:rPr>
        <w:t xml:space="preserve">financial </w:t>
      </w:r>
      <w:r w:rsidR="00CF7C98" w:rsidRPr="00CF7C98">
        <w:rPr>
          <w:rFonts w:cstheme="minorHAnsi"/>
        </w:rPr>
        <w:t xml:space="preserve">estimates were sensitive to </w:t>
      </w:r>
      <w:r w:rsidR="00EA69EF">
        <w:rPr>
          <w:rFonts w:cstheme="minorHAnsi"/>
        </w:rPr>
        <w:t xml:space="preserve">the </w:t>
      </w:r>
      <w:r w:rsidR="0012184F">
        <w:rPr>
          <w:rFonts w:cstheme="minorHAnsi"/>
        </w:rPr>
        <w:t xml:space="preserve">estimate of the </w:t>
      </w:r>
      <w:r w:rsidR="00CF7C98" w:rsidRPr="00CF7C98">
        <w:rPr>
          <w:rFonts w:cstheme="minorHAnsi"/>
        </w:rPr>
        <w:t xml:space="preserve">SMA prevalence. </w:t>
      </w:r>
      <w:r w:rsidR="00DE1D69">
        <w:rPr>
          <w:rFonts w:cstheme="minorHAnsi"/>
        </w:rPr>
        <w:t xml:space="preserve">The PBAC also considered that Type 1 SMA patients should be removed from the estimates as these patients are unlikely to have reached adulthood without treatment. </w:t>
      </w:r>
      <w:r w:rsidR="00EA69EF">
        <w:rPr>
          <w:rFonts w:cstheme="minorHAnsi"/>
        </w:rPr>
        <w:t>Overall, t</w:t>
      </w:r>
      <w:r w:rsidR="00AD52EB" w:rsidRPr="00CF7C98">
        <w:rPr>
          <w:rFonts w:cstheme="minorHAnsi"/>
        </w:rPr>
        <w:t xml:space="preserve">he PBAC considered that the patient numbers for risdiplam in population 1 are </w:t>
      </w:r>
      <w:r w:rsidR="00E21A53" w:rsidRPr="00CF7C98">
        <w:rPr>
          <w:rFonts w:cstheme="minorHAnsi"/>
        </w:rPr>
        <w:t xml:space="preserve">highly </w:t>
      </w:r>
      <w:r w:rsidR="00AD52EB" w:rsidRPr="00CF7C98">
        <w:rPr>
          <w:rFonts w:cstheme="minorHAnsi"/>
        </w:rPr>
        <w:t xml:space="preserve">uncertain. </w:t>
      </w:r>
    </w:p>
    <w:p w14:paraId="7E73A9F4" w14:textId="16B9BAC9" w:rsidR="008250C4" w:rsidRPr="00CE42B4" w:rsidRDefault="00437655" w:rsidP="009F4DB8">
      <w:pPr>
        <w:pStyle w:val="3-BodyText"/>
        <w:widowControl w:val="0"/>
      </w:pPr>
      <w:r>
        <w:t xml:space="preserve">For population 1, the resubmission proposed an increase in the Risk Sharing </w:t>
      </w:r>
      <w:r w:rsidR="004D1CE6">
        <w:t xml:space="preserve">Arrangement </w:t>
      </w:r>
      <w:r>
        <w:t>(RSA) subsidisation cap</w:t>
      </w:r>
      <w:r w:rsidR="00ED4AC3">
        <w:t>s</w:t>
      </w:r>
      <w:r>
        <w:t xml:space="preserve"> currently in place for nusinersen to account for additional patients who would access PBS</w:t>
      </w:r>
      <w:r w:rsidR="00570FAA">
        <w:noBreakHyphen/>
      </w:r>
      <w:r>
        <w:t>subsidised risdiplam therapy</w:t>
      </w:r>
      <w:r w:rsidR="00ED4AC3">
        <w:t xml:space="preserve"> </w:t>
      </w:r>
      <w:r w:rsidR="00EA69EF">
        <w:t>but</w:t>
      </w:r>
      <w:r>
        <w:t xml:space="preserve"> otherwise </w:t>
      </w:r>
      <w:r w:rsidR="00EA69EF">
        <w:t xml:space="preserve">would </w:t>
      </w:r>
      <w:r>
        <w:t>not receiv</w:t>
      </w:r>
      <w:r w:rsidR="00EA69EF">
        <w:t>e</w:t>
      </w:r>
      <w:r>
        <w:t xml:space="preserve"> therapy.</w:t>
      </w:r>
      <w:r w:rsidR="00AD52EB">
        <w:t xml:space="preserve"> The PBAC considered that given the lower than expected early uptake of nusinersen in the adult population, </w:t>
      </w:r>
      <w:r w:rsidR="00592D6C">
        <w:t xml:space="preserve">and uncertainty regarding </w:t>
      </w:r>
      <w:r w:rsidR="002D4E40">
        <w:t xml:space="preserve">risdiplam </w:t>
      </w:r>
      <w:r w:rsidR="00ED4AC3">
        <w:t>patient estimates</w:t>
      </w:r>
      <w:r w:rsidR="00592D6C">
        <w:t xml:space="preserve">, </w:t>
      </w:r>
      <w:r w:rsidR="005E4C91">
        <w:t xml:space="preserve">no increase to the caps was justified at this time. </w:t>
      </w:r>
      <w:r w:rsidR="00992BC7">
        <w:t>The PBAC considered a more reliable estimate of risdiplam use, and in particular the proportion ineligible for intrathecal administration, together with estimates that better reflect the actual use of nusinersen, would be required for revisions to the financial caps.</w:t>
      </w:r>
    </w:p>
    <w:p w14:paraId="182B5DC6" w14:textId="2C43FCDF" w:rsidR="00437655" w:rsidRDefault="00437655" w:rsidP="00437655">
      <w:pPr>
        <w:pStyle w:val="3-BodyText"/>
      </w:pPr>
      <w:r>
        <w:t xml:space="preserve">For population 2, the resubmission stated the </w:t>
      </w:r>
      <w:r w:rsidR="00390DFE">
        <w:t>s</w:t>
      </w:r>
      <w:r>
        <w:t xml:space="preserve">ponsor is willing to enter into the existing nusinersen RSA. The PBAC considered that this approach would be reasonable </w:t>
      </w:r>
      <w:r>
        <w:lastRenderedPageBreak/>
        <w:t>as the listing of risdiplam is unlikely to result in increased utilisation in this patient population.</w:t>
      </w:r>
    </w:p>
    <w:p w14:paraId="56871B82" w14:textId="457E049C" w:rsidR="00EF721A" w:rsidRPr="00C02C39" w:rsidRDefault="00EF721A" w:rsidP="00EF721A">
      <w:pPr>
        <w:pStyle w:val="3-BodyText"/>
        <w:rPr>
          <w:i/>
          <w:iCs/>
        </w:rPr>
      </w:pPr>
      <w:r>
        <w:t xml:space="preserve">The PBAC recalled that </w:t>
      </w:r>
      <w:r w:rsidR="00ED4AC3">
        <w:t xml:space="preserve">is had recommended PBS listing of </w:t>
      </w:r>
      <w:r>
        <w:t>n</w:t>
      </w:r>
      <w:r w:rsidRPr="000C053F">
        <w:t xml:space="preserve">usinersen in the Type 3b population at the July 2021 PBAC meeting, and </w:t>
      </w:r>
      <w:r w:rsidR="00B92111">
        <w:t xml:space="preserve">had </w:t>
      </w:r>
      <w:r w:rsidRPr="00EF721A">
        <w:t>advised</w:t>
      </w:r>
      <w:r w:rsidRPr="002F416D">
        <w:rPr>
          <w:i/>
          <w:iCs/>
        </w:rPr>
        <w:t xml:space="preserve"> </w:t>
      </w:r>
      <w:r w:rsidRPr="000C053F">
        <w:t xml:space="preserve">that this extension to include paediatric patients with symptom-onset between 3 and 18 </w:t>
      </w:r>
      <w:r w:rsidR="00390DFE">
        <w:t xml:space="preserve">years </w:t>
      </w:r>
      <w:r w:rsidRPr="000C053F">
        <w:t>[i.e., Type 3b] could also be flowed onto risdiplam using the equi-effective doses established for Type 1, 2 and 3a [from the risdiplam versus nusinersen cost-minimisation used to inform the risdiplam recommended listing] (</w:t>
      </w:r>
      <w:r>
        <w:t>p</w:t>
      </w:r>
      <w:r w:rsidRPr="000C053F">
        <w:t>ara 7.23, nusinersen</w:t>
      </w:r>
      <w:r>
        <w:t xml:space="preserve"> PSD</w:t>
      </w:r>
      <w:r w:rsidRPr="000C053F">
        <w:t xml:space="preserve">, July 2021 PBAC meeting). </w:t>
      </w:r>
      <w:r w:rsidRPr="00AF346B">
        <w:t xml:space="preserve">At the time of </w:t>
      </w:r>
      <w:r>
        <w:t>PBAC</w:t>
      </w:r>
      <w:r w:rsidRPr="00AF346B">
        <w:t xml:space="preserve"> consideration the sponsor had not progressed this extension to the risdiplam listing to include Type 3b patients</w:t>
      </w:r>
      <w:r w:rsidR="00B92111">
        <w:t>. T</w:t>
      </w:r>
      <w:r>
        <w:t xml:space="preserve">he PBAC considered that a pricing offer </w:t>
      </w:r>
      <w:r w:rsidR="00B92111">
        <w:t xml:space="preserve">for the 3b population </w:t>
      </w:r>
      <w:r>
        <w:t xml:space="preserve">would be welcomed, in order to ensure that there is equity of access </w:t>
      </w:r>
      <w:r w:rsidR="00B92111">
        <w:t xml:space="preserve">to risdiplam </w:t>
      </w:r>
      <w:r>
        <w:t xml:space="preserve">across all </w:t>
      </w:r>
      <w:r w:rsidR="00B92111">
        <w:t>type 1-3 SMA patients.</w:t>
      </w:r>
    </w:p>
    <w:p w14:paraId="04B1BD27" w14:textId="6AF6A2CA" w:rsidR="008914A5" w:rsidRPr="00531A05" w:rsidRDefault="008914A5" w:rsidP="007425CF">
      <w:pPr>
        <w:pStyle w:val="3-BodyText"/>
        <w:rPr>
          <w:b/>
          <w:bCs/>
          <w:lang w:val="en-GB"/>
        </w:rPr>
      </w:pPr>
      <w:r w:rsidRPr="00D121C5">
        <w:rPr>
          <w:rFonts w:cstheme="minorHAnsi"/>
          <w:lang w:val="en-GB"/>
        </w:rPr>
        <w:t xml:space="preserve">The PBAC noted that its recommendation was on a cost-minimisation basis and advised that, because </w:t>
      </w:r>
      <w:r w:rsidR="007425CF">
        <w:rPr>
          <w:rFonts w:cstheme="minorHAnsi"/>
          <w:lang w:val="en-GB"/>
        </w:rPr>
        <w:t xml:space="preserve">risdiplam </w:t>
      </w:r>
      <w:r w:rsidRPr="00D121C5">
        <w:rPr>
          <w:rFonts w:cstheme="minorHAnsi"/>
          <w:lang w:val="en-GB"/>
        </w:rPr>
        <w:t xml:space="preserve">is not </w:t>
      </w:r>
      <w:r w:rsidRPr="00531A05">
        <w:rPr>
          <w:bCs/>
          <w:lang w:val="en-GB"/>
        </w:rPr>
        <w:t>expected to address a high and urgent unmet clinical need given the presence of alternative therap</w:t>
      </w:r>
      <w:r w:rsidR="007425CF">
        <w:rPr>
          <w:bCs/>
          <w:lang w:val="en-GB"/>
        </w:rPr>
        <w:t>ies</w:t>
      </w:r>
      <w:r w:rsidRPr="00531A05">
        <w:rPr>
          <w:bCs/>
          <w:lang w:val="en-GB"/>
        </w:rPr>
        <w:t xml:space="preserve">, the criteria prescribed by the </w:t>
      </w:r>
      <w:r w:rsidRPr="007A5703">
        <w:rPr>
          <w:bCs/>
          <w:i/>
          <w:lang w:val="en-GB"/>
        </w:rPr>
        <w:t>National Health (Pharmaceuticals and Vaccines – Cost Recovery) Regulations 20</w:t>
      </w:r>
      <w:r>
        <w:rPr>
          <w:bCs/>
          <w:i/>
          <w:lang w:val="en-GB"/>
        </w:rPr>
        <w:t>22</w:t>
      </w:r>
      <w:r w:rsidRPr="00531A05">
        <w:rPr>
          <w:bCs/>
          <w:lang w:val="en-GB"/>
        </w:rPr>
        <w:t xml:space="preserve"> for Pricing Pathway A were not met.</w:t>
      </w:r>
    </w:p>
    <w:p w14:paraId="1CBC4E31" w14:textId="0B27B778" w:rsidR="007425CF" w:rsidRPr="00525B39" w:rsidRDefault="008914A5" w:rsidP="007425CF">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not eligible for an Independent Review</w:t>
      </w:r>
      <w:r w:rsidR="007425CF">
        <w:rPr>
          <w:rFonts w:asciiTheme="minorHAnsi" w:hAnsiTheme="minorHAnsi"/>
          <w:bCs/>
          <w:snapToGrid w:val="0"/>
          <w:lang w:val="en-GB"/>
        </w:rPr>
        <w:t xml:space="preserve"> as it is a positive recommendation</w:t>
      </w:r>
      <w:r w:rsidRPr="00525B39">
        <w:rPr>
          <w:rFonts w:asciiTheme="minorHAnsi" w:hAnsiTheme="minorHAnsi"/>
          <w:bCs/>
          <w:snapToGrid w:val="0"/>
          <w:lang w:val="en-GB"/>
        </w:rPr>
        <w:t xml:space="preserve">. </w:t>
      </w:r>
    </w:p>
    <w:p w14:paraId="60832469" w14:textId="77777777" w:rsidR="008914A5" w:rsidRPr="00525B39" w:rsidRDefault="008914A5" w:rsidP="008914A5">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E11574C" w14:textId="0895F1B1" w:rsidR="007425CF" w:rsidRPr="00841F70" w:rsidRDefault="008914A5" w:rsidP="00841F70">
      <w:pPr>
        <w:rPr>
          <w:rFonts w:asciiTheme="minorHAnsi" w:hAnsiTheme="minorHAnsi"/>
          <w:bCs/>
          <w:snapToGrid w:val="0"/>
          <w:lang w:val="en-GB"/>
        </w:rPr>
      </w:pPr>
      <w:r w:rsidRPr="00525B39">
        <w:rPr>
          <w:rFonts w:asciiTheme="minorHAnsi" w:hAnsiTheme="minorHAnsi"/>
          <w:bCs/>
          <w:snapToGrid w:val="0"/>
          <w:lang w:val="en-GB"/>
        </w:rPr>
        <w:t>Recommended</w:t>
      </w:r>
    </w:p>
    <w:bookmarkEnd w:id="50"/>
    <w:p w14:paraId="7D5ACB3F" w14:textId="77777777" w:rsidR="008914A5" w:rsidRPr="004C7359" w:rsidRDefault="008914A5" w:rsidP="004C7359">
      <w:pPr>
        <w:pStyle w:val="2-SectionHeading"/>
        <w:numPr>
          <w:ilvl w:val="0"/>
          <w:numId w:val="1"/>
        </w:numPr>
      </w:pPr>
      <w:r w:rsidRPr="004C7359">
        <w:t>Recommended listing</w:t>
      </w:r>
    </w:p>
    <w:p w14:paraId="4C07ECCB" w14:textId="77777777" w:rsidR="004C7359" w:rsidRPr="004C7359" w:rsidRDefault="00034A92" w:rsidP="004C7359">
      <w:pPr>
        <w:widowControl w:val="0"/>
        <w:numPr>
          <w:ilvl w:val="1"/>
          <w:numId w:val="1"/>
        </w:numPr>
        <w:spacing w:after="120"/>
        <w:rPr>
          <w:rFonts w:asciiTheme="minorHAnsi" w:hAnsiTheme="minorHAnsi"/>
          <w:bCs/>
          <w:snapToGrid w:val="0"/>
          <w:lang w:val="en-GB"/>
        </w:rPr>
      </w:pPr>
      <w:r w:rsidRPr="004C7359">
        <w:rPr>
          <w:rFonts w:asciiTheme="minorHAnsi" w:hAnsiTheme="minorHAnsi"/>
          <w:bCs/>
          <w:snapToGrid w:val="0"/>
          <w:lang w:val="en-GB"/>
        </w:rPr>
        <w:t>Amend existing item</w:t>
      </w:r>
      <w:r w:rsidR="008914A5" w:rsidRPr="004C7359">
        <w:rPr>
          <w:rFonts w:asciiTheme="minorHAnsi" w:hAnsiTheme="minorHAnsi"/>
          <w:bCs/>
          <w:snapToGrid w:val="0"/>
          <w:lang w:val="en-GB"/>
        </w:rPr>
        <w:t>:</w:t>
      </w:r>
    </w:p>
    <w:p w14:paraId="62C244EE" w14:textId="78E388E7" w:rsidR="00F66D25" w:rsidRPr="004C7359" w:rsidRDefault="00F66D25" w:rsidP="004C7359">
      <w:pPr>
        <w:widowControl w:val="0"/>
        <w:spacing w:after="120"/>
        <w:rPr>
          <w:rFonts w:asciiTheme="minorHAnsi" w:hAnsiTheme="minorHAnsi"/>
          <w:bCs/>
          <w:snapToGrid w:val="0"/>
        </w:rPr>
      </w:pPr>
      <w:proofErr w:type="spellStart"/>
      <w:r w:rsidRPr="004C7359">
        <w:rPr>
          <w:rFonts w:asciiTheme="minorHAnsi" w:hAnsiTheme="minorHAnsi"/>
          <w:bCs/>
          <w:snapToGrid w:val="0"/>
          <w:u w:val="single"/>
          <w:lang w:val="en-GB"/>
        </w:rPr>
        <w:t>Popu</w:t>
      </w:r>
      <w:r w:rsidRPr="004C7359">
        <w:rPr>
          <w:rFonts w:asciiTheme="minorHAnsi" w:hAnsiTheme="minorHAnsi" w:cstheme="minorHAnsi"/>
          <w:u w:val="single"/>
        </w:rPr>
        <w:t>lation</w:t>
      </w:r>
      <w:proofErr w:type="spellEnd"/>
      <w:r w:rsidRPr="000932E7">
        <w:rPr>
          <w:rFonts w:asciiTheme="minorHAnsi" w:hAnsiTheme="minorHAnsi" w:cstheme="minorHAnsi"/>
          <w:u w:val="single"/>
        </w:rPr>
        <w:t xml:space="preserve"> 1 – adult initiation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09"/>
        <w:gridCol w:w="2668"/>
        <w:gridCol w:w="811"/>
        <w:gridCol w:w="812"/>
        <w:gridCol w:w="811"/>
        <w:gridCol w:w="812"/>
        <w:gridCol w:w="1831"/>
      </w:tblGrid>
      <w:tr w:rsidR="00F66D25" w:rsidRPr="001428E9" w14:paraId="48320329" w14:textId="77777777" w:rsidTr="00034A92">
        <w:trPr>
          <w:cantSplit/>
          <w:trHeight w:val="20"/>
        </w:trPr>
        <w:tc>
          <w:tcPr>
            <w:tcW w:w="3940" w:type="dxa"/>
            <w:gridSpan w:val="3"/>
            <w:vAlign w:val="center"/>
          </w:tcPr>
          <w:p w14:paraId="51DB493C" w14:textId="77777777" w:rsidR="00F66D25" w:rsidRPr="001428E9" w:rsidRDefault="00F66D25" w:rsidP="00425BAC">
            <w:pPr>
              <w:keepLines/>
              <w:rPr>
                <w:rFonts w:ascii="Arial Narrow" w:hAnsi="Arial Narrow"/>
                <w:b/>
                <w:bCs/>
                <w:sz w:val="20"/>
                <w:szCs w:val="20"/>
              </w:rPr>
            </w:pPr>
            <w:r w:rsidRPr="001428E9">
              <w:rPr>
                <w:rFonts w:ascii="Arial Narrow" w:hAnsi="Arial Narrow"/>
                <w:b/>
                <w:bCs/>
                <w:sz w:val="20"/>
                <w:szCs w:val="20"/>
              </w:rPr>
              <w:t>MEDICINAL PRODUCT</w:t>
            </w:r>
          </w:p>
          <w:p w14:paraId="6495566A" w14:textId="77777777" w:rsidR="00F66D25" w:rsidRPr="001428E9" w:rsidRDefault="00F66D25" w:rsidP="00425BAC">
            <w:pPr>
              <w:keepLines/>
              <w:rPr>
                <w:rFonts w:ascii="Arial Narrow" w:hAnsi="Arial Narrow"/>
                <w:b/>
                <w:sz w:val="20"/>
                <w:szCs w:val="20"/>
              </w:rPr>
            </w:pPr>
            <w:r w:rsidRPr="001428E9">
              <w:rPr>
                <w:rFonts w:ascii="Arial Narrow" w:hAnsi="Arial Narrow"/>
                <w:b/>
                <w:bCs/>
                <w:sz w:val="20"/>
                <w:szCs w:val="20"/>
              </w:rPr>
              <w:t>medicinal product pack</w:t>
            </w:r>
          </w:p>
        </w:tc>
        <w:tc>
          <w:tcPr>
            <w:tcW w:w="811" w:type="dxa"/>
            <w:vAlign w:val="center"/>
          </w:tcPr>
          <w:p w14:paraId="5021159F"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20474AEE"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6A1261F4"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5E44B125"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№.of</w:t>
            </w:r>
          </w:p>
          <w:p w14:paraId="0C4CBAAD"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Rpts</w:t>
            </w:r>
          </w:p>
        </w:tc>
        <w:tc>
          <w:tcPr>
            <w:tcW w:w="1831" w:type="dxa"/>
            <w:vAlign w:val="center"/>
          </w:tcPr>
          <w:p w14:paraId="76A23757" w14:textId="77777777" w:rsidR="00F66D25" w:rsidRPr="001428E9" w:rsidRDefault="00F66D25" w:rsidP="00425BAC">
            <w:pPr>
              <w:keepLines/>
              <w:rPr>
                <w:rFonts w:ascii="Arial Narrow" w:hAnsi="Arial Narrow"/>
                <w:b/>
                <w:sz w:val="20"/>
                <w:szCs w:val="20"/>
                <w:lang w:val="fr-FR"/>
              </w:rPr>
            </w:pPr>
            <w:r w:rsidRPr="001428E9">
              <w:rPr>
                <w:rFonts w:ascii="Arial Narrow" w:hAnsi="Arial Narrow"/>
                <w:b/>
                <w:sz w:val="20"/>
                <w:szCs w:val="20"/>
              </w:rPr>
              <w:t>Available brands</w:t>
            </w:r>
          </w:p>
        </w:tc>
      </w:tr>
      <w:tr w:rsidR="00F66D25" w:rsidRPr="001428E9" w14:paraId="1A0DECAE" w14:textId="77777777" w:rsidTr="00034A92">
        <w:trPr>
          <w:cantSplit/>
          <w:trHeight w:val="20"/>
        </w:trPr>
        <w:tc>
          <w:tcPr>
            <w:tcW w:w="9017" w:type="dxa"/>
            <w:gridSpan w:val="8"/>
            <w:vAlign w:val="center"/>
          </w:tcPr>
          <w:p w14:paraId="41B00DCB" w14:textId="77777777" w:rsidR="00F66D25" w:rsidRPr="00775F24" w:rsidRDefault="00F66D25" w:rsidP="00425BAC">
            <w:pPr>
              <w:keepLines/>
              <w:rPr>
                <w:rFonts w:ascii="Arial Narrow" w:hAnsi="Arial Narrow"/>
                <w:caps/>
                <w:sz w:val="20"/>
                <w:szCs w:val="20"/>
              </w:rPr>
            </w:pPr>
            <w:r w:rsidRPr="00775F24">
              <w:rPr>
                <w:rFonts w:ascii="Arial Narrow" w:hAnsi="Arial Narrow"/>
                <w:caps/>
                <w:sz w:val="20"/>
                <w:szCs w:val="20"/>
              </w:rPr>
              <w:t>Risdiplam</w:t>
            </w:r>
          </w:p>
        </w:tc>
      </w:tr>
      <w:tr w:rsidR="00F66D25" w:rsidRPr="001428E9" w14:paraId="0BF352C8" w14:textId="77777777" w:rsidTr="00034A92">
        <w:trPr>
          <w:cantSplit/>
          <w:trHeight w:val="20"/>
        </w:trPr>
        <w:tc>
          <w:tcPr>
            <w:tcW w:w="9017" w:type="dxa"/>
            <w:gridSpan w:val="8"/>
            <w:vAlign w:val="center"/>
          </w:tcPr>
          <w:p w14:paraId="233D9113" w14:textId="77777777" w:rsidR="00F66D25" w:rsidRDefault="00F66D25" w:rsidP="00425BAC">
            <w:pPr>
              <w:keepLines/>
              <w:rPr>
                <w:rFonts w:ascii="Arial Narrow" w:hAnsi="Arial Narrow"/>
                <w:sz w:val="20"/>
                <w:szCs w:val="20"/>
              </w:rPr>
            </w:pPr>
          </w:p>
        </w:tc>
      </w:tr>
      <w:tr w:rsidR="00F66D25" w:rsidRPr="001428E9" w14:paraId="02DDAE2B" w14:textId="77777777" w:rsidTr="00034A92">
        <w:trPr>
          <w:cantSplit/>
          <w:trHeight w:val="20"/>
        </w:trPr>
        <w:tc>
          <w:tcPr>
            <w:tcW w:w="3940" w:type="dxa"/>
            <w:gridSpan w:val="3"/>
            <w:vAlign w:val="center"/>
          </w:tcPr>
          <w:p w14:paraId="10BB8412" w14:textId="77777777" w:rsidR="00F66D25" w:rsidRPr="001428E9" w:rsidRDefault="00F66D25" w:rsidP="00425BAC">
            <w:pPr>
              <w:keepLines/>
              <w:rPr>
                <w:rFonts w:ascii="Arial Narrow" w:hAnsi="Arial Narrow"/>
                <w:sz w:val="20"/>
                <w:szCs w:val="20"/>
              </w:rPr>
            </w:pPr>
            <w:r w:rsidRPr="00A310BB">
              <w:rPr>
                <w:rFonts w:ascii="Arial Narrow" w:hAnsi="Arial Narrow"/>
                <w:sz w:val="20"/>
                <w:szCs w:val="20"/>
              </w:rPr>
              <w:t>risdiplam 750 microgram/mL powder for oral liquid, 80 mL</w:t>
            </w:r>
          </w:p>
        </w:tc>
        <w:tc>
          <w:tcPr>
            <w:tcW w:w="811" w:type="dxa"/>
            <w:vAlign w:val="center"/>
          </w:tcPr>
          <w:p w14:paraId="04C66FF9" w14:textId="77777777" w:rsidR="00F66D25" w:rsidRPr="001428E9" w:rsidRDefault="00F66D25" w:rsidP="00425BAC">
            <w:pPr>
              <w:keepLines/>
              <w:jc w:val="center"/>
              <w:rPr>
                <w:rFonts w:ascii="Arial Narrow" w:hAnsi="Arial Narrow"/>
                <w:sz w:val="20"/>
                <w:szCs w:val="20"/>
              </w:rPr>
            </w:pPr>
            <w:r w:rsidRPr="001428E9">
              <w:rPr>
                <w:rFonts w:ascii="Arial Narrow" w:hAnsi="Arial Narrow"/>
                <w:sz w:val="20"/>
                <w:szCs w:val="20"/>
              </w:rPr>
              <w:t>NEW</w:t>
            </w:r>
          </w:p>
        </w:tc>
        <w:tc>
          <w:tcPr>
            <w:tcW w:w="812" w:type="dxa"/>
            <w:vAlign w:val="center"/>
          </w:tcPr>
          <w:p w14:paraId="4BC2573B" w14:textId="77777777" w:rsidR="00F66D25" w:rsidRPr="001428E9" w:rsidRDefault="00F66D25" w:rsidP="00425BAC">
            <w:pPr>
              <w:keepLines/>
              <w:jc w:val="center"/>
              <w:rPr>
                <w:rFonts w:ascii="Arial Narrow" w:hAnsi="Arial Narrow"/>
                <w:sz w:val="20"/>
                <w:szCs w:val="20"/>
              </w:rPr>
            </w:pPr>
            <w:r>
              <w:rPr>
                <w:rFonts w:ascii="Arial Narrow" w:hAnsi="Arial Narrow"/>
                <w:sz w:val="20"/>
                <w:szCs w:val="20"/>
              </w:rPr>
              <w:t>3</w:t>
            </w:r>
          </w:p>
        </w:tc>
        <w:tc>
          <w:tcPr>
            <w:tcW w:w="811" w:type="dxa"/>
            <w:vAlign w:val="center"/>
          </w:tcPr>
          <w:p w14:paraId="79995FFA" w14:textId="77777777" w:rsidR="00F66D25" w:rsidRPr="001428E9" w:rsidRDefault="00F66D25" w:rsidP="00425BAC">
            <w:pPr>
              <w:keepLines/>
              <w:jc w:val="center"/>
              <w:rPr>
                <w:rFonts w:ascii="Arial Narrow" w:hAnsi="Arial Narrow"/>
                <w:sz w:val="20"/>
                <w:szCs w:val="20"/>
              </w:rPr>
            </w:pPr>
            <w:r>
              <w:rPr>
                <w:rFonts w:ascii="Arial Narrow" w:hAnsi="Arial Narrow"/>
                <w:sz w:val="20"/>
                <w:szCs w:val="20"/>
              </w:rPr>
              <w:t>3</w:t>
            </w:r>
          </w:p>
        </w:tc>
        <w:tc>
          <w:tcPr>
            <w:tcW w:w="812" w:type="dxa"/>
            <w:vAlign w:val="center"/>
          </w:tcPr>
          <w:p w14:paraId="0C03E918" w14:textId="6196FDB0" w:rsidR="00F66D25" w:rsidRPr="001428E9" w:rsidRDefault="003C1189" w:rsidP="00425BAC">
            <w:pPr>
              <w:keepLines/>
              <w:jc w:val="center"/>
              <w:rPr>
                <w:rFonts w:ascii="Arial Narrow" w:hAnsi="Arial Narrow"/>
                <w:sz w:val="20"/>
                <w:szCs w:val="20"/>
              </w:rPr>
            </w:pPr>
            <w:r>
              <w:rPr>
                <w:rFonts w:ascii="Arial Narrow" w:hAnsi="Arial Narrow"/>
                <w:sz w:val="20"/>
                <w:szCs w:val="20"/>
              </w:rPr>
              <w:t>7</w:t>
            </w:r>
          </w:p>
        </w:tc>
        <w:tc>
          <w:tcPr>
            <w:tcW w:w="1831" w:type="dxa"/>
            <w:vAlign w:val="center"/>
          </w:tcPr>
          <w:p w14:paraId="0D11E728" w14:textId="77777777" w:rsidR="00F66D25" w:rsidRPr="001428E9" w:rsidRDefault="00F66D25" w:rsidP="00425BAC">
            <w:pPr>
              <w:keepLines/>
              <w:rPr>
                <w:rFonts w:ascii="Arial Narrow" w:hAnsi="Arial Narrow"/>
                <w:sz w:val="20"/>
                <w:szCs w:val="20"/>
              </w:rPr>
            </w:pPr>
            <w:r>
              <w:rPr>
                <w:rFonts w:ascii="Arial Narrow" w:hAnsi="Arial Narrow"/>
                <w:sz w:val="20"/>
                <w:szCs w:val="20"/>
              </w:rPr>
              <w:t>Evrysdi</w:t>
            </w:r>
          </w:p>
        </w:tc>
      </w:tr>
      <w:tr w:rsidR="00F66D25" w:rsidRPr="001428E9" w14:paraId="063A066A" w14:textId="77777777" w:rsidTr="00034A92">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0D6F69C9" w14:textId="77777777" w:rsidR="00F66D25" w:rsidRPr="001428E9" w:rsidRDefault="00F66D25" w:rsidP="00425BAC">
            <w:pPr>
              <w:rPr>
                <w:rFonts w:ascii="Arial Narrow" w:hAnsi="Arial Narrow"/>
                <w:sz w:val="20"/>
                <w:szCs w:val="20"/>
              </w:rPr>
            </w:pPr>
          </w:p>
        </w:tc>
      </w:tr>
      <w:tr w:rsidR="00F66D25" w:rsidRPr="001428E9" w14:paraId="64006B20" w14:textId="77777777" w:rsidTr="00034A92">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7B14B213" w14:textId="408439EB" w:rsidR="00F66D25" w:rsidRPr="001428E9" w:rsidRDefault="00F66D25" w:rsidP="00425BAC">
            <w:pPr>
              <w:keepLines/>
              <w:rPr>
                <w:rFonts w:ascii="Arial Narrow" w:hAnsi="Arial Narrow"/>
                <w:b/>
                <w:sz w:val="20"/>
                <w:szCs w:val="20"/>
              </w:rPr>
            </w:pPr>
            <w:r w:rsidRPr="001428E9">
              <w:rPr>
                <w:rFonts w:ascii="Arial Narrow" w:hAnsi="Arial Narrow"/>
                <w:b/>
                <w:sz w:val="20"/>
                <w:szCs w:val="20"/>
              </w:rPr>
              <w:t xml:space="preserve">Restriction Summary </w:t>
            </w:r>
          </w:p>
        </w:tc>
      </w:tr>
      <w:tr w:rsidR="00F66D25" w:rsidRPr="001428E9" w14:paraId="52C00C48" w14:textId="77777777" w:rsidTr="00034A92">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7F1A9DF0" w14:textId="77777777" w:rsidR="00F66D25" w:rsidRPr="001428E9" w:rsidRDefault="00F66D25" w:rsidP="00425BAC">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B29EEEF" w14:textId="77777777" w:rsidR="00F66D25" w:rsidRPr="001428E9" w:rsidRDefault="00F66D25" w:rsidP="00425BAC">
            <w:pPr>
              <w:keepLines/>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Section 100 – Highly Specialised Drugs Program</w:t>
            </w:r>
          </w:p>
        </w:tc>
      </w:tr>
      <w:tr w:rsidR="00F66D25" w:rsidRPr="001428E9" w14:paraId="707B77C4" w14:textId="77777777" w:rsidTr="00034A92">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2CA40E9C" w14:textId="77777777" w:rsidR="00F66D25" w:rsidRPr="001428E9" w:rsidRDefault="00F66D25" w:rsidP="00425BAC">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CD13217" w14:textId="77777777" w:rsidR="00F66D25" w:rsidRPr="001428E9" w:rsidRDefault="00F66D25" w:rsidP="00425BAC">
            <w:pPr>
              <w:keepLines/>
              <w:rPr>
                <w:rFonts w:ascii="Arial Narrow" w:hAnsi="Arial Narrow"/>
                <w:b/>
                <w:sz w:val="20"/>
                <w:szCs w:val="20"/>
              </w:rPr>
            </w:pPr>
            <w:r w:rsidRPr="001428E9">
              <w:rPr>
                <w:rFonts w:ascii="Arial Narrow" w:hAnsi="Arial Narrow"/>
                <w:b/>
                <w:sz w:val="20"/>
                <w:szCs w:val="20"/>
              </w:rPr>
              <w:t xml:space="preserve">Prescriber type: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D45640">
              <w:rPr>
                <w:rFonts w:ascii="Arial Narrow" w:hAnsi="Arial Narrow"/>
                <w:sz w:val="20"/>
                <w:szCs w:val="20"/>
              </w:rPr>
            </w:r>
            <w:r w:rsidR="00D45640">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F66D25" w:rsidRPr="001428E9" w14:paraId="05690EB6" w14:textId="77777777" w:rsidTr="00034A92">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4BAE8B1F" w14:textId="77777777" w:rsidR="00F66D25" w:rsidRPr="001428E9" w:rsidRDefault="00F66D25" w:rsidP="00425BAC">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21BF3EA" w14:textId="77777777" w:rsidR="00F66D25" w:rsidRPr="002A361A" w:rsidRDefault="00F66D25" w:rsidP="00034A92">
            <w:pPr>
              <w:keepLines/>
              <w:jc w:val="left"/>
              <w:rPr>
                <w:rFonts w:ascii="Arial Narrow" w:eastAsia="Calibri" w:hAnsi="Arial Narrow"/>
                <w:sz w:val="20"/>
                <w:szCs w:val="20"/>
              </w:rPr>
            </w:pPr>
            <w:r w:rsidRPr="001428E9">
              <w:rPr>
                <w:rFonts w:ascii="Arial Narrow" w:hAnsi="Arial Narrow"/>
                <w:b/>
                <w:sz w:val="20"/>
                <w:szCs w:val="20"/>
              </w:rPr>
              <w:t xml:space="preserve">Restriction type: </w:t>
            </w:r>
            <w:r>
              <w:rPr>
                <w:rFonts w:ascii="Arial Narrow" w:eastAsia="Calibri" w:hAnsi="Arial Narrow"/>
                <w:color w:val="FF0000"/>
                <w:sz w:val="20"/>
                <w:szCs w:val="20"/>
              </w:rPr>
              <w:br/>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sidR="00D45640">
              <w:rPr>
                <w:rFonts w:ascii="Arial Narrow" w:eastAsia="Calibri" w:hAnsi="Arial Narrow"/>
                <w:sz w:val="20"/>
                <w:szCs w:val="20"/>
              </w:rPr>
            </w:r>
            <w:r w:rsidR="00D45640">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(in writing only via post/HPOS upload)</w:t>
            </w:r>
          </w:p>
        </w:tc>
      </w:tr>
      <w:tr w:rsidR="00F66D25" w:rsidRPr="001428E9" w14:paraId="69E24AFA" w14:textId="77777777" w:rsidTr="00034A92">
        <w:tblPrEx>
          <w:tblCellMar>
            <w:top w:w="15" w:type="dxa"/>
            <w:bottom w:w="15" w:type="dxa"/>
          </w:tblCellMar>
          <w:tblLook w:val="04A0" w:firstRow="1" w:lastRow="0" w:firstColumn="1" w:lastColumn="0" w:noHBand="0" w:noVBand="1"/>
        </w:tblPrEx>
        <w:trPr>
          <w:trHeight w:val="20"/>
        </w:trPr>
        <w:tc>
          <w:tcPr>
            <w:tcW w:w="563" w:type="dxa"/>
            <w:vMerge w:val="restart"/>
            <w:tcBorders>
              <w:left w:val="single" w:sz="4" w:space="0" w:color="auto"/>
              <w:right w:val="single" w:sz="4" w:space="0" w:color="auto"/>
            </w:tcBorders>
            <w:textDirection w:val="btLr"/>
            <w:vAlign w:val="center"/>
          </w:tcPr>
          <w:p w14:paraId="2A660029" w14:textId="7E24C346" w:rsidR="00F66D25" w:rsidRPr="001428E9" w:rsidRDefault="00F66D25" w:rsidP="00425BAC">
            <w:pPr>
              <w:jc w:val="center"/>
              <w:rPr>
                <w:rFonts w:ascii="Arial Narrow" w:hAnsi="Arial Narrow"/>
                <w:sz w:val="20"/>
                <w:szCs w:val="20"/>
              </w:rPr>
            </w:pPr>
            <w:bookmarkStart w:id="53" w:name="_Hlk122682200"/>
          </w:p>
        </w:tc>
        <w:tc>
          <w:tcPr>
            <w:tcW w:w="709" w:type="dxa"/>
            <w:vAlign w:val="center"/>
          </w:tcPr>
          <w:p w14:paraId="2620FD87" w14:textId="431FAED2" w:rsidR="00F66D25" w:rsidRPr="001428E9" w:rsidRDefault="00F66D25" w:rsidP="00425BAC">
            <w:pPr>
              <w:jc w:val="center"/>
              <w:rPr>
                <w:rFonts w:ascii="Arial Narrow" w:hAnsi="Arial Narrow"/>
                <w:color w:val="333333"/>
                <w:sz w:val="20"/>
                <w:szCs w:val="20"/>
              </w:rPr>
            </w:pPr>
          </w:p>
        </w:tc>
        <w:tc>
          <w:tcPr>
            <w:tcW w:w="7745" w:type="dxa"/>
            <w:gridSpan w:val="6"/>
            <w:vAlign w:val="center"/>
          </w:tcPr>
          <w:p w14:paraId="5AAAEA10" w14:textId="77777777" w:rsidR="00F66D25" w:rsidRPr="001428E9" w:rsidRDefault="00F66D25" w:rsidP="00425BAC">
            <w:pPr>
              <w:rPr>
                <w:rFonts w:ascii="Arial Narrow" w:hAnsi="Arial Narrow"/>
                <w:color w:val="333333"/>
                <w:sz w:val="20"/>
                <w:szCs w:val="20"/>
              </w:rPr>
            </w:pPr>
            <w:r w:rsidRPr="001428E9">
              <w:rPr>
                <w:rFonts w:ascii="Arial Narrow" w:hAnsi="Arial Narrow"/>
                <w:b/>
                <w:bCs/>
                <w:color w:val="333333"/>
                <w:sz w:val="20"/>
                <w:szCs w:val="20"/>
              </w:rPr>
              <w:t>Administrative Advice:</w:t>
            </w:r>
            <w:r>
              <w:rPr>
                <w:rFonts w:ascii="Arial Narrow" w:hAnsi="Arial Narrow"/>
                <w:color w:val="333333"/>
                <w:sz w:val="20"/>
                <w:szCs w:val="20"/>
              </w:rPr>
              <w:t xml:space="preserve"> </w:t>
            </w:r>
            <w:r w:rsidRPr="00397232">
              <w:rPr>
                <w:rFonts w:ascii="Arial Narrow" w:eastAsia="Calibri" w:hAnsi="Arial Narrow"/>
                <w:sz w:val="20"/>
                <w:szCs w:val="20"/>
              </w:rPr>
              <w:t>No increase in the maximum quantity or number of units may be authorised.</w:t>
            </w:r>
          </w:p>
        </w:tc>
      </w:tr>
      <w:tr w:rsidR="00F66D25" w:rsidRPr="001428E9" w14:paraId="4268AE60" w14:textId="77777777" w:rsidTr="00034A92">
        <w:tblPrEx>
          <w:tblCellMar>
            <w:top w:w="15" w:type="dxa"/>
            <w:bottom w:w="15" w:type="dxa"/>
          </w:tblCellMar>
          <w:tblLook w:val="04A0" w:firstRow="1" w:lastRow="0" w:firstColumn="1" w:lastColumn="0" w:noHBand="0" w:noVBand="1"/>
        </w:tblPrEx>
        <w:trPr>
          <w:trHeight w:val="20"/>
        </w:trPr>
        <w:tc>
          <w:tcPr>
            <w:tcW w:w="563" w:type="dxa"/>
            <w:vMerge/>
            <w:tcBorders>
              <w:left w:val="single" w:sz="4" w:space="0" w:color="auto"/>
              <w:right w:val="single" w:sz="4" w:space="0" w:color="auto"/>
            </w:tcBorders>
          </w:tcPr>
          <w:p w14:paraId="29635534" w14:textId="77777777" w:rsidR="00F66D25" w:rsidRPr="001428E9" w:rsidRDefault="00F66D25" w:rsidP="00425BAC">
            <w:pPr>
              <w:rPr>
                <w:rFonts w:ascii="Arial Narrow" w:hAnsi="Arial Narrow"/>
                <w:sz w:val="20"/>
                <w:szCs w:val="20"/>
              </w:rPr>
            </w:pPr>
          </w:p>
        </w:tc>
        <w:tc>
          <w:tcPr>
            <w:tcW w:w="709" w:type="dxa"/>
            <w:vAlign w:val="center"/>
          </w:tcPr>
          <w:p w14:paraId="62C87372" w14:textId="318273F9" w:rsidR="00F66D25" w:rsidRPr="001428E9" w:rsidRDefault="00F66D25" w:rsidP="00425BAC">
            <w:pPr>
              <w:jc w:val="center"/>
              <w:rPr>
                <w:rFonts w:ascii="Arial Narrow" w:hAnsi="Arial Narrow"/>
                <w:color w:val="333333"/>
                <w:sz w:val="20"/>
                <w:szCs w:val="20"/>
              </w:rPr>
            </w:pPr>
          </w:p>
        </w:tc>
        <w:tc>
          <w:tcPr>
            <w:tcW w:w="7745" w:type="dxa"/>
            <w:gridSpan w:val="6"/>
            <w:vAlign w:val="center"/>
          </w:tcPr>
          <w:p w14:paraId="3F01C829" w14:textId="77777777" w:rsidR="00F66D25" w:rsidRPr="001428E9" w:rsidRDefault="00F66D25" w:rsidP="00425BAC">
            <w:pPr>
              <w:rPr>
                <w:rFonts w:ascii="Arial Narrow" w:hAnsi="Arial Narrow"/>
                <w:b/>
                <w:bCs/>
                <w:color w:val="333333"/>
                <w:sz w:val="20"/>
                <w:szCs w:val="20"/>
              </w:rPr>
            </w:pPr>
            <w:r w:rsidRPr="001428E9">
              <w:rPr>
                <w:rFonts w:ascii="Arial Narrow" w:hAnsi="Arial Narrow"/>
                <w:b/>
                <w:bCs/>
                <w:color w:val="333333"/>
                <w:sz w:val="20"/>
                <w:szCs w:val="20"/>
              </w:rPr>
              <w:t>Administrative Advice:</w:t>
            </w:r>
            <w:r>
              <w:rPr>
                <w:rFonts w:ascii="Arial Narrow" w:hAnsi="Arial Narrow"/>
                <w:b/>
                <w:bCs/>
                <w:color w:val="333333"/>
                <w:sz w:val="20"/>
                <w:szCs w:val="20"/>
              </w:rPr>
              <w:t xml:space="preserve"> </w:t>
            </w:r>
            <w:r w:rsidRPr="00397232">
              <w:rPr>
                <w:rFonts w:ascii="Arial Narrow" w:eastAsia="Calibri" w:hAnsi="Arial Narrow"/>
                <w:sz w:val="20"/>
                <w:szCs w:val="20"/>
              </w:rPr>
              <w:t>No increase in the maximum number of repeats may be authorised.</w:t>
            </w:r>
          </w:p>
        </w:tc>
      </w:tr>
      <w:tr w:rsidR="00F66D25" w:rsidRPr="001428E9" w14:paraId="6C6FE1D1" w14:textId="77777777" w:rsidTr="00034A92">
        <w:tblPrEx>
          <w:tblCellMar>
            <w:top w:w="15" w:type="dxa"/>
            <w:bottom w:w="15" w:type="dxa"/>
          </w:tblCellMar>
          <w:tblLook w:val="04A0" w:firstRow="1" w:lastRow="0" w:firstColumn="1" w:lastColumn="0" w:noHBand="0" w:noVBand="1"/>
        </w:tblPrEx>
        <w:trPr>
          <w:trHeight w:val="414"/>
        </w:trPr>
        <w:tc>
          <w:tcPr>
            <w:tcW w:w="563" w:type="dxa"/>
            <w:vMerge/>
            <w:tcBorders>
              <w:left w:val="single" w:sz="4" w:space="0" w:color="auto"/>
              <w:bottom w:val="single" w:sz="4" w:space="0" w:color="auto"/>
              <w:right w:val="single" w:sz="4" w:space="0" w:color="auto"/>
            </w:tcBorders>
          </w:tcPr>
          <w:p w14:paraId="44F67EC7" w14:textId="77777777" w:rsidR="00F66D25" w:rsidRPr="001428E9" w:rsidRDefault="00F66D25" w:rsidP="00425BAC">
            <w:pPr>
              <w:rPr>
                <w:rFonts w:ascii="Arial Narrow" w:hAnsi="Arial Narrow"/>
                <w:sz w:val="20"/>
                <w:szCs w:val="20"/>
              </w:rPr>
            </w:pPr>
          </w:p>
        </w:tc>
        <w:tc>
          <w:tcPr>
            <w:tcW w:w="709" w:type="dxa"/>
            <w:vAlign w:val="center"/>
          </w:tcPr>
          <w:p w14:paraId="3F6A7355" w14:textId="3670BB9A" w:rsidR="00F66D25" w:rsidRPr="003C1189" w:rsidRDefault="00F66D25" w:rsidP="00425BAC">
            <w:pPr>
              <w:jc w:val="center"/>
              <w:rPr>
                <w:rFonts w:ascii="Arial Narrow" w:hAnsi="Arial Narrow"/>
                <w:color w:val="333333"/>
                <w:sz w:val="20"/>
                <w:szCs w:val="20"/>
              </w:rPr>
            </w:pPr>
          </w:p>
        </w:tc>
        <w:tc>
          <w:tcPr>
            <w:tcW w:w="7745" w:type="dxa"/>
            <w:gridSpan w:val="6"/>
            <w:vAlign w:val="center"/>
          </w:tcPr>
          <w:p w14:paraId="71D751F4" w14:textId="77777777" w:rsidR="00F66D25" w:rsidRPr="003C1189" w:rsidRDefault="00F66D25" w:rsidP="00425BAC">
            <w:pPr>
              <w:rPr>
                <w:rFonts w:ascii="Arial Narrow" w:hAnsi="Arial Narrow"/>
                <w:b/>
                <w:bCs/>
                <w:color w:val="333333"/>
                <w:sz w:val="20"/>
                <w:szCs w:val="20"/>
              </w:rPr>
            </w:pPr>
            <w:r w:rsidRPr="003C1189">
              <w:rPr>
                <w:rFonts w:ascii="Arial Narrow" w:hAnsi="Arial Narrow"/>
                <w:b/>
                <w:bCs/>
                <w:color w:val="333333"/>
                <w:sz w:val="20"/>
                <w:szCs w:val="20"/>
              </w:rPr>
              <w:t xml:space="preserve">Administrative Advice: </w:t>
            </w:r>
            <w:r w:rsidRPr="003C1189">
              <w:rPr>
                <w:rFonts w:ascii="Arial Narrow" w:eastAsia="Calibri" w:hAnsi="Arial Narrow"/>
                <w:sz w:val="20"/>
                <w:szCs w:val="20"/>
              </w:rPr>
              <w:t>Special Pricing Arrangements apply.</w:t>
            </w:r>
          </w:p>
        </w:tc>
      </w:tr>
      <w:tr w:rsidR="00F66D25" w:rsidRPr="001428E9" w14:paraId="68820EBE" w14:textId="77777777" w:rsidTr="004C735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B370996" w14:textId="6DE02A32" w:rsidR="00F66D25" w:rsidRPr="001428E9" w:rsidRDefault="00F66D25" w:rsidP="00425BAC">
            <w:pPr>
              <w:keepLines/>
              <w:jc w:val="center"/>
              <w:rPr>
                <w:rFonts w:ascii="Arial Narrow" w:hAnsi="Arial Narrow"/>
                <w:color w:val="333333"/>
                <w:sz w:val="20"/>
                <w:szCs w:val="20"/>
              </w:rPr>
            </w:pPr>
          </w:p>
        </w:tc>
        <w:tc>
          <w:tcPr>
            <w:tcW w:w="7745" w:type="dxa"/>
            <w:gridSpan w:val="6"/>
            <w:vAlign w:val="center"/>
            <w:hideMark/>
          </w:tcPr>
          <w:p w14:paraId="2977804F" w14:textId="77777777" w:rsidR="00F66D25" w:rsidRPr="001428E9" w:rsidRDefault="00F66D25" w:rsidP="00425BAC">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Spinal Muscular Atrophy (SMA)</w:t>
            </w:r>
          </w:p>
        </w:tc>
      </w:tr>
      <w:bookmarkEnd w:id="53"/>
      <w:tr w:rsidR="00F66D25" w:rsidRPr="001428E9" w14:paraId="40F0B2D9"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7C8A21" w14:textId="77777777" w:rsidR="00F66D25" w:rsidRDefault="00F66D25" w:rsidP="00425BAC">
            <w:pPr>
              <w:keepLines/>
              <w:jc w:val="center"/>
              <w:rPr>
                <w:rFonts w:ascii="Arial Narrow" w:hAnsi="Arial Narrow"/>
                <w:color w:val="333333"/>
                <w:sz w:val="20"/>
                <w:szCs w:val="20"/>
              </w:rPr>
            </w:pPr>
          </w:p>
        </w:tc>
        <w:tc>
          <w:tcPr>
            <w:tcW w:w="7745" w:type="dxa"/>
            <w:gridSpan w:val="6"/>
            <w:vAlign w:val="center"/>
          </w:tcPr>
          <w:p w14:paraId="24CBFE8A" w14:textId="77777777" w:rsidR="00F66D25" w:rsidRPr="001428E9" w:rsidRDefault="00F66D25" w:rsidP="00425BAC">
            <w:pPr>
              <w:keepLines/>
              <w:rPr>
                <w:rFonts w:ascii="Arial Narrow" w:hAnsi="Arial Narrow"/>
                <w:b/>
                <w:bCs/>
                <w:color w:val="333333"/>
                <w:sz w:val="20"/>
                <w:szCs w:val="20"/>
              </w:rPr>
            </w:pPr>
          </w:p>
        </w:tc>
      </w:tr>
      <w:tr w:rsidR="00F66D25" w:rsidRPr="001428E9" w14:paraId="021D6024"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0A09F1" w14:textId="77777777" w:rsidR="00F66D25" w:rsidRDefault="00F66D25" w:rsidP="00425BAC">
            <w:pPr>
              <w:keepLines/>
              <w:jc w:val="center"/>
              <w:rPr>
                <w:rFonts w:ascii="Arial Narrow" w:hAnsi="Arial Narrow"/>
                <w:color w:val="333333"/>
                <w:sz w:val="20"/>
                <w:szCs w:val="20"/>
              </w:rPr>
            </w:pPr>
          </w:p>
        </w:tc>
        <w:tc>
          <w:tcPr>
            <w:tcW w:w="7745" w:type="dxa"/>
            <w:gridSpan w:val="6"/>
            <w:vAlign w:val="center"/>
          </w:tcPr>
          <w:p w14:paraId="352C5DF5" w14:textId="77777777" w:rsidR="00F66D25" w:rsidRPr="001428E9" w:rsidRDefault="00F66D25" w:rsidP="00425BAC">
            <w:pPr>
              <w:keepLines/>
              <w:rPr>
                <w:rFonts w:ascii="Arial Narrow" w:hAnsi="Arial Narrow"/>
                <w:b/>
                <w:bCs/>
                <w:color w:val="333333"/>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184459">
              <w:rPr>
                <w:rFonts w:ascii="Arial Narrow" w:hAnsi="Arial Narrow"/>
                <w:sz w:val="20"/>
                <w:szCs w:val="20"/>
              </w:rPr>
              <w:t>Initial PBS-subsidised treatment in an adult who did not initiate PBS subsidy during childhood</w:t>
            </w:r>
          </w:p>
        </w:tc>
      </w:tr>
      <w:tr w:rsidR="00F66D25" w:rsidRPr="001428E9" w14:paraId="5814FA7F"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1937F3" w14:textId="157F48BB" w:rsidR="00F66D25" w:rsidRPr="001428E9" w:rsidRDefault="00F66D25" w:rsidP="00425BAC">
            <w:pPr>
              <w:jc w:val="center"/>
              <w:rPr>
                <w:rFonts w:ascii="Arial Narrow" w:hAnsi="Arial Narrow"/>
                <w:color w:val="333333"/>
                <w:sz w:val="20"/>
                <w:szCs w:val="20"/>
              </w:rPr>
            </w:pPr>
          </w:p>
        </w:tc>
        <w:tc>
          <w:tcPr>
            <w:tcW w:w="7745" w:type="dxa"/>
            <w:gridSpan w:val="6"/>
            <w:vAlign w:val="center"/>
          </w:tcPr>
          <w:p w14:paraId="3B842890" w14:textId="77777777" w:rsidR="00F66D25" w:rsidRPr="001428E9" w:rsidRDefault="00F66D25" w:rsidP="00425BAC">
            <w:pPr>
              <w:rPr>
                <w:rFonts w:ascii="Arial Narrow" w:hAnsi="Arial Narrow"/>
                <w:color w:val="333333"/>
                <w:sz w:val="20"/>
                <w:szCs w:val="20"/>
              </w:rPr>
            </w:pPr>
            <w:r w:rsidRPr="009A1B16">
              <w:rPr>
                <w:rFonts w:ascii="Arial Narrow" w:hAnsi="Arial Narrow"/>
                <w:sz w:val="20"/>
                <w:szCs w:val="20"/>
              </w:rPr>
              <w:t>Must be treated by a specialist medical practitioner experienced in the diagnosis/management of SMA; or</w:t>
            </w:r>
          </w:p>
        </w:tc>
      </w:tr>
      <w:tr w:rsidR="00F66D25" w:rsidRPr="001428E9" w14:paraId="6453AE1F" w14:textId="77777777" w:rsidTr="004C735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DAC057" w14:textId="4F15EB13" w:rsidR="00F66D25" w:rsidRPr="001428E9" w:rsidRDefault="00F66D25" w:rsidP="00425BAC">
            <w:pPr>
              <w:jc w:val="center"/>
              <w:rPr>
                <w:rFonts w:ascii="Arial Narrow" w:hAnsi="Arial Narrow"/>
                <w:color w:val="333333"/>
                <w:sz w:val="20"/>
                <w:szCs w:val="20"/>
              </w:rPr>
            </w:pPr>
          </w:p>
        </w:tc>
        <w:tc>
          <w:tcPr>
            <w:tcW w:w="7745" w:type="dxa"/>
            <w:gridSpan w:val="6"/>
            <w:vAlign w:val="center"/>
            <w:hideMark/>
          </w:tcPr>
          <w:p w14:paraId="5E119A27" w14:textId="77777777" w:rsidR="00F66D25" w:rsidRPr="00EF195B" w:rsidRDefault="00F66D25" w:rsidP="00425BAC">
            <w:pPr>
              <w:rPr>
                <w:rFonts w:ascii="Arial Narrow" w:hAnsi="Arial Narrow"/>
                <w:sz w:val="20"/>
                <w:szCs w:val="20"/>
              </w:rPr>
            </w:pPr>
            <w:r w:rsidRPr="009A1B16">
              <w:rPr>
                <w:rFonts w:ascii="Arial Narrow" w:hAnsi="Arial Narrow"/>
                <w:sz w:val="20"/>
                <w:szCs w:val="20"/>
              </w:rPr>
              <w:t>Must be treated by a medical practitioner who has been directed to prescribe this benefit by a specialist medical practitioner experienced in the diagnosis/management of SMA</w:t>
            </w:r>
          </w:p>
        </w:tc>
      </w:tr>
      <w:tr w:rsidR="00F66D25" w:rsidRPr="001428E9" w14:paraId="26D54B04"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94BC0F0" w14:textId="77777777" w:rsidR="00F66D25" w:rsidRDefault="00F66D25" w:rsidP="00425BAC">
            <w:pPr>
              <w:jc w:val="center"/>
              <w:rPr>
                <w:rFonts w:ascii="Arial Narrow" w:hAnsi="Arial Narrow"/>
                <w:color w:val="333333"/>
                <w:sz w:val="20"/>
                <w:szCs w:val="20"/>
              </w:rPr>
            </w:pPr>
          </w:p>
        </w:tc>
        <w:tc>
          <w:tcPr>
            <w:tcW w:w="7745" w:type="dxa"/>
            <w:gridSpan w:val="6"/>
            <w:vAlign w:val="center"/>
          </w:tcPr>
          <w:p w14:paraId="6A35A3AE" w14:textId="77777777" w:rsidR="00F66D25" w:rsidRPr="009A1B16" w:rsidRDefault="00F66D25" w:rsidP="00425BAC">
            <w:pPr>
              <w:rPr>
                <w:rFonts w:ascii="Arial Narrow" w:hAnsi="Arial Narrow"/>
                <w:sz w:val="20"/>
                <w:szCs w:val="20"/>
              </w:rPr>
            </w:pPr>
            <w:r>
              <w:rPr>
                <w:rFonts w:ascii="Arial Narrow" w:hAnsi="Arial Narrow"/>
                <w:sz w:val="20"/>
                <w:szCs w:val="20"/>
              </w:rPr>
              <w:t>AND</w:t>
            </w:r>
          </w:p>
        </w:tc>
      </w:tr>
      <w:tr w:rsidR="00F66D25" w:rsidRPr="00034A92" w14:paraId="223B014B"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FAB9525" w14:textId="16E81A23" w:rsidR="00F66D25" w:rsidRPr="00034A92" w:rsidRDefault="00F66D25" w:rsidP="00425BAC">
            <w:pPr>
              <w:jc w:val="center"/>
              <w:rPr>
                <w:rFonts w:ascii="Arial Narrow" w:hAnsi="Arial Narrow"/>
                <w:sz w:val="20"/>
                <w:szCs w:val="20"/>
              </w:rPr>
            </w:pPr>
          </w:p>
        </w:tc>
        <w:tc>
          <w:tcPr>
            <w:tcW w:w="7745" w:type="dxa"/>
            <w:gridSpan w:val="6"/>
            <w:vAlign w:val="center"/>
          </w:tcPr>
          <w:p w14:paraId="54858B3A" w14:textId="77777777" w:rsidR="00F66D25" w:rsidRPr="00034A92" w:rsidRDefault="00F66D25" w:rsidP="00425BAC">
            <w:pPr>
              <w:rPr>
                <w:rFonts w:ascii="Arial Narrow" w:hAnsi="Arial Narrow"/>
                <w:sz w:val="20"/>
                <w:szCs w:val="20"/>
              </w:rPr>
            </w:pPr>
            <w:r w:rsidRPr="00034A92">
              <w:rPr>
                <w:rFonts w:ascii="Arial Narrow" w:hAnsi="Arial Narrow"/>
                <w:sz w:val="20"/>
                <w:szCs w:val="20"/>
              </w:rPr>
              <w:t>Patient must be undergoing initial PBS-subsidised treatment for untreated disease; or</w:t>
            </w:r>
          </w:p>
        </w:tc>
      </w:tr>
      <w:tr w:rsidR="00F66D25" w:rsidRPr="00034A92" w14:paraId="3CD56DD5"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CAD7030" w14:textId="613F6936" w:rsidR="00F66D25" w:rsidRPr="00034A92" w:rsidRDefault="00F66D25" w:rsidP="00425BAC">
            <w:pPr>
              <w:keepLines/>
              <w:jc w:val="center"/>
              <w:rPr>
                <w:rFonts w:ascii="Arial Narrow" w:hAnsi="Arial Narrow"/>
                <w:sz w:val="20"/>
                <w:szCs w:val="20"/>
              </w:rPr>
            </w:pPr>
          </w:p>
        </w:tc>
        <w:tc>
          <w:tcPr>
            <w:tcW w:w="7745" w:type="dxa"/>
            <w:gridSpan w:val="6"/>
            <w:vAlign w:val="center"/>
          </w:tcPr>
          <w:p w14:paraId="34B5C864" w14:textId="77777777" w:rsidR="00F66D25" w:rsidRPr="00034A92" w:rsidRDefault="00F66D25" w:rsidP="00425BAC">
            <w:pPr>
              <w:rPr>
                <w:rFonts w:ascii="Arial Narrow" w:hAnsi="Arial Narrow"/>
                <w:sz w:val="20"/>
                <w:szCs w:val="20"/>
              </w:rPr>
            </w:pPr>
            <w:r w:rsidRPr="00034A92">
              <w:rPr>
                <w:rFonts w:ascii="Arial Narrow" w:hAnsi="Arial Narrow"/>
                <w:sz w:val="20"/>
                <w:szCs w:val="20"/>
              </w:rPr>
              <w:t>Patient must be undergoing initial PBS-subsidised treatment, but the patient has initiated treatment via non-PBS supply (e.g. clinical trial, sponsor compassionate access).</w:t>
            </w:r>
          </w:p>
        </w:tc>
      </w:tr>
      <w:tr w:rsidR="00F66D25" w:rsidRPr="001428E9" w14:paraId="035EFE3E"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2E3657C" w14:textId="58B414CE" w:rsidR="00F66D25" w:rsidRPr="00184459" w:rsidRDefault="00F66D25" w:rsidP="00425BAC">
            <w:pPr>
              <w:jc w:val="center"/>
              <w:rPr>
                <w:rFonts w:ascii="Arial Narrow" w:hAnsi="Arial Narrow"/>
                <w:sz w:val="20"/>
                <w:szCs w:val="20"/>
              </w:rPr>
            </w:pPr>
          </w:p>
        </w:tc>
        <w:tc>
          <w:tcPr>
            <w:tcW w:w="7745" w:type="dxa"/>
            <w:gridSpan w:val="6"/>
            <w:vAlign w:val="center"/>
          </w:tcPr>
          <w:p w14:paraId="48B92F79" w14:textId="77777777" w:rsidR="00F66D25" w:rsidRPr="001428E9" w:rsidRDefault="00F66D25" w:rsidP="00425BAC">
            <w:pPr>
              <w:keepLines/>
              <w:rPr>
                <w:rFonts w:ascii="Arial Narrow" w:hAnsi="Arial Narrow"/>
                <w:b/>
                <w:bCs/>
                <w:color w:val="333333"/>
                <w:sz w:val="20"/>
                <w:szCs w:val="20"/>
              </w:rPr>
            </w:pPr>
            <w:r>
              <w:rPr>
                <w:rFonts w:ascii="Arial Narrow" w:hAnsi="Arial Narrow"/>
                <w:b/>
                <w:bCs/>
                <w:color w:val="333333"/>
                <w:sz w:val="20"/>
                <w:szCs w:val="20"/>
              </w:rPr>
              <w:t>AND</w:t>
            </w:r>
          </w:p>
        </w:tc>
      </w:tr>
      <w:tr w:rsidR="00F66D25" w:rsidRPr="001428E9" w14:paraId="13DAA8C7"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E4C365C" w14:textId="0F8F1B06" w:rsidR="00F66D25" w:rsidRDefault="00F66D25" w:rsidP="00425BAC">
            <w:pPr>
              <w:keepLines/>
              <w:jc w:val="center"/>
              <w:rPr>
                <w:rFonts w:ascii="Arial Narrow" w:hAnsi="Arial Narrow"/>
                <w:color w:val="333333"/>
                <w:sz w:val="20"/>
                <w:szCs w:val="20"/>
              </w:rPr>
            </w:pPr>
          </w:p>
        </w:tc>
        <w:tc>
          <w:tcPr>
            <w:tcW w:w="7745" w:type="dxa"/>
            <w:gridSpan w:val="6"/>
            <w:vAlign w:val="center"/>
          </w:tcPr>
          <w:p w14:paraId="7CCE5D35" w14:textId="77777777" w:rsidR="00F66D25" w:rsidRPr="001428E9" w:rsidRDefault="00F66D25" w:rsidP="00425BAC">
            <w:pPr>
              <w:keepLines/>
              <w:rPr>
                <w:rFonts w:ascii="Arial Narrow" w:hAnsi="Arial Narrow"/>
                <w:b/>
                <w:bCs/>
                <w:color w:val="333333"/>
                <w:sz w:val="20"/>
                <w:szCs w:val="20"/>
              </w:rPr>
            </w:pPr>
            <w:r w:rsidRPr="00B36556">
              <w:rPr>
                <w:rFonts w:ascii="Arial Narrow" w:hAnsi="Arial Narrow"/>
                <w:sz w:val="20"/>
                <w:szCs w:val="20"/>
              </w:rPr>
              <w:t>Patient must be undergoing concomitant treatment with best supportive care, but this benefit is the sole PBS-subsidised disease modifying treatment</w:t>
            </w:r>
          </w:p>
        </w:tc>
      </w:tr>
      <w:tr w:rsidR="00F66D25" w:rsidRPr="00184459" w14:paraId="2979C1ED"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6898AC6" w14:textId="000C7626" w:rsidR="00F66D25" w:rsidRPr="00184459" w:rsidRDefault="00F66D25" w:rsidP="00425BAC">
            <w:pPr>
              <w:keepLines/>
              <w:jc w:val="center"/>
              <w:rPr>
                <w:rFonts w:ascii="Arial Narrow" w:hAnsi="Arial Narrow"/>
                <w:b/>
                <w:bCs/>
                <w:sz w:val="20"/>
                <w:szCs w:val="20"/>
              </w:rPr>
            </w:pPr>
          </w:p>
        </w:tc>
        <w:tc>
          <w:tcPr>
            <w:tcW w:w="7745" w:type="dxa"/>
            <w:gridSpan w:val="6"/>
            <w:vAlign w:val="center"/>
          </w:tcPr>
          <w:p w14:paraId="259D956A" w14:textId="77777777" w:rsidR="00F66D25" w:rsidRPr="00184459" w:rsidRDefault="00F66D25" w:rsidP="00425BAC">
            <w:pPr>
              <w:keepLines/>
              <w:rPr>
                <w:rFonts w:ascii="Arial Narrow" w:hAnsi="Arial Narrow"/>
                <w:b/>
                <w:bCs/>
                <w:sz w:val="20"/>
                <w:szCs w:val="20"/>
              </w:rPr>
            </w:pPr>
            <w:r w:rsidRPr="00184459">
              <w:rPr>
                <w:rFonts w:ascii="Arial Narrow" w:hAnsi="Arial Narrow"/>
                <w:b/>
                <w:bCs/>
                <w:sz w:val="20"/>
                <w:szCs w:val="20"/>
              </w:rPr>
              <w:t>Clinical criteria</w:t>
            </w:r>
          </w:p>
        </w:tc>
      </w:tr>
      <w:tr w:rsidR="00F66D25" w:rsidRPr="001428E9" w14:paraId="3FBC6C20"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F116056" w14:textId="791D2F6C" w:rsidR="00F66D25" w:rsidRPr="00B36556" w:rsidRDefault="00F66D25" w:rsidP="00425BAC">
            <w:pPr>
              <w:keepLines/>
              <w:jc w:val="center"/>
              <w:rPr>
                <w:rFonts w:ascii="Arial Narrow" w:hAnsi="Arial Narrow"/>
                <w:sz w:val="20"/>
                <w:szCs w:val="20"/>
              </w:rPr>
            </w:pPr>
          </w:p>
        </w:tc>
        <w:tc>
          <w:tcPr>
            <w:tcW w:w="7745" w:type="dxa"/>
            <w:gridSpan w:val="6"/>
            <w:vAlign w:val="center"/>
          </w:tcPr>
          <w:p w14:paraId="18A9A8C6" w14:textId="77777777" w:rsidR="00F66D25" w:rsidRPr="00B36556" w:rsidRDefault="00F66D25" w:rsidP="00425BAC">
            <w:pPr>
              <w:rPr>
                <w:rFonts w:ascii="Arial Narrow" w:hAnsi="Arial Narrow"/>
                <w:sz w:val="20"/>
                <w:szCs w:val="20"/>
              </w:rPr>
            </w:pPr>
            <w:r w:rsidRPr="00B36556">
              <w:rPr>
                <w:rFonts w:ascii="Arial Narrow" w:hAnsi="Arial Narrow"/>
                <w:sz w:val="20"/>
                <w:szCs w:val="20"/>
              </w:rPr>
              <w:t>The condition must have genetic confirmation of 5q homozygous deletion of the survival motor neuron 1 (SMN1) gene; or</w:t>
            </w:r>
          </w:p>
        </w:tc>
      </w:tr>
      <w:tr w:rsidR="00F66D25" w:rsidRPr="001428E9" w14:paraId="30243D68"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A8CEA4E" w14:textId="6FB13519" w:rsidR="00F66D25" w:rsidRPr="00B36556" w:rsidRDefault="00F66D25" w:rsidP="00425BAC">
            <w:pPr>
              <w:keepLines/>
              <w:jc w:val="center"/>
              <w:rPr>
                <w:rFonts w:ascii="Arial Narrow" w:hAnsi="Arial Narrow"/>
                <w:sz w:val="20"/>
                <w:szCs w:val="20"/>
              </w:rPr>
            </w:pPr>
          </w:p>
        </w:tc>
        <w:tc>
          <w:tcPr>
            <w:tcW w:w="7745" w:type="dxa"/>
            <w:gridSpan w:val="6"/>
            <w:vAlign w:val="center"/>
          </w:tcPr>
          <w:p w14:paraId="4B0594A4" w14:textId="77777777" w:rsidR="00F66D25" w:rsidRPr="00B36556" w:rsidRDefault="00F66D25" w:rsidP="00425BAC">
            <w:pPr>
              <w:keepLines/>
              <w:rPr>
                <w:rFonts w:ascii="Arial Narrow" w:hAnsi="Arial Narrow"/>
                <w:sz w:val="20"/>
                <w:szCs w:val="20"/>
              </w:rPr>
            </w:pPr>
            <w:r w:rsidRPr="00B36556">
              <w:rPr>
                <w:rFonts w:ascii="Arial Narrow" w:hAnsi="Arial Narrow"/>
                <w:sz w:val="20"/>
                <w:szCs w:val="20"/>
              </w:rPr>
              <w:t>The condition must have genetic confirmation of deletion of one copy of the SMN1 gene in addition to a pathogenic/likely pathogenic variant in the remaining single copy of the SMN1</w:t>
            </w:r>
            <w:r>
              <w:rPr>
                <w:rFonts w:ascii="Arial Narrow" w:hAnsi="Arial Narrow"/>
                <w:sz w:val="20"/>
                <w:szCs w:val="20"/>
              </w:rPr>
              <w:t xml:space="preserve"> gene</w:t>
            </w:r>
          </w:p>
        </w:tc>
      </w:tr>
      <w:tr w:rsidR="00F66D25" w:rsidRPr="001428E9" w14:paraId="5C60EB35"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95492D9" w14:textId="7C4EF916" w:rsidR="00F66D25" w:rsidRPr="00B36556" w:rsidRDefault="00F66D25" w:rsidP="00425BAC">
            <w:pPr>
              <w:keepLines/>
              <w:jc w:val="center"/>
              <w:rPr>
                <w:rFonts w:ascii="Arial Narrow" w:hAnsi="Arial Narrow"/>
                <w:sz w:val="20"/>
                <w:szCs w:val="20"/>
              </w:rPr>
            </w:pPr>
          </w:p>
        </w:tc>
        <w:tc>
          <w:tcPr>
            <w:tcW w:w="7745" w:type="dxa"/>
            <w:gridSpan w:val="6"/>
            <w:vAlign w:val="center"/>
          </w:tcPr>
          <w:p w14:paraId="3C928764" w14:textId="77777777" w:rsidR="00F66D25" w:rsidRPr="00B36556" w:rsidRDefault="00F66D25" w:rsidP="00425BAC">
            <w:pPr>
              <w:keepLines/>
              <w:rPr>
                <w:rFonts w:ascii="Arial Narrow" w:hAnsi="Arial Narrow"/>
                <w:sz w:val="20"/>
                <w:szCs w:val="20"/>
              </w:rPr>
            </w:pPr>
            <w:r w:rsidRPr="00184459">
              <w:rPr>
                <w:rFonts w:ascii="Arial Narrow" w:hAnsi="Arial Narrow"/>
                <w:b/>
                <w:bCs/>
                <w:sz w:val="20"/>
                <w:szCs w:val="20"/>
              </w:rPr>
              <w:t>Clinical criteria</w:t>
            </w:r>
          </w:p>
        </w:tc>
      </w:tr>
      <w:tr w:rsidR="00F66D25" w:rsidRPr="001428E9" w14:paraId="285E349D"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2C2EF7" w14:textId="7CB6CEAE" w:rsidR="00F66D25" w:rsidRPr="00B36556" w:rsidRDefault="00F66D25" w:rsidP="00425BAC">
            <w:pPr>
              <w:keepLines/>
              <w:jc w:val="center"/>
              <w:rPr>
                <w:rFonts w:ascii="Arial Narrow" w:hAnsi="Arial Narrow"/>
                <w:sz w:val="20"/>
                <w:szCs w:val="20"/>
              </w:rPr>
            </w:pPr>
          </w:p>
        </w:tc>
        <w:tc>
          <w:tcPr>
            <w:tcW w:w="7745" w:type="dxa"/>
            <w:gridSpan w:val="6"/>
            <w:vAlign w:val="center"/>
          </w:tcPr>
          <w:p w14:paraId="731283FB" w14:textId="77777777" w:rsidR="00F66D25" w:rsidRPr="00B36556" w:rsidRDefault="00F66D25" w:rsidP="00425BAC">
            <w:pPr>
              <w:rPr>
                <w:rFonts w:ascii="Arial Narrow" w:hAnsi="Arial Narrow"/>
                <w:sz w:val="20"/>
                <w:szCs w:val="20"/>
              </w:rPr>
            </w:pPr>
            <w:r w:rsidRPr="00B36556">
              <w:rPr>
                <w:rFonts w:ascii="Arial Narrow" w:hAnsi="Arial Narrow"/>
                <w:sz w:val="20"/>
                <w:szCs w:val="20"/>
              </w:rPr>
              <w:t>Patient must not be receiving invasive permanent assisted ventilation in the absence of a potentially reversible cause while being treated with this drug</w:t>
            </w:r>
          </w:p>
        </w:tc>
      </w:tr>
      <w:tr w:rsidR="00F66D25" w:rsidRPr="001428E9" w14:paraId="70FC5DEC"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1152B66" w14:textId="0C23D5A3" w:rsidR="00F66D25" w:rsidRPr="00B36556" w:rsidRDefault="00F66D25" w:rsidP="00425BAC">
            <w:pPr>
              <w:keepLines/>
              <w:jc w:val="center"/>
              <w:rPr>
                <w:rFonts w:ascii="Arial Narrow" w:hAnsi="Arial Narrow"/>
                <w:sz w:val="20"/>
                <w:szCs w:val="20"/>
              </w:rPr>
            </w:pPr>
          </w:p>
        </w:tc>
        <w:tc>
          <w:tcPr>
            <w:tcW w:w="7745" w:type="dxa"/>
            <w:gridSpan w:val="6"/>
            <w:vAlign w:val="center"/>
          </w:tcPr>
          <w:p w14:paraId="642EC304" w14:textId="77777777" w:rsidR="00F66D25" w:rsidRPr="00184459" w:rsidRDefault="00F66D25" w:rsidP="00425BAC">
            <w:pPr>
              <w:rPr>
                <w:rFonts w:ascii="Arial Narrow" w:hAnsi="Arial Narrow"/>
                <w:b/>
                <w:bCs/>
                <w:sz w:val="20"/>
                <w:szCs w:val="20"/>
              </w:rPr>
            </w:pPr>
            <w:r w:rsidRPr="00184459">
              <w:rPr>
                <w:rFonts w:ascii="Arial Narrow" w:hAnsi="Arial Narrow"/>
                <w:b/>
                <w:bCs/>
                <w:sz w:val="20"/>
                <w:szCs w:val="20"/>
              </w:rPr>
              <w:t>Population criteria</w:t>
            </w:r>
          </w:p>
        </w:tc>
      </w:tr>
      <w:tr w:rsidR="00F66D25" w:rsidRPr="001428E9" w14:paraId="45105C31"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CAC0F09" w14:textId="55C77B65" w:rsidR="00F66D25" w:rsidRPr="00B36556" w:rsidRDefault="00F66D25" w:rsidP="00425BAC">
            <w:pPr>
              <w:keepLines/>
              <w:jc w:val="center"/>
              <w:rPr>
                <w:rFonts w:ascii="Arial Narrow" w:hAnsi="Arial Narrow"/>
                <w:sz w:val="20"/>
                <w:szCs w:val="20"/>
              </w:rPr>
            </w:pPr>
          </w:p>
        </w:tc>
        <w:tc>
          <w:tcPr>
            <w:tcW w:w="7745" w:type="dxa"/>
            <w:gridSpan w:val="6"/>
            <w:vAlign w:val="center"/>
          </w:tcPr>
          <w:p w14:paraId="0FC9A01E" w14:textId="77777777" w:rsidR="00F66D25" w:rsidRPr="00B36556" w:rsidRDefault="00F66D25" w:rsidP="00425BAC">
            <w:pPr>
              <w:rPr>
                <w:rFonts w:ascii="Arial Narrow" w:hAnsi="Arial Narrow"/>
                <w:sz w:val="20"/>
                <w:szCs w:val="20"/>
              </w:rPr>
            </w:pPr>
            <w:r w:rsidRPr="00B36556">
              <w:rPr>
                <w:rFonts w:ascii="Arial Narrow" w:hAnsi="Arial Narrow"/>
                <w:sz w:val="20"/>
                <w:szCs w:val="20"/>
              </w:rPr>
              <w:t>Patient must be at least 19 years of age at the time of this authority application, but never claimed PBS subsidy for a disease modifying treatment during childhood</w:t>
            </w:r>
          </w:p>
        </w:tc>
      </w:tr>
      <w:tr w:rsidR="00F66D25" w:rsidRPr="001428E9" w14:paraId="0506E20B"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FAD8D9C" w14:textId="60D5BFD6" w:rsidR="00F66D25" w:rsidRPr="00B36556" w:rsidRDefault="00F66D25" w:rsidP="00425BAC">
            <w:pPr>
              <w:keepLines/>
              <w:jc w:val="center"/>
              <w:rPr>
                <w:rFonts w:ascii="Arial Narrow" w:hAnsi="Arial Narrow"/>
                <w:sz w:val="20"/>
                <w:szCs w:val="20"/>
              </w:rPr>
            </w:pPr>
          </w:p>
        </w:tc>
        <w:tc>
          <w:tcPr>
            <w:tcW w:w="7745" w:type="dxa"/>
            <w:gridSpan w:val="6"/>
            <w:vAlign w:val="center"/>
          </w:tcPr>
          <w:p w14:paraId="601E49ED" w14:textId="77777777" w:rsidR="00F66D25" w:rsidRPr="00B36556" w:rsidRDefault="00F66D25" w:rsidP="00425BAC">
            <w:pPr>
              <w:rPr>
                <w:rFonts w:ascii="Arial Narrow" w:hAnsi="Arial Narrow"/>
                <w:sz w:val="20"/>
                <w:szCs w:val="20"/>
              </w:rPr>
            </w:pPr>
            <w:r>
              <w:rPr>
                <w:rFonts w:ascii="Arial Narrow" w:hAnsi="Arial Narrow"/>
                <w:sz w:val="20"/>
                <w:szCs w:val="20"/>
              </w:rPr>
              <w:t>AND</w:t>
            </w:r>
          </w:p>
        </w:tc>
      </w:tr>
      <w:tr w:rsidR="00F66D25" w:rsidRPr="001428E9" w14:paraId="06BAEC15"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38AF4A0" w14:textId="77777777" w:rsidR="00F66D25" w:rsidRPr="00B36556" w:rsidRDefault="00F66D25" w:rsidP="00425BAC">
            <w:pPr>
              <w:keepLines/>
              <w:jc w:val="center"/>
              <w:rPr>
                <w:rFonts w:ascii="Arial Narrow" w:hAnsi="Arial Narrow"/>
                <w:sz w:val="20"/>
                <w:szCs w:val="20"/>
              </w:rPr>
            </w:pPr>
          </w:p>
        </w:tc>
        <w:tc>
          <w:tcPr>
            <w:tcW w:w="7745" w:type="dxa"/>
            <w:gridSpan w:val="6"/>
            <w:vAlign w:val="center"/>
          </w:tcPr>
          <w:p w14:paraId="74D767ED" w14:textId="77777777" w:rsidR="00F66D25" w:rsidRPr="00B36556" w:rsidRDefault="00F66D25" w:rsidP="00425BAC">
            <w:pPr>
              <w:rPr>
                <w:rFonts w:ascii="Arial Narrow" w:hAnsi="Arial Narrow"/>
                <w:sz w:val="20"/>
                <w:szCs w:val="20"/>
              </w:rPr>
            </w:pPr>
            <w:r w:rsidRPr="00B36556">
              <w:rPr>
                <w:rFonts w:ascii="Arial Narrow" w:hAnsi="Arial Narrow"/>
                <w:sz w:val="20"/>
                <w:szCs w:val="20"/>
              </w:rPr>
              <w:t>Patient must have SMA where the onset of signs/symptoms (at least one) of SMA first occurred prior to their 19th birthday (SMA symptom onset after this age will be considered type IV SMA, which is not PBS-subsidised)</w:t>
            </w:r>
          </w:p>
        </w:tc>
      </w:tr>
      <w:tr w:rsidR="00F66D25" w:rsidRPr="001428E9" w14:paraId="4D6D9762"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FF9435" w14:textId="77777777" w:rsidR="00F66D25" w:rsidRPr="00B36556" w:rsidRDefault="00F66D25" w:rsidP="00425BAC">
            <w:pPr>
              <w:jc w:val="center"/>
              <w:rPr>
                <w:rFonts w:ascii="Arial Narrow" w:hAnsi="Arial Narrow"/>
                <w:sz w:val="20"/>
                <w:szCs w:val="20"/>
              </w:rPr>
            </w:pPr>
          </w:p>
        </w:tc>
        <w:tc>
          <w:tcPr>
            <w:tcW w:w="7745" w:type="dxa"/>
            <w:gridSpan w:val="6"/>
            <w:vAlign w:val="center"/>
          </w:tcPr>
          <w:p w14:paraId="26E58009" w14:textId="77777777" w:rsidR="00F66D25" w:rsidRPr="00B36556" w:rsidRDefault="00F66D25" w:rsidP="00425BAC">
            <w:pPr>
              <w:rPr>
                <w:rFonts w:ascii="Arial Narrow" w:hAnsi="Arial Narrow"/>
                <w:sz w:val="20"/>
                <w:szCs w:val="20"/>
              </w:rPr>
            </w:pPr>
            <w:r w:rsidRPr="00B36556">
              <w:rPr>
                <w:rFonts w:ascii="Arial Narrow" w:hAnsi="Arial Narrow"/>
                <w:b/>
                <w:sz w:val="20"/>
                <w:szCs w:val="20"/>
              </w:rPr>
              <w:t>Prescrib</w:t>
            </w:r>
            <w:r>
              <w:rPr>
                <w:rFonts w:ascii="Arial Narrow" w:hAnsi="Arial Narrow"/>
                <w:b/>
                <w:sz w:val="20"/>
                <w:szCs w:val="20"/>
              </w:rPr>
              <w:t>ing</w:t>
            </w:r>
            <w:r w:rsidRPr="00B36556">
              <w:rPr>
                <w:rFonts w:ascii="Arial Narrow" w:hAnsi="Arial Narrow"/>
                <w:b/>
                <w:sz w:val="20"/>
                <w:szCs w:val="20"/>
              </w:rPr>
              <w:t xml:space="preserve"> Instructions</w:t>
            </w:r>
            <w:r>
              <w:rPr>
                <w:rFonts w:ascii="Arial Narrow" w:hAnsi="Arial Narrow"/>
                <w:b/>
                <w:sz w:val="20"/>
                <w:szCs w:val="20"/>
              </w:rPr>
              <w:t>:</w:t>
            </w:r>
          </w:p>
        </w:tc>
      </w:tr>
      <w:tr w:rsidR="00F66D25" w:rsidRPr="00034A92" w14:paraId="3907B020"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0557AB3" w14:textId="032D4F09" w:rsidR="00F66D25" w:rsidRPr="00034A92" w:rsidRDefault="00F66D25" w:rsidP="00425BAC">
            <w:pPr>
              <w:jc w:val="center"/>
              <w:rPr>
                <w:rFonts w:ascii="Arial Narrow" w:hAnsi="Arial Narrow"/>
                <w:bCs/>
                <w:sz w:val="20"/>
                <w:szCs w:val="20"/>
              </w:rPr>
            </w:pPr>
          </w:p>
        </w:tc>
        <w:tc>
          <w:tcPr>
            <w:tcW w:w="7745" w:type="dxa"/>
            <w:gridSpan w:val="6"/>
            <w:vAlign w:val="center"/>
          </w:tcPr>
          <w:p w14:paraId="6A50CE50" w14:textId="77777777" w:rsidR="00F66D25" w:rsidRPr="00034A92" w:rsidRDefault="00F66D25" w:rsidP="00425BAC">
            <w:pPr>
              <w:rPr>
                <w:rFonts w:ascii="Arial Narrow" w:hAnsi="Arial Narrow"/>
                <w:bCs/>
                <w:sz w:val="20"/>
                <w:szCs w:val="20"/>
              </w:rPr>
            </w:pPr>
            <w:r w:rsidRPr="00034A92">
              <w:rPr>
                <w:rFonts w:ascii="Arial Narrow" w:hAnsi="Arial Narrow"/>
                <w:bCs/>
                <w:sz w:val="20"/>
                <w:szCs w:val="20"/>
              </w:rPr>
              <w:t>Invasive permanent assisted ventilation means ventilation via tracheostomy tube for greater than or equal to 16 hours per day.</w:t>
            </w:r>
          </w:p>
        </w:tc>
      </w:tr>
      <w:tr w:rsidR="00F66D25" w:rsidRPr="001428E9" w14:paraId="7308891B"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F5AF90" w14:textId="7C3DBB05" w:rsidR="00F66D25" w:rsidRPr="00B36556" w:rsidRDefault="00F66D25" w:rsidP="00425BAC">
            <w:pPr>
              <w:jc w:val="center"/>
              <w:rPr>
                <w:rFonts w:ascii="Arial Narrow" w:hAnsi="Arial Narrow"/>
                <w:sz w:val="20"/>
                <w:szCs w:val="20"/>
              </w:rPr>
            </w:pPr>
          </w:p>
        </w:tc>
        <w:tc>
          <w:tcPr>
            <w:tcW w:w="7745" w:type="dxa"/>
            <w:gridSpan w:val="6"/>
            <w:vAlign w:val="center"/>
          </w:tcPr>
          <w:p w14:paraId="6A5CE01B" w14:textId="77777777" w:rsidR="00F66D25" w:rsidRDefault="00F66D25" w:rsidP="00425BAC">
            <w:pPr>
              <w:rPr>
                <w:rFonts w:ascii="Arial Narrow" w:hAnsi="Arial Narrow"/>
                <w:sz w:val="20"/>
                <w:szCs w:val="20"/>
              </w:rPr>
            </w:pPr>
            <w:r w:rsidRPr="00B36556">
              <w:rPr>
                <w:rFonts w:ascii="Arial Narrow" w:hAnsi="Arial Narrow"/>
                <w:sz w:val="20"/>
                <w:szCs w:val="20"/>
              </w:rPr>
              <w:t xml:space="preserve">Signs and symptoms of spinal muscular atrophy in the context of this PBS restriction are: </w:t>
            </w:r>
          </w:p>
          <w:p w14:paraId="080E5FE0" w14:textId="77777777" w:rsidR="00F66D25" w:rsidRPr="002A361A" w:rsidRDefault="00F66D25" w:rsidP="00425BAC">
            <w:pPr>
              <w:rPr>
                <w:rFonts w:ascii="Arial Narrow" w:hAnsi="Arial Narrow"/>
                <w:sz w:val="20"/>
                <w:szCs w:val="20"/>
              </w:rPr>
            </w:pPr>
            <w:r w:rsidRPr="002A361A">
              <w:rPr>
                <w:rFonts w:ascii="Arial Narrow" w:hAnsi="Arial Narrow"/>
                <w:sz w:val="20"/>
                <w:szCs w:val="20"/>
              </w:rPr>
              <w:t>(i</w:t>
            </w:r>
            <w:r>
              <w:rPr>
                <w:rFonts w:ascii="Arial Narrow" w:hAnsi="Arial Narrow"/>
                <w:sz w:val="20"/>
                <w:szCs w:val="20"/>
              </w:rPr>
              <w:t xml:space="preserve">) </w:t>
            </w:r>
            <w:r w:rsidRPr="002A361A">
              <w:rPr>
                <w:rFonts w:ascii="Arial Narrow" w:hAnsi="Arial Narrow"/>
                <w:sz w:val="20"/>
                <w:szCs w:val="20"/>
              </w:rPr>
              <w:t>Failure to meet or regression in ability to perform age-appropriate motor milestones</w:t>
            </w:r>
          </w:p>
          <w:p w14:paraId="2A80D5B7" w14:textId="77777777" w:rsidR="00F66D25" w:rsidRPr="002A361A" w:rsidRDefault="00F66D25" w:rsidP="00425BAC">
            <w:pPr>
              <w:rPr>
                <w:rFonts w:ascii="Arial Narrow" w:hAnsi="Arial Narrow"/>
                <w:sz w:val="20"/>
                <w:szCs w:val="20"/>
              </w:rPr>
            </w:pPr>
            <w:r w:rsidRPr="002A361A">
              <w:rPr>
                <w:rFonts w:ascii="Arial Narrow" w:hAnsi="Arial Narrow"/>
                <w:sz w:val="20"/>
                <w:szCs w:val="20"/>
              </w:rPr>
              <w:t>(ii) Proximal weakness</w:t>
            </w:r>
          </w:p>
          <w:p w14:paraId="2B938FF2" w14:textId="77777777" w:rsidR="00F66D25" w:rsidRPr="002A361A" w:rsidRDefault="00F66D25" w:rsidP="00425BAC">
            <w:pPr>
              <w:rPr>
                <w:rFonts w:ascii="Arial Narrow" w:hAnsi="Arial Narrow"/>
                <w:sz w:val="20"/>
                <w:szCs w:val="20"/>
              </w:rPr>
            </w:pPr>
            <w:r w:rsidRPr="002A361A">
              <w:rPr>
                <w:rFonts w:ascii="Arial Narrow" w:hAnsi="Arial Narrow"/>
                <w:sz w:val="20"/>
                <w:szCs w:val="20"/>
              </w:rPr>
              <w:t>(iii) Hypotonia</w:t>
            </w:r>
          </w:p>
          <w:p w14:paraId="5705EECF" w14:textId="77777777" w:rsidR="00F66D25" w:rsidRPr="002A361A" w:rsidRDefault="00F66D25" w:rsidP="00425BAC">
            <w:pPr>
              <w:rPr>
                <w:rFonts w:ascii="Arial Narrow" w:hAnsi="Arial Narrow"/>
                <w:sz w:val="20"/>
                <w:szCs w:val="20"/>
              </w:rPr>
            </w:pPr>
            <w:r w:rsidRPr="002A361A">
              <w:rPr>
                <w:rFonts w:ascii="Arial Narrow" w:hAnsi="Arial Narrow"/>
                <w:sz w:val="20"/>
                <w:szCs w:val="20"/>
              </w:rPr>
              <w:t>(iv) Absence of deep tendon reflexes</w:t>
            </w:r>
          </w:p>
          <w:p w14:paraId="19A7685F" w14:textId="77777777" w:rsidR="00F66D25" w:rsidRPr="002A361A" w:rsidRDefault="00F66D25" w:rsidP="00425BAC">
            <w:pPr>
              <w:rPr>
                <w:rFonts w:ascii="Arial Narrow" w:hAnsi="Arial Narrow"/>
                <w:sz w:val="20"/>
                <w:szCs w:val="20"/>
              </w:rPr>
            </w:pPr>
            <w:r w:rsidRPr="002A361A">
              <w:rPr>
                <w:rFonts w:ascii="Arial Narrow" w:hAnsi="Arial Narrow"/>
                <w:sz w:val="20"/>
                <w:szCs w:val="20"/>
              </w:rPr>
              <w:t>(v) Failure to gain weight appropriate for age</w:t>
            </w:r>
          </w:p>
          <w:p w14:paraId="465BD0F0" w14:textId="77777777" w:rsidR="00F66D25" w:rsidRPr="002A361A" w:rsidRDefault="00F66D25" w:rsidP="00425BAC">
            <w:pPr>
              <w:rPr>
                <w:rFonts w:ascii="Arial Narrow" w:hAnsi="Arial Narrow"/>
                <w:sz w:val="20"/>
                <w:szCs w:val="20"/>
              </w:rPr>
            </w:pPr>
            <w:r w:rsidRPr="002A361A">
              <w:rPr>
                <w:rFonts w:ascii="Arial Narrow" w:hAnsi="Arial Narrow"/>
                <w:sz w:val="20"/>
                <w:szCs w:val="20"/>
              </w:rPr>
              <w:t>(vi) Any active denervation or chronic neurogenic changes found on electromyography</w:t>
            </w:r>
          </w:p>
          <w:p w14:paraId="4B6B6B84" w14:textId="77777777" w:rsidR="00F66D25" w:rsidRPr="002A361A" w:rsidRDefault="00F66D25" w:rsidP="00425BAC">
            <w:r w:rsidRPr="002A361A">
              <w:rPr>
                <w:rFonts w:ascii="Arial Narrow" w:hAnsi="Arial Narrow"/>
                <w:sz w:val="20"/>
                <w:szCs w:val="20"/>
              </w:rPr>
              <w:t>(vii) A compound muscle action potential below normative values for an age-matched child</w:t>
            </w:r>
          </w:p>
        </w:tc>
      </w:tr>
      <w:tr w:rsidR="00F66D25" w:rsidRPr="001428E9" w14:paraId="5360FDF1"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980CF11" w14:textId="673CBC35" w:rsidR="00F66D25" w:rsidRPr="00B36556" w:rsidRDefault="00F66D25" w:rsidP="00425BAC">
            <w:pPr>
              <w:jc w:val="center"/>
              <w:rPr>
                <w:rFonts w:ascii="Arial Narrow" w:hAnsi="Arial Narrow"/>
                <w:sz w:val="20"/>
                <w:szCs w:val="20"/>
              </w:rPr>
            </w:pPr>
          </w:p>
        </w:tc>
        <w:tc>
          <w:tcPr>
            <w:tcW w:w="7745" w:type="dxa"/>
            <w:gridSpan w:val="6"/>
            <w:vAlign w:val="center"/>
          </w:tcPr>
          <w:p w14:paraId="4D947533" w14:textId="77777777" w:rsidR="00F66D25" w:rsidRPr="00B36556" w:rsidRDefault="00F66D25" w:rsidP="00425BAC">
            <w:pPr>
              <w:rPr>
                <w:rFonts w:ascii="Arial Narrow" w:hAnsi="Arial Narrow"/>
                <w:sz w:val="20"/>
                <w:szCs w:val="20"/>
              </w:rPr>
            </w:pPr>
            <w:r w:rsidRPr="00B36556">
              <w:rPr>
                <w:rFonts w:ascii="Arial Narrow" w:hAnsi="Arial Narrow"/>
                <w:sz w:val="20"/>
                <w:szCs w:val="20"/>
              </w:rPr>
              <w:t>In this authority application, confirm:, (1) the patient's medical history is consistent with a diagnosis of childhood onset spinal muscular atrophy, (2) which of the above (i to vii) (at least 1) were present during childhood, (3) the age of the patient (rounded to the nearest year) when the first sign/symptom was observed.</w:t>
            </w:r>
          </w:p>
        </w:tc>
      </w:tr>
      <w:tr w:rsidR="00F66D25" w:rsidRPr="00184459" w14:paraId="6263B495"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AFAED47" w14:textId="77777777" w:rsidR="00F66D25" w:rsidRPr="00184459" w:rsidRDefault="00F66D25" w:rsidP="00425BAC">
            <w:pPr>
              <w:keepLines/>
              <w:jc w:val="center"/>
              <w:rPr>
                <w:rFonts w:ascii="Arial Narrow" w:hAnsi="Arial Narrow"/>
                <w:i/>
                <w:iCs/>
                <w:color w:val="333333"/>
                <w:sz w:val="20"/>
                <w:szCs w:val="20"/>
              </w:rPr>
            </w:pPr>
          </w:p>
        </w:tc>
        <w:tc>
          <w:tcPr>
            <w:tcW w:w="7745" w:type="dxa"/>
            <w:gridSpan w:val="6"/>
            <w:vAlign w:val="center"/>
          </w:tcPr>
          <w:p w14:paraId="176D97C2" w14:textId="77777777" w:rsidR="00F66D25" w:rsidRPr="00184459" w:rsidRDefault="00F66D25" w:rsidP="00425BAC">
            <w:pPr>
              <w:keepLines/>
              <w:rPr>
                <w:rFonts w:ascii="Arial Narrow" w:hAnsi="Arial Narrow"/>
                <w:b/>
                <w:bCs/>
                <w:i/>
                <w:iCs/>
                <w:color w:val="333333"/>
                <w:sz w:val="20"/>
                <w:szCs w:val="20"/>
              </w:rPr>
            </w:pPr>
            <w:r w:rsidRPr="00184459">
              <w:rPr>
                <w:rFonts w:ascii="Arial Narrow" w:hAnsi="Arial Narrow"/>
                <w:b/>
                <w:i/>
                <w:iCs/>
                <w:sz w:val="20"/>
                <w:szCs w:val="20"/>
              </w:rPr>
              <w:t>Administrative Advice</w:t>
            </w:r>
          </w:p>
        </w:tc>
      </w:tr>
      <w:tr w:rsidR="00F66D25" w:rsidRPr="00034A92" w14:paraId="1114157E"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613A06E" w14:textId="200D24BB" w:rsidR="00F66D25" w:rsidRPr="00034A92" w:rsidRDefault="00F66D25" w:rsidP="00425BAC">
            <w:pPr>
              <w:keepLines/>
              <w:jc w:val="center"/>
              <w:rPr>
                <w:rFonts w:ascii="Arial Narrow" w:hAnsi="Arial Narrow"/>
                <w:color w:val="333333"/>
                <w:sz w:val="20"/>
                <w:szCs w:val="20"/>
              </w:rPr>
            </w:pPr>
          </w:p>
        </w:tc>
        <w:tc>
          <w:tcPr>
            <w:tcW w:w="7745" w:type="dxa"/>
            <w:gridSpan w:val="6"/>
            <w:vAlign w:val="center"/>
          </w:tcPr>
          <w:p w14:paraId="59FE6FCE" w14:textId="77777777" w:rsidR="00F66D25" w:rsidRPr="00034A92" w:rsidRDefault="00F66D25" w:rsidP="00425BAC">
            <w:pPr>
              <w:rPr>
                <w:rFonts w:ascii="Arial Narrow" w:hAnsi="Arial Narrow"/>
                <w:sz w:val="20"/>
                <w:szCs w:val="20"/>
              </w:rPr>
            </w:pPr>
            <w:r w:rsidRPr="00034A92">
              <w:rPr>
                <w:rFonts w:ascii="Arial Narrow" w:hAnsi="Arial Narrow"/>
                <w:sz w:val="20"/>
                <w:szCs w:val="20"/>
              </w:rPr>
              <w:t>An outcome on the authority application is not immediate, but will follow in due course. Electronic upload is encouraged to reduce processing time.</w:t>
            </w:r>
          </w:p>
        </w:tc>
      </w:tr>
      <w:tr w:rsidR="00F66D25" w:rsidRPr="00034A92" w14:paraId="4054A88B"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A894C94" w14:textId="3346EDDB" w:rsidR="00034A92" w:rsidRPr="00034A92" w:rsidRDefault="00034A92" w:rsidP="00425BAC">
            <w:pPr>
              <w:keepLines/>
              <w:jc w:val="center"/>
              <w:rPr>
                <w:rFonts w:ascii="Arial Narrow" w:hAnsi="Arial Narrow"/>
                <w:sz w:val="20"/>
                <w:szCs w:val="20"/>
              </w:rPr>
            </w:pPr>
          </w:p>
        </w:tc>
        <w:tc>
          <w:tcPr>
            <w:tcW w:w="7745" w:type="dxa"/>
            <w:gridSpan w:val="6"/>
            <w:vAlign w:val="center"/>
          </w:tcPr>
          <w:p w14:paraId="104BA063" w14:textId="77777777" w:rsidR="00F66D25" w:rsidRPr="00034A92" w:rsidRDefault="00F66D25" w:rsidP="00425BAC">
            <w:pPr>
              <w:rPr>
                <w:rFonts w:ascii="Arial Narrow" w:hAnsi="Arial Narrow"/>
                <w:sz w:val="20"/>
                <w:szCs w:val="20"/>
              </w:rPr>
            </w:pPr>
            <w:r w:rsidRPr="00034A92">
              <w:rPr>
                <w:rFonts w:ascii="Arial Narrow" w:hAnsi="Arial Narrow"/>
                <w:sz w:val="20"/>
                <w:szCs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F66D25" w:rsidRPr="00184459" w14:paraId="08C41061"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AD2A747" w14:textId="77777777" w:rsidR="00F66D25" w:rsidRPr="00184459" w:rsidRDefault="00F66D25" w:rsidP="00425BAC">
            <w:pPr>
              <w:keepLines/>
              <w:jc w:val="center"/>
              <w:rPr>
                <w:rFonts w:ascii="Arial Narrow" w:hAnsi="Arial Narrow"/>
                <w:i/>
                <w:iCs/>
                <w:sz w:val="20"/>
                <w:szCs w:val="20"/>
              </w:rPr>
            </w:pPr>
          </w:p>
        </w:tc>
        <w:tc>
          <w:tcPr>
            <w:tcW w:w="7745" w:type="dxa"/>
            <w:gridSpan w:val="6"/>
            <w:vAlign w:val="center"/>
          </w:tcPr>
          <w:p w14:paraId="4E680CE8" w14:textId="77777777" w:rsidR="00F66D25" w:rsidRPr="00184459" w:rsidRDefault="00F66D25" w:rsidP="00425BAC">
            <w:pPr>
              <w:rPr>
                <w:rFonts w:ascii="Arial Narrow" w:hAnsi="Arial Narrow"/>
                <w:i/>
                <w:iCs/>
                <w:sz w:val="20"/>
                <w:szCs w:val="20"/>
              </w:rPr>
            </w:pPr>
          </w:p>
        </w:tc>
      </w:tr>
      <w:tr w:rsidR="00F66D25" w:rsidRPr="001428E9" w14:paraId="29E71703" w14:textId="77777777" w:rsidTr="00034A92">
        <w:trPr>
          <w:cantSplit/>
          <w:trHeight w:val="20"/>
        </w:trPr>
        <w:tc>
          <w:tcPr>
            <w:tcW w:w="3940" w:type="dxa"/>
            <w:gridSpan w:val="3"/>
            <w:vAlign w:val="center"/>
          </w:tcPr>
          <w:p w14:paraId="64B50286" w14:textId="77777777" w:rsidR="00F66D25" w:rsidRPr="001428E9" w:rsidRDefault="00F66D25" w:rsidP="00425BAC">
            <w:pPr>
              <w:keepLines/>
              <w:rPr>
                <w:rFonts w:ascii="Arial Narrow" w:hAnsi="Arial Narrow"/>
                <w:b/>
                <w:bCs/>
                <w:sz w:val="20"/>
                <w:szCs w:val="20"/>
              </w:rPr>
            </w:pPr>
            <w:r w:rsidRPr="001428E9">
              <w:rPr>
                <w:rFonts w:ascii="Arial Narrow" w:hAnsi="Arial Narrow"/>
                <w:b/>
                <w:bCs/>
                <w:sz w:val="20"/>
                <w:szCs w:val="20"/>
              </w:rPr>
              <w:t>MEDICINAL PRODUCT</w:t>
            </w:r>
          </w:p>
          <w:p w14:paraId="0F2EABBE" w14:textId="77777777" w:rsidR="00F66D25" w:rsidRPr="001428E9" w:rsidRDefault="00F66D25" w:rsidP="00425BAC">
            <w:pPr>
              <w:keepLines/>
              <w:rPr>
                <w:rFonts w:ascii="Arial Narrow" w:hAnsi="Arial Narrow"/>
                <w:b/>
                <w:sz w:val="20"/>
                <w:szCs w:val="20"/>
              </w:rPr>
            </w:pPr>
            <w:r w:rsidRPr="001428E9">
              <w:rPr>
                <w:rFonts w:ascii="Arial Narrow" w:hAnsi="Arial Narrow"/>
                <w:b/>
                <w:bCs/>
                <w:sz w:val="20"/>
                <w:szCs w:val="20"/>
              </w:rPr>
              <w:t>medicinal product pack</w:t>
            </w:r>
          </w:p>
        </w:tc>
        <w:tc>
          <w:tcPr>
            <w:tcW w:w="811" w:type="dxa"/>
            <w:vAlign w:val="center"/>
          </w:tcPr>
          <w:p w14:paraId="0C7F626E"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0DEFD79A"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452EE6EB"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335D9326"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№.of</w:t>
            </w:r>
          </w:p>
          <w:p w14:paraId="27E2E11D"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Rpts</w:t>
            </w:r>
          </w:p>
        </w:tc>
        <w:tc>
          <w:tcPr>
            <w:tcW w:w="1831" w:type="dxa"/>
            <w:vAlign w:val="center"/>
          </w:tcPr>
          <w:p w14:paraId="45E2D3E0" w14:textId="77777777" w:rsidR="00F66D25" w:rsidRPr="001428E9" w:rsidRDefault="00F66D25" w:rsidP="00425BAC">
            <w:pPr>
              <w:keepLines/>
              <w:rPr>
                <w:rFonts w:ascii="Arial Narrow" w:hAnsi="Arial Narrow"/>
                <w:b/>
                <w:sz w:val="20"/>
                <w:szCs w:val="20"/>
                <w:lang w:val="fr-FR"/>
              </w:rPr>
            </w:pPr>
            <w:r w:rsidRPr="001428E9">
              <w:rPr>
                <w:rFonts w:ascii="Arial Narrow" w:hAnsi="Arial Narrow"/>
                <w:b/>
                <w:sz w:val="20"/>
                <w:szCs w:val="20"/>
              </w:rPr>
              <w:t>Available brands</w:t>
            </w:r>
          </w:p>
        </w:tc>
      </w:tr>
      <w:tr w:rsidR="00F66D25" w:rsidRPr="001428E9" w14:paraId="1057EE10" w14:textId="77777777" w:rsidTr="00034A92">
        <w:trPr>
          <w:cantSplit/>
          <w:trHeight w:val="20"/>
        </w:trPr>
        <w:tc>
          <w:tcPr>
            <w:tcW w:w="9017" w:type="dxa"/>
            <w:gridSpan w:val="8"/>
            <w:vAlign w:val="center"/>
          </w:tcPr>
          <w:p w14:paraId="216A9161" w14:textId="77777777" w:rsidR="00F66D25" w:rsidRPr="00775F24" w:rsidRDefault="00F66D25" w:rsidP="00425BAC">
            <w:pPr>
              <w:keepLines/>
              <w:rPr>
                <w:rFonts w:ascii="Arial Narrow" w:hAnsi="Arial Narrow"/>
                <w:caps/>
                <w:sz w:val="20"/>
                <w:szCs w:val="20"/>
              </w:rPr>
            </w:pPr>
            <w:r w:rsidRPr="00775F24">
              <w:rPr>
                <w:rFonts w:ascii="Arial Narrow" w:hAnsi="Arial Narrow"/>
                <w:caps/>
                <w:sz w:val="20"/>
                <w:szCs w:val="20"/>
              </w:rPr>
              <w:t>Risdiplam</w:t>
            </w:r>
          </w:p>
        </w:tc>
      </w:tr>
      <w:tr w:rsidR="00F66D25" w:rsidRPr="001428E9" w14:paraId="00E42638" w14:textId="77777777" w:rsidTr="00034A92">
        <w:trPr>
          <w:cantSplit/>
          <w:trHeight w:val="20"/>
        </w:trPr>
        <w:tc>
          <w:tcPr>
            <w:tcW w:w="9017" w:type="dxa"/>
            <w:gridSpan w:val="8"/>
            <w:vAlign w:val="center"/>
          </w:tcPr>
          <w:p w14:paraId="18549BA7" w14:textId="77777777" w:rsidR="00F66D25" w:rsidRDefault="00F66D25" w:rsidP="00425BAC">
            <w:pPr>
              <w:keepLines/>
              <w:rPr>
                <w:rFonts w:ascii="Arial Narrow" w:hAnsi="Arial Narrow"/>
                <w:sz w:val="20"/>
                <w:szCs w:val="20"/>
              </w:rPr>
            </w:pPr>
          </w:p>
        </w:tc>
      </w:tr>
      <w:tr w:rsidR="00F66D25" w:rsidRPr="001428E9" w14:paraId="04DA2611" w14:textId="77777777" w:rsidTr="00034A92">
        <w:trPr>
          <w:cantSplit/>
          <w:trHeight w:val="20"/>
        </w:trPr>
        <w:tc>
          <w:tcPr>
            <w:tcW w:w="3940" w:type="dxa"/>
            <w:gridSpan w:val="3"/>
            <w:vAlign w:val="center"/>
          </w:tcPr>
          <w:p w14:paraId="4B9AEFEF" w14:textId="77777777" w:rsidR="00F66D25" w:rsidRPr="001428E9" w:rsidRDefault="00F66D25" w:rsidP="00425BAC">
            <w:pPr>
              <w:keepLines/>
              <w:rPr>
                <w:rFonts w:ascii="Arial Narrow" w:hAnsi="Arial Narrow"/>
                <w:sz w:val="20"/>
                <w:szCs w:val="20"/>
              </w:rPr>
            </w:pPr>
            <w:r w:rsidRPr="00A310BB">
              <w:rPr>
                <w:rFonts w:ascii="Arial Narrow" w:hAnsi="Arial Narrow"/>
                <w:sz w:val="20"/>
                <w:szCs w:val="20"/>
              </w:rPr>
              <w:t>risdiplam 750 microgram/mL powder for oral liquid, 80 mL</w:t>
            </w:r>
          </w:p>
        </w:tc>
        <w:tc>
          <w:tcPr>
            <w:tcW w:w="811" w:type="dxa"/>
            <w:vAlign w:val="center"/>
          </w:tcPr>
          <w:p w14:paraId="11F38982" w14:textId="77777777" w:rsidR="00F66D25" w:rsidRPr="001428E9" w:rsidRDefault="00F66D25" w:rsidP="00425BAC">
            <w:pPr>
              <w:keepLines/>
              <w:jc w:val="center"/>
              <w:rPr>
                <w:rFonts w:ascii="Arial Narrow" w:hAnsi="Arial Narrow"/>
                <w:sz w:val="20"/>
                <w:szCs w:val="20"/>
              </w:rPr>
            </w:pPr>
            <w:r w:rsidRPr="001428E9">
              <w:rPr>
                <w:rFonts w:ascii="Arial Narrow" w:hAnsi="Arial Narrow"/>
                <w:sz w:val="20"/>
                <w:szCs w:val="20"/>
              </w:rPr>
              <w:t>NEW</w:t>
            </w:r>
          </w:p>
        </w:tc>
        <w:tc>
          <w:tcPr>
            <w:tcW w:w="812" w:type="dxa"/>
            <w:vAlign w:val="center"/>
          </w:tcPr>
          <w:p w14:paraId="46EEEB76" w14:textId="77777777" w:rsidR="00F66D25" w:rsidRPr="001428E9" w:rsidRDefault="00F66D25" w:rsidP="00425BAC">
            <w:pPr>
              <w:keepLines/>
              <w:jc w:val="center"/>
              <w:rPr>
                <w:rFonts w:ascii="Arial Narrow" w:hAnsi="Arial Narrow"/>
                <w:sz w:val="20"/>
                <w:szCs w:val="20"/>
              </w:rPr>
            </w:pPr>
            <w:r>
              <w:rPr>
                <w:rFonts w:ascii="Arial Narrow" w:hAnsi="Arial Narrow"/>
                <w:sz w:val="20"/>
                <w:szCs w:val="20"/>
              </w:rPr>
              <w:t>3</w:t>
            </w:r>
          </w:p>
        </w:tc>
        <w:tc>
          <w:tcPr>
            <w:tcW w:w="811" w:type="dxa"/>
            <w:vAlign w:val="center"/>
          </w:tcPr>
          <w:p w14:paraId="56CBE04A" w14:textId="77777777" w:rsidR="00F66D25" w:rsidRPr="001428E9" w:rsidRDefault="00F66D25" w:rsidP="00425BAC">
            <w:pPr>
              <w:keepLines/>
              <w:jc w:val="center"/>
              <w:rPr>
                <w:rFonts w:ascii="Arial Narrow" w:hAnsi="Arial Narrow"/>
                <w:sz w:val="20"/>
                <w:szCs w:val="20"/>
              </w:rPr>
            </w:pPr>
            <w:r>
              <w:rPr>
                <w:rFonts w:ascii="Arial Narrow" w:hAnsi="Arial Narrow"/>
                <w:sz w:val="20"/>
                <w:szCs w:val="20"/>
              </w:rPr>
              <w:t>3</w:t>
            </w:r>
          </w:p>
        </w:tc>
        <w:tc>
          <w:tcPr>
            <w:tcW w:w="812" w:type="dxa"/>
            <w:vAlign w:val="center"/>
          </w:tcPr>
          <w:p w14:paraId="6668493A" w14:textId="77777777" w:rsidR="00F66D25" w:rsidRPr="001428E9" w:rsidRDefault="00F66D25" w:rsidP="00425BAC">
            <w:pPr>
              <w:keepLines/>
              <w:jc w:val="center"/>
              <w:rPr>
                <w:rFonts w:ascii="Arial Narrow" w:hAnsi="Arial Narrow"/>
                <w:sz w:val="20"/>
                <w:szCs w:val="20"/>
              </w:rPr>
            </w:pPr>
            <w:r w:rsidRPr="001428E9">
              <w:rPr>
                <w:rFonts w:ascii="Arial Narrow" w:hAnsi="Arial Narrow"/>
                <w:sz w:val="20"/>
                <w:szCs w:val="20"/>
              </w:rPr>
              <w:t>5</w:t>
            </w:r>
          </w:p>
        </w:tc>
        <w:tc>
          <w:tcPr>
            <w:tcW w:w="1831" w:type="dxa"/>
            <w:vAlign w:val="center"/>
          </w:tcPr>
          <w:p w14:paraId="49CE27D0" w14:textId="77777777" w:rsidR="00F66D25" w:rsidRPr="001428E9" w:rsidRDefault="00F66D25" w:rsidP="00425BAC">
            <w:pPr>
              <w:keepLines/>
              <w:rPr>
                <w:rFonts w:ascii="Arial Narrow" w:hAnsi="Arial Narrow"/>
                <w:sz w:val="20"/>
                <w:szCs w:val="20"/>
              </w:rPr>
            </w:pPr>
            <w:r>
              <w:rPr>
                <w:rFonts w:ascii="Arial Narrow" w:hAnsi="Arial Narrow"/>
                <w:sz w:val="20"/>
                <w:szCs w:val="20"/>
              </w:rPr>
              <w:t>Evrysdi</w:t>
            </w:r>
          </w:p>
        </w:tc>
      </w:tr>
      <w:tr w:rsidR="00F66D25" w:rsidRPr="001428E9" w14:paraId="68C483D5" w14:textId="77777777" w:rsidTr="00034A92">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3FF302F0" w14:textId="77777777" w:rsidR="00F66D25" w:rsidRPr="001428E9" w:rsidRDefault="00F66D25" w:rsidP="00425BAC">
            <w:pPr>
              <w:rPr>
                <w:rFonts w:ascii="Arial Narrow" w:hAnsi="Arial Narrow"/>
                <w:sz w:val="20"/>
                <w:szCs w:val="20"/>
              </w:rPr>
            </w:pPr>
          </w:p>
        </w:tc>
      </w:tr>
      <w:tr w:rsidR="00F66D25" w:rsidRPr="001428E9" w14:paraId="359B2ADE" w14:textId="77777777" w:rsidTr="00034A92">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560269A1" w14:textId="3D31B16F" w:rsidR="00F66D25" w:rsidRPr="001428E9" w:rsidRDefault="00F66D25" w:rsidP="00425BAC">
            <w:pPr>
              <w:keepLines/>
              <w:rPr>
                <w:rFonts w:ascii="Arial Narrow" w:hAnsi="Arial Narrow"/>
                <w:b/>
                <w:sz w:val="20"/>
                <w:szCs w:val="20"/>
              </w:rPr>
            </w:pPr>
            <w:r w:rsidRPr="001428E9">
              <w:rPr>
                <w:rFonts w:ascii="Arial Narrow" w:hAnsi="Arial Narrow"/>
                <w:b/>
                <w:sz w:val="20"/>
                <w:szCs w:val="20"/>
              </w:rPr>
              <w:t xml:space="preserve">Restriction Summary </w:t>
            </w:r>
          </w:p>
        </w:tc>
      </w:tr>
      <w:tr w:rsidR="00F66D25" w:rsidRPr="001428E9" w14:paraId="50D2B777" w14:textId="77777777" w:rsidTr="00034A92">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1CC85746" w14:textId="77777777" w:rsidR="00F66D25" w:rsidRPr="001428E9" w:rsidRDefault="00F66D25" w:rsidP="00425BAC">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CC8DCFD" w14:textId="77777777" w:rsidR="00F66D25" w:rsidRPr="001428E9" w:rsidRDefault="00F66D25" w:rsidP="00425BAC">
            <w:pPr>
              <w:keepLines/>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Section 100 – Highly Specialised Drugs Program</w:t>
            </w:r>
          </w:p>
        </w:tc>
      </w:tr>
      <w:tr w:rsidR="00F66D25" w:rsidRPr="001428E9" w14:paraId="328CEF3C" w14:textId="77777777" w:rsidTr="00034A92">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3ED53D1A" w14:textId="77777777" w:rsidR="00F66D25" w:rsidRPr="001428E9" w:rsidRDefault="00F66D25" w:rsidP="00425BAC">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595E55D" w14:textId="77777777" w:rsidR="00F66D25" w:rsidRPr="001428E9" w:rsidRDefault="00F66D25" w:rsidP="00425BAC">
            <w:pPr>
              <w:keepLines/>
              <w:rPr>
                <w:rFonts w:ascii="Arial Narrow" w:hAnsi="Arial Narrow"/>
                <w:b/>
                <w:sz w:val="20"/>
                <w:szCs w:val="20"/>
              </w:rPr>
            </w:pPr>
            <w:r w:rsidRPr="001428E9">
              <w:rPr>
                <w:rFonts w:ascii="Arial Narrow" w:hAnsi="Arial Narrow"/>
                <w:b/>
                <w:sz w:val="20"/>
                <w:szCs w:val="20"/>
              </w:rPr>
              <w:t xml:space="preserve">Prescriber type: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D45640">
              <w:rPr>
                <w:rFonts w:ascii="Arial Narrow" w:hAnsi="Arial Narrow"/>
                <w:sz w:val="20"/>
                <w:szCs w:val="20"/>
              </w:rPr>
            </w:r>
            <w:r w:rsidR="00D45640">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F66D25" w:rsidRPr="001428E9" w14:paraId="52C36B3C" w14:textId="77777777" w:rsidTr="00034A92">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63C2B174" w14:textId="77777777" w:rsidR="00F66D25" w:rsidRPr="001428E9" w:rsidRDefault="00F66D25" w:rsidP="00425BAC">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F1E951E" w14:textId="77777777" w:rsidR="00F66D25" w:rsidRDefault="00F66D25" w:rsidP="00425BAC">
            <w:pPr>
              <w:keepLines/>
              <w:rPr>
                <w:rFonts w:ascii="Arial Narrow" w:eastAsia="Calibri" w:hAnsi="Arial Narrow"/>
                <w:sz w:val="20"/>
                <w:szCs w:val="20"/>
              </w:rPr>
            </w:pPr>
            <w:r w:rsidRPr="001428E9">
              <w:rPr>
                <w:rFonts w:ascii="Arial Narrow" w:hAnsi="Arial Narrow"/>
                <w:b/>
                <w:sz w:val="20"/>
                <w:szCs w:val="20"/>
              </w:rPr>
              <w:t xml:space="preserve">Restriction type: </w:t>
            </w:r>
          </w:p>
          <w:p w14:paraId="134B81E8" w14:textId="77777777" w:rsidR="00F66D25" w:rsidRPr="00480E4D" w:rsidRDefault="00F66D25" w:rsidP="00425BAC">
            <w:pPr>
              <w:pStyle w:val="TableText1"/>
              <w:spacing w:before="0" w:after="0"/>
            </w:pPr>
            <w:r>
              <w:fldChar w:fldCharType="begin">
                <w:ffData>
                  <w:name w:val="Check5"/>
                  <w:enabled/>
                  <w:calcOnExit w:val="0"/>
                  <w:checkBox>
                    <w:sizeAuto/>
                    <w:default w:val="1"/>
                  </w:checkBox>
                </w:ffData>
              </w:fldChar>
            </w:r>
            <w:r>
              <w:instrText xml:space="preserve"> FORMCHECKBOX </w:instrText>
            </w:r>
            <w:r w:rsidR="00D45640">
              <w:fldChar w:fldCharType="separate"/>
            </w:r>
            <w:r>
              <w:fldChar w:fldCharType="end"/>
            </w:r>
            <w:r w:rsidRPr="00397232">
              <w:rPr>
                <w:rFonts w:ascii="Arial Narrow" w:eastAsia="Calibri" w:hAnsi="Arial Narrow" w:cs="Arial"/>
                <w:bCs w:val="0"/>
                <w:lang w:eastAsia="en-US"/>
              </w:rPr>
              <w:t>Authority Required</w:t>
            </w:r>
            <w:r>
              <w:rPr>
                <w:rFonts w:ascii="Arial Narrow" w:eastAsia="Calibri" w:hAnsi="Arial Narrow" w:cs="Arial"/>
                <w:bCs w:val="0"/>
                <w:lang w:eastAsia="en-US"/>
              </w:rPr>
              <w:t xml:space="preserve"> (e</w:t>
            </w:r>
            <w:r w:rsidRPr="00397232">
              <w:rPr>
                <w:rFonts w:ascii="Arial Narrow" w:eastAsia="Calibri" w:hAnsi="Arial Narrow" w:cs="Arial"/>
                <w:bCs w:val="0"/>
                <w:lang w:eastAsia="en-US"/>
              </w:rPr>
              <w:t>lectronic</w:t>
            </w:r>
            <w:r>
              <w:rPr>
                <w:rFonts w:ascii="Arial Narrow" w:eastAsia="Calibri" w:hAnsi="Arial Narrow" w:cs="Arial"/>
                <w:bCs w:val="0"/>
                <w:lang w:eastAsia="en-US"/>
              </w:rPr>
              <w:t xml:space="preserve">) </w:t>
            </w:r>
          </w:p>
        </w:tc>
      </w:tr>
      <w:tr w:rsidR="00F66D25" w:rsidRPr="001428E9" w14:paraId="36A2F1C8" w14:textId="77777777" w:rsidTr="00034A92">
        <w:tblPrEx>
          <w:tblCellMar>
            <w:top w:w="15" w:type="dxa"/>
            <w:bottom w:w="15" w:type="dxa"/>
          </w:tblCellMar>
          <w:tblLook w:val="04A0" w:firstRow="1" w:lastRow="0" w:firstColumn="1" w:lastColumn="0" w:noHBand="0" w:noVBand="1"/>
        </w:tblPrEx>
        <w:trPr>
          <w:trHeight w:val="20"/>
        </w:trPr>
        <w:tc>
          <w:tcPr>
            <w:tcW w:w="563" w:type="dxa"/>
            <w:vMerge w:val="restart"/>
            <w:tcBorders>
              <w:left w:val="single" w:sz="4" w:space="0" w:color="auto"/>
              <w:right w:val="single" w:sz="4" w:space="0" w:color="auto"/>
            </w:tcBorders>
            <w:textDirection w:val="btLr"/>
            <w:vAlign w:val="center"/>
          </w:tcPr>
          <w:p w14:paraId="2DF5C15A" w14:textId="77777777" w:rsidR="00F66D25" w:rsidRPr="001428E9" w:rsidRDefault="00F66D25" w:rsidP="00425BAC">
            <w:pPr>
              <w:jc w:val="center"/>
              <w:rPr>
                <w:rFonts w:ascii="Arial Narrow" w:hAnsi="Arial Narrow"/>
                <w:sz w:val="20"/>
                <w:szCs w:val="20"/>
              </w:rPr>
            </w:pPr>
            <w:r w:rsidRPr="001428E9">
              <w:rPr>
                <w:rFonts w:ascii="Arial Narrow" w:hAnsi="Arial Narrow"/>
                <w:sz w:val="20"/>
                <w:szCs w:val="20"/>
              </w:rPr>
              <w:t>Prescribing rule level</w:t>
            </w:r>
          </w:p>
        </w:tc>
        <w:tc>
          <w:tcPr>
            <w:tcW w:w="709" w:type="dxa"/>
            <w:vAlign w:val="center"/>
          </w:tcPr>
          <w:p w14:paraId="48076A65" w14:textId="3E4872D9" w:rsidR="00F66D25" w:rsidRPr="001428E9" w:rsidRDefault="00F66D25" w:rsidP="00425BAC">
            <w:pPr>
              <w:jc w:val="center"/>
              <w:rPr>
                <w:rFonts w:ascii="Arial Narrow" w:hAnsi="Arial Narrow"/>
                <w:color w:val="333333"/>
                <w:sz w:val="20"/>
                <w:szCs w:val="20"/>
              </w:rPr>
            </w:pPr>
          </w:p>
        </w:tc>
        <w:tc>
          <w:tcPr>
            <w:tcW w:w="7745" w:type="dxa"/>
            <w:gridSpan w:val="6"/>
            <w:vAlign w:val="center"/>
          </w:tcPr>
          <w:p w14:paraId="5F897038" w14:textId="77777777" w:rsidR="00F66D25" w:rsidRPr="001428E9" w:rsidRDefault="00F66D25" w:rsidP="00425BAC">
            <w:pPr>
              <w:rPr>
                <w:rFonts w:ascii="Arial Narrow" w:hAnsi="Arial Narrow"/>
                <w:color w:val="333333"/>
                <w:sz w:val="20"/>
                <w:szCs w:val="20"/>
              </w:rPr>
            </w:pPr>
            <w:r w:rsidRPr="001428E9">
              <w:rPr>
                <w:rFonts w:ascii="Arial Narrow" w:hAnsi="Arial Narrow"/>
                <w:b/>
                <w:bCs/>
                <w:color w:val="333333"/>
                <w:sz w:val="20"/>
                <w:szCs w:val="20"/>
              </w:rPr>
              <w:t>Administrative Advice:</w:t>
            </w:r>
            <w:r>
              <w:rPr>
                <w:rFonts w:ascii="Arial Narrow" w:hAnsi="Arial Narrow"/>
                <w:color w:val="333333"/>
                <w:sz w:val="20"/>
                <w:szCs w:val="20"/>
              </w:rPr>
              <w:t xml:space="preserve"> </w:t>
            </w:r>
            <w:r w:rsidRPr="00397232">
              <w:rPr>
                <w:rFonts w:ascii="Arial Narrow" w:eastAsia="Calibri" w:hAnsi="Arial Narrow"/>
                <w:sz w:val="20"/>
                <w:szCs w:val="20"/>
              </w:rPr>
              <w:t>No increase in the maximum quantity or number of units may be authorised.</w:t>
            </w:r>
          </w:p>
        </w:tc>
      </w:tr>
      <w:tr w:rsidR="00F66D25" w:rsidRPr="001428E9" w14:paraId="4CB60DC8" w14:textId="77777777" w:rsidTr="00034A92">
        <w:tblPrEx>
          <w:tblCellMar>
            <w:top w:w="15" w:type="dxa"/>
            <w:bottom w:w="15" w:type="dxa"/>
          </w:tblCellMar>
          <w:tblLook w:val="04A0" w:firstRow="1" w:lastRow="0" w:firstColumn="1" w:lastColumn="0" w:noHBand="0" w:noVBand="1"/>
        </w:tblPrEx>
        <w:trPr>
          <w:trHeight w:val="20"/>
        </w:trPr>
        <w:tc>
          <w:tcPr>
            <w:tcW w:w="563" w:type="dxa"/>
            <w:vMerge/>
            <w:tcBorders>
              <w:left w:val="single" w:sz="4" w:space="0" w:color="auto"/>
              <w:right w:val="single" w:sz="4" w:space="0" w:color="auto"/>
            </w:tcBorders>
          </w:tcPr>
          <w:p w14:paraId="24224C8A" w14:textId="77777777" w:rsidR="00F66D25" w:rsidRPr="001428E9" w:rsidRDefault="00F66D25" w:rsidP="00425BAC">
            <w:pPr>
              <w:rPr>
                <w:rFonts w:ascii="Arial Narrow" w:hAnsi="Arial Narrow"/>
                <w:sz w:val="20"/>
                <w:szCs w:val="20"/>
              </w:rPr>
            </w:pPr>
          </w:p>
        </w:tc>
        <w:tc>
          <w:tcPr>
            <w:tcW w:w="709" w:type="dxa"/>
            <w:vAlign w:val="center"/>
          </w:tcPr>
          <w:p w14:paraId="52DF1D87" w14:textId="7C6ABD21" w:rsidR="00F66D25" w:rsidRPr="001428E9" w:rsidRDefault="00F66D25" w:rsidP="00425BAC">
            <w:pPr>
              <w:jc w:val="center"/>
              <w:rPr>
                <w:rFonts w:ascii="Arial Narrow" w:hAnsi="Arial Narrow"/>
                <w:color w:val="333333"/>
                <w:sz w:val="20"/>
                <w:szCs w:val="20"/>
              </w:rPr>
            </w:pPr>
          </w:p>
        </w:tc>
        <w:tc>
          <w:tcPr>
            <w:tcW w:w="7745" w:type="dxa"/>
            <w:gridSpan w:val="6"/>
            <w:vAlign w:val="center"/>
          </w:tcPr>
          <w:p w14:paraId="547CA440" w14:textId="77777777" w:rsidR="00F66D25" w:rsidRPr="001428E9" w:rsidRDefault="00F66D25" w:rsidP="00425BAC">
            <w:pPr>
              <w:rPr>
                <w:rFonts w:ascii="Arial Narrow" w:hAnsi="Arial Narrow"/>
                <w:b/>
                <w:bCs/>
                <w:color w:val="333333"/>
                <w:sz w:val="20"/>
                <w:szCs w:val="20"/>
              </w:rPr>
            </w:pPr>
            <w:r w:rsidRPr="001428E9">
              <w:rPr>
                <w:rFonts w:ascii="Arial Narrow" w:hAnsi="Arial Narrow"/>
                <w:b/>
                <w:bCs/>
                <w:color w:val="333333"/>
                <w:sz w:val="20"/>
                <w:szCs w:val="20"/>
              </w:rPr>
              <w:t>Administrative Advice:</w:t>
            </w:r>
            <w:r>
              <w:rPr>
                <w:rFonts w:ascii="Arial Narrow" w:hAnsi="Arial Narrow"/>
                <w:b/>
                <w:bCs/>
                <w:color w:val="333333"/>
                <w:sz w:val="20"/>
                <w:szCs w:val="20"/>
              </w:rPr>
              <w:t xml:space="preserve"> </w:t>
            </w:r>
            <w:r w:rsidRPr="00397232">
              <w:rPr>
                <w:rFonts w:ascii="Arial Narrow" w:eastAsia="Calibri" w:hAnsi="Arial Narrow"/>
                <w:sz w:val="20"/>
                <w:szCs w:val="20"/>
              </w:rPr>
              <w:t>No increase in the maximum number of repeats may be authorised.</w:t>
            </w:r>
          </w:p>
        </w:tc>
      </w:tr>
      <w:tr w:rsidR="00F66D25" w:rsidRPr="001428E9" w14:paraId="543F2E26" w14:textId="77777777" w:rsidTr="00034A92">
        <w:tblPrEx>
          <w:tblCellMar>
            <w:top w:w="15" w:type="dxa"/>
            <w:bottom w:w="15" w:type="dxa"/>
          </w:tblCellMar>
          <w:tblLook w:val="04A0" w:firstRow="1" w:lastRow="0" w:firstColumn="1" w:lastColumn="0" w:noHBand="0" w:noVBand="1"/>
        </w:tblPrEx>
        <w:trPr>
          <w:trHeight w:val="414"/>
        </w:trPr>
        <w:tc>
          <w:tcPr>
            <w:tcW w:w="563" w:type="dxa"/>
            <w:vMerge/>
            <w:tcBorders>
              <w:left w:val="single" w:sz="4" w:space="0" w:color="auto"/>
              <w:bottom w:val="single" w:sz="4" w:space="0" w:color="auto"/>
              <w:right w:val="single" w:sz="4" w:space="0" w:color="auto"/>
            </w:tcBorders>
          </w:tcPr>
          <w:p w14:paraId="7F3B8606" w14:textId="77777777" w:rsidR="00F66D25" w:rsidRPr="001428E9" w:rsidRDefault="00F66D25" w:rsidP="00425BAC">
            <w:pPr>
              <w:rPr>
                <w:rFonts w:ascii="Arial Narrow" w:hAnsi="Arial Narrow"/>
                <w:sz w:val="20"/>
                <w:szCs w:val="20"/>
              </w:rPr>
            </w:pPr>
          </w:p>
        </w:tc>
        <w:tc>
          <w:tcPr>
            <w:tcW w:w="709" w:type="dxa"/>
            <w:vAlign w:val="center"/>
          </w:tcPr>
          <w:p w14:paraId="29918240" w14:textId="25E69413" w:rsidR="00F66D25" w:rsidRPr="001428E9" w:rsidRDefault="00F66D25" w:rsidP="00425BAC">
            <w:pPr>
              <w:jc w:val="center"/>
              <w:rPr>
                <w:rFonts w:ascii="Arial Narrow" w:hAnsi="Arial Narrow"/>
                <w:color w:val="333333"/>
                <w:sz w:val="20"/>
                <w:szCs w:val="20"/>
              </w:rPr>
            </w:pPr>
          </w:p>
        </w:tc>
        <w:tc>
          <w:tcPr>
            <w:tcW w:w="7745" w:type="dxa"/>
            <w:gridSpan w:val="6"/>
            <w:vAlign w:val="center"/>
          </w:tcPr>
          <w:p w14:paraId="4E3EA4A5" w14:textId="77777777" w:rsidR="00F66D25" w:rsidRPr="00397232" w:rsidRDefault="00F66D25" w:rsidP="00425BAC">
            <w:pPr>
              <w:rPr>
                <w:rFonts w:ascii="Arial Narrow" w:hAnsi="Arial Narrow"/>
                <w:b/>
                <w:bCs/>
                <w:i/>
                <w:iCs/>
                <w:color w:val="333333"/>
                <w:sz w:val="20"/>
                <w:szCs w:val="20"/>
              </w:rPr>
            </w:pPr>
            <w:r w:rsidRPr="00397232">
              <w:rPr>
                <w:rFonts w:ascii="Arial Narrow" w:hAnsi="Arial Narrow"/>
                <w:b/>
                <w:bCs/>
                <w:i/>
                <w:iCs/>
                <w:color w:val="333333"/>
                <w:sz w:val="20"/>
                <w:szCs w:val="20"/>
              </w:rPr>
              <w:t xml:space="preserve">Administrative Advice: </w:t>
            </w:r>
            <w:r w:rsidRPr="00397232">
              <w:rPr>
                <w:rFonts w:ascii="Arial Narrow" w:eastAsia="Calibri" w:hAnsi="Arial Narrow"/>
                <w:i/>
                <w:iCs/>
                <w:sz w:val="20"/>
                <w:szCs w:val="20"/>
              </w:rPr>
              <w:t>Special Pricing Arrangements apply.</w:t>
            </w:r>
          </w:p>
        </w:tc>
      </w:tr>
      <w:tr w:rsidR="00F66D25" w:rsidRPr="001428E9" w14:paraId="14ABE3BF" w14:textId="77777777" w:rsidTr="004C735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DA4A57" w14:textId="789BCAF8" w:rsidR="00F66D25" w:rsidRPr="001428E9" w:rsidRDefault="00F66D25" w:rsidP="00425BAC">
            <w:pPr>
              <w:keepLines/>
              <w:jc w:val="center"/>
              <w:rPr>
                <w:rFonts w:ascii="Arial Narrow" w:hAnsi="Arial Narrow"/>
                <w:color w:val="333333"/>
                <w:sz w:val="20"/>
                <w:szCs w:val="20"/>
              </w:rPr>
            </w:pPr>
          </w:p>
        </w:tc>
        <w:tc>
          <w:tcPr>
            <w:tcW w:w="7745" w:type="dxa"/>
            <w:gridSpan w:val="6"/>
            <w:vAlign w:val="center"/>
            <w:hideMark/>
          </w:tcPr>
          <w:p w14:paraId="4F62999C" w14:textId="77777777" w:rsidR="00F66D25" w:rsidRPr="001428E9" w:rsidRDefault="00F66D25" w:rsidP="00425BAC">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Spinal Muscular Atrophy (SMA)</w:t>
            </w:r>
          </w:p>
        </w:tc>
      </w:tr>
      <w:tr w:rsidR="00F66D25" w:rsidRPr="001428E9" w14:paraId="1F1C37E8" w14:textId="77777777" w:rsidTr="004C735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14CC359" w14:textId="77777777" w:rsidR="00F66D25" w:rsidRPr="001428E9" w:rsidRDefault="00F66D25" w:rsidP="00425BAC">
            <w:pPr>
              <w:jc w:val="center"/>
              <w:rPr>
                <w:rFonts w:ascii="Arial Narrow" w:hAnsi="Arial Narrow"/>
                <w:color w:val="333333"/>
                <w:sz w:val="20"/>
                <w:szCs w:val="20"/>
              </w:rPr>
            </w:pPr>
          </w:p>
        </w:tc>
        <w:tc>
          <w:tcPr>
            <w:tcW w:w="7745" w:type="dxa"/>
            <w:gridSpan w:val="6"/>
            <w:vAlign w:val="center"/>
            <w:hideMark/>
          </w:tcPr>
          <w:p w14:paraId="18EEE036" w14:textId="77777777" w:rsidR="00F66D25" w:rsidRPr="001428E9" w:rsidRDefault="00F66D25" w:rsidP="00425BAC">
            <w:pPr>
              <w:rPr>
                <w:rFonts w:ascii="Arial Narrow" w:hAnsi="Arial Narrow"/>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9A1B16">
              <w:rPr>
                <w:rFonts w:ascii="Arial Narrow" w:hAnsi="Arial Narrow"/>
                <w:sz w:val="20"/>
                <w:szCs w:val="20"/>
              </w:rPr>
              <w:t>Continuing/maintenance treatment in an adult where treatment was initiated in adulthood</w:t>
            </w:r>
          </w:p>
        </w:tc>
      </w:tr>
      <w:tr w:rsidR="00F66D25" w:rsidRPr="001428E9" w14:paraId="781A0163" w14:textId="77777777" w:rsidTr="004C735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6B3D605" w14:textId="77777777" w:rsidR="00F66D25" w:rsidRPr="001428E9" w:rsidRDefault="00F66D25" w:rsidP="00425BAC">
            <w:pPr>
              <w:jc w:val="center"/>
              <w:rPr>
                <w:rFonts w:ascii="Arial Narrow" w:hAnsi="Arial Narrow"/>
                <w:color w:val="333333"/>
                <w:sz w:val="20"/>
                <w:szCs w:val="20"/>
              </w:rPr>
            </w:pPr>
          </w:p>
        </w:tc>
        <w:tc>
          <w:tcPr>
            <w:tcW w:w="7745" w:type="dxa"/>
            <w:gridSpan w:val="6"/>
            <w:vAlign w:val="center"/>
            <w:hideMark/>
          </w:tcPr>
          <w:p w14:paraId="4C2665BE" w14:textId="77777777" w:rsidR="00F66D25" w:rsidRPr="001428E9" w:rsidRDefault="00F66D25" w:rsidP="00425BAC">
            <w:pPr>
              <w:rPr>
                <w:rFonts w:ascii="Arial Narrow" w:hAnsi="Arial Narrow"/>
                <w:sz w:val="20"/>
                <w:szCs w:val="20"/>
              </w:rPr>
            </w:pPr>
            <w:r>
              <w:rPr>
                <w:rFonts w:ascii="Arial Narrow" w:hAnsi="Arial Narrow"/>
                <w:b/>
                <w:bCs/>
                <w:color w:val="333333"/>
                <w:sz w:val="20"/>
                <w:szCs w:val="20"/>
              </w:rPr>
              <w:t>Treatment</w:t>
            </w:r>
            <w:r w:rsidRPr="001428E9">
              <w:rPr>
                <w:rFonts w:ascii="Arial Narrow" w:hAnsi="Arial Narrow"/>
                <w:b/>
                <w:bCs/>
                <w:color w:val="333333"/>
                <w:sz w:val="20"/>
                <w:szCs w:val="20"/>
              </w:rPr>
              <w:t xml:space="preserve"> criteri</w:t>
            </w:r>
            <w:r>
              <w:rPr>
                <w:rFonts w:ascii="Arial Narrow" w:hAnsi="Arial Narrow"/>
                <w:b/>
                <w:bCs/>
                <w:color w:val="333333"/>
                <w:sz w:val="20"/>
                <w:szCs w:val="20"/>
              </w:rPr>
              <w:t>a:</w:t>
            </w:r>
          </w:p>
        </w:tc>
      </w:tr>
      <w:tr w:rsidR="00F66D25" w:rsidRPr="001428E9" w14:paraId="50460B19"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ACA07D6" w14:textId="0BC671C6" w:rsidR="00F66D25" w:rsidRPr="001428E9" w:rsidRDefault="00F66D25" w:rsidP="00425BAC">
            <w:pPr>
              <w:jc w:val="center"/>
              <w:rPr>
                <w:rFonts w:ascii="Arial Narrow" w:hAnsi="Arial Narrow"/>
                <w:color w:val="333333"/>
                <w:sz w:val="20"/>
                <w:szCs w:val="20"/>
              </w:rPr>
            </w:pPr>
          </w:p>
        </w:tc>
        <w:tc>
          <w:tcPr>
            <w:tcW w:w="7745" w:type="dxa"/>
            <w:gridSpan w:val="6"/>
            <w:vAlign w:val="center"/>
          </w:tcPr>
          <w:p w14:paraId="139B84E5" w14:textId="77777777" w:rsidR="00F66D25" w:rsidRPr="001428E9" w:rsidRDefault="00F66D25" w:rsidP="00425BAC">
            <w:pPr>
              <w:rPr>
                <w:rFonts w:ascii="Arial Narrow" w:hAnsi="Arial Narrow"/>
                <w:color w:val="333333"/>
                <w:sz w:val="20"/>
                <w:szCs w:val="20"/>
              </w:rPr>
            </w:pPr>
            <w:r w:rsidRPr="009A1B16">
              <w:rPr>
                <w:rFonts w:ascii="Arial Narrow" w:hAnsi="Arial Narrow"/>
                <w:sz w:val="20"/>
                <w:szCs w:val="20"/>
              </w:rPr>
              <w:t>Must be treated by a specialist medical practitioner experienced in the diagnosis/management of SMA; or</w:t>
            </w:r>
          </w:p>
        </w:tc>
      </w:tr>
      <w:tr w:rsidR="00F66D25" w:rsidRPr="001428E9" w14:paraId="3616C0D2" w14:textId="77777777" w:rsidTr="004C735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A24A9FB" w14:textId="57077F23" w:rsidR="00F66D25" w:rsidRPr="001428E9" w:rsidRDefault="00F66D25" w:rsidP="00425BAC">
            <w:pPr>
              <w:jc w:val="center"/>
              <w:rPr>
                <w:rFonts w:ascii="Arial Narrow" w:hAnsi="Arial Narrow"/>
                <w:color w:val="333333"/>
                <w:sz w:val="20"/>
                <w:szCs w:val="20"/>
              </w:rPr>
            </w:pPr>
          </w:p>
        </w:tc>
        <w:tc>
          <w:tcPr>
            <w:tcW w:w="7745" w:type="dxa"/>
            <w:gridSpan w:val="6"/>
            <w:vAlign w:val="center"/>
            <w:hideMark/>
          </w:tcPr>
          <w:p w14:paraId="5B99CB3D" w14:textId="16E7B5CF" w:rsidR="00F66D25" w:rsidRPr="00EF195B" w:rsidRDefault="00F66D25" w:rsidP="00425BAC">
            <w:pPr>
              <w:rPr>
                <w:rFonts w:ascii="Arial Narrow" w:hAnsi="Arial Narrow"/>
                <w:sz w:val="20"/>
                <w:szCs w:val="20"/>
              </w:rPr>
            </w:pPr>
            <w:r w:rsidRPr="009A1B16">
              <w:rPr>
                <w:rFonts w:ascii="Arial Narrow" w:hAnsi="Arial Narrow"/>
                <w:sz w:val="20"/>
                <w:szCs w:val="20"/>
              </w:rPr>
              <w:t>Must be treated by a medical practitioner who has been directed to prescribe this benefit by a specialist medical practitioner experienced in the diagnosis/management of SMA</w:t>
            </w:r>
          </w:p>
        </w:tc>
      </w:tr>
      <w:tr w:rsidR="00F66D25" w:rsidRPr="001428E9" w14:paraId="177AE6F2"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1F01414" w14:textId="55A5431F" w:rsidR="00F66D25" w:rsidRPr="001428E9" w:rsidRDefault="00F66D25" w:rsidP="00425BAC">
            <w:pPr>
              <w:jc w:val="center"/>
              <w:rPr>
                <w:rFonts w:ascii="Arial Narrow" w:hAnsi="Arial Narrow"/>
                <w:color w:val="333333"/>
                <w:sz w:val="20"/>
                <w:szCs w:val="20"/>
              </w:rPr>
            </w:pPr>
          </w:p>
        </w:tc>
        <w:tc>
          <w:tcPr>
            <w:tcW w:w="7745" w:type="dxa"/>
            <w:gridSpan w:val="6"/>
            <w:vAlign w:val="center"/>
            <w:hideMark/>
          </w:tcPr>
          <w:p w14:paraId="123F0A4D" w14:textId="77777777" w:rsidR="00F66D25" w:rsidRPr="001428E9" w:rsidRDefault="00F66D25" w:rsidP="00425BAC">
            <w:pPr>
              <w:rPr>
                <w:rFonts w:ascii="Arial Narrow" w:hAnsi="Arial Narrow"/>
                <w:color w:val="333333"/>
                <w:sz w:val="20"/>
                <w:szCs w:val="20"/>
              </w:rPr>
            </w:pPr>
            <w:r>
              <w:rPr>
                <w:rFonts w:ascii="Arial Narrow" w:hAnsi="Arial Narrow"/>
                <w:b/>
                <w:bCs/>
                <w:color w:val="333333"/>
                <w:sz w:val="20"/>
                <w:szCs w:val="20"/>
              </w:rPr>
              <w:t>AND</w:t>
            </w:r>
          </w:p>
        </w:tc>
      </w:tr>
      <w:tr w:rsidR="00F66D25" w:rsidRPr="007816E7" w14:paraId="23BDC520"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FA8384" w14:textId="400CDB32" w:rsidR="00F66D25" w:rsidRPr="007816E7" w:rsidRDefault="00F66D25" w:rsidP="00425BAC">
            <w:pPr>
              <w:jc w:val="center"/>
              <w:rPr>
                <w:rFonts w:ascii="Arial Narrow" w:hAnsi="Arial Narrow"/>
                <w:color w:val="333333"/>
                <w:sz w:val="20"/>
                <w:szCs w:val="20"/>
              </w:rPr>
            </w:pPr>
          </w:p>
        </w:tc>
        <w:tc>
          <w:tcPr>
            <w:tcW w:w="7745" w:type="dxa"/>
            <w:gridSpan w:val="6"/>
            <w:vAlign w:val="center"/>
          </w:tcPr>
          <w:p w14:paraId="0594423D" w14:textId="77777777" w:rsidR="00F66D25" w:rsidRPr="007816E7" w:rsidRDefault="00F66D25" w:rsidP="00425BAC">
            <w:pPr>
              <w:rPr>
                <w:rFonts w:ascii="Arial Narrow" w:hAnsi="Arial Narrow"/>
                <w:color w:val="FF0000"/>
                <w:sz w:val="20"/>
                <w:szCs w:val="20"/>
              </w:rPr>
            </w:pPr>
            <w:r w:rsidRPr="007816E7">
              <w:rPr>
                <w:rFonts w:ascii="Arial Narrow" w:hAnsi="Arial Narrow"/>
                <w:sz w:val="20"/>
                <w:szCs w:val="20"/>
              </w:rPr>
              <w:t>Patient must be undergoing continuing PBS-subsidised treatment that was initiated through the Initial treatment listing for SMA initiated in adulthood</w:t>
            </w:r>
          </w:p>
        </w:tc>
      </w:tr>
      <w:tr w:rsidR="00F66D25" w:rsidRPr="001428E9" w14:paraId="1B3A59ED"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240217C" w14:textId="4841EC53" w:rsidR="00F66D25" w:rsidRPr="001428E9" w:rsidRDefault="00F66D25" w:rsidP="00425BAC">
            <w:pPr>
              <w:jc w:val="center"/>
              <w:rPr>
                <w:rFonts w:ascii="Arial Narrow" w:hAnsi="Arial Narrow"/>
                <w:color w:val="333333"/>
                <w:sz w:val="20"/>
                <w:szCs w:val="20"/>
              </w:rPr>
            </w:pPr>
          </w:p>
        </w:tc>
        <w:tc>
          <w:tcPr>
            <w:tcW w:w="7745" w:type="dxa"/>
            <w:gridSpan w:val="6"/>
            <w:vAlign w:val="center"/>
            <w:hideMark/>
          </w:tcPr>
          <w:p w14:paraId="3151691D" w14:textId="77777777" w:rsidR="00F66D25" w:rsidRPr="001428E9" w:rsidRDefault="00F66D25" w:rsidP="00425BAC">
            <w:pPr>
              <w:rPr>
                <w:rFonts w:ascii="Arial Narrow" w:hAnsi="Arial Narrow"/>
                <w:color w:val="333333"/>
                <w:sz w:val="20"/>
                <w:szCs w:val="20"/>
              </w:rPr>
            </w:pPr>
            <w:r>
              <w:rPr>
                <w:rFonts w:ascii="Arial Narrow" w:hAnsi="Arial Narrow"/>
                <w:b/>
                <w:bCs/>
                <w:color w:val="333333"/>
                <w:sz w:val="20"/>
                <w:szCs w:val="20"/>
              </w:rPr>
              <w:t>AND</w:t>
            </w:r>
          </w:p>
        </w:tc>
      </w:tr>
      <w:tr w:rsidR="00F66D25" w:rsidRPr="001428E9" w14:paraId="66D6975E"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988B27" w14:textId="2413F9DB" w:rsidR="00F66D25" w:rsidRPr="001428E9" w:rsidRDefault="00F66D25" w:rsidP="00425BAC">
            <w:pPr>
              <w:jc w:val="center"/>
              <w:rPr>
                <w:rFonts w:ascii="Arial Narrow" w:hAnsi="Arial Narrow"/>
                <w:color w:val="333333"/>
                <w:sz w:val="20"/>
                <w:szCs w:val="20"/>
              </w:rPr>
            </w:pPr>
          </w:p>
        </w:tc>
        <w:tc>
          <w:tcPr>
            <w:tcW w:w="7745" w:type="dxa"/>
            <w:gridSpan w:val="6"/>
            <w:vAlign w:val="center"/>
          </w:tcPr>
          <w:p w14:paraId="7F1F1787" w14:textId="77777777" w:rsidR="00F66D25" w:rsidRPr="001428E9" w:rsidRDefault="00F66D25" w:rsidP="00425BAC">
            <w:pPr>
              <w:rPr>
                <w:rFonts w:ascii="Arial Narrow" w:hAnsi="Arial Narrow"/>
                <w:color w:val="333333"/>
                <w:sz w:val="20"/>
                <w:szCs w:val="20"/>
              </w:rPr>
            </w:pPr>
            <w:r w:rsidRPr="009A1B16">
              <w:rPr>
                <w:rFonts w:ascii="Arial Narrow" w:hAnsi="Arial Narrow"/>
                <w:sz w:val="20"/>
                <w:szCs w:val="20"/>
              </w:rPr>
              <w:t>Patient must be undergoing concomitant treatment with best supportive care, but this benefit is the sole PBS-subsidised disease modifying treatment</w:t>
            </w:r>
          </w:p>
        </w:tc>
      </w:tr>
      <w:tr w:rsidR="00F66D25" w:rsidRPr="001428E9" w14:paraId="55B1E9A7"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179DEC5" w14:textId="77777777" w:rsidR="00F66D25" w:rsidRDefault="00F66D25" w:rsidP="00425BAC">
            <w:pPr>
              <w:jc w:val="center"/>
              <w:rPr>
                <w:rFonts w:ascii="Arial Narrow" w:hAnsi="Arial Narrow"/>
                <w:color w:val="333333"/>
                <w:sz w:val="20"/>
                <w:szCs w:val="20"/>
              </w:rPr>
            </w:pPr>
          </w:p>
        </w:tc>
        <w:tc>
          <w:tcPr>
            <w:tcW w:w="7745" w:type="dxa"/>
            <w:gridSpan w:val="6"/>
            <w:vAlign w:val="center"/>
          </w:tcPr>
          <w:p w14:paraId="4B63FB71" w14:textId="10A16B1C" w:rsidR="00F66D25" w:rsidRPr="009A1B16" w:rsidRDefault="00034A92" w:rsidP="00425BAC">
            <w:pPr>
              <w:rPr>
                <w:rFonts w:ascii="Arial Narrow" w:hAnsi="Arial Narrow"/>
                <w:sz w:val="20"/>
                <w:szCs w:val="20"/>
              </w:rPr>
            </w:pPr>
            <w:r>
              <w:rPr>
                <w:rFonts w:ascii="Arial Narrow" w:hAnsi="Arial Narrow"/>
                <w:b/>
                <w:bCs/>
                <w:color w:val="333333"/>
                <w:sz w:val="20"/>
                <w:szCs w:val="20"/>
              </w:rPr>
              <w:t>AND</w:t>
            </w:r>
          </w:p>
        </w:tc>
      </w:tr>
      <w:tr w:rsidR="00F66D25" w:rsidRPr="001428E9" w14:paraId="1A99AC88"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55D9013" w14:textId="2D6507E6" w:rsidR="00F66D25" w:rsidRPr="001428E9" w:rsidRDefault="00F66D25" w:rsidP="00425BAC">
            <w:pPr>
              <w:jc w:val="center"/>
              <w:rPr>
                <w:rFonts w:ascii="Arial Narrow" w:hAnsi="Arial Narrow"/>
                <w:color w:val="333333"/>
                <w:sz w:val="20"/>
                <w:szCs w:val="20"/>
              </w:rPr>
            </w:pPr>
          </w:p>
        </w:tc>
        <w:tc>
          <w:tcPr>
            <w:tcW w:w="7745" w:type="dxa"/>
            <w:gridSpan w:val="6"/>
            <w:vAlign w:val="center"/>
            <w:hideMark/>
          </w:tcPr>
          <w:p w14:paraId="116CEBAB" w14:textId="77777777" w:rsidR="00F66D25" w:rsidRPr="001428E9" w:rsidRDefault="00F66D25" w:rsidP="00425BAC">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F66D25" w:rsidRPr="001428E9" w14:paraId="43AAE02A"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47C93BB" w14:textId="17ECC505" w:rsidR="00F66D25" w:rsidRPr="001428E9" w:rsidRDefault="00F66D25" w:rsidP="00425BAC">
            <w:pPr>
              <w:jc w:val="center"/>
              <w:rPr>
                <w:rFonts w:ascii="Arial Narrow" w:hAnsi="Arial Narrow"/>
                <w:color w:val="333333"/>
                <w:sz w:val="20"/>
                <w:szCs w:val="20"/>
              </w:rPr>
            </w:pPr>
          </w:p>
        </w:tc>
        <w:tc>
          <w:tcPr>
            <w:tcW w:w="7745" w:type="dxa"/>
            <w:gridSpan w:val="6"/>
            <w:vAlign w:val="center"/>
          </w:tcPr>
          <w:p w14:paraId="0A3C3ADD" w14:textId="77777777" w:rsidR="00F66D25" w:rsidRPr="001428E9" w:rsidRDefault="00F66D25" w:rsidP="00425BAC">
            <w:pPr>
              <w:autoSpaceDE w:val="0"/>
              <w:autoSpaceDN w:val="0"/>
              <w:adjustRightInd w:val="0"/>
              <w:rPr>
                <w:rFonts w:ascii="Arial Narrow" w:hAnsi="Arial Narrow" w:cs="Arial Narrow"/>
                <w:i/>
                <w:iCs/>
                <w:sz w:val="20"/>
                <w:szCs w:val="20"/>
              </w:rPr>
            </w:pPr>
            <w:r w:rsidRPr="009A1B16">
              <w:rPr>
                <w:rFonts w:ascii="Arial Narrow" w:hAnsi="Arial Narrow"/>
                <w:sz w:val="20"/>
                <w:szCs w:val="20"/>
              </w:rPr>
              <w:t>The treatment must be each of: (i) occurring from week 104 onwards relative to the first administered dose, (ii) demonstrating a clinically meaningful response; or</w:t>
            </w:r>
          </w:p>
        </w:tc>
      </w:tr>
      <w:tr w:rsidR="00F66D25" w:rsidRPr="001428E9" w14:paraId="69DDFCAC"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D6687B9" w14:textId="714F08B6" w:rsidR="00F66D25" w:rsidRPr="001428E9" w:rsidRDefault="00F66D25" w:rsidP="00425BAC">
            <w:pPr>
              <w:jc w:val="center"/>
              <w:rPr>
                <w:rFonts w:ascii="Arial Narrow" w:hAnsi="Arial Narrow"/>
                <w:color w:val="333333"/>
                <w:sz w:val="20"/>
                <w:szCs w:val="20"/>
              </w:rPr>
            </w:pPr>
          </w:p>
        </w:tc>
        <w:tc>
          <w:tcPr>
            <w:tcW w:w="7745" w:type="dxa"/>
            <w:gridSpan w:val="6"/>
            <w:vAlign w:val="center"/>
          </w:tcPr>
          <w:p w14:paraId="31717D3B" w14:textId="77777777" w:rsidR="00F66D25" w:rsidRPr="001428E9" w:rsidRDefault="00F66D25" w:rsidP="00425BAC">
            <w:pPr>
              <w:rPr>
                <w:rFonts w:ascii="Arial Narrow" w:hAnsi="Arial Narrow"/>
                <w:b/>
                <w:bCs/>
                <w:color w:val="333333"/>
                <w:sz w:val="20"/>
                <w:szCs w:val="20"/>
              </w:rPr>
            </w:pPr>
            <w:r w:rsidRPr="009A1B16">
              <w:rPr>
                <w:rFonts w:ascii="Arial Narrow" w:hAnsi="Arial Narrow"/>
                <w:sz w:val="20"/>
                <w:szCs w:val="20"/>
              </w:rPr>
              <w:t>The treatment must be occurring within the first 104 weeks from the first administered dose</w:t>
            </w:r>
          </w:p>
        </w:tc>
      </w:tr>
      <w:tr w:rsidR="00F66D25" w:rsidRPr="001428E9" w14:paraId="44FCAEE0"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4335430" w14:textId="000E1B4B" w:rsidR="00F66D25" w:rsidRPr="001428E9" w:rsidRDefault="00F66D25" w:rsidP="00425BAC">
            <w:pPr>
              <w:jc w:val="center"/>
              <w:rPr>
                <w:rFonts w:ascii="Arial Narrow" w:hAnsi="Arial Narrow"/>
                <w:color w:val="333333"/>
                <w:sz w:val="20"/>
                <w:szCs w:val="20"/>
              </w:rPr>
            </w:pPr>
          </w:p>
        </w:tc>
        <w:tc>
          <w:tcPr>
            <w:tcW w:w="7745" w:type="dxa"/>
            <w:gridSpan w:val="6"/>
            <w:vAlign w:val="center"/>
            <w:hideMark/>
          </w:tcPr>
          <w:p w14:paraId="40317906" w14:textId="77777777" w:rsidR="00F66D25" w:rsidRPr="001428E9" w:rsidRDefault="00F66D25" w:rsidP="00425BAC">
            <w:pPr>
              <w:rPr>
                <w:rFonts w:ascii="Arial Narrow" w:hAnsi="Arial Narrow"/>
                <w:color w:val="333333"/>
                <w:sz w:val="20"/>
                <w:szCs w:val="20"/>
              </w:rPr>
            </w:pPr>
            <w:r>
              <w:rPr>
                <w:rFonts w:ascii="Arial Narrow" w:hAnsi="Arial Narrow"/>
                <w:b/>
                <w:bCs/>
                <w:color w:val="333333"/>
                <w:sz w:val="20"/>
                <w:szCs w:val="20"/>
              </w:rPr>
              <w:t>AND</w:t>
            </w:r>
          </w:p>
        </w:tc>
      </w:tr>
      <w:tr w:rsidR="00034A92" w:rsidRPr="001428E9" w14:paraId="49FC6BC3"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95ECFFE" w14:textId="3839B263" w:rsidR="00034A92" w:rsidRDefault="00034A92" w:rsidP="00034A92">
            <w:pPr>
              <w:jc w:val="center"/>
              <w:rPr>
                <w:rFonts w:ascii="Arial Narrow" w:hAnsi="Arial Narrow"/>
                <w:color w:val="333333"/>
                <w:sz w:val="20"/>
                <w:szCs w:val="20"/>
              </w:rPr>
            </w:pPr>
          </w:p>
        </w:tc>
        <w:tc>
          <w:tcPr>
            <w:tcW w:w="7745" w:type="dxa"/>
            <w:gridSpan w:val="6"/>
            <w:vAlign w:val="center"/>
          </w:tcPr>
          <w:p w14:paraId="455E33F7" w14:textId="0620D823" w:rsidR="00034A92" w:rsidRDefault="00034A92" w:rsidP="00034A92">
            <w:pPr>
              <w:rPr>
                <w:rFonts w:ascii="Arial Narrow" w:hAnsi="Arial Narrow"/>
                <w:b/>
                <w:bCs/>
                <w:color w:val="333333"/>
                <w:sz w:val="20"/>
                <w:szCs w:val="20"/>
              </w:rPr>
            </w:pPr>
            <w:r>
              <w:rPr>
                <w:rFonts w:ascii="Arial Narrow" w:hAnsi="Arial Narrow"/>
                <w:b/>
                <w:bCs/>
                <w:color w:val="333333"/>
                <w:sz w:val="20"/>
                <w:szCs w:val="20"/>
              </w:rPr>
              <w:t>Clinical Criteria</w:t>
            </w:r>
          </w:p>
        </w:tc>
      </w:tr>
      <w:tr w:rsidR="00F66D25" w:rsidRPr="001428E9" w14:paraId="7D35FC11"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CCD9D18" w14:textId="187D44E7" w:rsidR="00F66D25" w:rsidRPr="001428E9" w:rsidRDefault="00F66D25" w:rsidP="00425BAC">
            <w:pPr>
              <w:jc w:val="center"/>
              <w:rPr>
                <w:rFonts w:ascii="Arial Narrow" w:hAnsi="Arial Narrow"/>
                <w:color w:val="333333"/>
                <w:sz w:val="20"/>
                <w:szCs w:val="20"/>
              </w:rPr>
            </w:pPr>
          </w:p>
        </w:tc>
        <w:tc>
          <w:tcPr>
            <w:tcW w:w="7745" w:type="dxa"/>
            <w:gridSpan w:val="6"/>
            <w:vAlign w:val="center"/>
          </w:tcPr>
          <w:p w14:paraId="671073C3" w14:textId="77777777" w:rsidR="00F66D25" w:rsidRPr="001428E9" w:rsidRDefault="00F66D25" w:rsidP="00425BAC">
            <w:pPr>
              <w:rPr>
                <w:rFonts w:ascii="Arial Narrow" w:hAnsi="Arial Narrow"/>
                <w:b/>
                <w:bCs/>
                <w:color w:val="333333"/>
                <w:sz w:val="20"/>
                <w:szCs w:val="20"/>
              </w:rPr>
            </w:pPr>
            <w:r w:rsidRPr="009A1B16">
              <w:rPr>
                <w:rFonts w:ascii="Arial Narrow" w:hAnsi="Arial Narrow"/>
                <w:sz w:val="20"/>
                <w:szCs w:val="20"/>
              </w:rPr>
              <w:t>Patient must not be receiving invasive permanent assisted ventilation in the absence of a potentially reversible cause while being treated with this drug</w:t>
            </w:r>
          </w:p>
        </w:tc>
      </w:tr>
      <w:tr w:rsidR="00F66D25" w:rsidRPr="001428E9" w14:paraId="4F3F3A82"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EE33A92" w14:textId="77777777" w:rsidR="00F66D25" w:rsidRDefault="00F66D25" w:rsidP="00425BAC">
            <w:pPr>
              <w:jc w:val="center"/>
              <w:rPr>
                <w:rFonts w:ascii="Arial Narrow" w:hAnsi="Arial Narrow"/>
                <w:color w:val="333333"/>
                <w:sz w:val="20"/>
                <w:szCs w:val="20"/>
              </w:rPr>
            </w:pPr>
          </w:p>
        </w:tc>
        <w:tc>
          <w:tcPr>
            <w:tcW w:w="7745" w:type="dxa"/>
            <w:gridSpan w:val="6"/>
            <w:vAlign w:val="center"/>
          </w:tcPr>
          <w:p w14:paraId="3E4A9B93" w14:textId="77777777" w:rsidR="00F66D25" w:rsidRPr="007816E7" w:rsidRDefault="00F66D25" w:rsidP="00425BAC">
            <w:pPr>
              <w:rPr>
                <w:rFonts w:ascii="Arial Narrow" w:hAnsi="Arial Narrow"/>
                <w:strike/>
                <w:sz w:val="20"/>
                <w:szCs w:val="20"/>
              </w:rPr>
            </w:pPr>
            <w:r w:rsidRPr="00C7733A">
              <w:rPr>
                <w:rFonts w:ascii="Arial Narrow" w:hAnsi="Arial Narrow"/>
                <w:b/>
                <w:i/>
                <w:iCs/>
                <w:sz w:val="20"/>
                <w:szCs w:val="20"/>
              </w:rPr>
              <w:t>Prescribing Instructions</w:t>
            </w:r>
          </w:p>
        </w:tc>
      </w:tr>
      <w:tr w:rsidR="00F66D25" w:rsidRPr="00034A92" w14:paraId="2F0A8897"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B45A7A" w14:textId="18C9173B" w:rsidR="00F66D25" w:rsidRPr="00034A92" w:rsidRDefault="00F66D25" w:rsidP="00425BAC">
            <w:pPr>
              <w:jc w:val="center"/>
              <w:rPr>
                <w:rFonts w:ascii="Arial Narrow" w:hAnsi="Arial Narrow"/>
                <w:color w:val="333333"/>
                <w:sz w:val="20"/>
                <w:szCs w:val="20"/>
              </w:rPr>
            </w:pPr>
          </w:p>
        </w:tc>
        <w:tc>
          <w:tcPr>
            <w:tcW w:w="7745" w:type="dxa"/>
            <w:gridSpan w:val="6"/>
            <w:vAlign w:val="center"/>
          </w:tcPr>
          <w:p w14:paraId="6CFFDE92" w14:textId="77777777" w:rsidR="00F66D25" w:rsidRPr="00034A92" w:rsidRDefault="00F66D25" w:rsidP="00425BAC">
            <w:pPr>
              <w:rPr>
                <w:rFonts w:ascii="Arial Narrow" w:hAnsi="Arial Narrow"/>
                <w:b/>
                <w:bCs/>
                <w:color w:val="333333"/>
                <w:sz w:val="20"/>
                <w:szCs w:val="20"/>
              </w:rPr>
            </w:pPr>
            <w:r w:rsidRPr="00034A92">
              <w:rPr>
                <w:rFonts w:ascii="Arial Narrow" w:hAnsi="Arial Narrow"/>
                <w:bCs/>
                <w:sz w:val="20"/>
                <w:szCs w:val="20"/>
              </w:rPr>
              <w:t>Invasive permanent assisted ventilation means ventilation via tracheostomy tube for greater than or equal to 16 hours per day.</w:t>
            </w:r>
          </w:p>
        </w:tc>
      </w:tr>
      <w:tr w:rsidR="00F66D25" w:rsidRPr="001428E9" w14:paraId="44B85043" w14:textId="77777777" w:rsidTr="004C735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226E4F1" w14:textId="758CE695" w:rsidR="00F66D25" w:rsidRPr="001428E9" w:rsidRDefault="00F66D25" w:rsidP="00425BAC">
            <w:pPr>
              <w:jc w:val="center"/>
              <w:rPr>
                <w:rFonts w:ascii="Arial Narrow" w:hAnsi="Arial Narrow"/>
                <w:color w:val="333333"/>
                <w:sz w:val="20"/>
                <w:szCs w:val="20"/>
              </w:rPr>
            </w:pPr>
          </w:p>
        </w:tc>
        <w:tc>
          <w:tcPr>
            <w:tcW w:w="7745" w:type="dxa"/>
            <w:gridSpan w:val="6"/>
            <w:vAlign w:val="center"/>
            <w:hideMark/>
          </w:tcPr>
          <w:p w14:paraId="6929D474" w14:textId="77777777" w:rsidR="00F66D25" w:rsidRDefault="00F66D25" w:rsidP="00425BAC">
            <w:pPr>
              <w:rPr>
                <w:rFonts w:ascii="Arial Narrow" w:hAnsi="Arial Narrow"/>
                <w:sz w:val="20"/>
                <w:szCs w:val="20"/>
              </w:rPr>
            </w:pPr>
            <w:r w:rsidRPr="009A1B16">
              <w:rPr>
                <w:rFonts w:ascii="Arial Narrow" w:hAnsi="Arial Narrow"/>
                <w:sz w:val="20"/>
                <w:szCs w:val="20"/>
              </w:rPr>
              <w:t>Where this authority application seeks to continue treatment beyond the first 104 weeks of treatment, comprehensive assessment must be undertaken periodically and documented, involving the patient and the treating physician to establish agreement that treatment is continuing to produce a clinically meaningful response.</w:t>
            </w:r>
          </w:p>
          <w:p w14:paraId="04C85D5B" w14:textId="77777777" w:rsidR="00F66D25" w:rsidRDefault="00F66D25" w:rsidP="00425BAC">
            <w:pPr>
              <w:rPr>
                <w:rFonts w:ascii="Arial Narrow" w:hAnsi="Arial Narrow"/>
                <w:sz w:val="20"/>
                <w:szCs w:val="20"/>
              </w:rPr>
            </w:pPr>
            <w:r w:rsidRPr="009A1B16">
              <w:rPr>
                <w:rFonts w:ascii="Arial Narrow" w:hAnsi="Arial Narrow"/>
                <w:sz w:val="20"/>
                <w:szCs w:val="20"/>
              </w:rPr>
              <w:t>A clinically meaningful response is present where an improvement, stabilisation or minimal decline in symptoms has occurred as a result of this drug treatment and where there is agreement between the treating physician and patient over what constitutes improvement, stabilisation, or minimal decline.</w:t>
            </w:r>
          </w:p>
          <w:p w14:paraId="15B21F2A" w14:textId="77777777" w:rsidR="00F66D25" w:rsidRDefault="00F66D25" w:rsidP="00425BAC">
            <w:pPr>
              <w:rPr>
                <w:rFonts w:ascii="Arial Narrow" w:hAnsi="Arial Narrow"/>
                <w:sz w:val="20"/>
                <w:szCs w:val="20"/>
              </w:rPr>
            </w:pPr>
            <w:r w:rsidRPr="009A1B16">
              <w:rPr>
                <w:rFonts w:ascii="Arial Narrow" w:hAnsi="Arial Narrow"/>
                <w:sz w:val="20"/>
                <w:szCs w:val="20"/>
              </w:rPr>
              <w:t>PBS subsidy must cease if there is no agreement on whether a clinically meaningful response is present.</w:t>
            </w:r>
          </w:p>
          <w:p w14:paraId="6D623D16" w14:textId="77777777" w:rsidR="00F66D25" w:rsidRDefault="00F66D25" w:rsidP="00425BAC">
            <w:pPr>
              <w:rPr>
                <w:rFonts w:ascii="Arial Narrow" w:hAnsi="Arial Narrow"/>
                <w:sz w:val="20"/>
                <w:szCs w:val="20"/>
              </w:rPr>
            </w:pPr>
            <w:r w:rsidRPr="009A1B16">
              <w:rPr>
                <w:rFonts w:ascii="Arial Narrow" w:hAnsi="Arial Narrow"/>
                <w:sz w:val="20"/>
                <w:szCs w:val="20"/>
              </w:rPr>
              <w:t>Undertake re-assessments for a clinically meaningful response at least every six months. Document these re-assessments in the patient's medical records.</w:t>
            </w:r>
          </w:p>
          <w:p w14:paraId="6CCE62FC" w14:textId="77777777" w:rsidR="00F66D25" w:rsidRPr="00C02D56" w:rsidRDefault="00F66D25" w:rsidP="00425BAC">
            <w:pPr>
              <w:rPr>
                <w:rFonts w:ascii="Arial Narrow" w:hAnsi="Arial Narrow"/>
                <w:sz w:val="20"/>
                <w:szCs w:val="20"/>
              </w:rPr>
            </w:pPr>
            <w:r w:rsidRPr="009A1B16">
              <w:rPr>
                <w:rFonts w:ascii="Arial Narrow" w:hAnsi="Arial Narrow"/>
                <w:sz w:val="20"/>
                <w:szCs w:val="20"/>
              </w:rPr>
              <w:t>In undertaking comprehensive assessments, where practical, a clinically meaningful response assessment encompasses the patient's motor function as assessed using an instrument like the Revised Upper Limb Module (RULM), Hammersmith Functional Motor Scale - Expanded (HFMSE) or 6-minute walk test (6MWT), and the patient's quality of life including, but not limited to, level of independence. Quality of life may be informed by use of the SMA Health Index (SMA-HI) or SMA Functional Rating Scale (SMAFRS).</w:t>
            </w:r>
          </w:p>
        </w:tc>
      </w:tr>
      <w:tr w:rsidR="00F66D25" w:rsidRPr="001428E9" w14:paraId="18E315E5"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EBF7C6" w14:textId="77777777" w:rsidR="00F66D25" w:rsidRDefault="00F66D25" w:rsidP="00425BAC">
            <w:pPr>
              <w:jc w:val="center"/>
              <w:rPr>
                <w:rFonts w:ascii="Arial Narrow" w:hAnsi="Arial Narrow"/>
                <w:color w:val="333333"/>
                <w:sz w:val="20"/>
                <w:szCs w:val="20"/>
              </w:rPr>
            </w:pPr>
          </w:p>
        </w:tc>
        <w:tc>
          <w:tcPr>
            <w:tcW w:w="7745" w:type="dxa"/>
            <w:gridSpan w:val="6"/>
            <w:vAlign w:val="center"/>
          </w:tcPr>
          <w:p w14:paraId="108D542E" w14:textId="77777777" w:rsidR="00F66D25" w:rsidRPr="009A1B16" w:rsidRDefault="00F66D25" w:rsidP="00425BAC">
            <w:pPr>
              <w:rPr>
                <w:rFonts w:ascii="Arial Narrow" w:hAnsi="Arial Narrow"/>
                <w:sz w:val="20"/>
                <w:szCs w:val="20"/>
              </w:rPr>
            </w:pPr>
            <w:r w:rsidRPr="007816E7">
              <w:rPr>
                <w:rFonts w:ascii="Arial Narrow" w:hAnsi="Arial Narrow"/>
                <w:b/>
                <w:bCs/>
                <w:i/>
                <w:iCs/>
                <w:color w:val="333333"/>
                <w:sz w:val="20"/>
                <w:szCs w:val="20"/>
              </w:rPr>
              <w:t>Administrative Advice</w:t>
            </w:r>
          </w:p>
        </w:tc>
      </w:tr>
      <w:tr w:rsidR="00F66D25" w:rsidRPr="00034A92" w14:paraId="2727F782" w14:textId="77777777" w:rsidTr="004C735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ACBB9F9" w14:textId="3976CC27" w:rsidR="00F66D25" w:rsidRPr="00034A92" w:rsidRDefault="00F66D25" w:rsidP="00425BAC">
            <w:pPr>
              <w:jc w:val="center"/>
              <w:rPr>
                <w:rFonts w:ascii="Arial Narrow" w:hAnsi="Arial Narrow"/>
                <w:color w:val="333333"/>
                <w:sz w:val="20"/>
                <w:szCs w:val="20"/>
              </w:rPr>
            </w:pPr>
          </w:p>
        </w:tc>
        <w:tc>
          <w:tcPr>
            <w:tcW w:w="7745" w:type="dxa"/>
            <w:gridSpan w:val="6"/>
            <w:vAlign w:val="center"/>
            <w:hideMark/>
          </w:tcPr>
          <w:p w14:paraId="54AA5FBF" w14:textId="77777777" w:rsidR="00F66D25" w:rsidRPr="00034A92" w:rsidRDefault="00F66D25" w:rsidP="00425BAC">
            <w:pPr>
              <w:rPr>
                <w:rFonts w:ascii="Arial Narrow" w:hAnsi="Arial Narrow"/>
                <w:color w:val="333333"/>
                <w:sz w:val="20"/>
                <w:szCs w:val="20"/>
              </w:rPr>
            </w:pPr>
            <w:r w:rsidRPr="00034A92">
              <w:rPr>
                <w:rFonts w:ascii="Arial Narrow" w:hAnsi="Arial Narrow"/>
                <w:sz w:val="20"/>
                <w:szCs w:val="20"/>
              </w:rPr>
              <w:t>Literature references for various instruments measuring motor function and quality of life in the context of spinal muscular atrophy are:, Revised Upper Limb Module, Mazzone et al. 2017. Revised upper limb module for spinal muscular atrophy: Development of a new module. Muscle &amp; Nerve 55(6):869-874, Hammersmith Functional Motor Scale - Expanded, Ramsey et al. 2017. Revised Hammersmith Scale for spinal muscular atrophy: A SMA specific clinical outcome assessment tool. PLoS ONE 12(2): e0172346. doi:10.1371/journal.pone.0172346., 6-Minute Walk Test (6MWT), American Thoracic Society. 2002. ATS statement: Guidelines for the six-minute walk test. American Journal of Respiratory and Critical Care Medicine 166(1), pp 111-117, The National Hearth Foundation of Australia has 6MWT test standardised instructions and recording forms located at: https://www.heartonline.org.au/resources/documents-and-links#exercise, SMA Health Index, Zizzi et al. 2021. The Spinal Muscular Atrophy Health Index (SMA-HI): A Novel Outcome for Measuring How a Patient Feels and Functions. Muscle &amp; Nerve 63(10), pp 837-844, SMA Functional Rating Scale, Elsheikh et al. 2018. Reliability of Spinal Muscular Atrophy Functional Rating Scale (SMAFRS) in Ambulatory Adults with Spinal Muscular Atrophy. Neurology April (15 Supplement) P4.452</w:t>
            </w:r>
          </w:p>
        </w:tc>
      </w:tr>
      <w:tr w:rsidR="00F66D25" w:rsidRPr="001428E9" w14:paraId="211F8FCE"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62594D" w14:textId="1D82CEE9" w:rsidR="00F66D25" w:rsidRPr="001428E9" w:rsidRDefault="00F66D25" w:rsidP="00425BAC">
            <w:pPr>
              <w:jc w:val="center"/>
              <w:rPr>
                <w:rFonts w:ascii="Arial Narrow" w:hAnsi="Arial Narrow"/>
                <w:color w:val="333333"/>
                <w:sz w:val="20"/>
                <w:szCs w:val="20"/>
              </w:rPr>
            </w:pPr>
          </w:p>
        </w:tc>
        <w:tc>
          <w:tcPr>
            <w:tcW w:w="7745" w:type="dxa"/>
            <w:gridSpan w:val="6"/>
            <w:vAlign w:val="center"/>
          </w:tcPr>
          <w:p w14:paraId="2308BBF6" w14:textId="77777777" w:rsidR="00F66D25" w:rsidRPr="001428E9" w:rsidRDefault="00F66D25" w:rsidP="00425BAC">
            <w:pPr>
              <w:rPr>
                <w:rFonts w:ascii="Arial Narrow" w:hAnsi="Arial Narrow"/>
                <w:bCs/>
                <w:color w:val="333333"/>
                <w:sz w:val="20"/>
                <w:szCs w:val="20"/>
              </w:rPr>
            </w:pPr>
            <w:r w:rsidRPr="001428E9">
              <w:rPr>
                <w:rFonts w:ascii="Arial Narrow" w:hAnsi="Arial Narrow"/>
                <w:b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52DC9798" w14:textId="77777777" w:rsidR="00F66D25" w:rsidRDefault="00F66D25" w:rsidP="00F66D25"/>
    <w:p w14:paraId="73B0802D" w14:textId="77777777" w:rsidR="00F66D25" w:rsidRPr="000932E7" w:rsidRDefault="00F66D25" w:rsidP="00F66D25">
      <w:pPr>
        <w:keepNext/>
        <w:keepLines/>
        <w:spacing w:after="120"/>
        <w:rPr>
          <w:rFonts w:asciiTheme="minorHAnsi" w:hAnsiTheme="minorHAnsi" w:cstheme="minorHAnsi"/>
          <w:u w:val="single"/>
        </w:rPr>
      </w:pPr>
      <w:r w:rsidRPr="000932E7">
        <w:rPr>
          <w:rFonts w:asciiTheme="minorHAnsi" w:hAnsiTheme="minorHAnsi" w:cstheme="minorHAnsi"/>
          <w:u w:val="single"/>
        </w:rPr>
        <w:t xml:space="preserve">Population </w:t>
      </w:r>
      <w:r>
        <w:rPr>
          <w:rFonts w:asciiTheme="minorHAnsi" w:hAnsiTheme="minorHAnsi" w:cstheme="minorHAnsi"/>
          <w:u w:val="single"/>
        </w:rPr>
        <w:t>2/3</w:t>
      </w:r>
      <w:r w:rsidRPr="000932E7">
        <w:rPr>
          <w:rFonts w:asciiTheme="minorHAnsi" w:hAnsiTheme="minorHAnsi" w:cstheme="minorHAnsi"/>
          <w:u w:val="single"/>
        </w:rPr>
        <w:t xml:space="preserve"> – </w:t>
      </w:r>
      <w:r>
        <w:rPr>
          <w:rFonts w:asciiTheme="minorHAnsi" w:hAnsiTheme="minorHAnsi" w:cstheme="minorHAnsi"/>
          <w:u w:val="single"/>
        </w:rPr>
        <w:t>paediatric, pre-symptomatic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09"/>
        <w:gridCol w:w="2668"/>
        <w:gridCol w:w="811"/>
        <w:gridCol w:w="812"/>
        <w:gridCol w:w="811"/>
        <w:gridCol w:w="812"/>
        <w:gridCol w:w="1831"/>
      </w:tblGrid>
      <w:tr w:rsidR="00F66D25" w:rsidRPr="001428E9" w14:paraId="1E03B15B" w14:textId="77777777" w:rsidTr="00034A92">
        <w:trPr>
          <w:cantSplit/>
          <w:trHeight w:val="20"/>
        </w:trPr>
        <w:tc>
          <w:tcPr>
            <w:tcW w:w="3940" w:type="dxa"/>
            <w:gridSpan w:val="3"/>
            <w:vAlign w:val="center"/>
          </w:tcPr>
          <w:p w14:paraId="55323602" w14:textId="77777777" w:rsidR="00F66D25" w:rsidRPr="001428E9" w:rsidRDefault="00F66D25" w:rsidP="00425BAC">
            <w:pPr>
              <w:keepNext/>
              <w:keepLines/>
              <w:rPr>
                <w:rFonts w:ascii="Arial Narrow" w:hAnsi="Arial Narrow"/>
                <w:b/>
                <w:bCs/>
                <w:sz w:val="20"/>
                <w:szCs w:val="20"/>
              </w:rPr>
            </w:pPr>
            <w:r w:rsidRPr="001428E9">
              <w:rPr>
                <w:rFonts w:ascii="Arial Narrow" w:hAnsi="Arial Narrow"/>
                <w:b/>
                <w:bCs/>
                <w:sz w:val="20"/>
                <w:szCs w:val="20"/>
              </w:rPr>
              <w:t>MEDICINAL PRODUCT</w:t>
            </w:r>
          </w:p>
          <w:p w14:paraId="024EC7B7" w14:textId="77777777" w:rsidR="00F66D25" w:rsidRPr="001428E9" w:rsidRDefault="00F66D25" w:rsidP="00425BAC">
            <w:pPr>
              <w:keepNext/>
              <w:keepLines/>
              <w:rPr>
                <w:rFonts w:ascii="Arial Narrow" w:hAnsi="Arial Narrow"/>
                <w:b/>
                <w:sz w:val="20"/>
                <w:szCs w:val="20"/>
              </w:rPr>
            </w:pPr>
            <w:r w:rsidRPr="001428E9">
              <w:rPr>
                <w:rFonts w:ascii="Arial Narrow" w:hAnsi="Arial Narrow"/>
                <w:b/>
                <w:bCs/>
                <w:sz w:val="20"/>
                <w:szCs w:val="20"/>
              </w:rPr>
              <w:t>medicinal product pack</w:t>
            </w:r>
          </w:p>
        </w:tc>
        <w:tc>
          <w:tcPr>
            <w:tcW w:w="811" w:type="dxa"/>
            <w:vAlign w:val="center"/>
          </w:tcPr>
          <w:p w14:paraId="23507AEB" w14:textId="77777777" w:rsidR="00F66D25" w:rsidRPr="001428E9" w:rsidRDefault="00F66D25" w:rsidP="00425BAC">
            <w:pPr>
              <w:keepNext/>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61884F21" w14:textId="77777777" w:rsidR="00F66D25" w:rsidRPr="001428E9" w:rsidRDefault="00F66D25" w:rsidP="00425BAC">
            <w:pPr>
              <w:keepNext/>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455099F4" w14:textId="77777777" w:rsidR="00F66D25" w:rsidRPr="001428E9" w:rsidRDefault="00F66D25" w:rsidP="00425BAC">
            <w:pPr>
              <w:keepNext/>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402EEDDF" w14:textId="77777777" w:rsidR="00F66D25" w:rsidRPr="001428E9" w:rsidRDefault="00F66D25" w:rsidP="00425BAC">
            <w:pPr>
              <w:keepNext/>
              <w:keepLines/>
              <w:jc w:val="center"/>
              <w:rPr>
                <w:rFonts w:ascii="Arial Narrow" w:hAnsi="Arial Narrow"/>
                <w:b/>
                <w:sz w:val="20"/>
                <w:szCs w:val="20"/>
              </w:rPr>
            </w:pPr>
            <w:r w:rsidRPr="001428E9">
              <w:rPr>
                <w:rFonts w:ascii="Arial Narrow" w:hAnsi="Arial Narrow"/>
                <w:b/>
                <w:sz w:val="20"/>
                <w:szCs w:val="20"/>
              </w:rPr>
              <w:t>№.of</w:t>
            </w:r>
          </w:p>
          <w:p w14:paraId="636861BF" w14:textId="77777777" w:rsidR="00F66D25" w:rsidRPr="001428E9" w:rsidRDefault="00F66D25" w:rsidP="00425BAC">
            <w:pPr>
              <w:keepNext/>
              <w:keepLines/>
              <w:jc w:val="center"/>
              <w:rPr>
                <w:rFonts w:ascii="Arial Narrow" w:hAnsi="Arial Narrow"/>
                <w:b/>
                <w:sz w:val="20"/>
                <w:szCs w:val="20"/>
              </w:rPr>
            </w:pPr>
            <w:r w:rsidRPr="001428E9">
              <w:rPr>
                <w:rFonts w:ascii="Arial Narrow" w:hAnsi="Arial Narrow"/>
                <w:b/>
                <w:sz w:val="20"/>
                <w:szCs w:val="20"/>
              </w:rPr>
              <w:t>Rpts</w:t>
            </w:r>
          </w:p>
        </w:tc>
        <w:tc>
          <w:tcPr>
            <w:tcW w:w="1831" w:type="dxa"/>
            <w:vAlign w:val="center"/>
          </w:tcPr>
          <w:p w14:paraId="367ABF25" w14:textId="77777777" w:rsidR="00F66D25" w:rsidRPr="001428E9" w:rsidRDefault="00F66D25" w:rsidP="00425BAC">
            <w:pPr>
              <w:keepNext/>
              <w:keepLines/>
              <w:rPr>
                <w:rFonts w:ascii="Arial Narrow" w:hAnsi="Arial Narrow"/>
                <w:b/>
                <w:sz w:val="20"/>
                <w:szCs w:val="20"/>
                <w:lang w:val="fr-FR"/>
              </w:rPr>
            </w:pPr>
            <w:r w:rsidRPr="001428E9">
              <w:rPr>
                <w:rFonts w:ascii="Arial Narrow" w:hAnsi="Arial Narrow"/>
                <w:b/>
                <w:sz w:val="20"/>
                <w:szCs w:val="20"/>
              </w:rPr>
              <w:t>Available brands</w:t>
            </w:r>
          </w:p>
        </w:tc>
      </w:tr>
      <w:tr w:rsidR="00F66D25" w:rsidRPr="001428E9" w14:paraId="373762DD" w14:textId="77777777" w:rsidTr="00034A92">
        <w:trPr>
          <w:cantSplit/>
          <w:trHeight w:val="20"/>
        </w:trPr>
        <w:tc>
          <w:tcPr>
            <w:tcW w:w="9017" w:type="dxa"/>
            <w:gridSpan w:val="8"/>
            <w:vAlign w:val="center"/>
          </w:tcPr>
          <w:p w14:paraId="0EB7AB68" w14:textId="77777777" w:rsidR="00F66D25" w:rsidRPr="00775F24" w:rsidRDefault="00F66D25" w:rsidP="00425BAC">
            <w:pPr>
              <w:keepLines/>
              <w:rPr>
                <w:rFonts w:ascii="Arial Narrow" w:hAnsi="Arial Narrow"/>
                <w:caps/>
                <w:sz w:val="20"/>
                <w:szCs w:val="20"/>
              </w:rPr>
            </w:pPr>
            <w:r w:rsidRPr="00775F24">
              <w:rPr>
                <w:rFonts w:ascii="Arial Narrow" w:hAnsi="Arial Narrow"/>
                <w:caps/>
                <w:sz w:val="20"/>
                <w:szCs w:val="20"/>
              </w:rPr>
              <w:t>Risdiplam</w:t>
            </w:r>
          </w:p>
        </w:tc>
      </w:tr>
      <w:tr w:rsidR="00F66D25" w:rsidRPr="001428E9" w14:paraId="27BE5A91" w14:textId="77777777" w:rsidTr="00034A92">
        <w:trPr>
          <w:cantSplit/>
          <w:trHeight w:val="20"/>
        </w:trPr>
        <w:tc>
          <w:tcPr>
            <w:tcW w:w="9017" w:type="dxa"/>
            <w:gridSpan w:val="8"/>
            <w:vAlign w:val="center"/>
          </w:tcPr>
          <w:p w14:paraId="62D886F5" w14:textId="77777777" w:rsidR="00F66D25" w:rsidRDefault="00F66D25" w:rsidP="00425BAC">
            <w:pPr>
              <w:keepLines/>
              <w:rPr>
                <w:rFonts w:ascii="Arial Narrow" w:hAnsi="Arial Narrow"/>
                <w:sz w:val="20"/>
                <w:szCs w:val="20"/>
              </w:rPr>
            </w:pPr>
          </w:p>
        </w:tc>
      </w:tr>
      <w:tr w:rsidR="00F66D25" w:rsidRPr="001428E9" w14:paraId="4776F4F8" w14:textId="77777777" w:rsidTr="00034A92">
        <w:trPr>
          <w:cantSplit/>
          <w:trHeight w:val="20"/>
        </w:trPr>
        <w:tc>
          <w:tcPr>
            <w:tcW w:w="3940" w:type="dxa"/>
            <w:gridSpan w:val="3"/>
            <w:vAlign w:val="center"/>
          </w:tcPr>
          <w:p w14:paraId="4CA5464A" w14:textId="77777777" w:rsidR="00F66D25" w:rsidRPr="001428E9" w:rsidRDefault="00F66D25" w:rsidP="00425BAC">
            <w:pPr>
              <w:keepLines/>
              <w:rPr>
                <w:rFonts w:ascii="Arial Narrow" w:hAnsi="Arial Narrow"/>
                <w:sz w:val="20"/>
                <w:szCs w:val="20"/>
              </w:rPr>
            </w:pPr>
            <w:r w:rsidRPr="00A310BB">
              <w:rPr>
                <w:rFonts w:ascii="Arial Narrow" w:hAnsi="Arial Narrow"/>
                <w:sz w:val="20"/>
                <w:szCs w:val="20"/>
              </w:rPr>
              <w:t>risdiplam 750 microgram/mL powder for oral liquid, 80 mL</w:t>
            </w:r>
          </w:p>
        </w:tc>
        <w:tc>
          <w:tcPr>
            <w:tcW w:w="811" w:type="dxa"/>
            <w:vAlign w:val="center"/>
          </w:tcPr>
          <w:p w14:paraId="7B866802" w14:textId="77777777" w:rsidR="00F66D25" w:rsidRPr="001428E9" w:rsidRDefault="00F66D25" w:rsidP="00425BAC">
            <w:pPr>
              <w:keepLines/>
              <w:jc w:val="center"/>
              <w:rPr>
                <w:rFonts w:ascii="Arial Narrow" w:hAnsi="Arial Narrow"/>
                <w:sz w:val="20"/>
                <w:szCs w:val="20"/>
              </w:rPr>
            </w:pPr>
            <w:r w:rsidRPr="001428E9">
              <w:rPr>
                <w:rFonts w:ascii="Arial Narrow" w:hAnsi="Arial Narrow"/>
                <w:sz w:val="20"/>
                <w:szCs w:val="20"/>
              </w:rPr>
              <w:t>NEW</w:t>
            </w:r>
          </w:p>
        </w:tc>
        <w:tc>
          <w:tcPr>
            <w:tcW w:w="812" w:type="dxa"/>
            <w:vAlign w:val="center"/>
          </w:tcPr>
          <w:p w14:paraId="6E5120D7" w14:textId="77777777" w:rsidR="00F66D25" w:rsidRPr="001428E9" w:rsidRDefault="00F66D25" w:rsidP="00425BAC">
            <w:pPr>
              <w:keepLines/>
              <w:jc w:val="center"/>
              <w:rPr>
                <w:rFonts w:ascii="Arial Narrow" w:hAnsi="Arial Narrow"/>
                <w:sz w:val="20"/>
                <w:szCs w:val="20"/>
              </w:rPr>
            </w:pPr>
            <w:r>
              <w:rPr>
                <w:rFonts w:ascii="Arial Narrow" w:hAnsi="Arial Narrow"/>
                <w:sz w:val="20"/>
                <w:szCs w:val="20"/>
              </w:rPr>
              <w:t>1</w:t>
            </w:r>
          </w:p>
        </w:tc>
        <w:tc>
          <w:tcPr>
            <w:tcW w:w="811" w:type="dxa"/>
            <w:vAlign w:val="center"/>
          </w:tcPr>
          <w:p w14:paraId="3965CBB8" w14:textId="77777777" w:rsidR="00F66D25" w:rsidRPr="001428E9" w:rsidRDefault="00F66D25" w:rsidP="00425BAC">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1145362D" w14:textId="77777777" w:rsidR="00F66D25" w:rsidRPr="001428E9" w:rsidRDefault="00F66D25" w:rsidP="00425BAC">
            <w:pPr>
              <w:keepLines/>
              <w:jc w:val="center"/>
              <w:rPr>
                <w:rFonts w:ascii="Arial Narrow" w:hAnsi="Arial Narrow"/>
                <w:sz w:val="20"/>
                <w:szCs w:val="20"/>
              </w:rPr>
            </w:pPr>
            <w:r>
              <w:rPr>
                <w:rFonts w:ascii="Arial Narrow" w:hAnsi="Arial Narrow"/>
                <w:sz w:val="20"/>
                <w:szCs w:val="20"/>
              </w:rPr>
              <w:t>0</w:t>
            </w:r>
          </w:p>
        </w:tc>
        <w:tc>
          <w:tcPr>
            <w:tcW w:w="1831" w:type="dxa"/>
            <w:vAlign w:val="center"/>
          </w:tcPr>
          <w:p w14:paraId="273C1824" w14:textId="77777777" w:rsidR="00F66D25" w:rsidRPr="001428E9" w:rsidRDefault="00F66D25" w:rsidP="00425BAC">
            <w:pPr>
              <w:keepLines/>
              <w:rPr>
                <w:rFonts w:ascii="Arial Narrow" w:hAnsi="Arial Narrow"/>
                <w:sz w:val="20"/>
                <w:szCs w:val="20"/>
              </w:rPr>
            </w:pPr>
            <w:r>
              <w:rPr>
                <w:rFonts w:ascii="Arial Narrow" w:hAnsi="Arial Narrow"/>
                <w:sz w:val="20"/>
                <w:szCs w:val="20"/>
              </w:rPr>
              <w:t>Evrysdi</w:t>
            </w:r>
          </w:p>
        </w:tc>
      </w:tr>
      <w:tr w:rsidR="00F66D25" w:rsidRPr="001428E9" w14:paraId="63B6293A" w14:textId="77777777" w:rsidTr="00034A92">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39A0AA68" w14:textId="77777777" w:rsidR="00F66D25" w:rsidRPr="001428E9" w:rsidRDefault="00F66D25" w:rsidP="00425BAC">
            <w:pPr>
              <w:rPr>
                <w:rFonts w:ascii="Arial Narrow" w:hAnsi="Arial Narrow"/>
                <w:sz w:val="20"/>
                <w:szCs w:val="20"/>
              </w:rPr>
            </w:pPr>
          </w:p>
        </w:tc>
      </w:tr>
      <w:tr w:rsidR="00F66D25" w:rsidRPr="001428E9" w14:paraId="045691F7" w14:textId="77777777" w:rsidTr="00034A92">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5E5880EB" w14:textId="3DB58AD4" w:rsidR="00F66D25" w:rsidRPr="001428E9" w:rsidRDefault="00F66D25" w:rsidP="00425BAC">
            <w:pPr>
              <w:keepLines/>
              <w:rPr>
                <w:rFonts w:ascii="Arial Narrow" w:hAnsi="Arial Narrow"/>
                <w:b/>
                <w:sz w:val="20"/>
                <w:szCs w:val="20"/>
              </w:rPr>
            </w:pPr>
            <w:r w:rsidRPr="001428E9">
              <w:rPr>
                <w:rFonts w:ascii="Arial Narrow" w:hAnsi="Arial Narrow"/>
                <w:b/>
                <w:sz w:val="20"/>
                <w:szCs w:val="20"/>
              </w:rPr>
              <w:t xml:space="preserve">Restriction Summary </w:t>
            </w:r>
          </w:p>
        </w:tc>
      </w:tr>
      <w:tr w:rsidR="00F66D25" w:rsidRPr="001428E9" w14:paraId="65CD63AE" w14:textId="77777777" w:rsidTr="00034A92">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082A5500" w14:textId="77777777" w:rsidR="00F66D25" w:rsidRPr="001428E9" w:rsidRDefault="00F66D25" w:rsidP="00425BAC">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B0B912D" w14:textId="77777777" w:rsidR="00F66D25" w:rsidRPr="001428E9" w:rsidRDefault="00F66D25" w:rsidP="00425BAC">
            <w:pPr>
              <w:keepLines/>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Section 100 – Highly Specialised Drugs Program</w:t>
            </w:r>
          </w:p>
        </w:tc>
      </w:tr>
      <w:tr w:rsidR="00F66D25" w:rsidRPr="001428E9" w14:paraId="36209811" w14:textId="77777777" w:rsidTr="00034A92">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1375FF7A" w14:textId="77777777" w:rsidR="00F66D25" w:rsidRPr="001428E9" w:rsidRDefault="00F66D25" w:rsidP="00425BAC">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0D6A910" w14:textId="77777777" w:rsidR="00F66D25" w:rsidRPr="001428E9" w:rsidRDefault="00F66D25" w:rsidP="00425BAC">
            <w:pPr>
              <w:keepLines/>
              <w:rPr>
                <w:rFonts w:ascii="Arial Narrow" w:hAnsi="Arial Narrow"/>
                <w:b/>
                <w:sz w:val="20"/>
                <w:szCs w:val="20"/>
              </w:rPr>
            </w:pPr>
            <w:r w:rsidRPr="001428E9">
              <w:rPr>
                <w:rFonts w:ascii="Arial Narrow" w:hAnsi="Arial Narrow"/>
                <w:b/>
                <w:sz w:val="20"/>
                <w:szCs w:val="20"/>
              </w:rPr>
              <w:t xml:space="preserve">Prescriber type: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D45640">
              <w:rPr>
                <w:rFonts w:ascii="Arial Narrow" w:hAnsi="Arial Narrow"/>
                <w:sz w:val="20"/>
                <w:szCs w:val="20"/>
              </w:rPr>
            </w:r>
            <w:r w:rsidR="00D45640">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F66D25" w:rsidRPr="001428E9" w14:paraId="450348CC" w14:textId="77777777" w:rsidTr="00034A92">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1B768212" w14:textId="77777777" w:rsidR="00F66D25" w:rsidRPr="001428E9" w:rsidRDefault="00F66D25" w:rsidP="00425BAC">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C68A15D" w14:textId="77777777" w:rsidR="00F66D25" w:rsidRPr="002A361A" w:rsidRDefault="00F66D25" w:rsidP="00F66D25">
            <w:pPr>
              <w:keepLines/>
              <w:jc w:val="left"/>
              <w:rPr>
                <w:rFonts w:ascii="Arial Narrow" w:eastAsia="Calibri" w:hAnsi="Arial Narrow"/>
                <w:sz w:val="20"/>
                <w:szCs w:val="20"/>
              </w:rPr>
            </w:pPr>
            <w:r w:rsidRPr="001428E9">
              <w:rPr>
                <w:rFonts w:ascii="Arial Narrow" w:hAnsi="Arial Narrow"/>
                <w:b/>
                <w:sz w:val="20"/>
                <w:szCs w:val="20"/>
              </w:rPr>
              <w:t xml:space="preserve">Restriction type: </w:t>
            </w:r>
            <w:r>
              <w:rPr>
                <w:rFonts w:ascii="Arial Narrow" w:eastAsia="Calibri" w:hAnsi="Arial Narrow"/>
                <w:color w:val="FF0000"/>
                <w:sz w:val="20"/>
                <w:szCs w:val="20"/>
              </w:rPr>
              <w:br/>
            </w: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sidR="00D45640">
              <w:rPr>
                <w:rFonts w:ascii="Arial Narrow" w:eastAsia="Calibri" w:hAnsi="Arial Narrow"/>
                <w:sz w:val="20"/>
                <w:szCs w:val="20"/>
              </w:rPr>
            </w:r>
            <w:r w:rsidR="00D45640">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(in writing only via post/HPOS upload)</w:t>
            </w:r>
          </w:p>
        </w:tc>
      </w:tr>
      <w:tr w:rsidR="00F66D25" w:rsidRPr="00034A92" w14:paraId="2DA3BD06" w14:textId="77777777" w:rsidTr="00034A92">
        <w:tblPrEx>
          <w:tblCellMar>
            <w:top w:w="15" w:type="dxa"/>
            <w:bottom w:w="15" w:type="dxa"/>
          </w:tblCellMar>
          <w:tblLook w:val="04A0" w:firstRow="1" w:lastRow="0" w:firstColumn="1" w:lastColumn="0" w:noHBand="0" w:noVBand="1"/>
        </w:tblPrEx>
        <w:trPr>
          <w:trHeight w:val="20"/>
        </w:trPr>
        <w:tc>
          <w:tcPr>
            <w:tcW w:w="563" w:type="dxa"/>
            <w:vMerge w:val="restart"/>
            <w:tcBorders>
              <w:left w:val="single" w:sz="4" w:space="0" w:color="auto"/>
              <w:right w:val="single" w:sz="4" w:space="0" w:color="auto"/>
            </w:tcBorders>
            <w:textDirection w:val="btLr"/>
            <w:vAlign w:val="center"/>
          </w:tcPr>
          <w:p w14:paraId="2A0C960C" w14:textId="77777777" w:rsidR="00F66D25" w:rsidRPr="00034A92" w:rsidRDefault="00F66D25" w:rsidP="00F66D25">
            <w:pPr>
              <w:keepNext/>
              <w:keepLines/>
              <w:jc w:val="center"/>
              <w:rPr>
                <w:rFonts w:ascii="Arial Narrow" w:hAnsi="Arial Narrow"/>
                <w:sz w:val="20"/>
                <w:szCs w:val="20"/>
              </w:rPr>
            </w:pPr>
            <w:r w:rsidRPr="00034A92">
              <w:rPr>
                <w:rFonts w:ascii="Arial Narrow" w:hAnsi="Arial Narrow"/>
                <w:sz w:val="20"/>
                <w:szCs w:val="20"/>
              </w:rPr>
              <w:lastRenderedPageBreak/>
              <w:t>Prescribing rule level</w:t>
            </w:r>
          </w:p>
        </w:tc>
        <w:tc>
          <w:tcPr>
            <w:tcW w:w="709" w:type="dxa"/>
            <w:vAlign w:val="center"/>
          </w:tcPr>
          <w:p w14:paraId="3FE51F54" w14:textId="3BB749B4" w:rsidR="00F66D25" w:rsidRPr="00034A92" w:rsidRDefault="00F66D25" w:rsidP="00F66D25">
            <w:pPr>
              <w:keepNext/>
              <w:keepLines/>
              <w:jc w:val="center"/>
              <w:rPr>
                <w:rFonts w:ascii="Arial Narrow" w:hAnsi="Arial Narrow"/>
                <w:color w:val="333333"/>
                <w:sz w:val="20"/>
                <w:szCs w:val="20"/>
              </w:rPr>
            </w:pPr>
          </w:p>
        </w:tc>
        <w:tc>
          <w:tcPr>
            <w:tcW w:w="7745" w:type="dxa"/>
            <w:gridSpan w:val="6"/>
            <w:vAlign w:val="center"/>
          </w:tcPr>
          <w:p w14:paraId="53EFB29B" w14:textId="77777777" w:rsidR="00F66D25" w:rsidRPr="00034A92" w:rsidRDefault="00F66D25" w:rsidP="00F66D25">
            <w:pPr>
              <w:keepNext/>
              <w:keepLines/>
              <w:rPr>
                <w:rFonts w:ascii="Arial Narrow" w:hAnsi="Arial Narrow"/>
                <w:color w:val="333333"/>
                <w:sz w:val="20"/>
                <w:szCs w:val="20"/>
              </w:rPr>
            </w:pPr>
            <w:r w:rsidRPr="00034A92">
              <w:rPr>
                <w:rFonts w:ascii="Arial Narrow" w:hAnsi="Arial Narrow"/>
                <w:b/>
                <w:bCs/>
                <w:color w:val="333333"/>
                <w:sz w:val="20"/>
                <w:szCs w:val="20"/>
              </w:rPr>
              <w:t>Administrative Advice:</w:t>
            </w:r>
            <w:r w:rsidRPr="00034A92">
              <w:rPr>
                <w:rFonts w:ascii="Arial Narrow" w:hAnsi="Arial Narrow"/>
                <w:color w:val="333333"/>
                <w:sz w:val="20"/>
                <w:szCs w:val="20"/>
              </w:rPr>
              <w:t xml:space="preserve"> </w:t>
            </w:r>
            <w:r w:rsidRPr="00034A92">
              <w:rPr>
                <w:rFonts w:ascii="Arial Narrow" w:eastAsia="Calibri" w:hAnsi="Arial Narrow"/>
                <w:sz w:val="20"/>
                <w:szCs w:val="20"/>
              </w:rPr>
              <w:t>No increase in the maximum quantity or number of units may be authorised.</w:t>
            </w:r>
          </w:p>
        </w:tc>
      </w:tr>
      <w:tr w:rsidR="00F66D25" w:rsidRPr="00034A92" w14:paraId="48DCF6ED" w14:textId="77777777" w:rsidTr="00034A92">
        <w:tblPrEx>
          <w:tblCellMar>
            <w:top w:w="15" w:type="dxa"/>
            <w:bottom w:w="15" w:type="dxa"/>
          </w:tblCellMar>
          <w:tblLook w:val="04A0" w:firstRow="1" w:lastRow="0" w:firstColumn="1" w:lastColumn="0" w:noHBand="0" w:noVBand="1"/>
        </w:tblPrEx>
        <w:trPr>
          <w:trHeight w:val="20"/>
        </w:trPr>
        <w:tc>
          <w:tcPr>
            <w:tcW w:w="563" w:type="dxa"/>
            <w:vMerge/>
            <w:tcBorders>
              <w:left w:val="single" w:sz="4" w:space="0" w:color="auto"/>
              <w:right w:val="single" w:sz="4" w:space="0" w:color="auto"/>
            </w:tcBorders>
          </w:tcPr>
          <w:p w14:paraId="7D976B6A" w14:textId="77777777" w:rsidR="00F66D25" w:rsidRPr="00034A92" w:rsidRDefault="00F66D25" w:rsidP="00F66D25">
            <w:pPr>
              <w:keepNext/>
              <w:keepLines/>
              <w:rPr>
                <w:rFonts w:ascii="Arial Narrow" w:hAnsi="Arial Narrow"/>
                <w:sz w:val="20"/>
                <w:szCs w:val="20"/>
              </w:rPr>
            </w:pPr>
          </w:p>
        </w:tc>
        <w:tc>
          <w:tcPr>
            <w:tcW w:w="709" w:type="dxa"/>
            <w:vAlign w:val="center"/>
          </w:tcPr>
          <w:p w14:paraId="3500B25A" w14:textId="01934CEB" w:rsidR="00F66D25" w:rsidRPr="00034A92" w:rsidRDefault="00F66D25" w:rsidP="00F66D25">
            <w:pPr>
              <w:keepNext/>
              <w:keepLines/>
              <w:jc w:val="center"/>
              <w:rPr>
                <w:rFonts w:ascii="Arial Narrow" w:hAnsi="Arial Narrow"/>
                <w:color w:val="333333"/>
                <w:sz w:val="20"/>
                <w:szCs w:val="20"/>
              </w:rPr>
            </w:pPr>
          </w:p>
        </w:tc>
        <w:tc>
          <w:tcPr>
            <w:tcW w:w="7745" w:type="dxa"/>
            <w:gridSpan w:val="6"/>
            <w:vAlign w:val="center"/>
          </w:tcPr>
          <w:p w14:paraId="76C6EF73" w14:textId="77777777" w:rsidR="00F66D25" w:rsidRPr="00034A92" w:rsidRDefault="00F66D25" w:rsidP="00F66D25">
            <w:pPr>
              <w:keepNext/>
              <w:keepLines/>
              <w:rPr>
                <w:rFonts w:ascii="Arial Narrow" w:hAnsi="Arial Narrow"/>
                <w:b/>
                <w:bCs/>
                <w:color w:val="333333"/>
                <w:sz w:val="20"/>
                <w:szCs w:val="20"/>
              </w:rPr>
            </w:pPr>
            <w:r w:rsidRPr="00034A92">
              <w:rPr>
                <w:rFonts w:ascii="Arial Narrow" w:hAnsi="Arial Narrow"/>
                <w:b/>
                <w:bCs/>
                <w:color w:val="333333"/>
                <w:sz w:val="20"/>
                <w:szCs w:val="20"/>
              </w:rPr>
              <w:t xml:space="preserve">Administrative Advice: </w:t>
            </w:r>
            <w:r w:rsidRPr="00034A92">
              <w:rPr>
                <w:rFonts w:ascii="Arial Narrow" w:eastAsia="Calibri" w:hAnsi="Arial Narrow"/>
                <w:sz w:val="20"/>
                <w:szCs w:val="20"/>
              </w:rPr>
              <w:t>No increase in the maximum number of repeats may be authorised.</w:t>
            </w:r>
          </w:p>
        </w:tc>
      </w:tr>
      <w:tr w:rsidR="00F66D25" w:rsidRPr="00034A92" w14:paraId="299F1993" w14:textId="77777777" w:rsidTr="00034A92">
        <w:tblPrEx>
          <w:tblCellMar>
            <w:top w:w="15" w:type="dxa"/>
            <w:bottom w:w="15" w:type="dxa"/>
          </w:tblCellMar>
          <w:tblLook w:val="04A0" w:firstRow="1" w:lastRow="0" w:firstColumn="1" w:lastColumn="0" w:noHBand="0" w:noVBand="1"/>
        </w:tblPrEx>
        <w:trPr>
          <w:trHeight w:val="414"/>
        </w:trPr>
        <w:tc>
          <w:tcPr>
            <w:tcW w:w="563" w:type="dxa"/>
            <w:vMerge/>
            <w:tcBorders>
              <w:left w:val="single" w:sz="4" w:space="0" w:color="auto"/>
              <w:bottom w:val="single" w:sz="4" w:space="0" w:color="auto"/>
              <w:right w:val="single" w:sz="4" w:space="0" w:color="auto"/>
            </w:tcBorders>
          </w:tcPr>
          <w:p w14:paraId="5FF9CE84" w14:textId="77777777" w:rsidR="00F66D25" w:rsidRPr="00034A92" w:rsidRDefault="00F66D25" w:rsidP="00F66D25">
            <w:pPr>
              <w:keepNext/>
              <w:keepLines/>
              <w:rPr>
                <w:rFonts w:ascii="Arial Narrow" w:hAnsi="Arial Narrow"/>
                <w:sz w:val="20"/>
                <w:szCs w:val="20"/>
              </w:rPr>
            </w:pPr>
          </w:p>
        </w:tc>
        <w:tc>
          <w:tcPr>
            <w:tcW w:w="709" w:type="dxa"/>
            <w:vAlign w:val="center"/>
          </w:tcPr>
          <w:p w14:paraId="0D7497CA" w14:textId="0AFA94A3" w:rsidR="00F66D25" w:rsidRPr="00034A92" w:rsidRDefault="00F66D25" w:rsidP="00F66D25">
            <w:pPr>
              <w:keepNext/>
              <w:keepLines/>
              <w:jc w:val="center"/>
              <w:rPr>
                <w:rFonts w:ascii="Arial Narrow" w:hAnsi="Arial Narrow"/>
                <w:color w:val="333333"/>
                <w:sz w:val="20"/>
                <w:szCs w:val="20"/>
              </w:rPr>
            </w:pPr>
          </w:p>
        </w:tc>
        <w:tc>
          <w:tcPr>
            <w:tcW w:w="7745" w:type="dxa"/>
            <w:gridSpan w:val="6"/>
            <w:vAlign w:val="center"/>
          </w:tcPr>
          <w:p w14:paraId="4CEFE132" w14:textId="77777777" w:rsidR="00F66D25" w:rsidRPr="00034A92" w:rsidRDefault="00F66D25" w:rsidP="00F66D25">
            <w:pPr>
              <w:keepNext/>
              <w:keepLines/>
              <w:rPr>
                <w:rFonts w:ascii="Arial Narrow" w:hAnsi="Arial Narrow"/>
                <w:b/>
                <w:bCs/>
                <w:color w:val="333333"/>
                <w:sz w:val="20"/>
                <w:szCs w:val="20"/>
              </w:rPr>
            </w:pPr>
            <w:r w:rsidRPr="00034A92">
              <w:rPr>
                <w:rFonts w:ascii="Arial Narrow" w:hAnsi="Arial Narrow"/>
                <w:b/>
                <w:bCs/>
                <w:color w:val="333333"/>
                <w:sz w:val="20"/>
                <w:szCs w:val="20"/>
              </w:rPr>
              <w:t xml:space="preserve">Administrative Advice: </w:t>
            </w:r>
            <w:r w:rsidRPr="00034A92">
              <w:rPr>
                <w:rFonts w:ascii="Arial Narrow" w:eastAsia="Calibri" w:hAnsi="Arial Narrow"/>
                <w:sz w:val="20"/>
                <w:szCs w:val="20"/>
              </w:rPr>
              <w:t>Special Pricing Arrangements apply.</w:t>
            </w:r>
          </w:p>
        </w:tc>
      </w:tr>
      <w:tr w:rsidR="00F66D25" w:rsidRPr="00034A92" w14:paraId="13B388FE" w14:textId="77777777" w:rsidTr="00034A92">
        <w:tblPrEx>
          <w:tblCellMar>
            <w:top w:w="15" w:type="dxa"/>
            <w:bottom w:w="15" w:type="dxa"/>
          </w:tblCellMar>
          <w:tblLook w:val="04A0" w:firstRow="1" w:lastRow="0" w:firstColumn="1" w:lastColumn="0" w:noHBand="0" w:noVBand="1"/>
        </w:tblPrEx>
        <w:trPr>
          <w:trHeight w:val="414"/>
        </w:trPr>
        <w:tc>
          <w:tcPr>
            <w:tcW w:w="1272" w:type="dxa"/>
            <w:gridSpan w:val="2"/>
            <w:tcBorders>
              <w:left w:val="single" w:sz="4" w:space="0" w:color="auto"/>
              <w:bottom w:val="single" w:sz="4" w:space="0" w:color="auto"/>
            </w:tcBorders>
          </w:tcPr>
          <w:p w14:paraId="57A4F125" w14:textId="04717C0E" w:rsidR="00034A92" w:rsidRPr="00034A92" w:rsidRDefault="00034A92" w:rsidP="00425BAC">
            <w:pPr>
              <w:jc w:val="center"/>
              <w:rPr>
                <w:rFonts w:ascii="Arial Narrow" w:hAnsi="Arial Narrow"/>
                <w:color w:val="333333"/>
                <w:sz w:val="20"/>
                <w:szCs w:val="20"/>
              </w:rPr>
            </w:pPr>
          </w:p>
        </w:tc>
        <w:tc>
          <w:tcPr>
            <w:tcW w:w="7745" w:type="dxa"/>
            <w:gridSpan w:val="6"/>
            <w:vAlign w:val="center"/>
          </w:tcPr>
          <w:p w14:paraId="6DC402FD" w14:textId="77777777" w:rsidR="00F66D25" w:rsidRPr="00034A92" w:rsidRDefault="00F66D25" w:rsidP="00425BAC">
            <w:pPr>
              <w:rPr>
                <w:rFonts w:ascii="Arial Narrow" w:hAnsi="Arial Narrow"/>
                <w:sz w:val="20"/>
                <w:szCs w:val="20"/>
              </w:rPr>
            </w:pPr>
            <w:r w:rsidRPr="00034A92">
              <w:rPr>
                <w:rFonts w:ascii="Arial Narrow" w:hAnsi="Arial Narrow"/>
                <w:b/>
                <w:bCs/>
                <w:color w:val="333333"/>
                <w:sz w:val="20"/>
                <w:szCs w:val="20"/>
              </w:rPr>
              <w:t xml:space="preserve">Administrative Advice: </w:t>
            </w:r>
            <w:r w:rsidRPr="00034A92">
              <w:rPr>
                <w:rFonts w:ascii="Arial Narrow" w:hAnsi="Arial Narrow"/>
                <w:sz w:val="20"/>
                <w:szCs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F66D25" w:rsidRPr="00034A92" w14:paraId="752A18A7" w14:textId="77777777" w:rsidTr="00034A92">
        <w:tblPrEx>
          <w:tblCellMar>
            <w:top w:w="15" w:type="dxa"/>
            <w:bottom w:w="15" w:type="dxa"/>
          </w:tblCellMar>
          <w:tblLook w:val="04A0" w:firstRow="1" w:lastRow="0" w:firstColumn="1" w:lastColumn="0" w:noHBand="0" w:noVBand="1"/>
        </w:tblPrEx>
        <w:trPr>
          <w:trHeight w:val="414"/>
        </w:trPr>
        <w:tc>
          <w:tcPr>
            <w:tcW w:w="1272" w:type="dxa"/>
            <w:gridSpan w:val="2"/>
            <w:tcBorders>
              <w:left w:val="single" w:sz="4" w:space="0" w:color="auto"/>
              <w:bottom w:val="single" w:sz="4" w:space="0" w:color="auto"/>
            </w:tcBorders>
          </w:tcPr>
          <w:p w14:paraId="699B2D18" w14:textId="10B0D63E" w:rsidR="00F66D25" w:rsidRPr="00034A92" w:rsidRDefault="00F66D25" w:rsidP="00425BAC">
            <w:pPr>
              <w:jc w:val="center"/>
              <w:rPr>
                <w:rFonts w:ascii="Arial Narrow" w:hAnsi="Arial Narrow"/>
                <w:color w:val="333333"/>
                <w:sz w:val="20"/>
                <w:szCs w:val="20"/>
              </w:rPr>
            </w:pPr>
          </w:p>
        </w:tc>
        <w:tc>
          <w:tcPr>
            <w:tcW w:w="7745" w:type="dxa"/>
            <w:gridSpan w:val="6"/>
            <w:vAlign w:val="center"/>
          </w:tcPr>
          <w:p w14:paraId="011DF419" w14:textId="77777777" w:rsidR="00F66D25" w:rsidRPr="00034A92" w:rsidRDefault="00F66D25" w:rsidP="00425BAC">
            <w:pPr>
              <w:rPr>
                <w:rFonts w:ascii="Arial Narrow" w:hAnsi="Arial Narrow"/>
                <w:b/>
                <w:bCs/>
                <w:color w:val="333333"/>
                <w:sz w:val="20"/>
                <w:szCs w:val="20"/>
              </w:rPr>
            </w:pPr>
            <w:r w:rsidRPr="00034A92">
              <w:rPr>
                <w:rFonts w:ascii="Arial Narrow" w:hAnsi="Arial Narrow"/>
                <w:b/>
                <w:bCs/>
                <w:color w:val="333333"/>
                <w:sz w:val="20"/>
                <w:szCs w:val="20"/>
              </w:rPr>
              <w:t xml:space="preserve">Administrative Advice: </w:t>
            </w:r>
            <w:r w:rsidRPr="00034A92">
              <w:rPr>
                <w:rFonts w:ascii="Arial Narrow" w:hAnsi="Arial Narrow"/>
                <w:sz w:val="20"/>
                <w:szCs w:val="20"/>
              </w:rPr>
              <w:t>Recognised hospitals in the management of SMA are Queensland Children's Hospital (Brisbane), Royal Children's Hospital Melbourne, Monash Children's Hospital (Melbourne), John Hunter Hospital (Newcastle), Sydney Children's Hospital Randwick, Children's Hospital at Westmead, Adelaide Women and Children's Hospital and Perth Children's Hospital.</w:t>
            </w:r>
          </w:p>
        </w:tc>
      </w:tr>
      <w:tr w:rsidR="00F66D25" w:rsidRPr="001428E9" w14:paraId="2B8FD63B" w14:textId="77777777" w:rsidTr="004C7359">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B00BA00" w14:textId="6B17C1FE" w:rsidR="00F66D25" w:rsidRPr="001428E9" w:rsidRDefault="00F66D25" w:rsidP="00425BAC">
            <w:pPr>
              <w:keepLines/>
              <w:jc w:val="center"/>
              <w:rPr>
                <w:rFonts w:ascii="Arial Narrow" w:hAnsi="Arial Narrow"/>
                <w:color w:val="333333"/>
                <w:sz w:val="20"/>
                <w:szCs w:val="20"/>
              </w:rPr>
            </w:pPr>
          </w:p>
        </w:tc>
        <w:tc>
          <w:tcPr>
            <w:tcW w:w="7745" w:type="dxa"/>
            <w:gridSpan w:val="6"/>
            <w:vAlign w:val="center"/>
            <w:hideMark/>
          </w:tcPr>
          <w:p w14:paraId="15EC76A2" w14:textId="77777777" w:rsidR="00F66D25" w:rsidRPr="001428E9" w:rsidRDefault="00F66D25" w:rsidP="00425BAC">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Pre-symptomatic Spinal Muscular Atrophy (SMA)</w:t>
            </w:r>
          </w:p>
        </w:tc>
      </w:tr>
      <w:tr w:rsidR="00F66D25" w:rsidRPr="001428E9" w14:paraId="71E14F90"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81A63CF" w14:textId="77777777" w:rsidR="00F66D25" w:rsidRDefault="00F66D25" w:rsidP="00425BAC">
            <w:pPr>
              <w:keepLines/>
              <w:jc w:val="center"/>
              <w:rPr>
                <w:rFonts w:ascii="Arial Narrow" w:hAnsi="Arial Narrow"/>
                <w:color w:val="333333"/>
                <w:sz w:val="20"/>
                <w:szCs w:val="20"/>
              </w:rPr>
            </w:pPr>
          </w:p>
        </w:tc>
        <w:tc>
          <w:tcPr>
            <w:tcW w:w="7745" w:type="dxa"/>
            <w:gridSpan w:val="6"/>
            <w:vAlign w:val="center"/>
          </w:tcPr>
          <w:p w14:paraId="3773D5E4" w14:textId="77777777" w:rsidR="00F66D25" w:rsidRPr="001428E9" w:rsidRDefault="00F66D25" w:rsidP="00425BAC">
            <w:pPr>
              <w:keepLines/>
              <w:rPr>
                <w:rFonts w:ascii="Arial Narrow" w:hAnsi="Arial Narrow"/>
                <w:b/>
                <w:bCs/>
                <w:color w:val="333333"/>
                <w:sz w:val="20"/>
                <w:szCs w:val="20"/>
              </w:rPr>
            </w:pPr>
          </w:p>
        </w:tc>
      </w:tr>
      <w:tr w:rsidR="00F66D25" w:rsidRPr="001428E9" w14:paraId="2A054412"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BB628F1" w14:textId="77777777" w:rsidR="00F66D25" w:rsidRDefault="00F66D25" w:rsidP="00425BAC">
            <w:pPr>
              <w:keepLines/>
              <w:jc w:val="center"/>
              <w:rPr>
                <w:rFonts w:ascii="Arial Narrow" w:hAnsi="Arial Narrow"/>
                <w:color w:val="333333"/>
                <w:sz w:val="20"/>
                <w:szCs w:val="20"/>
              </w:rPr>
            </w:pPr>
          </w:p>
        </w:tc>
        <w:tc>
          <w:tcPr>
            <w:tcW w:w="7745" w:type="dxa"/>
            <w:gridSpan w:val="6"/>
            <w:vAlign w:val="center"/>
          </w:tcPr>
          <w:p w14:paraId="464D9977" w14:textId="77777777" w:rsidR="00F66D25" w:rsidRPr="001428E9" w:rsidRDefault="00F66D25" w:rsidP="00425BAC">
            <w:pPr>
              <w:keepLines/>
              <w:rPr>
                <w:rFonts w:ascii="Arial Narrow" w:hAnsi="Arial Narrow"/>
                <w:b/>
                <w:bCs/>
                <w:color w:val="333333"/>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073765">
              <w:rPr>
                <w:rFonts w:ascii="Arial Narrow" w:hAnsi="Arial Narrow"/>
                <w:sz w:val="20"/>
                <w:szCs w:val="20"/>
              </w:rPr>
              <w:t>Initial treatment of pre-symptomatic spinal muscular atrophy (SMA)</w:t>
            </w:r>
          </w:p>
        </w:tc>
      </w:tr>
      <w:tr w:rsidR="00F66D25" w:rsidRPr="001428E9" w14:paraId="384B9FF4"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113836" w14:textId="097A1354" w:rsidR="00F66D25" w:rsidRDefault="00F66D25" w:rsidP="00425BAC">
            <w:pPr>
              <w:keepLines/>
              <w:jc w:val="center"/>
              <w:rPr>
                <w:rFonts w:ascii="Arial Narrow" w:hAnsi="Arial Narrow"/>
                <w:color w:val="333333"/>
                <w:sz w:val="20"/>
                <w:szCs w:val="20"/>
              </w:rPr>
            </w:pPr>
          </w:p>
        </w:tc>
        <w:tc>
          <w:tcPr>
            <w:tcW w:w="7745" w:type="dxa"/>
            <w:gridSpan w:val="6"/>
            <w:vAlign w:val="center"/>
          </w:tcPr>
          <w:p w14:paraId="5AA64901" w14:textId="77777777" w:rsidR="00F66D25" w:rsidRPr="001428E9" w:rsidRDefault="00F66D25" w:rsidP="00425BAC">
            <w:pPr>
              <w:keepLines/>
              <w:rPr>
                <w:rFonts w:ascii="Arial Narrow" w:hAnsi="Arial Narrow"/>
                <w:b/>
                <w:bCs/>
                <w:color w:val="333333"/>
                <w:sz w:val="20"/>
                <w:szCs w:val="20"/>
              </w:rPr>
            </w:pPr>
            <w:r w:rsidRPr="00073765">
              <w:rPr>
                <w:rFonts w:ascii="Arial Narrow" w:hAnsi="Arial Narrow"/>
                <w:b/>
                <w:sz w:val="20"/>
                <w:szCs w:val="20"/>
              </w:rPr>
              <w:t>Treatment criteria</w:t>
            </w:r>
            <w:r>
              <w:rPr>
                <w:rFonts w:ascii="Arial Narrow" w:hAnsi="Arial Narrow"/>
                <w:b/>
                <w:sz w:val="20"/>
                <w:szCs w:val="20"/>
              </w:rPr>
              <w:t>:</w:t>
            </w:r>
          </w:p>
        </w:tc>
      </w:tr>
      <w:tr w:rsidR="00F66D25" w:rsidRPr="001428E9" w14:paraId="42FF4E01"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8441F65" w14:textId="2B444047" w:rsidR="00F66D25" w:rsidRDefault="00F66D25" w:rsidP="00425BAC">
            <w:pPr>
              <w:keepLines/>
              <w:jc w:val="center"/>
              <w:rPr>
                <w:rFonts w:ascii="Arial Narrow" w:hAnsi="Arial Narrow"/>
                <w:color w:val="333333"/>
                <w:sz w:val="20"/>
                <w:szCs w:val="20"/>
              </w:rPr>
            </w:pPr>
          </w:p>
        </w:tc>
        <w:tc>
          <w:tcPr>
            <w:tcW w:w="7745" w:type="dxa"/>
            <w:gridSpan w:val="6"/>
            <w:vAlign w:val="center"/>
          </w:tcPr>
          <w:p w14:paraId="787531AA" w14:textId="77777777" w:rsidR="00F66D25" w:rsidRPr="00A310BB" w:rsidRDefault="00F66D25" w:rsidP="00425BAC">
            <w:pPr>
              <w:rPr>
                <w:rFonts w:ascii="Arial Narrow" w:hAnsi="Arial Narrow"/>
                <w:sz w:val="20"/>
                <w:szCs w:val="20"/>
              </w:rPr>
            </w:pPr>
            <w:r w:rsidRPr="00073765">
              <w:rPr>
                <w:rFonts w:ascii="Arial Narrow" w:hAnsi="Arial Narrow"/>
                <w:sz w:val="20"/>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p>
        </w:tc>
      </w:tr>
      <w:tr w:rsidR="00F66D25" w:rsidRPr="001428E9" w14:paraId="003BA7B3"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4659C6C" w14:textId="77777777" w:rsidR="00F66D25" w:rsidRDefault="00F66D25" w:rsidP="00425BAC">
            <w:pPr>
              <w:keepLines/>
              <w:jc w:val="center"/>
              <w:rPr>
                <w:rFonts w:ascii="Arial Narrow" w:hAnsi="Arial Narrow"/>
                <w:color w:val="333333"/>
                <w:sz w:val="20"/>
                <w:szCs w:val="20"/>
              </w:rPr>
            </w:pPr>
          </w:p>
        </w:tc>
        <w:tc>
          <w:tcPr>
            <w:tcW w:w="7745" w:type="dxa"/>
            <w:gridSpan w:val="6"/>
            <w:vAlign w:val="center"/>
          </w:tcPr>
          <w:p w14:paraId="292EB753" w14:textId="77777777" w:rsidR="00F66D25" w:rsidRPr="001428E9" w:rsidRDefault="00F66D25" w:rsidP="00425BAC">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F66D25" w:rsidRPr="001428E9" w14:paraId="450A13A8"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B9D2884" w14:textId="7462B78F" w:rsidR="00F66D25" w:rsidRDefault="00F66D25" w:rsidP="00425BAC">
            <w:pPr>
              <w:keepLines/>
              <w:jc w:val="center"/>
              <w:rPr>
                <w:rFonts w:ascii="Arial Narrow" w:hAnsi="Arial Narrow"/>
                <w:color w:val="333333"/>
                <w:sz w:val="20"/>
                <w:szCs w:val="20"/>
              </w:rPr>
            </w:pPr>
          </w:p>
        </w:tc>
        <w:tc>
          <w:tcPr>
            <w:tcW w:w="7745" w:type="dxa"/>
            <w:gridSpan w:val="6"/>
            <w:vAlign w:val="center"/>
          </w:tcPr>
          <w:p w14:paraId="2728030F" w14:textId="77777777" w:rsidR="00F66D25" w:rsidRPr="00A310BB" w:rsidRDefault="00F66D25" w:rsidP="00425BAC">
            <w:pPr>
              <w:rPr>
                <w:rFonts w:ascii="Arial Narrow" w:hAnsi="Arial Narrow"/>
                <w:sz w:val="20"/>
                <w:szCs w:val="20"/>
              </w:rPr>
            </w:pPr>
            <w:r w:rsidRPr="00073765">
              <w:rPr>
                <w:rFonts w:ascii="Arial Narrow" w:hAnsi="Arial Narrow"/>
                <w:sz w:val="20"/>
                <w:szCs w:val="20"/>
              </w:rPr>
              <w:t>The condition must have genetic confirmation of 5q homozygous deletion of the survival motor neuron 1 (SMN1) gene; or</w:t>
            </w:r>
          </w:p>
        </w:tc>
      </w:tr>
      <w:tr w:rsidR="00F66D25" w:rsidRPr="001428E9" w14:paraId="3B9902BC"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EA0EDFC" w14:textId="0A28EC01" w:rsidR="00F66D25" w:rsidRDefault="00F66D25" w:rsidP="00425BAC">
            <w:pPr>
              <w:keepLines/>
              <w:jc w:val="center"/>
              <w:rPr>
                <w:rFonts w:ascii="Arial Narrow" w:hAnsi="Arial Narrow"/>
                <w:color w:val="333333"/>
                <w:sz w:val="20"/>
                <w:szCs w:val="20"/>
              </w:rPr>
            </w:pPr>
          </w:p>
        </w:tc>
        <w:tc>
          <w:tcPr>
            <w:tcW w:w="7745" w:type="dxa"/>
            <w:gridSpan w:val="6"/>
            <w:vAlign w:val="center"/>
          </w:tcPr>
          <w:p w14:paraId="6ED6A586" w14:textId="77777777" w:rsidR="00F66D25" w:rsidRPr="00A310BB" w:rsidRDefault="00F66D25" w:rsidP="00425BAC">
            <w:pPr>
              <w:rPr>
                <w:rFonts w:ascii="Arial Narrow" w:hAnsi="Arial Narrow"/>
                <w:sz w:val="20"/>
                <w:szCs w:val="20"/>
              </w:rPr>
            </w:pPr>
            <w:r w:rsidRPr="00073765">
              <w:rPr>
                <w:rFonts w:ascii="Arial Narrow" w:hAnsi="Arial Narrow"/>
                <w:sz w:val="20"/>
                <w:szCs w:val="20"/>
              </w:rPr>
              <w:t>The condition must have genetic confirmation of deletion of one copy of the SMN1 gene in addition to a pathogenic/likely pathogenic variant in the remaining single copy of the SMN1 gene</w:t>
            </w:r>
          </w:p>
        </w:tc>
      </w:tr>
      <w:tr w:rsidR="00F66D25" w:rsidRPr="001428E9" w14:paraId="61CA2A63"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0AC647" w14:textId="44F4E3DA" w:rsidR="00F66D25" w:rsidRDefault="00F66D25" w:rsidP="00425BAC">
            <w:pPr>
              <w:keepLines/>
              <w:jc w:val="center"/>
              <w:rPr>
                <w:rFonts w:ascii="Arial Narrow" w:hAnsi="Arial Narrow"/>
                <w:color w:val="333333"/>
                <w:sz w:val="20"/>
                <w:szCs w:val="20"/>
              </w:rPr>
            </w:pPr>
          </w:p>
        </w:tc>
        <w:tc>
          <w:tcPr>
            <w:tcW w:w="7745" w:type="dxa"/>
            <w:gridSpan w:val="6"/>
            <w:vAlign w:val="center"/>
          </w:tcPr>
          <w:p w14:paraId="506585C8" w14:textId="77777777" w:rsidR="00F66D25" w:rsidRPr="001428E9" w:rsidRDefault="00F66D25" w:rsidP="00425BAC">
            <w:pPr>
              <w:keepLines/>
              <w:rPr>
                <w:rFonts w:ascii="Arial Narrow" w:hAnsi="Arial Narrow"/>
                <w:b/>
                <w:bCs/>
                <w:color w:val="333333"/>
                <w:sz w:val="20"/>
                <w:szCs w:val="20"/>
              </w:rPr>
            </w:pPr>
            <w:r>
              <w:rPr>
                <w:rFonts w:ascii="Arial Narrow" w:hAnsi="Arial Narrow"/>
                <w:b/>
                <w:bCs/>
                <w:color w:val="333333"/>
                <w:sz w:val="20"/>
                <w:szCs w:val="20"/>
              </w:rPr>
              <w:t>AND</w:t>
            </w:r>
          </w:p>
        </w:tc>
      </w:tr>
      <w:tr w:rsidR="00034A92" w:rsidRPr="001428E9" w14:paraId="783F1CE5"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4699825" w14:textId="5EF28A00" w:rsidR="00034A92" w:rsidRDefault="00034A92" w:rsidP="00034A92">
            <w:pPr>
              <w:keepLines/>
              <w:jc w:val="center"/>
              <w:rPr>
                <w:rFonts w:ascii="Arial Narrow" w:hAnsi="Arial Narrow"/>
                <w:color w:val="333333"/>
                <w:sz w:val="20"/>
                <w:szCs w:val="20"/>
              </w:rPr>
            </w:pPr>
          </w:p>
        </w:tc>
        <w:tc>
          <w:tcPr>
            <w:tcW w:w="7745" w:type="dxa"/>
            <w:gridSpan w:val="6"/>
            <w:vAlign w:val="center"/>
          </w:tcPr>
          <w:p w14:paraId="61FE6A41" w14:textId="68933705" w:rsidR="00034A92" w:rsidRDefault="00034A92" w:rsidP="00034A92">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F66D25" w:rsidRPr="001428E9" w14:paraId="0FF4F7BD"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3C904EA" w14:textId="19A4FF37" w:rsidR="00F66D25" w:rsidRDefault="00F66D25" w:rsidP="00425BAC">
            <w:pPr>
              <w:keepLines/>
              <w:jc w:val="center"/>
              <w:rPr>
                <w:rFonts w:ascii="Arial Narrow" w:hAnsi="Arial Narrow"/>
                <w:color w:val="333333"/>
                <w:sz w:val="20"/>
                <w:szCs w:val="20"/>
              </w:rPr>
            </w:pPr>
          </w:p>
        </w:tc>
        <w:tc>
          <w:tcPr>
            <w:tcW w:w="7745" w:type="dxa"/>
            <w:gridSpan w:val="6"/>
            <w:vAlign w:val="center"/>
          </w:tcPr>
          <w:p w14:paraId="71CE3C87" w14:textId="1C60566D" w:rsidR="00F66D25" w:rsidRPr="00A310BB" w:rsidRDefault="00F66D25" w:rsidP="00425BAC">
            <w:pPr>
              <w:rPr>
                <w:rFonts w:ascii="Arial Narrow" w:hAnsi="Arial Narrow"/>
                <w:sz w:val="20"/>
                <w:szCs w:val="20"/>
              </w:rPr>
            </w:pPr>
            <w:r w:rsidRPr="00073765">
              <w:rPr>
                <w:rFonts w:ascii="Arial Narrow" w:hAnsi="Arial Narrow"/>
                <w:sz w:val="20"/>
                <w:szCs w:val="20"/>
              </w:rPr>
              <w:t xml:space="preserve">The condition must have genetic confirmation that there are 1 to </w:t>
            </w:r>
            <w:r w:rsidR="00034A92">
              <w:rPr>
                <w:rFonts w:ascii="Arial Narrow" w:hAnsi="Arial Narrow"/>
                <w:sz w:val="20"/>
                <w:szCs w:val="20"/>
              </w:rPr>
              <w:t>2</w:t>
            </w:r>
            <w:r>
              <w:rPr>
                <w:rFonts w:ascii="Arial Narrow" w:hAnsi="Arial Narrow"/>
                <w:sz w:val="20"/>
                <w:szCs w:val="20"/>
              </w:rPr>
              <w:t xml:space="preserve"> </w:t>
            </w:r>
            <w:r w:rsidRPr="00073765">
              <w:rPr>
                <w:rFonts w:ascii="Arial Narrow" w:hAnsi="Arial Narrow"/>
                <w:sz w:val="20"/>
                <w:szCs w:val="20"/>
              </w:rPr>
              <w:t>copies of the survival motor neuron 2 (</w:t>
            </w:r>
            <w:r w:rsidR="00AF346B" w:rsidRPr="00AF346B">
              <w:rPr>
                <w:rFonts w:ascii="Arial Narrow" w:hAnsi="Arial Narrow"/>
                <w:i/>
                <w:sz w:val="20"/>
                <w:szCs w:val="20"/>
              </w:rPr>
              <w:t>SMN2</w:t>
            </w:r>
            <w:r w:rsidRPr="00073765">
              <w:rPr>
                <w:rFonts w:ascii="Arial Narrow" w:hAnsi="Arial Narrow"/>
                <w:sz w:val="20"/>
                <w:szCs w:val="20"/>
              </w:rPr>
              <w:t>) gene</w:t>
            </w:r>
          </w:p>
        </w:tc>
      </w:tr>
      <w:tr w:rsidR="00F66D25" w:rsidRPr="001428E9" w14:paraId="55D7BDDB"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D0C854" w14:textId="20890E43" w:rsidR="00F66D25" w:rsidRDefault="00F66D25" w:rsidP="00425BAC">
            <w:pPr>
              <w:keepLines/>
              <w:jc w:val="center"/>
              <w:rPr>
                <w:rFonts w:ascii="Arial Narrow" w:hAnsi="Arial Narrow"/>
                <w:color w:val="333333"/>
                <w:sz w:val="20"/>
                <w:szCs w:val="20"/>
              </w:rPr>
            </w:pPr>
          </w:p>
        </w:tc>
        <w:tc>
          <w:tcPr>
            <w:tcW w:w="7745" w:type="dxa"/>
            <w:gridSpan w:val="6"/>
            <w:vAlign w:val="center"/>
          </w:tcPr>
          <w:p w14:paraId="3BA220F9" w14:textId="77777777" w:rsidR="00F66D25" w:rsidRPr="001428E9" w:rsidRDefault="00F66D25" w:rsidP="00425BAC">
            <w:pPr>
              <w:keepLines/>
              <w:rPr>
                <w:rFonts w:ascii="Arial Narrow" w:hAnsi="Arial Narrow"/>
                <w:b/>
                <w:bCs/>
                <w:color w:val="333333"/>
                <w:sz w:val="20"/>
                <w:szCs w:val="20"/>
              </w:rPr>
            </w:pPr>
            <w:r>
              <w:rPr>
                <w:rFonts w:ascii="Arial Narrow" w:hAnsi="Arial Narrow"/>
                <w:b/>
                <w:bCs/>
                <w:color w:val="333333"/>
                <w:sz w:val="20"/>
                <w:szCs w:val="20"/>
              </w:rPr>
              <w:t>AND</w:t>
            </w:r>
          </w:p>
        </w:tc>
      </w:tr>
      <w:tr w:rsidR="00034A92" w:rsidRPr="001428E9" w14:paraId="118D93CC"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7EB214" w14:textId="69DF92F5" w:rsidR="00034A92" w:rsidRDefault="00034A92" w:rsidP="00034A92">
            <w:pPr>
              <w:keepLines/>
              <w:jc w:val="center"/>
              <w:rPr>
                <w:rFonts w:ascii="Arial Narrow" w:hAnsi="Arial Narrow"/>
                <w:color w:val="333333"/>
                <w:sz w:val="20"/>
                <w:szCs w:val="20"/>
              </w:rPr>
            </w:pPr>
          </w:p>
        </w:tc>
        <w:tc>
          <w:tcPr>
            <w:tcW w:w="7745" w:type="dxa"/>
            <w:gridSpan w:val="6"/>
            <w:vAlign w:val="center"/>
          </w:tcPr>
          <w:p w14:paraId="72827348" w14:textId="5CA09061" w:rsidR="00034A92" w:rsidRDefault="00034A92" w:rsidP="00034A92">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F66D25" w:rsidRPr="001428E9" w14:paraId="42978D6D"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09B6CC0" w14:textId="4115A0C3" w:rsidR="00F66D25" w:rsidRDefault="00F66D25" w:rsidP="00425BAC">
            <w:pPr>
              <w:keepLines/>
              <w:jc w:val="center"/>
              <w:rPr>
                <w:rFonts w:ascii="Arial Narrow" w:hAnsi="Arial Narrow"/>
                <w:color w:val="333333"/>
                <w:sz w:val="20"/>
                <w:szCs w:val="20"/>
              </w:rPr>
            </w:pPr>
          </w:p>
        </w:tc>
        <w:tc>
          <w:tcPr>
            <w:tcW w:w="7745" w:type="dxa"/>
            <w:gridSpan w:val="6"/>
            <w:vAlign w:val="center"/>
          </w:tcPr>
          <w:p w14:paraId="75A7D4B1" w14:textId="77777777" w:rsidR="00F66D25" w:rsidRPr="00A310BB" w:rsidRDefault="00F66D25" w:rsidP="00425BAC">
            <w:pPr>
              <w:rPr>
                <w:rFonts w:ascii="Arial Narrow" w:hAnsi="Arial Narrow"/>
                <w:sz w:val="20"/>
                <w:szCs w:val="20"/>
              </w:rPr>
            </w:pPr>
            <w:r w:rsidRPr="00073765">
              <w:rPr>
                <w:rFonts w:ascii="Arial Narrow" w:hAnsi="Arial Narrow"/>
                <w:sz w:val="20"/>
                <w:szCs w:val="20"/>
              </w:rPr>
              <w:t>The condition must be pre-symptomatic</w:t>
            </w:r>
          </w:p>
        </w:tc>
      </w:tr>
      <w:tr w:rsidR="00F66D25" w:rsidRPr="001428E9" w14:paraId="18D7C3D0"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1963A4" w14:textId="61EBFA07" w:rsidR="00F66D25" w:rsidRDefault="00F66D25" w:rsidP="00425BAC">
            <w:pPr>
              <w:jc w:val="center"/>
              <w:rPr>
                <w:rFonts w:ascii="Arial Narrow" w:hAnsi="Arial Narrow"/>
                <w:color w:val="333333"/>
                <w:sz w:val="20"/>
                <w:szCs w:val="20"/>
              </w:rPr>
            </w:pPr>
          </w:p>
        </w:tc>
        <w:tc>
          <w:tcPr>
            <w:tcW w:w="7745" w:type="dxa"/>
            <w:gridSpan w:val="6"/>
            <w:vAlign w:val="center"/>
          </w:tcPr>
          <w:p w14:paraId="28106AA3" w14:textId="77777777" w:rsidR="00F66D25" w:rsidRPr="001428E9" w:rsidRDefault="00F66D25" w:rsidP="00425BAC">
            <w:pPr>
              <w:keepLines/>
              <w:rPr>
                <w:rFonts w:ascii="Arial Narrow" w:hAnsi="Arial Narrow"/>
                <w:b/>
                <w:bCs/>
                <w:color w:val="333333"/>
                <w:sz w:val="20"/>
                <w:szCs w:val="20"/>
              </w:rPr>
            </w:pPr>
            <w:r>
              <w:rPr>
                <w:rFonts w:ascii="Arial Narrow" w:hAnsi="Arial Narrow"/>
                <w:b/>
                <w:bCs/>
                <w:color w:val="333333"/>
                <w:sz w:val="20"/>
                <w:szCs w:val="20"/>
              </w:rPr>
              <w:t>AND</w:t>
            </w:r>
          </w:p>
        </w:tc>
      </w:tr>
      <w:tr w:rsidR="00034A92" w:rsidRPr="001428E9" w14:paraId="5B9AEFBD"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3DC654" w14:textId="75C537EC" w:rsidR="00034A92" w:rsidRPr="00073765" w:rsidRDefault="00034A92" w:rsidP="00034A92">
            <w:pPr>
              <w:jc w:val="center"/>
              <w:rPr>
                <w:rFonts w:ascii="Arial Narrow" w:hAnsi="Arial Narrow"/>
                <w:sz w:val="20"/>
                <w:szCs w:val="20"/>
              </w:rPr>
            </w:pPr>
          </w:p>
        </w:tc>
        <w:tc>
          <w:tcPr>
            <w:tcW w:w="7745" w:type="dxa"/>
            <w:gridSpan w:val="6"/>
            <w:vAlign w:val="center"/>
          </w:tcPr>
          <w:p w14:paraId="33EE64BA" w14:textId="105134E4" w:rsidR="00034A92" w:rsidRDefault="00034A92" w:rsidP="00034A92">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F66D25" w:rsidRPr="00034A92" w14:paraId="5F232AAE"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7FB8D0" w14:textId="29FF45D5" w:rsidR="00F66D25" w:rsidRPr="00034A92" w:rsidRDefault="00F66D25" w:rsidP="00425BAC">
            <w:pPr>
              <w:keepLines/>
              <w:jc w:val="center"/>
              <w:rPr>
                <w:rFonts w:ascii="Arial Narrow" w:hAnsi="Arial Narrow"/>
                <w:color w:val="333333"/>
                <w:sz w:val="20"/>
                <w:szCs w:val="20"/>
              </w:rPr>
            </w:pPr>
          </w:p>
        </w:tc>
        <w:tc>
          <w:tcPr>
            <w:tcW w:w="7745" w:type="dxa"/>
            <w:gridSpan w:val="6"/>
            <w:vAlign w:val="center"/>
          </w:tcPr>
          <w:p w14:paraId="46E1CA85" w14:textId="77777777" w:rsidR="00F66D25" w:rsidRPr="00034A92" w:rsidRDefault="00F66D25" w:rsidP="00425BAC">
            <w:pPr>
              <w:rPr>
                <w:rFonts w:ascii="Arial Narrow" w:hAnsi="Arial Narrow"/>
                <w:sz w:val="20"/>
                <w:szCs w:val="20"/>
              </w:rPr>
            </w:pPr>
            <w:r w:rsidRPr="00034A92">
              <w:rPr>
                <w:rFonts w:ascii="Arial Narrow" w:hAnsi="Arial Narrow"/>
                <w:sz w:val="20"/>
                <w:szCs w:val="20"/>
              </w:rPr>
              <w:t>The treatment must be given concomitantly with best supportive care for this condition</w:t>
            </w:r>
          </w:p>
        </w:tc>
      </w:tr>
      <w:tr w:rsidR="00F66D25" w:rsidRPr="001428E9" w14:paraId="60DA7FCD"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329314C" w14:textId="0160E32E" w:rsidR="00034A92" w:rsidRDefault="00034A92" w:rsidP="00034A92">
            <w:pPr>
              <w:keepLines/>
              <w:rPr>
                <w:rFonts w:ascii="Arial Narrow" w:hAnsi="Arial Narrow"/>
                <w:color w:val="333333"/>
                <w:sz w:val="20"/>
                <w:szCs w:val="20"/>
              </w:rPr>
            </w:pPr>
          </w:p>
        </w:tc>
        <w:tc>
          <w:tcPr>
            <w:tcW w:w="7745" w:type="dxa"/>
            <w:gridSpan w:val="6"/>
            <w:vAlign w:val="center"/>
          </w:tcPr>
          <w:p w14:paraId="3E551384" w14:textId="77777777" w:rsidR="00F66D25" w:rsidRPr="001428E9" w:rsidRDefault="00F66D25" w:rsidP="00425BAC">
            <w:pPr>
              <w:keepLines/>
              <w:rPr>
                <w:rFonts w:ascii="Arial Narrow" w:hAnsi="Arial Narrow"/>
                <w:b/>
                <w:bCs/>
                <w:color w:val="333333"/>
                <w:sz w:val="20"/>
                <w:szCs w:val="20"/>
              </w:rPr>
            </w:pPr>
            <w:r>
              <w:rPr>
                <w:rFonts w:ascii="Arial Narrow" w:hAnsi="Arial Narrow"/>
                <w:b/>
                <w:bCs/>
                <w:color w:val="333333"/>
                <w:sz w:val="20"/>
                <w:szCs w:val="20"/>
              </w:rPr>
              <w:t>AND</w:t>
            </w:r>
          </w:p>
        </w:tc>
      </w:tr>
      <w:tr w:rsidR="005E0438" w:rsidRPr="001428E9" w14:paraId="52FE2044"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E9FF956" w14:textId="4126C1D6" w:rsidR="005E0438" w:rsidRDefault="005E0438" w:rsidP="005E0438">
            <w:pPr>
              <w:keepLines/>
              <w:jc w:val="center"/>
              <w:rPr>
                <w:rFonts w:ascii="Arial Narrow" w:hAnsi="Arial Narrow"/>
                <w:color w:val="333333"/>
                <w:sz w:val="20"/>
                <w:szCs w:val="20"/>
              </w:rPr>
            </w:pPr>
          </w:p>
        </w:tc>
        <w:tc>
          <w:tcPr>
            <w:tcW w:w="7745" w:type="dxa"/>
            <w:gridSpan w:val="6"/>
            <w:vAlign w:val="center"/>
          </w:tcPr>
          <w:p w14:paraId="1A2D32AF" w14:textId="6C2625B1" w:rsidR="005E0438" w:rsidRDefault="005E0438" w:rsidP="005E0438">
            <w:pPr>
              <w:keepLines/>
              <w:rPr>
                <w:rFonts w:ascii="Arial Narrow" w:hAnsi="Arial Narrow"/>
                <w:b/>
                <w:bCs/>
                <w:color w:val="333333"/>
                <w:sz w:val="20"/>
                <w:szCs w:val="20"/>
              </w:rPr>
            </w:pPr>
            <w:r>
              <w:rPr>
                <w:rFonts w:ascii="Arial Narrow" w:hAnsi="Arial Narrow"/>
                <w:b/>
                <w:bCs/>
                <w:color w:val="333333"/>
                <w:sz w:val="20"/>
                <w:szCs w:val="20"/>
              </w:rPr>
              <w:t>Clinical Criteria:</w:t>
            </w:r>
          </w:p>
        </w:tc>
      </w:tr>
      <w:tr w:rsidR="00F66D25" w:rsidRPr="001428E9" w14:paraId="2CDBE73C"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65B4F0" w14:textId="06E71732" w:rsidR="005E0438" w:rsidRDefault="005E0438" w:rsidP="00425BAC">
            <w:pPr>
              <w:keepLines/>
              <w:jc w:val="center"/>
              <w:rPr>
                <w:rFonts w:ascii="Arial Narrow" w:hAnsi="Arial Narrow"/>
                <w:color w:val="333333"/>
                <w:sz w:val="20"/>
                <w:szCs w:val="20"/>
              </w:rPr>
            </w:pPr>
          </w:p>
        </w:tc>
        <w:tc>
          <w:tcPr>
            <w:tcW w:w="7745" w:type="dxa"/>
            <w:gridSpan w:val="6"/>
            <w:vAlign w:val="center"/>
          </w:tcPr>
          <w:p w14:paraId="0DDB3062" w14:textId="77777777" w:rsidR="00F66D25" w:rsidRPr="00A310BB" w:rsidRDefault="00F66D25" w:rsidP="00425BAC">
            <w:pPr>
              <w:rPr>
                <w:rFonts w:ascii="Arial Narrow" w:hAnsi="Arial Narrow"/>
                <w:sz w:val="20"/>
                <w:szCs w:val="20"/>
              </w:rPr>
            </w:pPr>
            <w:r w:rsidRPr="00073765">
              <w:rPr>
                <w:rFonts w:ascii="Arial Narrow" w:hAnsi="Arial Narrow"/>
                <w:sz w:val="20"/>
                <w:szCs w:val="20"/>
              </w:rPr>
              <w:t>Patient must be untreated with gene therapy</w:t>
            </w:r>
          </w:p>
        </w:tc>
      </w:tr>
      <w:tr w:rsidR="005E0438" w:rsidRPr="001428E9" w14:paraId="32E5D75D"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43C660" w14:textId="77777777" w:rsidR="005E0438" w:rsidRPr="00073765" w:rsidRDefault="005E0438" w:rsidP="00425BAC">
            <w:pPr>
              <w:keepLines/>
              <w:jc w:val="center"/>
              <w:rPr>
                <w:rFonts w:ascii="Arial Narrow" w:hAnsi="Arial Narrow"/>
                <w:sz w:val="20"/>
                <w:szCs w:val="20"/>
              </w:rPr>
            </w:pPr>
          </w:p>
        </w:tc>
        <w:tc>
          <w:tcPr>
            <w:tcW w:w="7745" w:type="dxa"/>
            <w:gridSpan w:val="6"/>
            <w:vAlign w:val="center"/>
          </w:tcPr>
          <w:p w14:paraId="5B1E4264" w14:textId="77777777" w:rsidR="005E0438" w:rsidRPr="00073765" w:rsidRDefault="005E0438" w:rsidP="00425BAC">
            <w:pPr>
              <w:rPr>
                <w:rFonts w:ascii="Arial Narrow" w:hAnsi="Arial Narrow"/>
                <w:sz w:val="20"/>
                <w:szCs w:val="20"/>
              </w:rPr>
            </w:pPr>
          </w:p>
        </w:tc>
      </w:tr>
      <w:tr w:rsidR="00F66D25" w:rsidRPr="001428E9" w14:paraId="540C4189"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B42B527" w14:textId="6A719494" w:rsidR="00F66D25" w:rsidRDefault="00F66D25" w:rsidP="00425BAC">
            <w:pPr>
              <w:keepLines/>
              <w:jc w:val="center"/>
              <w:rPr>
                <w:rFonts w:ascii="Arial Narrow" w:hAnsi="Arial Narrow"/>
                <w:color w:val="333333"/>
                <w:sz w:val="20"/>
                <w:szCs w:val="20"/>
              </w:rPr>
            </w:pPr>
          </w:p>
        </w:tc>
        <w:tc>
          <w:tcPr>
            <w:tcW w:w="7745" w:type="dxa"/>
            <w:gridSpan w:val="6"/>
            <w:vAlign w:val="center"/>
          </w:tcPr>
          <w:p w14:paraId="192C502B" w14:textId="77777777" w:rsidR="00F66D25" w:rsidRPr="00DE60D1" w:rsidRDefault="00F66D25" w:rsidP="00425BAC">
            <w:pPr>
              <w:rPr>
                <w:rFonts w:ascii="Arial Narrow" w:hAnsi="Arial Narrow"/>
                <w:b/>
                <w:bCs/>
                <w:sz w:val="20"/>
                <w:szCs w:val="20"/>
              </w:rPr>
            </w:pPr>
            <w:r w:rsidRPr="00DE60D1">
              <w:rPr>
                <w:rFonts w:ascii="Arial Narrow" w:hAnsi="Arial Narrow"/>
                <w:b/>
                <w:bCs/>
                <w:sz w:val="20"/>
                <w:szCs w:val="20"/>
              </w:rPr>
              <w:t>Population criteria:</w:t>
            </w:r>
          </w:p>
        </w:tc>
      </w:tr>
      <w:tr w:rsidR="00F66D25" w:rsidRPr="001428E9" w14:paraId="16FCCED3"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53AFC48" w14:textId="225DF38B" w:rsidR="00F66D25" w:rsidRDefault="00F66D25" w:rsidP="00425BAC">
            <w:pPr>
              <w:keepLines/>
              <w:jc w:val="center"/>
              <w:rPr>
                <w:rFonts w:ascii="Arial Narrow" w:hAnsi="Arial Narrow"/>
                <w:color w:val="333333"/>
                <w:sz w:val="20"/>
                <w:szCs w:val="20"/>
              </w:rPr>
            </w:pPr>
          </w:p>
        </w:tc>
        <w:tc>
          <w:tcPr>
            <w:tcW w:w="7745" w:type="dxa"/>
            <w:gridSpan w:val="6"/>
            <w:vAlign w:val="center"/>
          </w:tcPr>
          <w:p w14:paraId="72ED5C5A" w14:textId="77777777" w:rsidR="00F66D25" w:rsidRPr="00073765" w:rsidRDefault="00F66D25" w:rsidP="00425BAC">
            <w:pPr>
              <w:rPr>
                <w:rFonts w:ascii="Arial Narrow" w:hAnsi="Arial Narrow"/>
                <w:sz w:val="20"/>
                <w:szCs w:val="20"/>
              </w:rPr>
            </w:pPr>
            <w:r w:rsidRPr="00073765">
              <w:rPr>
                <w:rFonts w:ascii="Arial Narrow" w:hAnsi="Arial Narrow"/>
                <w:sz w:val="20"/>
                <w:szCs w:val="20"/>
              </w:rPr>
              <w:t>Patient must be aged under 36 months prior to commencing treatment</w:t>
            </w:r>
          </w:p>
        </w:tc>
      </w:tr>
      <w:tr w:rsidR="005E0438" w:rsidRPr="001428E9" w14:paraId="17A951E9"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E7E964" w14:textId="77777777" w:rsidR="005E0438" w:rsidRPr="00073765" w:rsidRDefault="005E0438" w:rsidP="00425BAC">
            <w:pPr>
              <w:keepLines/>
              <w:jc w:val="center"/>
              <w:rPr>
                <w:rFonts w:ascii="Arial Narrow" w:hAnsi="Arial Narrow"/>
                <w:sz w:val="20"/>
                <w:szCs w:val="20"/>
              </w:rPr>
            </w:pPr>
          </w:p>
        </w:tc>
        <w:tc>
          <w:tcPr>
            <w:tcW w:w="7745" w:type="dxa"/>
            <w:gridSpan w:val="6"/>
            <w:vAlign w:val="center"/>
          </w:tcPr>
          <w:p w14:paraId="73F1A08E" w14:textId="77777777" w:rsidR="005E0438" w:rsidRPr="00073765" w:rsidRDefault="005E0438" w:rsidP="00425BAC">
            <w:pPr>
              <w:rPr>
                <w:rFonts w:ascii="Arial Narrow" w:hAnsi="Arial Narrow"/>
                <w:sz w:val="20"/>
                <w:szCs w:val="20"/>
              </w:rPr>
            </w:pPr>
          </w:p>
        </w:tc>
      </w:tr>
      <w:tr w:rsidR="00F66D25" w:rsidRPr="001428E9" w14:paraId="0F2CDB93"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B973E4E" w14:textId="77777777" w:rsidR="00F66D25" w:rsidRPr="00073765" w:rsidRDefault="00F66D25" w:rsidP="00425BAC">
            <w:pPr>
              <w:keepLines/>
              <w:jc w:val="center"/>
              <w:rPr>
                <w:rFonts w:ascii="Arial Narrow" w:hAnsi="Arial Narrow"/>
                <w:sz w:val="20"/>
                <w:szCs w:val="20"/>
              </w:rPr>
            </w:pPr>
          </w:p>
        </w:tc>
        <w:tc>
          <w:tcPr>
            <w:tcW w:w="7745" w:type="dxa"/>
            <w:gridSpan w:val="6"/>
            <w:vAlign w:val="center"/>
          </w:tcPr>
          <w:p w14:paraId="743E2560" w14:textId="77777777" w:rsidR="00F66D25" w:rsidRPr="00073765" w:rsidRDefault="00F66D25" w:rsidP="00425BAC">
            <w:pPr>
              <w:rPr>
                <w:rFonts w:ascii="Arial Narrow" w:hAnsi="Arial Narrow"/>
                <w:sz w:val="20"/>
                <w:szCs w:val="20"/>
              </w:rPr>
            </w:pPr>
            <w:r w:rsidRPr="00A310BB">
              <w:rPr>
                <w:rFonts w:ascii="Arial Narrow" w:hAnsi="Arial Narrow"/>
                <w:b/>
                <w:bCs/>
                <w:sz w:val="20"/>
                <w:szCs w:val="20"/>
              </w:rPr>
              <w:t>Prescriber instructions</w:t>
            </w:r>
          </w:p>
        </w:tc>
      </w:tr>
      <w:tr w:rsidR="00F66D25" w:rsidRPr="001428E9" w14:paraId="79440B82"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6F04814" w14:textId="0954E60E" w:rsidR="005E0438" w:rsidRDefault="005E0438" w:rsidP="00425BAC">
            <w:pPr>
              <w:keepLines/>
              <w:jc w:val="center"/>
              <w:rPr>
                <w:rFonts w:ascii="Arial Narrow" w:hAnsi="Arial Narrow"/>
                <w:color w:val="333333"/>
                <w:sz w:val="20"/>
                <w:szCs w:val="20"/>
              </w:rPr>
            </w:pPr>
          </w:p>
        </w:tc>
        <w:tc>
          <w:tcPr>
            <w:tcW w:w="7745" w:type="dxa"/>
            <w:gridSpan w:val="6"/>
            <w:vAlign w:val="center"/>
          </w:tcPr>
          <w:p w14:paraId="0B0A1184" w14:textId="77777777" w:rsidR="00F66D25" w:rsidRDefault="00F66D25" w:rsidP="00425BAC">
            <w:pPr>
              <w:rPr>
                <w:rFonts w:ascii="Arial Narrow" w:hAnsi="Arial Narrow"/>
                <w:sz w:val="20"/>
                <w:szCs w:val="20"/>
              </w:rPr>
            </w:pPr>
            <w:r w:rsidRPr="00073765">
              <w:rPr>
                <w:rFonts w:ascii="Arial Narrow" w:hAnsi="Arial Narrow"/>
                <w:sz w:val="20"/>
                <w:szCs w:val="20"/>
              </w:rPr>
              <w:t xml:space="preserve">Application for authorisation of initial treatment must be in writing (lodged via postal service or electronic upload) and must include: </w:t>
            </w:r>
          </w:p>
          <w:p w14:paraId="1C4EBE29" w14:textId="77777777" w:rsidR="00F66D25" w:rsidRDefault="00F66D25" w:rsidP="00425BAC">
            <w:pPr>
              <w:rPr>
                <w:rFonts w:ascii="Arial Narrow" w:hAnsi="Arial Narrow"/>
                <w:sz w:val="20"/>
                <w:szCs w:val="20"/>
              </w:rPr>
            </w:pPr>
            <w:r w:rsidRPr="00073765">
              <w:rPr>
                <w:rFonts w:ascii="Arial Narrow" w:hAnsi="Arial Narrow"/>
                <w:sz w:val="20"/>
                <w:szCs w:val="20"/>
              </w:rPr>
              <w:t xml:space="preserve">(a) a completed authority prescription form; and, </w:t>
            </w:r>
          </w:p>
          <w:p w14:paraId="13E1F022" w14:textId="77777777" w:rsidR="00F66D25" w:rsidRDefault="00F66D25" w:rsidP="00425BAC">
            <w:pPr>
              <w:rPr>
                <w:rFonts w:ascii="Arial Narrow" w:hAnsi="Arial Narrow"/>
                <w:sz w:val="20"/>
                <w:szCs w:val="20"/>
              </w:rPr>
            </w:pPr>
            <w:r w:rsidRPr="00073765">
              <w:rPr>
                <w:rFonts w:ascii="Arial Narrow" w:hAnsi="Arial Narrow"/>
                <w:sz w:val="20"/>
                <w:szCs w:val="20"/>
              </w:rPr>
              <w:t>(b) a completed Spinal muscular atrophy PBS Authority Application Form which includes the following:</w:t>
            </w:r>
          </w:p>
          <w:p w14:paraId="5DC5F588" w14:textId="77777777" w:rsidR="00F66D25" w:rsidRDefault="00F66D25" w:rsidP="00425BAC">
            <w:pPr>
              <w:rPr>
                <w:rFonts w:ascii="Arial Narrow" w:hAnsi="Arial Narrow"/>
                <w:sz w:val="20"/>
                <w:szCs w:val="20"/>
              </w:rPr>
            </w:pPr>
            <w:r w:rsidRPr="00073765">
              <w:rPr>
                <w:rFonts w:ascii="Arial Narrow" w:hAnsi="Arial Narrow"/>
                <w:sz w:val="20"/>
                <w:szCs w:val="20"/>
              </w:rPr>
              <w:t>(i) confirmation of genetic diagnosis of SMA; and</w:t>
            </w:r>
          </w:p>
          <w:p w14:paraId="0E69508E" w14:textId="61D6C5F2" w:rsidR="00F66D25" w:rsidRPr="00073765" w:rsidRDefault="00F66D25" w:rsidP="00425BAC">
            <w:pPr>
              <w:rPr>
                <w:rFonts w:ascii="Arial Narrow" w:hAnsi="Arial Narrow"/>
                <w:sz w:val="20"/>
                <w:szCs w:val="20"/>
              </w:rPr>
            </w:pPr>
            <w:r w:rsidRPr="00073765">
              <w:rPr>
                <w:rFonts w:ascii="Arial Narrow" w:hAnsi="Arial Narrow"/>
                <w:sz w:val="20"/>
                <w:szCs w:val="20"/>
              </w:rPr>
              <w:t xml:space="preserve">(ii) a copy of the results substantiating the number of </w:t>
            </w:r>
            <w:r w:rsidR="00AF346B" w:rsidRPr="00AF346B">
              <w:rPr>
                <w:rFonts w:ascii="Arial Narrow" w:hAnsi="Arial Narrow"/>
                <w:i/>
                <w:sz w:val="20"/>
                <w:szCs w:val="20"/>
              </w:rPr>
              <w:t>SMN2</w:t>
            </w:r>
            <w:r w:rsidRPr="00073765">
              <w:rPr>
                <w:rFonts w:ascii="Arial Narrow" w:hAnsi="Arial Narrow"/>
                <w:sz w:val="20"/>
                <w:szCs w:val="20"/>
              </w:rPr>
              <w:t xml:space="preserve"> gene copies determined by quantitative polymerase chain reaction (qPCR) or multiple ligation dependent probe amplification (MLPA)</w:t>
            </w:r>
          </w:p>
        </w:tc>
      </w:tr>
      <w:tr w:rsidR="00F66D25" w:rsidRPr="001428E9" w14:paraId="4F1FD421"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27A75B5" w14:textId="77777777" w:rsidR="00F66D25" w:rsidRPr="00073765" w:rsidRDefault="00F66D25" w:rsidP="00425BAC">
            <w:pPr>
              <w:keepLines/>
              <w:jc w:val="center"/>
              <w:rPr>
                <w:rFonts w:ascii="Arial Narrow" w:hAnsi="Arial Narrow"/>
                <w:sz w:val="20"/>
                <w:szCs w:val="20"/>
              </w:rPr>
            </w:pPr>
          </w:p>
        </w:tc>
        <w:tc>
          <w:tcPr>
            <w:tcW w:w="7745" w:type="dxa"/>
            <w:gridSpan w:val="6"/>
            <w:vAlign w:val="center"/>
          </w:tcPr>
          <w:p w14:paraId="6F0287C7" w14:textId="77777777" w:rsidR="00F66D25" w:rsidRPr="00073765" w:rsidRDefault="00F66D25" w:rsidP="00425BAC">
            <w:pPr>
              <w:rPr>
                <w:rFonts w:ascii="Arial Narrow" w:hAnsi="Arial Narrow"/>
                <w:sz w:val="20"/>
                <w:szCs w:val="20"/>
              </w:rPr>
            </w:pPr>
            <w:r w:rsidRPr="00DE60D1">
              <w:rPr>
                <w:rFonts w:ascii="Arial Narrow" w:hAnsi="Arial Narrow"/>
                <w:b/>
                <w:bCs/>
                <w:i/>
                <w:iCs/>
                <w:sz w:val="20"/>
                <w:szCs w:val="20"/>
              </w:rPr>
              <w:t>Administrative advice</w:t>
            </w:r>
          </w:p>
        </w:tc>
      </w:tr>
      <w:tr w:rsidR="00F66D25" w:rsidRPr="005E0438" w14:paraId="0ACE7185"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319D321" w14:textId="190A504D" w:rsidR="00F66D25" w:rsidRPr="005E0438" w:rsidRDefault="00F66D25" w:rsidP="00425BAC">
            <w:pPr>
              <w:keepLines/>
              <w:jc w:val="center"/>
              <w:rPr>
                <w:rFonts w:ascii="Arial Narrow" w:hAnsi="Arial Narrow"/>
                <w:color w:val="333333"/>
                <w:sz w:val="20"/>
                <w:szCs w:val="20"/>
              </w:rPr>
            </w:pPr>
          </w:p>
        </w:tc>
        <w:tc>
          <w:tcPr>
            <w:tcW w:w="7745" w:type="dxa"/>
            <w:gridSpan w:val="6"/>
            <w:vAlign w:val="center"/>
          </w:tcPr>
          <w:p w14:paraId="60C543FF" w14:textId="77777777" w:rsidR="00F66D25" w:rsidRPr="005E0438" w:rsidRDefault="00F66D25" w:rsidP="00425BAC">
            <w:pPr>
              <w:rPr>
                <w:rFonts w:ascii="Arial Narrow" w:hAnsi="Arial Narrow"/>
                <w:sz w:val="20"/>
                <w:szCs w:val="20"/>
              </w:rPr>
            </w:pPr>
            <w:r w:rsidRPr="005E0438">
              <w:rPr>
                <w:rFonts w:ascii="Arial Narrow" w:hAnsi="Arial Narrow"/>
                <w:sz w:val="20"/>
                <w:szCs w:val="20"/>
              </w:rPr>
              <w:t>An outcome on the authority application is not immediate, but will follow in due course. Electronic upload is encouraged to reduce processing time.</w:t>
            </w:r>
          </w:p>
        </w:tc>
      </w:tr>
      <w:tr w:rsidR="00F66D25" w:rsidRPr="00DE60D1" w14:paraId="088C8C28"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CE5B3AA" w14:textId="77777777" w:rsidR="00F66D25" w:rsidRPr="00DE60D1" w:rsidRDefault="00F66D25" w:rsidP="00425BAC">
            <w:pPr>
              <w:keepLines/>
              <w:jc w:val="center"/>
              <w:rPr>
                <w:rFonts w:ascii="Arial Narrow" w:hAnsi="Arial Narrow"/>
                <w:i/>
                <w:iCs/>
                <w:sz w:val="20"/>
                <w:szCs w:val="20"/>
              </w:rPr>
            </w:pPr>
          </w:p>
        </w:tc>
        <w:tc>
          <w:tcPr>
            <w:tcW w:w="7745" w:type="dxa"/>
            <w:gridSpan w:val="6"/>
            <w:vAlign w:val="center"/>
          </w:tcPr>
          <w:p w14:paraId="032A4B04" w14:textId="77777777" w:rsidR="00F66D25" w:rsidRPr="00DE60D1" w:rsidRDefault="00F66D25" w:rsidP="00425BAC">
            <w:pPr>
              <w:rPr>
                <w:rFonts w:ascii="Arial Narrow" w:hAnsi="Arial Narrow"/>
                <w:b/>
                <w:bCs/>
                <w:i/>
                <w:iCs/>
                <w:sz w:val="20"/>
                <w:szCs w:val="20"/>
              </w:rPr>
            </w:pPr>
          </w:p>
        </w:tc>
      </w:tr>
      <w:tr w:rsidR="00F66D25" w:rsidRPr="00DE60D1" w14:paraId="58BEF42E"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E99AC0" w14:textId="77777777" w:rsidR="00F66D25" w:rsidRPr="00DE60D1" w:rsidRDefault="00F66D25" w:rsidP="00425BAC">
            <w:pPr>
              <w:keepLines/>
              <w:jc w:val="center"/>
              <w:rPr>
                <w:rFonts w:ascii="Arial Narrow" w:hAnsi="Arial Narrow"/>
                <w:i/>
                <w:iCs/>
                <w:sz w:val="20"/>
                <w:szCs w:val="20"/>
              </w:rPr>
            </w:pPr>
          </w:p>
        </w:tc>
        <w:tc>
          <w:tcPr>
            <w:tcW w:w="7745" w:type="dxa"/>
            <w:gridSpan w:val="6"/>
            <w:vAlign w:val="center"/>
          </w:tcPr>
          <w:p w14:paraId="26E27569" w14:textId="77777777" w:rsidR="00F66D25" w:rsidRPr="00DE60D1" w:rsidRDefault="00F66D25" w:rsidP="00425BAC">
            <w:pPr>
              <w:rPr>
                <w:rFonts w:ascii="Arial Narrow" w:hAnsi="Arial Narrow"/>
                <w:b/>
                <w:bCs/>
                <w:i/>
                <w:iCs/>
                <w:sz w:val="20"/>
                <w:szCs w:val="20"/>
              </w:rPr>
            </w:pPr>
          </w:p>
        </w:tc>
      </w:tr>
      <w:tr w:rsidR="00F66D25" w:rsidRPr="001428E9" w14:paraId="190DD470" w14:textId="77777777" w:rsidTr="00034A92">
        <w:trPr>
          <w:cantSplit/>
          <w:trHeight w:val="20"/>
        </w:trPr>
        <w:tc>
          <w:tcPr>
            <w:tcW w:w="3940" w:type="dxa"/>
            <w:gridSpan w:val="3"/>
            <w:vAlign w:val="center"/>
          </w:tcPr>
          <w:p w14:paraId="30AA5F4B" w14:textId="77777777" w:rsidR="00F66D25" w:rsidRPr="001428E9" w:rsidRDefault="00F66D25" w:rsidP="00425BAC">
            <w:pPr>
              <w:keepLines/>
              <w:rPr>
                <w:rFonts w:ascii="Arial Narrow" w:hAnsi="Arial Narrow"/>
                <w:b/>
                <w:bCs/>
                <w:sz w:val="20"/>
                <w:szCs w:val="20"/>
              </w:rPr>
            </w:pPr>
            <w:r w:rsidRPr="001428E9">
              <w:rPr>
                <w:rFonts w:ascii="Arial Narrow" w:hAnsi="Arial Narrow"/>
                <w:b/>
                <w:bCs/>
                <w:sz w:val="20"/>
                <w:szCs w:val="20"/>
              </w:rPr>
              <w:t>MEDICINAL PRODUCT</w:t>
            </w:r>
          </w:p>
          <w:p w14:paraId="1316827C" w14:textId="77777777" w:rsidR="00F66D25" w:rsidRPr="001428E9" w:rsidRDefault="00F66D25" w:rsidP="00425BAC">
            <w:pPr>
              <w:keepLines/>
              <w:rPr>
                <w:rFonts w:ascii="Arial Narrow" w:hAnsi="Arial Narrow"/>
                <w:b/>
                <w:sz w:val="20"/>
                <w:szCs w:val="20"/>
              </w:rPr>
            </w:pPr>
            <w:r w:rsidRPr="001428E9">
              <w:rPr>
                <w:rFonts w:ascii="Arial Narrow" w:hAnsi="Arial Narrow"/>
                <w:b/>
                <w:bCs/>
                <w:sz w:val="20"/>
                <w:szCs w:val="20"/>
              </w:rPr>
              <w:t>medicinal product pack</w:t>
            </w:r>
          </w:p>
        </w:tc>
        <w:tc>
          <w:tcPr>
            <w:tcW w:w="811" w:type="dxa"/>
            <w:vAlign w:val="center"/>
          </w:tcPr>
          <w:p w14:paraId="61989866"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PBS item code</w:t>
            </w:r>
          </w:p>
        </w:tc>
        <w:tc>
          <w:tcPr>
            <w:tcW w:w="812" w:type="dxa"/>
            <w:vAlign w:val="center"/>
          </w:tcPr>
          <w:p w14:paraId="361B7A97"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573ABE28"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039DF36E"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№.of</w:t>
            </w:r>
          </w:p>
          <w:p w14:paraId="5D906FD7" w14:textId="77777777" w:rsidR="00F66D25" w:rsidRPr="001428E9" w:rsidRDefault="00F66D25" w:rsidP="00425BAC">
            <w:pPr>
              <w:keepLines/>
              <w:jc w:val="center"/>
              <w:rPr>
                <w:rFonts w:ascii="Arial Narrow" w:hAnsi="Arial Narrow"/>
                <w:b/>
                <w:sz w:val="20"/>
                <w:szCs w:val="20"/>
              </w:rPr>
            </w:pPr>
            <w:r w:rsidRPr="001428E9">
              <w:rPr>
                <w:rFonts w:ascii="Arial Narrow" w:hAnsi="Arial Narrow"/>
                <w:b/>
                <w:sz w:val="20"/>
                <w:szCs w:val="20"/>
              </w:rPr>
              <w:t>Rpts</w:t>
            </w:r>
          </w:p>
        </w:tc>
        <w:tc>
          <w:tcPr>
            <w:tcW w:w="1831" w:type="dxa"/>
            <w:vAlign w:val="center"/>
          </w:tcPr>
          <w:p w14:paraId="091F83BE" w14:textId="77777777" w:rsidR="00F66D25" w:rsidRPr="001428E9" w:rsidRDefault="00F66D25" w:rsidP="00425BAC">
            <w:pPr>
              <w:keepLines/>
              <w:rPr>
                <w:rFonts w:ascii="Arial Narrow" w:hAnsi="Arial Narrow"/>
                <w:b/>
                <w:sz w:val="20"/>
                <w:szCs w:val="20"/>
                <w:lang w:val="fr-FR"/>
              </w:rPr>
            </w:pPr>
            <w:r w:rsidRPr="001428E9">
              <w:rPr>
                <w:rFonts w:ascii="Arial Narrow" w:hAnsi="Arial Narrow"/>
                <w:b/>
                <w:sz w:val="20"/>
                <w:szCs w:val="20"/>
              </w:rPr>
              <w:t>Available brands</w:t>
            </w:r>
          </w:p>
        </w:tc>
      </w:tr>
      <w:tr w:rsidR="00F66D25" w:rsidRPr="001428E9" w14:paraId="61A207A9" w14:textId="77777777" w:rsidTr="00034A92">
        <w:trPr>
          <w:cantSplit/>
          <w:trHeight w:val="20"/>
        </w:trPr>
        <w:tc>
          <w:tcPr>
            <w:tcW w:w="9017" w:type="dxa"/>
            <w:gridSpan w:val="8"/>
            <w:vAlign w:val="center"/>
          </w:tcPr>
          <w:p w14:paraId="429B79F2" w14:textId="77777777" w:rsidR="00F66D25" w:rsidRPr="00775F24" w:rsidRDefault="00F66D25" w:rsidP="00425BAC">
            <w:pPr>
              <w:keepLines/>
              <w:rPr>
                <w:rFonts w:ascii="Arial Narrow" w:hAnsi="Arial Narrow"/>
                <w:caps/>
                <w:sz w:val="20"/>
                <w:szCs w:val="20"/>
              </w:rPr>
            </w:pPr>
            <w:r w:rsidRPr="00775F24">
              <w:rPr>
                <w:rFonts w:ascii="Arial Narrow" w:hAnsi="Arial Narrow"/>
                <w:caps/>
                <w:sz w:val="20"/>
                <w:szCs w:val="20"/>
              </w:rPr>
              <w:t>Risdiplam</w:t>
            </w:r>
          </w:p>
        </w:tc>
      </w:tr>
      <w:tr w:rsidR="00F66D25" w:rsidRPr="001428E9" w14:paraId="28378B98" w14:textId="77777777" w:rsidTr="00034A92">
        <w:trPr>
          <w:cantSplit/>
          <w:trHeight w:val="20"/>
        </w:trPr>
        <w:tc>
          <w:tcPr>
            <w:tcW w:w="9017" w:type="dxa"/>
            <w:gridSpan w:val="8"/>
            <w:vAlign w:val="center"/>
          </w:tcPr>
          <w:p w14:paraId="200CDAED" w14:textId="77777777" w:rsidR="00F66D25" w:rsidRDefault="00F66D25" w:rsidP="00425BAC">
            <w:pPr>
              <w:keepLines/>
              <w:rPr>
                <w:rFonts w:ascii="Arial Narrow" w:hAnsi="Arial Narrow"/>
                <w:sz w:val="20"/>
                <w:szCs w:val="20"/>
              </w:rPr>
            </w:pPr>
          </w:p>
        </w:tc>
      </w:tr>
      <w:tr w:rsidR="00F66D25" w:rsidRPr="001428E9" w14:paraId="38FDB5EC" w14:textId="77777777" w:rsidTr="00034A92">
        <w:trPr>
          <w:cantSplit/>
          <w:trHeight w:val="20"/>
        </w:trPr>
        <w:tc>
          <w:tcPr>
            <w:tcW w:w="3940" w:type="dxa"/>
            <w:gridSpan w:val="3"/>
            <w:vAlign w:val="center"/>
          </w:tcPr>
          <w:p w14:paraId="75F3035B" w14:textId="77777777" w:rsidR="00F66D25" w:rsidRPr="001428E9" w:rsidRDefault="00F66D25" w:rsidP="00425BAC">
            <w:pPr>
              <w:keepLines/>
              <w:rPr>
                <w:rFonts w:ascii="Arial Narrow" w:hAnsi="Arial Narrow"/>
                <w:sz w:val="20"/>
                <w:szCs w:val="20"/>
              </w:rPr>
            </w:pPr>
            <w:r w:rsidRPr="00A310BB">
              <w:rPr>
                <w:rFonts w:ascii="Arial Narrow" w:hAnsi="Arial Narrow"/>
                <w:sz w:val="20"/>
                <w:szCs w:val="20"/>
              </w:rPr>
              <w:t>risdiplam 750 microgram/mL powder for oral liquid, 80 mL</w:t>
            </w:r>
          </w:p>
        </w:tc>
        <w:tc>
          <w:tcPr>
            <w:tcW w:w="811" w:type="dxa"/>
            <w:vAlign w:val="center"/>
          </w:tcPr>
          <w:p w14:paraId="06D4C2A8" w14:textId="77777777" w:rsidR="00F66D25" w:rsidRPr="001428E9" w:rsidRDefault="00F66D25" w:rsidP="00425BAC">
            <w:pPr>
              <w:keepLines/>
              <w:jc w:val="center"/>
              <w:rPr>
                <w:rFonts w:ascii="Arial Narrow" w:hAnsi="Arial Narrow"/>
                <w:sz w:val="20"/>
                <w:szCs w:val="20"/>
              </w:rPr>
            </w:pPr>
            <w:r w:rsidRPr="001428E9">
              <w:rPr>
                <w:rFonts w:ascii="Arial Narrow" w:hAnsi="Arial Narrow"/>
                <w:sz w:val="20"/>
                <w:szCs w:val="20"/>
              </w:rPr>
              <w:t>NEW</w:t>
            </w:r>
          </w:p>
        </w:tc>
        <w:tc>
          <w:tcPr>
            <w:tcW w:w="812" w:type="dxa"/>
            <w:vAlign w:val="center"/>
          </w:tcPr>
          <w:p w14:paraId="2B3C5F9B" w14:textId="77777777" w:rsidR="00F66D25" w:rsidRPr="001428E9" w:rsidRDefault="00F66D25" w:rsidP="00425BAC">
            <w:pPr>
              <w:keepLines/>
              <w:jc w:val="center"/>
              <w:rPr>
                <w:rFonts w:ascii="Arial Narrow" w:hAnsi="Arial Narrow"/>
                <w:sz w:val="20"/>
                <w:szCs w:val="20"/>
              </w:rPr>
            </w:pPr>
            <w:r>
              <w:rPr>
                <w:rFonts w:ascii="Arial Narrow" w:hAnsi="Arial Narrow"/>
                <w:sz w:val="20"/>
                <w:szCs w:val="20"/>
              </w:rPr>
              <w:t>1</w:t>
            </w:r>
          </w:p>
        </w:tc>
        <w:tc>
          <w:tcPr>
            <w:tcW w:w="811" w:type="dxa"/>
            <w:vAlign w:val="center"/>
          </w:tcPr>
          <w:p w14:paraId="462C761B" w14:textId="77777777" w:rsidR="00F66D25" w:rsidRPr="001428E9" w:rsidRDefault="00F66D25" w:rsidP="00425BAC">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32BBB783" w14:textId="77777777" w:rsidR="00F66D25" w:rsidRPr="001428E9" w:rsidRDefault="00F66D25" w:rsidP="00425BAC">
            <w:pPr>
              <w:keepLines/>
              <w:jc w:val="center"/>
              <w:rPr>
                <w:rFonts w:ascii="Arial Narrow" w:hAnsi="Arial Narrow"/>
                <w:sz w:val="20"/>
                <w:szCs w:val="20"/>
              </w:rPr>
            </w:pPr>
            <w:r>
              <w:rPr>
                <w:rFonts w:ascii="Arial Narrow" w:hAnsi="Arial Narrow"/>
                <w:sz w:val="20"/>
                <w:szCs w:val="20"/>
              </w:rPr>
              <w:t>5</w:t>
            </w:r>
          </w:p>
        </w:tc>
        <w:tc>
          <w:tcPr>
            <w:tcW w:w="1831" w:type="dxa"/>
            <w:vAlign w:val="center"/>
          </w:tcPr>
          <w:p w14:paraId="667BDDED" w14:textId="77777777" w:rsidR="00F66D25" w:rsidRPr="001428E9" w:rsidRDefault="00F66D25" w:rsidP="00425BAC">
            <w:pPr>
              <w:keepLines/>
              <w:rPr>
                <w:rFonts w:ascii="Arial Narrow" w:hAnsi="Arial Narrow"/>
                <w:sz w:val="20"/>
                <w:szCs w:val="20"/>
              </w:rPr>
            </w:pPr>
            <w:r>
              <w:rPr>
                <w:rFonts w:ascii="Arial Narrow" w:hAnsi="Arial Narrow"/>
                <w:sz w:val="20"/>
                <w:szCs w:val="20"/>
              </w:rPr>
              <w:t>Evrysdi</w:t>
            </w:r>
          </w:p>
        </w:tc>
      </w:tr>
      <w:tr w:rsidR="00F66D25" w:rsidRPr="001428E9" w14:paraId="3D4E8972" w14:textId="77777777" w:rsidTr="00034A92">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7838FCFE" w14:textId="77777777" w:rsidR="00F66D25" w:rsidRPr="001428E9" w:rsidRDefault="00F66D25" w:rsidP="00425BAC">
            <w:pPr>
              <w:rPr>
                <w:rFonts w:ascii="Arial Narrow" w:hAnsi="Arial Narrow"/>
                <w:sz w:val="20"/>
                <w:szCs w:val="20"/>
              </w:rPr>
            </w:pPr>
          </w:p>
        </w:tc>
      </w:tr>
      <w:tr w:rsidR="00F66D25" w:rsidRPr="001428E9" w14:paraId="393F4A4E" w14:textId="77777777" w:rsidTr="00034A92">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08FBA6EB" w14:textId="3CCF92AA" w:rsidR="00F66D25" w:rsidRPr="00C33721" w:rsidRDefault="00F66D25" w:rsidP="00425BAC">
            <w:pPr>
              <w:keepLines/>
              <w:rPr>
                <w:rFonts w:ascii="Arial Narrow" w:hAnsi="Arial Narrow"/>
                <w:b/>
                <w:color w:val="FF0000"/>
                <w:sz w:val="20"/>
                <w:szCs w:val="20"/>
              </w:rPr>
            </w:pPr>
            <w:r>
              <w:rPr>
                <w:rFonts w:ascii="Arial Narrow" w:hAnsi="Arial Narrow"/>
                <w:b/>
                <w:sz w:val="20"/>
                <w:szCs w:val="20"/>
              </w:rPr>
              <w:t>Treatment of Concept 12606L</w:t>
            </w:r>
          </w:p>
        </w:tc>
      </w:tr>
      <w:tr w:rsidR="00F66D25" w:rsidRPr="001428E9" w14:paraId="6022DF15" w14:textId="77777777" w:rsidTr="00034A92">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4C12705F" w14:textId="77777777" w:rsidR="00F66D25" w:rsidRPr="001428E9" w:rsidRDefault="00F66D25" w:rsidP="00425BAC">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A6DC4C6" w14:textId="77777777" w:rsidR="00F66D25" w:rsidRPr="001428E9" w:rsidRDefault="00F66D25" w:rsidP="00425BAC">
            <w:pPr>
              <w:keepLines/>
              <w:rPr>
                <w:rFonts w:ascii="Arial Narrow" w:hAnsi="Arial Narrow"/>
                <w:sz w:val="20"/>
                <w:szCs w:val="20"/>
              </w:rPr>
            </w:pPr>
            <w:r w:rsidRPr="001428E9">
              <w:rPr>
                <w:rFonts w:ascii="Arial Narrow" w:hAnsi="Arial Narrow"/>
                <w:b/>
                <w:sz w:val="20"/>
                <w:szCs w:val="20"/>
              </w:rPr>
              <w:t xml:space="preserve">Category / Program: </w:t>
            </w:r>
            <w:r w:rsidRPr="001428E9">
              <w:rPr>
                <w:rFonts w:ascii="Arial Narrow" w:hAnsi="Arial Narrow"/>
                <w:sz w:val="20"/>
                <w:szCs w:val="20"/>
              </w:rPr>
              <w:t>Section 100 – Highly Specialised Drugs Program</w:t>
            </w:r>
          </w:p>
        </w:tc>
      </w:tr>
      <w:tr w:rsidR="00F66D25" w:rsidRPr="001428E9" w14:paraId="0A163352" w14:textId="77777777" w:rsidTr="00034A92">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34D50BE9" w14:textId="77777777" w:rsidR="00F66D25" w:rsidRPr="001428E9" w:rsidRDefault="00F66D25" w:rsidP="00425BAC">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C36B6F8" w14:textId="77777777" w:rsidR="00F66D25" w:rsidRPr="001428E9" w:rsidRDefault="00F66D25" w:rsidP="00425BAC">
            <w:pPr>
              <w:keepLines/>
              <w:rPr>
                <w:rFonts w:ascii="Arial Narrow" w:hAnsi="Arial Narrow"/>
                <w:b/>
                <w:sz w:val="20"/>
                <w:szCs w:val="20"/>
              </w:rPr>
            </w:pPr>
            <w:r w:rsidRPr="001428E9">
              <w:rPr>
                <w:rFonts w:ascii="Arial Narrow" w:hAnsi="Arial Narrow"/>
                <w:b/>
                <w:sz w:val="20"/>
                <w:szCs w:val="20"/>
              </w:rPr>
              <w:t xml:space="preserve">Prescriber type: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D45640">
              <w:rPr>
                <w:rFonts w:ascii="Arial Narrow" w:hAnsi="Arial Narrow"/>
                <w:sz w:val="20"/>
                <w:szCs w:val="20"/>
              </w:rPr>
            </w:r>
            <w:r w:rsidR="00D45640">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Medical Practitioners</w:t>
            </w:r>
          </w:p>
        </w:tc>
      </w:tr>
      <w:tr w:rsidR="00F66D25" w:rsidRPr="001428E9" w14:paraId="667CA9A0" w14:textId="77777777" w:rsidTr="00034A92">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10BB8192" w14:textId="77777777" w:rsidR="00F66D25" w:rsidRPr="001428E9" w:rsidRDefault="00F66D25" w:rsidP="00425BAC">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4667B09" w14:textId="77777777" w:rsidR="00F66D25" w:rsidRDefault="00F66D25" w:rsidP="00425BAC">
            <w:pPr>
              <w:keepLines/>
              <w:rPr>
                <w:rFonts w:ascii="Arial Narrow" w:eastAsia="Calibri" w:hAnsi="Arial Narrow"/>
                <w:sz w:val="20"/>
                <w:szCs w:val="20"/>
              </w:rPr>
            </w:pPr>
            <w:r w:rsidRPr="001428E9">
              <w:rPr>
                <w:rFonts w:ascii="Arial Narrow" w:hAnsi="Arial Narrow"/>
                <w:b/>
                <w:sz w:val="20"/>
                <w:szCs w:val="20"/>
              </w:rPr>
              <w:t xml:space="preserve">Restriction type: </w:t>
            </w:r>
          </w:p>
          <w:p w14:paraId="6A8AB633" w14:textId="77777777" w:rsidR="00F66D25" w:rsidRPr="00480E4D" w:rsidRDefault="00F66D25" w:rsidP="00425BAC">
            <w:pPr>
              <w:pStyle w:val="TableText1"/>
              <w:spacing w:before="0" w:after="0"/>
            </w:pPr>
            <w:r>
              <w:fldChar w:fldCharType="begin">
                <w:ffData>
                  <w:name w:val="Check5"/>
                  <w:enabled/>
                  <w:calcOnExit w:val="0"/>
                  <w:checkBox>
                    <w:sizeAuto/>
                    <w:default w:val="1"/>
                  </w:checkBox>
                </w:ffData>
              </w:fldChar>
            </w:r>
            <w:r>
              <w:instrText xml:space="preserve"> FORMCHECKBOX </w:instrText>
            </w:r>
            <w:r w:rsidR="00D45640">
              <w:fldChar w:fldCharType="separate"/>
            </w:r>
            <w:r>
              <w:fldChar w:fldCharType="end"/>
            </w:r>
            <w:r w:rsidRPr="00397232">
              <w:rPr>
                <w:rFonts w:ascii="Arial Narrow" w:eastAsia="Calibri" w:hAnsi="Arial Narrow" w:cs="Arial"/>
                <w:bCs w:val="0"/>
                <w:lang w:eastAsia="en-US"/>
              </w:rPr>
              <w:t>Authority Required</w:t>
            </w:r>
            <w:r>
              <w:rPr>
                <w:rFonts w:ascii="Arial Narrow" w:eastAsia="Calibri" w:hAnsi="Arial Narrow" w:cs="Arial"/>
                <w:bCs w:val="0"/>
                <w:lang w:eastAsia="en-US"/>
              </w:rPr>
              <w:t xml:space="preserve"> (e</w:t>
            </w:r>
            <w:r w:rsidRPr="00397232">
              <w:rPr>
                <w:rFonts w:ascii="Arial Narrow" w:eastAsia="Calibri" w:hAnsi="Arial Narrow" w:cs="Arial"/>
                <w:bCs w:val="0"/>
                <w:lang w:eastAsia="en-US"/>
              </w:rPr>
              <w:t>lectronic</w:t>
            </w:r>
            <w:r>
              <w:rPr>
                <w:rFonts w:ascii="Arial Narrow" w:eastAsia="Calibri" w:hAnsi="Arial Narrow" w:cs="Arial"/>
                <w:bCs w:val="0"/>
                <w:lang w:eastAsia="en-US"/>
              </w:rPr>
              <w:t xml:space="preserve">) </w:t>
            </w:r>
          </w:p>
        </w:tc>
      </w:tr>
      <w:tr w:rsidR="00F66D25" w:rsidRPr="005E0438" w14:paraId="0EEEB1C1" w14:textId="77777777" w:rsidTr="00034A92">
        <w:tblPrEx>
          <w:tblCellMar>
            <w:top w:w="15" w:type="dxa"/>
            <w:bottom w:w="15" w:type="dxa"/>
          </w:tblCellMar>
          <w:tblLook w:val="04A0" w:firstRow="1" w:lastRow="0" w:firstColumn="1" w:lastColumn="0" w:noHBand="0" w:noVBand="1"/>
        </w:tblPrEx>
        <w:trPr>
          <w:trHeight w:val="20"/>
        </w:trPr>
        <w:tc>
          <w:tcPr>
            <w:tcW w:w="563" w:type="dxa"/>
            <w:vMerge w:val="restart"/>
            <w:tcBorders>
              <w:left w:val="single" w:sz="4" w:space="0" w:color="auto"/>
              <w:right w:val="single" w:sz="4" w:space="0" w:color="auto"/>
            </w:tcBorders>
            <w:textDirection w:val="btLr"/>
            <w:vAlign w:val="center"/>
          </w:tcPr>
          <w:p w14:paraId="57845CEE" w14:textId="77777777" w:rsidR="00F66D25" w:rsidRPr="005E0438" w:rsidRDefault="00F66D25" w:rsidP="00425BAC">
            <w:pPr>
              <w:jc w:val="center"/>
              <w:rPr>
                <w:rFonts w:ascii="Arial Narrow" w:hAnsi="Arial Narrow"/>
                <w:sz w:val="20"/>
                <w:szCs w:val="20"/>
              </w:rPr>
            </w:pPr>
            <w:r w:rsidRPr="005E0438">
              <w:rPr>
                <w:rFonts w:ascii="Arial Narrow" w:hAnsi="Arial Narrow"/>
                <w:sz w:val="20"/>
                <w:szCs w:val="20"/>
              </w:rPr>
              <w:t>Prescribing rule level</w:t>
            </w:r>
          </w:p>
        </w:tc>
        <w:tc>
          <w:tcPr>
            <w:tcW w:w="709" w:type="dxa"/>
            <w:vAlign w:val="center"/>
          </w:tcPr>
          <w:p w14:paraId="0BEDEF54" w14:textId="60FF390F" w:rsidR="00F66D25" w:rsidRPr="005E0438" w:rsidRDefault="00F66D25" w:rsidP="00425BAC">
            <w:pPr>
              <w:jc w:val="center"/>
              <w:rPr>
                <w:rFonts w:ascii="Arial Narrow" w:hAnsi="Arial Narrow"/>
                <w:color w:val="333333"/>
                <w:sz w:val="20"/>
                <w:szCs w:val="20"/>
              </w:rPr>
            </w:pPr>
          </w:p>
        </w:tc>
        <w:tc>
          <w:tcPr>
            <w:tcW w:w="7745" w:type="dxa"/>
            <w:gridSpan w:val="6"/>
            <w:vAlign w:val="center"/>
          </w:tcPr>
          <w:p w14:paraId="42032D53" w14:textId="77777777" w:rsidR="00F66D25" w:rsidRPr="005E0438" w:rsidRDefault="00F66D25" w:rsidP="00425BAC">
            <w:pPr>
              <w:rPr>
                <w:rFonts w:ascii="Arial Narrow" w:hAnsi="Arial Narrow"/>
                <w:color w:val="333333"/>
                <w:sz w:val="20"/>
                <w:szCs w:val="20"/>
              </w:rPr>
            </w:pPr>
            <w:r w:rsidRPr="005E0438">
              <w:rPr>
                <w:rFonts w:ascii="Arial Narrow" w:hAnsi="Arial Narrow"/>
                <w:b/>
                <w:bCs/>
                <w:color w:val="333333"/>
                <w:sz w:val="20"/>
                <w:szCs w:val="20"/>
              </w:rPr>
              <w:t>Administrative Advice:</w:t>
            </w:r>
            <w:r w:rsidRPr="005E0438">
              <w:rPr>
                <w:rFonts w:ascii="Arial Narrow" w:hAnsi="Arial Narrow"/>
                <w:color w:val="333333"/>
                <w:sz w:val="20"/>
                <w:szCs w:val="20"/>
              </w:rPr>
              <w:t xml:space="preserve"> </w:t>
            </w:r>
            <w:r w:rsidRPr="005E0438">
              <w:rPr>
                <w:rFonts w:ascii="Arial Narrow" w:eastAsia="Calibri" w:hAnsi="Arial Narrow"/>
                <w:sz w:val="20"/>
                <w:szCs w:val="20"/>
              </w:rPr>
              <w:t>No increase in the maximum quantity or number of units may be authorised.</w:t>
            </w:r>
          </w:p>
        </w:tc>
      </w:tr>
      <w:tr w:rsidR="00F66D25" w:rsidRPr="001428E9" w14:paraId="1D470D80" w14:textId="77777777" w:rsidTr="00034A92">
        <w:tblPrEx>
          <w:tblCellMar>
            <w:top w:w="15" w:type="dxa"/>
            <w:bottom w:w="15" w:type="dxa"/>
          </w:tblCellMar>
          <w:tblLook w:val="04A0" w:firstRow="1" w:lastRow="0" w:firstColumn="1" w:lastColumn="0" w:noHBand="0" w:noVBand="1"/>
        </w:tblPrEx>
        <w:trPr>
          <w:trHeight w:val="20"/>
        </w:trPr>
        <w:tc>
          <w:tcPr>
            <w:tcW w:w="563" w:type="dxa"/>
            <w:vMerge/>
            <w:tcBorders>
              <w:left w:val="single" w:sz="4" w:space="0" w:color="auto"/>
              <w:right w:val="single" w:sz="4" w:space="0" w:color="auto"/>
            </w:tcBorders>
          </w:tcPr>
          <w:p w14:paraId="76260277" w14:textId="77777777" w:rsidR="00F66D25" w:rsidRPr="001428E9" w:rsidRDefault="00F66D25" w:rsidP="00425BAC">
            <w:pPr>
              <w:rPr>
                <w:rFonts w:ascii="Arial Narrow" w:hAnsi="Arial Narrow"/>
                <w:sz w:val="20"/>
                <w:szCs w:val="20"/>
              </w:rPr>
            </w:pPr>
          </w:p>
        </w:tc>
        <w:tc>
          <w:tcPr>
            <w:tcW w:w="709" w:type="dxa"/>
            <w:vAlign w:val="center"/>
          </w:tcPr>
          <w:p w14:paraId="2B3988C4" w14:textId="3A3CD2F0" w:rsidR="00F66D25" w:rsidRPr="005E0438" w:rsidRDefault="00F66D25" w:rsidP="00425BAC">
            <w:pPr>
              <w:jc w:val="center"/>
              <w:rPr>
                <w:rFonts w:ascii="Arial Narrow" w:hAnsi="Arial Narrow"/>
                <w:color w:val="333333"/>
                <w:sz w:val="20"/>
                <w:szCs w:val="20"/>
              </w:rPr>
            </w:pPr>
          </w:p>
        </w:tc>
        <w:tc>
          <w:tcPr>
            <w:tcW w:w="7745" w:type="dxa"/>
            <w:gridSpan w:val="6"/>
            <w:vAlign w:val="center"/>
          </w:tcPr>
          <w:p w14:paraId="594092A8" w14:textId="77777777" w:rsidR="00F66D25" w:rsidRPr="005E0438" w:rsidRDefault="00F66D25" w:rsidP="00425BAC">
            <w:pPr>
              <w:rPr>
                <w:rFonts w:ascii="Arial Narrow" w:hAnsi="Arial Narrow"/>
                <w:b/>
                <w:bCs/>
                <w:color w:val="333333"/>
                <w:sz w:val="20"/>
                <w:szCs w:val="20"/>
              </w:rPr>
            </w:pPr>
            <w:r w:rsidRPr="005E0438">
              <w:rPr>
                <w:rFonts w:ascii="Arial Narrow" w:hAnsi="Arial Narrow"/>
                <w:b/>
                <w:bCs/>
                <w:color w:val="333333"/>
                <w:sz w:val="20"/>
                <w:szCs w:val="20"/>
              </w:rPr>
              <w:t xml:space="preserve">Administrative Advice: </w:t>
            </w:r>
            <w:r w:rsidRPr="005E0438">
              <w:rPr>
                <w:rFonts w:ascii="Arial Narrow" w:eastAsia="Calibri" w:hAnsi="Arial Narrow"/>
                <w:sz w:val="20"/>
                <w:szCs w:val="20"/>
              </w:rPr>
              <w:t>No increase in the maximum number of repeats may be authorised.</w:t>
            </w:r>
          </w:p>
        </w:tc>
      </w:tr>
      <w:tr w:rsidR="00F66D25" w:rsidRPr="001428E9" w14:paraId="683CF226" w14:textId="77777777" w:rsidTr="00034A92">
        <w:tblPrEx>
          <w:tblCellMar>
            <w:top w:w="15" w:type="dxa"/>
            <w:bottom w:w="15" w:type="dxa"/>
          </w:tblCellMar>
          <w:tblLook w:val="04A0" w:firstRow="1" w:lastRow="0" w:firstColumn="1" w:lastColumn="0" w:noHBand="0" w:noVBand="1"/>
        </w:tblPrEx>
        <w:trPr>
          <w:trHeight w:val="414"/>
        </w:trPr>
        <w:tc>
          <w:tcPr>
            <w:tcW w:w="563" w:type="dxa"/>
            <w:vMerge/>
            <w:tcBorders>
              <w:left w:val="single" w:sz="4" w:space="0" w:color="auto"/>
              <w:right w:val="single" w:sz="4" w:space="0" w:color="auto"/>
            </w:tcBorders>
          </w:tcPr>
          <w:p w14:paraId="49DDB281" w14:textId="77777777" w:rsidR="00F66D25" w:rsidRPr="001428E9" w:rsidRDefault="00F66D25" w:rsidP="00425BAC">
            <w:pPr>
              <w:rPr>
                <w:rFonts w:ascii="Arial Narrow" w:hAnsi="Arial Narrow"/>
                <w:sz w:val="20"/>
                <w:szCs w:val="20"/>
              </w:rPr>
            </w:pPr>
          </w:p>
        </w:tc>
        <w:tc>
          <w:tcPr>
            <w:tcW w:w="709" w:type="dxa"/>
            <w:vAlign w:val="center"/>
          </w:tcPr>
          <w:p w14:paraId="5915D1E2" w14:textId="4A750D8A" w:rsidR="00F66D25" w:rsidRPr="005E0438" w:rsidRDefault="00F66D25" w:rsidP="00425BAC">
            <w:pPr>
              <w:jc w:val="center"/>
              <w:rPr>
                <w:rFonts w:ascii="Arial Narrow" w:hAnsi="Arial Narrow"/>
                <w:color w:val="333333"/>
                <w:sz w:val="20"/>
                <w:szCs w:val="20"/>
              </w:rPr>
            </w:pPr>
          </w:p>
        </w:tc>
        <w:tc>
          <w:tcPr>
            <w:tcW w:w="7745" w:type="dxa"/>
            <w:gridSpan w:val="6"/>
            <w:vAlign w:val="center"/>
          </w:tcPr>
          <w:p w14:paraId="3521AED5" w14:textId="77777777" w:rsidR="00F66D25" w:rsidRPr="005E0438" w:rsidRDefault="00F66D25" w:rsidP="00425BAC">
            <w:pPr>
              <w:rPr>
                <w:rFonts w:ascii="Arial Narrow" w:hAnsi="Arial Narrow"/>
                <w:b/>
                <w:bCs/>
                <w:color w:val="333333"/>
                <w:sz w:val="20"/>
                <w:szCs w:val="20"/>
              </w:rPr>
            </w:pPr>
            <w:r w:rsidRPr="005E0438">
              <w:rPr>
                <w:rFonts w:ascii="Arial Narrow" w:hAnsi="Arial Narrow"/>
                <w:b/>
                <w:bCs/>
                <w:color w:val="333333"/>
                <w:sz w:val="20"/>
                <w:szCs w:val="20"/>
              </w:rPr>
              <w:t xml:space="preserve">Administrative Advice: </w:t>
            </w:r>
            <w:r w:rsidRPr="005E0438">
              <w:rPr>
                <w:rFonts w:ascii="Arial Narrow" w:eastAsia="Calibri" w:hAnsi="Arial Narrow"/>
                <w:sz w:val="20"/>
                <w:szCs w:val="20"/>
              </w:rPr>
              <w:t>Special Pricing Arrangements apply.</w:t>
            </w:r>
          </w:p>
        </w:tc>
      </w:tr>
      <w:tr w:rsidR="00F66D25" w:rsidRPr="001428E9" w14:paraId="642B23C4" w14:textId="77777777" w:rsidTr="00034A92">
        <w:tblPrEx>
          <w:tblCellMar>
            <w:top w:w="15" w:type="dxa"/>
            <w:bottom w:w="15" w:type="dxa"/>
          </w:tblCellMar>
          <w:tblLook w:val="04A0" w:firstRow="1" w:lastRow="0" w:firstColumn="1" w:lastColumn="0" w:noHBand="0" w:noVBand="1"/>
        </w:tblPrEx>
        <w:trPr>
          <w:trHeight w:val="414"/>
        </w:trPr>
        <w:tc>
          <w:tcPr>
            <w:tcW w:w="563" w:type="dxa"/>
            <w:vMerge/>
            <w:tcBorders>
              <w:left w:val="single" w:sz="4" w:space="0" w:color="auto"/>
              <w:bottom w:val="single" w:sz="4" w:space="0" w:color="auto"/>
              <w:right w:val="single" w:sz="4" w:space="0" w:color="auto"/>
            </w:tcBorders>
          </w:tcPr>
          <w:p w14:paraId="052294AB" w14:textId="77777777" w:rsidR="00F66D25" w:rsidRPr="001428E9" w:rsidRDefault="00F66D25" w:rsidP="00425BAC">
            <w:pPr>
              <w:rPr>
                <w:rFonts w:ascii="Arial Narrow" w:hAnsi="Arial Narrow"/>
                <w:sz w:val="20"/>
                <w:szCs w:val="20"/>
              </w:rPr>
            </w:pPr>
          </w:p>
        </w:tc>
        <w:tc>
          <w:tcPr>
            <w:tcW w:w="709" w:type="dxa"/>
            <w:vAlign w:val="center"/>
          </w:tcPr>
          <w:p w14:paraId="1AAE1713" w14:textId="0795447F" w:rsidR="00F66D25" w:rsidRPr="005E0438" w:rsidRDefault="00F66D25" w:rsidP="00425BAC">
            <w:pPr>
              <w:jc w:val="center"/>
              <w:rPr>
                <w:rFonts w:ascii="Arial Narrow" w:hAnsi="Arial Narrow"/>
                <w:color w:val="333333"/>
                <w:sz w:val="20"/>
                <w:szCs w:val="20"/>
              </w:rPr>
            </w:pPr>
          </w:p>
        </w:tc>
        <w:tc>
          <w:tcPr>
            <w:tcW w:w="7745" w:type="dxa"/>
            <w:gridSpan w:val="6"/>
            <w:vAlign w:val="center"/>
          </w:tcPr>
          <w:p w14:paraId="23B7FB29" w14:textId="77777777" w:rsidR="00F66D25" w:rsidRPr="005E0438" w:rsidRDefault="00F66D25" w:rsidP="00425BAC">
            <w:pPr>
              <w:pStyle w:val="CommentText"/>
            </w:pPr>
            <w:r w:rsidRPr="005E0438">
              <w:rPr>
                <w:rFonts w:ascii="Arial Narrow" w:hAnsi="Arial Narrow"/>
                <w:b/>
                <w:bCs/>
              </w:rPr>
              <w:t>Administrative Advice:</w:t>
            </w:r>
            <w:r w:rsidRPr="005E0438">
              <w:rPr>
                <w:rFonts w:ascii="Arial Narrow" w:hAnsi="Arial Narrow"/>
              </w:rPr>
              <w:t xml:space="preserve">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F66D25" w:rsidRPr="001428E9" w14:paraId="520E554E"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608082B" w14:textId="4151B3E4" w:rsidR="00F66D25" w:rsidRDefault="00F66D25" w:rsidP="00425BAC">
            <w:pPr>
              <w:keepLines/>
              <w:jc w:val="center"/>
              <w:rPr>
                <w:rFonts w:ascii="Arial Narrow" w:hAnsi="Arial Narrow"/>
                <w:color w:val="333333"/>
                <w:sz w:val="20"/>
                <w:szCs w:val="20"/>
              </w:rPr>
            </w:pPr>
          </w:p>
        </w:tc>
        <w:tc>
          <w:tcPr>
            <w:tcW w:w="7745" w:type="dxa"/>
            <w:gridSpan w:val="6"/>
            <w:vAlign w:val="center"/>
          </w:tcPr>
          <w:p w14:paraId="5D2E3E06" w14:textId="77777777" w:rsidR="00F66D25" w:rsidRPr="00073765" w:rsidRDefault="00F66D25" w:rsidP="00425BAC">
            <w:pPr>
              <w:rPr>
                <w:rFonts w:ascii="Arial Narrow" w:hAnsi="Arial Narrow"/>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Pr>
                <w:rFonts w:ascii="Arial Narrow" w:hAnsi="Arial Narrow"/>
                <w:color w:val="333333"/>
                <w:sz w:val="20"/>
                <w:szCs w:val="20"/>
              </w:rPr>
              <w:t>Spinal Muscular Atrophy (SMA)</w:t>
            </w:r>
          </w:p>
        </w:tc>
      </w:tr>
      <w:tr w:rsidR="00F66D25" w:rsidRPr="001428E9" w14:paraId="2A176B10"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AEB651C" w14:textId="77777777" w:rsidR="00F66D25" w:rsidRDefault="00F66D25" w:rsidP="00425BAC">
            <w:pPr>
              <w:keepLines/>
              <w:jc w:val="center"/>
              <w:rPr>
                <w:rFonts w:ascii="Arial Narrow" w:hAnsi="Arial Narrow"/>
                <w:color w:val="333333"/>
                <w:sz w:val="20"/>
                <w:szCs w:val="20"/>
              </w:rPr>
            </w:pPr>
          </w:p>
        </w:tc>
        <w:tc>
          <w:tcPr>
            <w:tcW w:w="7745" w:type="dxa"/>
            <w:gridSpan w:val="6"/>
            <w:vAlign w:val="center"/>
          </w:tcPr>
          <w:p w14:paraId="03929980" w14:textId="77777777" w:rsidR="00F66D25" w:rsidRPr="001428E9" w:rsidRDefault="00F66D25" w:rsidP="00425BAC">
            <w:pPr>
              <w:keepLines/>
              <w:rPr>
                <w:rFonts w:ascii="Arial Narrow" w:hAnsi="Arial Narrow"/>
                <w:b/>
                <w:bCs/>
                <w:color w:val="333333"/>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9C5174">
              <w:rPr>
                <w:rFonts w:ascii="Arial Narrow" w:hAnsi="Arial Narrow"/>
                <w:sz w:val="20"/>
                <w:szCs w:val="20"/>
              </w:rPr>
              <w:t>Continuing/maintenance treatment of either symptomatic Type I, II or IIIa SMA, or of a patient commenced on this drug under the pre-symptomatic SMA listing</w:t>
            </w:r>
          </w:p>
        </w:tc>
      </w:tr>
      <w:tr w:rsidR="00F66D25" w:rsidRPr="001428E9" w14:paraId="393E0E3E"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F731B0E" w14:textId="766F0C30" w:rsidR="00F66D25" w:rsidRDefault="00F66D25" w:rsidP="00425BAC">
            <w:pPr>
              <w:keepLines/>
              <w:jc w:val="center"/>
              <w:rPr>
                <w:rFonts w:ascii="Arial Narrow" w:hAnsi="Arial Narrow"/>
                <w:color w:val="333333"/>
                <w:sz w:val="20"/>
                <w:szCs w:val="20"/>
              </w:rPr>
            </w:pPr>
          </w:p>
        </w:tc>
        <w:tc>
          <w:tcPr>
            <w:tcW w:w="7745" w:type="dxa"/>
            <w:gridSpan w:val="6"/>
            <w:vAlign w:val="center"/>
          </w:tcPr>
          <w:p w14:paraId="5DE1C48C" w14:textId="77777777" w:rsidR="00F66D25" w:rsidRPr="00363FDF" w:rsidRDefault="00F66D25" w:rsidP="00425BAC">
            <w:pPr>
              <w:rPr>
                <w:rFonts w:ascii="Arial Narrow" w:hAnsi="Arial Narrow"/>
                <w:b/>
                <w:bCs/>
                <w:sz w:val="20"/>
                <w:szCs w:val="20"/>
              </w:rPr>
            </w:pPr>
            <w:r w:rsidRPr="00363FDF">
              <w:rPr>
                <w:rFonts w:ascii="Arial Narrow" w:hAnsi="Arial Narrow"/>
                <w:b/>
                <w:bCs/>
                <w:sz w:val="20"/>
                <w:szCs w:val="20"/>
              </w:rPr>
              <w:t>Treatment criteria:</w:t>
            </w:r>
          </w:p>
        </w:tc>
      </w:tr>
      <w:tr w:rsidR="00F66D25" w:rsidRPr="005E0438" w14:paraId="6EC76E19"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CB54322" w14:textId="1D338FE4" w:rsidR="00F66D25" w:rsidRPr="005E0438" w:rsidRDefault="00F66D25" w:rsidP="00425BAC">
            <w:pPr>
              <w:keepLines/>
              <w:jc w:val="center"/>
              <w:rPr>
                <w:rFonts w:ascii="Arial Narrow" w:hAnsi="Arial Narrow"/>
                <w:color w:val="333333"/>
                <w:sz w:val="20"/>
                <w:szCs w:val="20"/>
              </w:rPr>
            </w:pPr>
          </w:p>
        </w:tc>
        <w:tc>
          <w:tcPr>
            <w:tcW w:w="7745" w:type="dxa"/>
            <w:gridSpan w:val="6"/>
            <w:vAlign w:val="center"/>
          </w:tcPr>
          <w:p w14:paraId="70DD2453" w14:textId="77777777" w:rsidR="00F66D25" w:rsidRPr="005E0438" w:rsidRDefault="00F66D25" w:rsidP="00425BAC">
            <w:pPr>
              <w:rPr>
                <w:rFonts w:ascii="Arial Narrow" w:hAnsi="Arial Narrow"/>
                <w:sz w:val="20"/>
                <w:szCs w:val="20"/>
              </w:rPr>
            </w:pPr>
            <w:r w:rsidRPr="005E0438">
              <w:rPr>
                <w:rFonts w:ascii="Arial Narrow" w:hAnsi="Arial Narrow"/>
                <w:sz w:val="20"/>
                <w:szCs w:val="20"/>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or initiated by a specialist medical practitioner experienced in the diagnosis and management of SMA associated with a neuromuscular clinic of a recognised hospital in the management of SMA</w:t>
            </w:r>
          </w:p>
        </w:tc>
      </w:tr>
      <w:tr w:rsidR="00F66D25" w:rsidRPr="001428E9" w14:paraId="438190E2"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3D7AF4A" w14:textId="77777777" w:rsidR="00F66D25" w:rsidRPr="009C5174" w:rsidRDefault="00F66D25" w:rsidP="00425BAC">
            <w:pPr>
              <w:keepLines/>
              <w:jc w:val="center"/>
              <w:rPr>
                <w:rFonts w:ascii="Arial Narrow" w:hAnsi="Arial Narrow"/>
                <w:sz w:val="20"/>
                <w:szCs w:val="20"/>
              </w:rPr>
            </w:pPr>
          </w:p>
        </w:tc>
        <w:tc>
          <w:tcPr>
            <w:tcW w:w="7745" w:type="dxa"/>
            <w:gridSpan w:val="6"/>
            <w:vAlign w:val="center"/>
          </w:tcPr>
          <w:p w14:paraId="346C8D9D" w14:textId="77777777" w:rsidR="00F66D25" w:rsidRPr="005E0438" w:rsidRDefault="00F66D25" w:rsidP="00425BAC">
            <w:pPr>
              <w:rPr>
                <w:rFonts w:ascii="Arial Narrow" w:hAnsi="Arial Narrow"/>
                <w:b/>
                <w:bCs/>
                <w:sz w:val="20"/>
                <w:szCs w:val="20"/>
              </w:rPr>
            </w:pPr>
            <w:r w:rsidRPr="005E0438">
              <w:rPr>
                <w:rFonts w:ascii="Arial Narrow" w:hAnsi="Arial Narrow"/>
                <w:b/>
                <w:bCs/>
                <w:sz w:val="20"/>
                <w:szCs w:val="20"/>
              </w:rPr>
              <w:t>AND</w:t>
            </w:r>
          </w:p>
        </w:tc>
      </w:tr>
      <w:tr w:rsidR="005E0438" w:rsidRPr="001428E9" w14:paraId="205E52A0"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55D78A6" w14:textId="5E23DA72" w:rsidR="005E0438" w:rsidRPr="009C5174" w:rsidRDefault="005E0438" w:rsidP="005E0438">
            <w:pPr>
              <w:keepLines/>
              <w:jc w:val="center"/>
              <w:rPr>
                <w:rFonts w:ascii="Arial Narrow" w:hAnsi="Arial Narrow"/>
                <w:sz w:val="20"/>
                <w:szCs w:val="20"/>
              </w:rPr>
            </w:pPr>
          </w:p>
        </w:tc>
        <w:tc>
          <w:tcPr>
            <w:tcW w:w="7745" w:type="dxa"/>
            <w:gridSpan w:val="6"/>
            <w:vAlign w:val="center"/>
          </w:tcPr>
          <w:p w14:paraId="7DEA4B79" w14:textId="02C367F9" w:rsidR="005E0438" w:rsidRPr="005E0438" w:rsidRDefault="005E0438" w:rsidP="005E0438">
            <w:pPr>
              <w:rPr>
                <w:rFonts w:ascii="Arial Narrow" w:hAnsi="Arial Narrow"/>
                <w:b/>
                <w:bCs/>
                <w:sz w:val="20"/>
                <w:szCs w:val="20"/>
              </w:rPr>
            </w:pPr>
            <w:r w:rsidRPr="005E0438">
              <w:rPr>
                <w:rFonts w:ascii="Arial Narrow" w:hAnsi="Arial Narrow"/>
                <w:b/>
                <w:bCs/>
                <w:sz w:val="20"/>
                <w:szCs w:val="20"/>
              </w:rPr>
              <w:t>Treatment criteria:</w:t>
            </w:r>
          </w:p>
        </w:tc>
      </w:tr>
      <w:tr w:rsidR="00F66D25" w:rsidRPr="001428E9" w14:paraId="2FC6A4A5"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CA00791" w14:textId="20801F3B" w:rsidR="00F66D25" w:rsidRDefault="00F66D25" w:rsidP="00425BAC">
            <w:pPr>
              <w:keepLines/>
              <w:jc w:val="center"/>
              <w:rPr>
                <w:rFonts w:ascii="Arial Narrow" w:hAnsi="Arial Narrow"/>
                <w:color w:val="333333"/>
                <w:sz w:val="20"/>
                <w:szCs w:val="20"/>
              </w:rPr>
            </w:pPr>
          </w:p>
        </w:tc>
        <w:tc>
          <w:tcPr>
            <w:tcW w:w="7745" w:type="dxa"/>
            <w:gridSpan w:val="6"/>
            <w:vAlign w:val="center"/>
          </w:tcPr>
          <w:p w14:paraId="024F1AE0" w14:textId="77777777" w:rsidR="00F66D25" w:rsidRPr="00073765" w:rsidRDefault="00F66D25" w:rsidP="00425BAC">
            <w:pPr>
              <w:rPr>
                <w:rFonts w:ascii="Arial Narrow" w:hAnsi="Arial Narrow"/>
                <w:sz w:val="20"/>
                <w:szCs w:val="20"/>
              </w:rPr>
            </w:pPr>
            <w:r w:rsidRPr="009C5174">
              <w:rPr>
                <w:rFonts w:ascii="Arial Narrow" w:hAnsi="Arial Narrow"/>
                <w:sz w:val="20"/>
                <w:szCs w:val="20"/>
              </w:rPr>
              <w:t>Patient must not be undergoing treatment through this 'Continuing treatment' listing where the most recent PBS authority approval for this PBS-indication has been for gene therapy</w:t>
            </w:r>
          </w:p>
        </w:tc>
      </w:tr>
      <w:tr w:rsidR="00F66D25" w:rsidRPr="001428E9" w14:paraId="539974F5"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2A71A4B" w14:textId="77777777" w:rsidR="00F66D25" w:rsidRDefault="00F66D25" w:rsidP="00425BAC">
            <w:pPr>
              <w:keepLines/>
              <w:jc w:val="center"/>
              <w:rPr>
                <w:rFonts w:ascii="Arial Narrow" w:hAnsi="Arial Narrow"/>
                <w:color w:val="333333"/>
                <w:sz w:val="20"/>
                <w:szCs w:val="20"/>
              </w:rPr>
            </w:pPr>
          </w:p>
        </w:tc>
        <w:tc>
          <w:tcPr>
            <w:tcW w:w="7745" w:type="dxa"/>
            <w:gridSpan w:val="6"/>
            <w:vAlign w:val="center"/>
          </w:tcPr>
          <w:p w14:paraId="0FA8A39D" w14:textId="77777777" w:rsidR="00F66D25" w:rsidRPr="007D6F09" w:rsidRDefault="00F66D25" w:rsidP="00425BAC">
            <w:pPr>
              <w:rPr>
                <w:rFonts w:ascii="Arial Narrow" w:hAnsi="Arial Narrow"/>
                <w:b/>
                <w:bCs/>
                <w:sz w:val="20"/>
                <w:szCs w:val="20"/>
              </w:rPr>
            </w:pPr>
            <w:r w:rsidRPr="007D6F09">
              <w:rPr>
                <w:rFonts w:ascii="Arial Narrow" w:hAnsi="Arial Narrow"/>
                <w:b/>
                <w:bCs/>
                <w:sz w:val="20"/>
                <w:szCs w:val="20"/>
              </w:rPr>
              <w:t>Clinical criteria:</w:t>
            </w:r>
          </w:p>
        </w:tc>
      </w:tr>
      <w:tr w:rsidR="00F66D25" w:rsidRPr="001428E9" w14:paraId="238A347D"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128BA50" w14:textId="6E3AEFC6" w:rsidR="00F66D25" w:rsidRDefault="00F66D25" w:rsidP="00425BAC">
            <w:pPr>
              <w:keepLines/>
              <w:jc w:val="center"/>
              <w:rPr>
                <w:rFonts w:ascii="Arial Narrow" w:hAnsi="Arial Narrow"/>
                <w:color w:val="333333"/>
                <w:sz w:val="20"/>
                <w:szCs w:val="20"/>
              </w:rPr>
            </w:pPr>
          </w:p>
        </w:tc>
        <w:tc>
          <w:tcPr>
            <w:tcW w:w="7745" w:type="dxa"/>
            <w:gridSpan w:val="6"/>
            <w:vAlign w:val="center"/>
          </w:tcPr>
          <w:p w14:paraId="52806AB3" w14:textId="77777777" w:rsidR="00F66D25" w:rsidRPr="00073765" w:rsidRDefault="00F66D25" w:rsidP="00425BAC">
            <w:pPr>
              <w:rPr>
                <w:rFonts w:ascii="Arial Narrow" w:hAnsi="Arial Narrow"/>
                <w:sz w:val="20"/>
                <w:szCs w:val="20"/>
              </w:rPr>
            </w:pPr>
            <w:r w:rsidRPr="009C5174">
              <w:rPr>
                <w:rFonts w:ascii="Arial Narrow" w:hAnsi="Arial Narrow"/>
                <w:sz w:val="20"/>
                <w:szCs w:val="20"/>
              </w:rPr>
              <w:t>Patient must have previously received PBS-subsidised treatment with this drug for this condition; or</w:t>
            </w:r>
          </w:p>
        </w:tc>
      </w:tr>
      <w:tr w:rsidR="00F66D25" w:rsidRPr="001428E9" w14:paraId="7CD31524"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80C62A0" w14:textId="660D7ADC" w:rsidR="00F66D25" w:rsidRDefault="00F66D25" w:rsidP="00425BAC">
            <w:pPr>
              <w:keepLines/>
              <w:jc w:val="center"/>
              <w:rPr>
                <w:rFonts w:ascii="Arial Narrow" w:hAnsi="Arial Narrow"/>
                <w:color w:val="333333"/>
                <w:sz w:val="20"/>
                <w:szCs w:val="20"/>
              </w:rPr>
            </w:pPr>
          </w:p>
        </w:tc>
        <w:tc>
          <w:tcPr>
            <w:tcW w:w="7745" w:type="dxa"/>
            <w:gridSpan w:val="6"/>
            <w:vAlign w:val="center"/>
          </w:tcPr>
          <w:p w14:paraId="5E3044FA" w14:textId="77777777" w:rsidR="00F66D25" w:rsidRPr="00073765" w:rsidRDefault="00F66D25" w:rsidP="00425BAC">
            <w:pPr>
              <w:rPr>
                <w:rFonts w:ascii="Arial Narrow" w:hAnsi="Arial Narrow"/>
                <w:sz w:val="20"/>
                <w:szCs w:val="20"/>
              </w:rPr>
            </w:pPr>
            <w:r w:rsidRPr="009C5174">
              <w:rPr>
                <w:rFonts w:ascii="Arial Narrow" w:hAnsi="Arial Narrow"/>
                <w:sz w:val="20"/>
                <w:szCs w:val="20"/>
              </w:rPr>
              <w:t xml:space="preserve">Patient must be eligible for continuing PBS-subsidised treatment with </w:t>
            </w:r>
            <w:r>
              <w:rPr>
                <w:rFonts w:ascii="Arial Narrow" w:hAnsi="Arial Narrow"/>
                <w:sz w:val="20"/>
                <w:szCs w:val="20"/>
              </w:rPr>
              <w:t>nusinersen</w:t>
            </w:r>
            <w:r w:rsidRPr="009C5174">
              <w:rPr>
                <w:rFonts w:ascii="Arial Narrow" w:hAnsi="Arial Narrow"/>
                <w:sz w:val="20"/>
                <w:szCs w:val="20"/>
              </w:rPr>
              <w:t xml:space="preserve"> for this condition</w:t>
            </w:r>
          </w:p>
        </w:tc>
      </w:tr>
      <w:tr w:rsidR="00F66D25" w:rsidRPr="001428E9" w14:paraId="3AD60740"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8DEFC9D" w14:textId="77777777" w:rsidR="00F66D25" w:rsidRDefault="00F66D25" w:rsidP="00425BAC">
            <w:pPr>
              <w:keepLines/>
              <w:jc w:val="center"/>
              <w:rPr>
                <w:rFonts w:ascii="Arial Narrow" w:hAnsi="Arial Narrow"/>
                <w:color w:val="333333"/>
                <w:sz w:val="20"/>
                <w:szCs w:val="20"/>
              </w:rPr>
            </w:pPr>
          </w:p>
        </w:tc>
        <w:tc>
          <w:tcPr>
            <w:tcW w:w="7745" w:type="dxa"/>
            <w:gridSpan w:val="6"/>
            <w:vAlign w:val="center"/>
          </w:tcPr>
          <w:p w14:paraId="2D8DFAAA" w14:textId="77777777" w:rsidR="00F66D25" w:rsidRPr="005E0438" w:rsidRDefault="00F66D25" w:rsidP="00425BAC">
            <w:pPr>
              <w:rPr>
                <w:rFonts w:ascii="Arial Narrow" w:hAnsi="Arial Narrow"/>
                <w:b/>
                <w:bCs/>
                <w:sz w:val="20"/>
                <w:szCs w:val="20"/>
              </w:rPr>
            </w:pPr>
            <w:r w:rsidRPr="005E0438">
              <w:rPr>
                <w:rFonts w:ascii="Arial Narrow" w:hAnsi="Arial Narrow"/>
                <w:b/>
                <w:bCs/>
                <w:sz w:val="20"/>
                <w:szCs w:val="20"/>
              </w:rPr>
              <w:t>AND</w:t>
            </w:r>
          </w:p>
        </w:tc>
      </w:tr>
      <w:tr w:rsidR="005E0438" w:rsidRPr="001428E9" w14:paraId="6FA41DC1"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DE82737" w14:textId="2E2F348C" w:rsidR="005E0438" w:rsidRDefault="005E0438" w:rsidP="005E0438">
            <w:pPr>
              <w:keepLines/>
              <w:jc w:val="center"/>
              <w:rPr>
                <w:rFonts w:ascii="Arial Narrow" w:hAnsi="Arial Narrow"/>
                <w:color w:val="333333"/>
                <w:sz w:val="20"/>
                <w:szCs w:val="20"/>
              </w:rPr>
            </w:pPr>
          </w:p>
        </w:tc>
        <w:tc>
          <w:tcPr>
            <w:tcW w:w="7745" w:type="dxa"/>
            <w:gridSpan w:val="6"/>
            <w:vAlign w:val="center"/>
          </w:tcPr>
          <w:p w14:paraId="4E3558FF" w14:textId="47171C37" w:rsidR="005E0438" w:rsidRDefault="005E0438" w:rsidP="005E0438">
            <w:pPr>
              <w:rPr>
                <w:rFonts w:ascii="Arial Narrow" w:hAnsi="Arial Narrow"/>
                <w:sz w:val="20"/>
                <w:szCs w:val="20"/>
              </w:rPr>
            </w:pPr>
            <w:r w:rsidRPr="007D6F09">
              <w:rPr>
                <w:rFonts w:ascii="Arial Narrow" w:hAnsi="Arial Narrow"/>
                <w:b/>
                <w:bCs/>
                <w:sz w:val="20"/>
                <w:szCs w:val="20"/>
              </w:rPr>
              <w:t>Clinical criteria:</w:t>
            </w:r>
          </w:p>
        </w:tc>
      </w:tr>
      <w:tr w:rsidR="00F66D25" w:rsidRPr="001428E9" w14:paraId="3B1B9D78"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FE104A2" w14:textId="63FFA48A" w:rsidR="00F66D25" w:rsidRDefault="00F66D25" w:rsidP="00425BAC">
            <w:pPr>
              <w:keepLines/>
              <w:jc w:val="center"/>
              <w:rPr>
                <w:rFonts w:ascii="Arial Narrow" w:hAnsi="Arial Narrow"/>
                <w:color w:val="333333"/>
                <w:sz w:val="20"/>
                <w:szCs w:val="20"/>
              </w:rPr>
            </w:pPr>
          </w:p>
        </w:tc>
        <w:tc>
          <w:tcPr>
            <w:tcW w:w="7745" w:type="dxa"/>
            <w:gridSpan w:val="6"/>
            <w:vAlign w:val="center"/>
          </w:tcPr>
          <w:p w14:paraId="367B8149" w14:textId="77777777" w:rsidR="00F66D25" w:rsidRPr="00073765" w:rsidRDefault="00F66D25" w:rsidP="00425BAC">
            <w:pPr>
              <w:rPr>
                <w:rFonts w:ascii="Arial Narrow" w:hAnsi="Arial Narrow"/>
                <w:sz w:val="20"/>
                <w:szCs w:val="20"/>
              </w:rPr>
            </w:pPr>
            <w:r w:rsidRPr="009C5174">
              <w:rPr>
                <w:rFonts w:ascii="Arial Narrow" w:hAnsi="Arial Narrow"/>
                <w:sz w:val="20"/>
                <w:szCs w:val="20"/>
              </w:rPr>
              <w:t xml:space="preserve">The treatment must not be in combination with PBS-subsidised treatment with </w:t>
            </w:r>
            <w:r>
              <w:rPr>
                <w:rFonts w:ascii="Arial Narrow" w:hAnsi="Arial Narrow"/>
                <w:sz w:val="20"/>
                <w:szCs w:val="20"/>
              </w:rPr>
              <w:t>nusinersen</w:t>
            </w:r>
            <w:r w:rsidRPr="009C5174">
              <w:rPr>
                <w:rFonts w:ascii="Arial Narrow" w:hAnsi="Arial Narrow"/>
                <w:sz w:val="20"/>
                <w:szCs w:val="20"/>
              </w:rPr>
              <w:t xml:space="preserve"> for this condition</w:t>
            </w:r>
          </w:p>
        </w:tc>
      </w:tr>
      <w:tr w:rsidR="00F66D25" w:rsidRPr="001428E9" w14:paraId="25F205A2"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D74D72B" w14:textId="77777777" w:rsidR="00F66D25" w:rsidRDefault="00F66D25" w:rsidP="00425BAC">
            <w:pPr>
              <w:keepLines/>
              <w:jc w:val="center"/>
              <w:rPr>
                <w:rFonts w:ascii="Arial Narrow" w:hAnsi="Arial Narrow"/>
                <w:color w:val="333333"/>
                <w:sz w:val="20"/>
                <w:szCs w:val="20"/>
              </w:rPr>
            </w:pPr>
          </w:p>
        </w:tc>
        <w:tc>
          <w:tcPr>
            <w:tcW w:w="7745" w:type="dxa"/>
            <w:gridSpan w:val="6"/>
            <w:vAlign w:val="center"/>
          </w:tcPr>
          <w:p w14:paraId="766F468A" w14:textId="77777777" w:rsidR="00F66D25" w:rsidRPr="005E0438" w:rsidRDefault="00F66D25" w:rsidP="00425BAC">
            <w:pPr>
              <w:rPr>
                <w:rFonts w:ascii="Arial Narrow" w:hAnsi="Arial Narrow"/>
                <w:b/>
                <w:bCs/>
                <w:sz w:val="20"/>
                <w:szCs w:val="20"/>
              </w:rPr>
            </w:pPr>
            <w:r w:rsidRPr="005E0438">
              <w:rPr>
                <w:rFonts w:ascii="Arial Narrow" w:hAnsi="Arial Narrow"/>
                <w:b/>
                <w:bCs/>
                <w:sz w:val="20"/>
                <w:szCs w:val="20"/>
              </w:rPr>
              <w:t>AND</w:t>
            </w:r>
          </w:p>
        </w:tc>
      </w:tr>
      <w:tr w:rsidR="005E0438" w:rsidRPr="001428E9" w14:paraId="10C0AD73"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2E80F6" w14:textId="61583F7C" w:rsidR="005E0438" w:rsidRDefault="005E0438" w:rsidP="005E0438">
            <w:pPr>
              <w:keepLines/>
              <w:jc w:val="center"/>
              <w:rPr>
                <w:rFonts w:ascii="Arial Narrow" w:hAnsi="Arial Narrow"/>
                <w:color w:val="333333"/>
                <w:sz w:val="20"/>
                <w:szCs w:val="20"/>
              </w:rPr>
            </w:pPr>
          </w:p>
        </w:tc>
        <w:tc>
          <w:tcPr>
            <w:tcW w:w="7745" w:type="dxa"/>
            <w:gridSpan w:val="6"/>
            <w:vAlign w:val="center"/>
          </w:tcPr>
          <w:p w14:paraId="201640CD" w14:textId="7C2F4E7F" w:rsidR="005E0438" w:rsidRPr="005E0438" w:rsidRDefault="005E0438" w:rsidP="005E0438">
            <w:pPr>
              <w:rPr>
                <w:rFonts w:ascii="Arial Narrow" w:hAnsi="Arial Narrow"/>
                <w:b/>
                <w:bCs/>
                <w:sz w:val="20"/>
                <w:szCs w:val="20"/>
              </w:rPr>
            </w:pPr>
            <w:r w:rsidRPr="007D6F09">
              <w:rPr>
                <w:rFonts w:ascii="Arial Narrow" w:hAnsi="Arial Narrow"/>
                <w:b/>
                <w:bCs/>
                <w:sz w:val="20"/>
                <w:szCs w:val="20"/>
              </w:rPr>
              <w:t>Clinical criteria:</w:t>
            </w:r>
          </w:p>
        </w:tc>
      </w:tr>
      <w:tr w:rsidR="00F66D25" w:rsidRPr="001428E9" w14:paraId="359A0BD8"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0CEE819" w14:textId="118873D5" w:rsidR="00F66D25" w:rsidRDefault="00F66D25" w:rsidP="00425BAC">
            <w:pPr>
              <w:keepLines/>
              <w:jc w:val="center"/>
              <w:rPr>
                <w:rFonts w:ascii="Arial Narrow" w:hAnsi="Arial Narrow"/>
                <w:color w:val="333333"/>
                <w:sz w:val="20"/>
                <w:szCs w:val="20"/>
              </w:rPr>
            </w:pPr>
          </w:p>
        </w:tc>
        <w:tc>
          <w:tcPr>
            <w:tcW w:w="7745" w:type="dxa"/>
            <w:gridSpan w:val="6"/>
            <w:vAlign w:val="center"/>
          </w:tcPr>
          <w:p w14:paraId="2CAAF587" w14:textId="77777777" w:rsidR="00F66D25" w:rsidRPr="009C5174" w:rsidRDefault="00F66D25" w:rsidP="00425BAC">
            <w:pPr>
              <w:rPr>
                <w:rFonts w:ascii="Arial Narrow" w:hAnsi="Arial Narrow"/>
                <w:sz w:val="20"/>
                <w:szCs w:val="20"/>
              </w:rPr>
            </w:pPr>
            <w:r w:rsidRPr="009C5174">
              <w:rPr>
                <w:rFonts w:ascii="Arial Narrow" w:hAnsi="Arial Narrow"/>
                <w:sz w:val="20"/>
                <w:szCs w:val="20"/>
              </w:rPr>
              <w:t>The treatment must be given concomitantly with best supportive care for this condition</w:t>
            </w:r>
          </w:p>
        </w:tc>
      </w:tr>
      <w:tr w:rsidR="00F66D25" w:rsidRPr="001428E9" w14:paraId="2A9C3DEC"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C5221A" w14:textId="5CA24A0A" w:rsidR="00F66D25" w:rsidRDefault="00F66D25" w:rsidP="00425BAC">
            <w:pPr>
              <w:keepLines/>
              <w:jc w:val="center"/>
              <w:rPr>
                <w:rFonts w:ascii="Arial Narrow" w:hAnsi="Arial Narrow"/>
                <w:color w:val="333333"/>
                <w:sz w:val="20"/>
                <w:szCs w:val="20"/>
              </w:rPr>
            </w:pPr>
          </w:p>
        </w:tc>
        <w:tc>
          <w:tcPr>
            <w:tcW w:w="7745" w:type="dxa"/>
            <w:gridSpan w:val="6"/>
            <w:vAlign w:val="center"/>
          </w:tcPr>
          <w:p w14:paraId="32BA27F9" w14:textId="77777777" w:rsidR="00F66D25" w:rsidRPr="005E0438" w:rsidRDefault="00F66D25" w:rsidP="00425BAC">
            <w:pPr>
              <w:rPr>
                <w:rFonts w:ascii="Arial Narrow" w:hAnsi="Arial Narrow"/>
                <w:b/>
                <w:bCs/>
                <w:sz w:val="20"/>
                <w:szCs w:val="20"/>
              </w:rPr>
            </w:pPr>
            <w:r w:rsidRPr="005E0438">
              <w:rPr>
                <w:rFonts w:ascii="Arial Narrow" w:hAnsi="Arial Narrow"/>
                <w:b/>
                <w:bCs/>
                <w:sz w:val="20"/>
                <w:szCs w:val="20"/>
              </w:rPr>
              <w:t>AND</w:t>
            </w:r>
          </w:p>
        </w:tc>
      </w:tr>
      <w:tr w:rsidR="005E0438" w:rsidRPr="001428E9" w14:paraId="2D46A7A8"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A289F88" w14:textId="3AD0688D" w:rsidR="005E0438" w:rsidRDefault="005E0438" w:rsidP="005E0438">
            <w:pPr>
              <w:keepLines/>
              <w:jc w:val="center"/>
              <w:rPr>
                <w:rFonts w:ascii="Arial Narrow" w:hAnsi="Arial Narrow"/>
                <w:color w:val="333333"/>
                <w:sz w:val="20"/>
                <w:szCs w:val="20"/>
              </w:rPr>
            </w:pPr>
          </w:p>
        </w:tc>
        <w:tc>
          <w:tcPr>
            <w:tcW w:w="7745" w:type="dxa"/>
            <w:gridSpan w:val="6"/>
            <w:vAlign w:val="center"/>
          </w:tcPr>
          <w:p w14:paraId="437CFEC5" w14:textId="7CD9FE99" w:rsidR="005E0438" w:rsidRPr="005E0438" w:rsidRDefault="005E0438" w:rsidP="005E0438">
            <w:pPr>
              <w:rPr>
                <w:rFonts w:ascii="Arial Narrow" w:hAnsi="Arial Narrow"/>
                <w:b/>
                <w:bCs/>
                <w:sz w:val="20"/>
                <w:szCs w:val="20"/>
              </w:rPr>
            </w:pPr>
            <w:r w:rsidRPr="007D6F09">
              <w:rPr>
                <w:rFonts w:ascii="Arial Narrow" w:hAnsi="Arial Narrow"/>
                <w:b/>
                <w:bCs/>
                <w:sz w:val="20"/>
                <w:szCs w:val="20"/>
              </w:rPr>
              <w:t>Clinical criteria:</w:t>
            </w:r>
          </w:p>
        </w:tc>
      </w:tr>
      <w:tr w:rsidR="00F66D25" w:rsidRPr="001428E9" w14:paraId="268086D3"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003EA1" w14:textId="6847CF93" w:rsidR="00F66D25" w:rsidRDefault="00F66D25" w:rsidP="00425BAC">
            <w:pPr>
              <w:keepLines/>
              <w:jc w:val="center"/>
              <w:rPr>
                <w:rFonts w:ascii="Arial Narrow" w:hAnsi="Arial Narrow"/>
                <w:color w:val="333333"/>
                <w:sz w:val="20"/>
                <w:szCs w:val="20"/>
              </w:rPr>
            </w:pPr>
          </w:p>
        </w:tc>
        <w:tc>
          <w:tcPr>
            <w:tcW w:w="7745" w:type="dxa"/>
            <w:gridSpan w:val="6"/>
            <w:vAlign w:val="center"/>
          </w:tcPr>
          <w:p w14:paraId="6F6F93A8" w14:textId="77777777" w:rsidR="00F66D25" w:rsidRPr="00073765" w:rsidRDefault="00F66D25" w:rsidP="00425BAC">
            <w:pPr>
              <w:rPr>
                <w:rFonts w:ascii="Arial Narrow" w:hAnsi="Arial Narrow"/>
                <w:sz w:val="20"/>
                <w:szCs w:val="20"/>
              </w:rPr>
            </w:pPr>
            <w:r w:rsidRPr="009C5174">
              <w:rPr>
                <w:rFonts w:ascii="Arial Narrow" w:hAnsi="Arial Narrow"/>
                <w:sz w:val="20"/>
                <w:szCs w:val="20"/>
              </w:rPr>
              <w:t>The treatment must be ceased when invasive permanent assisted ventilation is required in the absence of a potentially reversible cause while being treated with this drug</w:t>
            </w:r>
          </w:p>
        </w:tc>
      </w:tr>
      <w:tr w:rsidR="00F66D25" w:rsidRPr="001428E9" w14:paraId="3996EC7A"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BC10A9F" w14:textId="25F318E4" w:rsidR="00F66D25" w:rsidRDefault="00F66D25" w:rsidP="00425BAC">
            <w:pPr>
              <w:keepLines/>
              <w:jc w:val="center"/>
              <w:rPr>
                <w:rFonts w:ascii="Arial Narrow" w:hAnsi="Arial Narrow"/>
                <w:color w:val="333333"/>
                <w:sz w:val="20"/>
                <w:szCs w:val="20"/>
              </w:rPr>
            </w:pPr>
          </w:p>
        </w:tc>
        <w:tc>
          <w:tcPr>
            <w:tcW w:w="7745" w:type="dxa"/>
            <w:gridSpan w:val="6"/>
            <w:vAlign w:val="center"/>
          </w:tcPr>
          <w:p w14:paraId="27C1318E" w14:textId="77777777" w:rsidR="00F66D25" w:rsidRPr="00073765" w:rsidRDefault="00F66D25" w:rsidP="00425BAC">
            <w:pPr>
              <w:rPr>
                <w:rFonts w:ascii="Arial Narrow" w:hAnsi="Arial Narrow"/>
                <w:sz w:val="20"/>
                <w:szCs w:val="20"/>
              </w:rPr>
            </w:pPr>
            <w:r w:rsidRPr="00363FDF">
              <w:rPr>
                <w:rFonts w:ascii="Arial Narrow" w:hAnsi="Arial Narrow"/>
                <w:b/>
                <w:bCs/>
                <w:sz w:val="20"/>
                <w:szCs w:val="20"/>
              </w:rPr>
              <w:t>Population criteria</w:t>
            </w:r>
            <w:r>
              <w:rPr>
                <w:rFonts w:ascii="Arial Narrow" w:hAnsi="Arial Narrow"/>
                <w:sz w:val="20"/>
                <w:szCs w:val="20"/>
              </w:rPr>
              <w:t>:</w:t>
            </w:r>
          </w:p>
        </w:tc>
      </w:tr>
      <w:tr w:rsidR="00F66D25" w:rsidRPr="001428E9" w14:paraId="2A7BE689"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FAE0A1" w14:textId="7A0E982D" w:rsidR="00F66D25" w:rsidRDefault="00F66D25" w:rsidP="00425BAC">
            <w:pPr>
              <w:keepLines/>
              <w:jc w:val="center"/>
              <w:rPr>
                <w:rFonts w:ascii="Arial Narrow" w:hAnsi="Arial Narrow"/>
                <w:color w:val="333333"/>
                <w:sz w:val="20"/>
                <w:szCs w:val="20"/>
              </w:rPr>
            </w:pPr>
          </w:p>
        </w:tc>
        <w:tc>
          <w:tcPr>
            <w:tcW w:w="7745" w:type="dxa"/>
            <w:gridSpan w:val="6"/>
            <w:vAlign w:val="center"/>
          </w:tcPr>
          <w:p w14:paraId="4C88784C" w14:textId="77777777" w:rsidR="00F66D25" w:rsidRPr="00073765" w:rsidRDefault="00F66D25" w:rsidP="00425BAC">
            <w:pPr>
              <w:rPr>
                <w:rFonts w:ascii="Arial Narrow" w:hAnsi="Arial Narrow"/>
                <w:sz w:val="20"/>
                <w:szCs w:val="20"/>
              </w:rPr>
            </w:pPr>
            <w:r w:rsidRPr="009C5174">
              <w:rPr>
                <w:rFonts w:ascii="Arial Narrow" w:hAnsi="Arial Narrow"/>
                <w:sz w:val="20"/>
                <w:szCs w:val="20"/>
              </w:rPr>
              <w:t>Patient must have been 18 years of age or younger at the time of initial treatment with this drug</w:t>
            </w:r>
          </w:p>
        </w:tc>
      </w:tr>
      <w:tr w:rsidR="00F66D25" w:rsidRPr="001428E9" w14:paraId="2B1AAD27"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E47D0F6" w14:textId="77777777" w:rsidR="00F66D25" w:rsidRDefault="00F66D25" w:rsidP="00425BAC">
            <w:pPr>
              <w:keepLines/>
              <w:jc w:val="center"/>
              <w:rPr>
                <w:rFonts w:ascii="Arial Narrow" w:hAnsi="Arial Narrow"/>
                <w:color w:val="333333"/>
                <w:sz w:val="20"/>
                <w:szCs w:val="20"/>
              </w:rPr>
            </w:pPr>
          </w:p>
        </w:tc>
        <w:tc>
          <w:tcPr>
            <w:tcW w:w="7745" w:type="dxa"/>
            <w:gridSpan w:val="6"/>
            <w:vAlign w:val="center"/>
          </w:tcPr>
          <w:p w14:paraId="54285A3D" w14:textId="77777777" w:rsidR="00F66D25" w:rsidRPr="00363FDF" w:rsidRDefault="00F66D25" w:rsidP="00425BAC">
            <w:pPr>
              <w:rPr>
                <w:rFonts w:ascii="Arial Narrow" w:hAnsi="Arial Narrow"/>
                <w:b/>
                <w:bCs/>
                <w:sz w:val="20"/>
                <w:szCs w:val="20"/>
              </w:rPr>
            </w:pPr>
            <w:r w:rsidRPr="00363FDF">
              <w:rPr>
                <w:rFonts w:ascii="Arial Narrow" w:hAnsi="Arial Narrow"/>
                <w:b/>
                <w:bCs/>
                <w:sz w:val="20"/>
                <w:szCs w:val="20"/>
              </w:rPr>
              <w:t>Prescriber instructions:</w:t>
            </w:r>
          </w:p>
        </w:tc>
      </w:tr>
      <w:tr w:rsidR="00F66D25" w:rsidRPr="001428E9" w14:paraId="19DEC3E6"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718696" w14:textId="1CF0DCC7" w:rsidR="00F66D25" w:rsidRDefault="00F66D25" w:rsidP="00425BAC">
            <w:pPr>
              <w:keepLines/>
              <w:jc w:val="center"/>
              <w:rPr>
                <w:rFonts w:ascii="Arial Narrow" w:hAnsi="Arial Narrow"/>
                <w:color w:val="333333"/>
                <w:sz w:val="20"/>
                <w:szCs w:val="20"/>
              </w:rPr>
            </w:pPr>
          </w:p>
        </w:tc>
        <w:tc>
          <w:tcPr>
            <w:tcW w:w="7745" w:type="dxa"/>
            <w:gridSpan w:val="6"/>
            <w:vAlign w:val="center"/>
          </w:tcPr>
          <w:p w14:paraId="53450507" w14:textId="77777777" w:rsidR="00F66D25" w:rsidRPr="00073765" w:rsidRDefault="00F66D25" w:rsidP="00425BAC">
            <w:pPr>
              <w:rPr>
                <w:rFonts w:ascii="Arial Narrow" w:hAnsi="Arial Narrow"/>
                <w:sz w:val="20"/>
                <w:szCs w:val="20"/>
              </w:rPr>
            </w:pPr>
            <w:r w:rsidRPr="009C5174">
              <w:rPr>
                <w:rFonts w:ascii="Arial Narrow" w:hAnsi="Arial Narrow"/>
                <w:sz w:val="20"/>
                <w:szCs w:val="20"/>
              </w:rPr>
              <w:t>Invasive permanent assisted ventilation means ventilation via tracheostomy tube for greater than or equal to 16 hours per day.</w:t>
            </w:r>
          </w:p>
        </w:tc>
      </w:tr>
      <w:tr w:rsidR="00F66D25" w:rsidRPr="001428E9" w14:paraId="3B59B260" w14:textId="77777777" w:rsidTr="00034A92">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0E06AE" w14:textId="5F527D75" w:rsidR="00F66D25" w:rsidRPr="00363FDF" w:rsidRDefault="00F66D25" w:rsidP="00425BAC">
            <w:pPr>
              <w:keepLines/>
              <w:jc w:val="center"/>
              <w:rPr>
                <w:rFonts w:ascii="Arial Narrow" w:hAnsi="Arial Narrow"/>
                <w:color w:val="333333"/>
                <w:sz w:val="20"/>
                <w:szCs w:val="20"/>
                <w:highlight w:val="yellow"/>
              </w:rPr>
            </w:pPr>
          </w:p>
        </w:tc>
        <w:tc>
          <w:tcPr>
            <w:tcW w:w="7745" w:type="dxa"/>
            <w:gridSpan w:val="6"/>
            <w:vAlign w:val="center"/>
          </w:tcPr>
          <w:p w14:paraId="3F22F68F" w14:textId="77777777" w:rsidR="00F66D25" w:rsidRPr="007D6F09" w:rsidRDefault="00F66D25" w:rsidP="00425BAC">
            <w:pPr>
              <w:rPr>
                <w:rFonts w:ascii="Arial Narrow" w:hAnsi="Arial Narrow"/>
                <w:sz w:val="20"/>
                <w:szCs w:val="20"/>
              </w:rPr>
            </w:pPr>
            <w:r w:rsidRPr="007D6F09">
              <w:rPr>
                <w:rFonts w:ascii="Arial Narrow" w:hAnsi="Arial Narrow"/>
                <w:sz w:val="20"/>
                <w:szCs w:val="20"/>
              </w:rPr>
              <w:t>In a patient who wishes to switch from PBS-subsidised nusinersen to PBS-subsidised risdiplam for this condition a wash out period may be required.</w:t>
            </w:r>
          </w:p>
        </w:tc>
      </w:tr>
    </w:tbl>
    <w:p w14:paraId="7B1CF253" w14:textId="77777777" w:rsidR="00F66D25" w:rsidRPr="000932E7" w:rsidRDefault="00F66D25" w:rsidP="00F66D25"/>
    <w:p w14:paraId="08D83FF0" w14:textId="4A474B6F" w:rsidR="004C7359" w:rsidRDefault="008C495B" w:rsidP="008C495B">
      <w:pPr>
        <w:tabs>
          <w:tab w:val="left" w:pos="5501"/>
        </w:tabs>
        <w:rPr>
          <w:rFonts w:asciiTheme="minorHAnsi" w:hAnsiTheme="minorHAnsi"/>
          <w:b/>
          <w:szCs w:val="22"/>
        </w:rPr>
      </w:pPr>
      <w:r>
        <w:rPr>
          <w:rFonts w:asciiTheme="minorHAnsi" w:hAnsiTheme="minorHAnsi"/>
          <w:b/>
          <w:i/>
          <w:szCs w:val="22"/>
        </w:rPr>
        <w:t>This restriction may be subject to further review. Should there be any changes made to the restriction the sponsor will be informed</w:t>
      </w:r>
      <w:r>
        <w:rPr>
          <w:rFonts w:asciiTheme="minorHAnsi" w:hAnsiTheme="minorHAnsi"/>
          <w:b/>
          <w:szCs w:val="22"/>
        </w:rPr>
        <w:t>.</w:t>
      </w:r>
    </w:p>
    <w:p w14:paraId="74500BBB" w14:textId="3C401061" w:rsidR="004C7359" w:rsidRDefault="004C7359" w:rsidP="004C7359">
      <w:pPr>
        <w:pStyle w:val="2-SectionHeading"/>
        <w:numPr>
          <w:ilvl w:val="0"/>
          <w:numId w:val="1"/>
        </w:numPr>
        <w:rPr>
          <w:bCs/>
          <w:lang w:val="en-GB"/>
        </w:rPr>
      </w:pPr>
      <w:r w:rsidRPr="00C07617">
        <w:t>Context for Decision</w:t>
      </w:r>
    </w:p>
    <w:p w14:paraId="3DDEF51A" w14:textId="77777777" w:rsidR="004C7359" w:rsidRPr="007129F2" w:rsidRDefault="004C7359" w:rsidP="004C7359">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D6DBD24" w14:textId="6B8E39AB" w:rsidR="004C7359" w:rsidRPr="004C7359" w:rsidRDefault="004C7359" w:rsidP="004C7359">
      <w:pPr>
        <w:pStyle w:val="2-SectionHeading"/>
        <w:numPr>
          <w:ilvl w:val="0"/>
          <w:numId w:val="1"/>
        </w:numPr>
      </w:pPr>
      <w:r>
        <w:t>Sponsor’s Comment</w:t>
      </w:r>
    </w:p>
    <w:p w14:paraId="17263AB4" w14:textId="77777777" w:rsidR="00FC5E02" w:rsidRPr="00FC5E02" w:rsidRDefault="00FC5E02" w:rsidP="00FC5E02">
      <w:pPr>
        <w:spacing w:after="120"/>
        <w:ind w:left="720"/>
        <w:rPr>
          <w:rFonts w:asciiTheme="minorHAnsi" w:hAnsiTheme="minorHAnsi"/>
          <w:bCs/>
          <w:lang w:val="en-GB"/>
        </w:rPr>
      </w:pPr>
      <w:bookmarkStart w:id="54" w:name="_Hlk137115474"/>
      <w:r w:rsidRPr="00FC5E02">
        <w:rPr>
          <w:rFonts w:asciiTheme="minorHAnsi" w:hAnsiTheme="minorHAnsi"/>
          <w:bCs/>
          <w:lang w:val="en-GB"/>
        </w:rPr>
        <w:t xml:space="preserve">Roche welcomes the PBAC’s decision to recommend risdiplam for two populations. </w:t>
      </w:r>
    </w:p>
    <w:p w14:paraId="0B3C7690" w14:textId="2F40FEC7" w:rsidR="00FC5E02" w:rsidRPr="00FC5E02" w:rsidRDefault="00FC5E02" w:rsidP="00FC5E02">
      <w:pPr>
        <w:spacing w:after="120"/>
        <w:ind w:left="720"/>
        <w:rPr>
          <w:rFonts w:asciiTheme="minorHAnsi" w:hAnsiTheme="minorHAnsi"/>
          <w:bCs/>
          <w:lang w:val="en-GB"/>
        </w:rPr>
      </w:pPr>
      <w:r w:rsidRPr="00FC5E02">
        <w:rPr>
          <w:rFonts w:asciiTheme="minorHAnsi" w:hAnsiTheme="minorHAnsi"/>
          <w:bCs/>
          <w:lang w:val="en-GB"/>
        </w:rPr>
        <w:t xml:space="preserve">As proposed by Roche and acknowledged by the PBAC, the availability of an orally administered treatment for SMA on the PBS will mean more patients will be able to access treatment for their SMA. </w:t>
      </w:r>
    </w:p>
    <w:p w14:paraId="299D1741" w14:textId="7BB38394" w:rsidR="00FC5E02" w:rsidRPr="00FC5E02" w:rsidRDefault="00FC5E02" w:rsidP="00FC5E02">
      <w:pPr>
        <w:spacing w:after="120"/>
        <w:ind w:left="720"/>
        <w:rPr>
          <w:rFonts w:asciiTheme="minorHAnsi" w:hAnsiTheme="minorHAnsi"/>
          <w:bCs/>
          <w:lang w:val="en-GB"/>
        </w:rPr>
      </w:pPr>
      <w:r w:rsidRPr="00FC5E02">
        <w:rPr>
          <w:rFonts w:asciiTheme="minorHAnsi" w:hAnsiTheme="minorHAnsi"/>
          <w:bCs/>
          <w:lang w:val="en-GB"/>
        </w:rPr>
        <w:t>Roche requested an adjustment to the RSA arrangements currently in place for nusinersen to account for additional patients who would access PBS-subsidised risdiplam therapy but otherwise would not receive therapy due to the administration route of the current standard of care. Roche looks forward to working with the PBAC in the future to revise these arrangements</w:t>
      </w:r>
      <w:r w:rsidR="00557F65">
        <w:rPr>
          <w:rFonts w:asciiTheme="minorHAnsi" w:hAnsiTheme="minorHAnsi"/>
          <w:bCs/>
          <w:lang w:val="en-GB"/>
        </w:rPr>
        <w:t>.</w:t>
      </w:r>
      <w:r w:rsidRPr="00FC5E02">
        <w:rPr>
          <w:rFonts w:asciiTheme="minorHAnsi" w:hAnsiTheme="minorHAnsi"/>
          <w:bCs/>
          <w:lang w:val="en-GB"/>
        </w:rPr>
        <w:t xml:space="preserve"> </w:t>
      </w:r>
    </w:p>
    <w:p w14:paraId="0779078B" w14:textId="542AFD1B" w:rsidR="00113396" w:rsidRPr="00111042" w:rsidRDefault="00FC5E02" w:rsidP="00D360A3">
      <w:pPr>
        <w:pStyle w:val="3-BodyText"/>
        <w:numPr>
          <w:ilvl w:val="0"/>
          <w:numId w:val="0"/>
        </w:numPr>
        <w:ind w:left="720"/>
        <w:rPr>
          <w:b/>
          <w:sz w:val="32"/>
          <w:szCs w:val="32"/>
        </w:rPr>
      </w:pPr>
      <w:r w:rsidRPr="00FC5E02">
        <w:rPr>
          <w:lang w:val="en-GB"/>
        </w:rPr>
        <w:t>In the interim, Roche is working with the Department of Health towards a PBS listing in both patient population groups at the earliest opportunity</w:t>
      </w:r>
      <w:r>
        <w:rPr>
          <w:lang w:val="en-GB"/>
        </w:rPr>
        <w:t>.</w:t>
      </w:r>
      <w:bookmarkEnd w:id="54"/>
    </w:p>
    <w:sectPr w:rsidR="00113396" w:rsidRPr="00111042" w:rsidSect="000C053F">
      <w:headerReference w:type="default" r:id="rId8"/>
      <w:footerReference w:type="default" r:id="rId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4C56" w14:textId="77777777" w:rsidR="00EC16E9" w:rsidRDefault="00EC16E9" w:rsidP="00124A51">
      <w:r>
        <w:separator/>
      </w:r>
    </w:p>
    <w:p w14:paraId="1D2459E8" w14:textId="77777777" w:rsidR="00EC16E9" w:rsidRDefault="00EC16E9"/>
  </w:endnote>
  <w:endnote w:type="continuationSeparator" w:id="0">
    <w:p w14:paraId="29D48C29" w14:textId="77777777" w:rsidR="00EC16E9" w:rsidRDefault="00EC16E9" w:rsidP="00124A51">
      <w:r>
        <w:continuationSeparator/>
      </w:r>
    </w:p>
    <w:p w14:paraId="5A11D33D" w14:textId="77777777" w:rsidR="00EC16E9" w:rsidRDefault="00EC1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37484CD3" w14:textId="099FD5BC" w:rsidR="00D843F2" w:rsidRPr="00C02C39" w:rsidRDefault="00D45640"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D843F2" w:rsidRPr="00C02C39">
          <w:rPr>
            <w:b/>
            <w:bCs/>
          </w:rPr>
          <w:fldChar w:fldCharType="begin"/>
        </w:r>
        <w:r w:rsidR="00D843F2" w:rsidRPr="00C02C39">
          <w:rPr>
            <w:b/>
            <w:bCs/>
          </w:rPr>
          <w:instrText xml:space="preserve"> PAGE   \* MERGEFORMAT </w:instrText>
        </w:r>
        <w:r w:rsidR="00D843F2" w:rsidRPr="00C02C39">
          <w:rPr>
            <w:b/>
            <w:bCs/>
          </w:rPr>
          <w:fldChar w:fldCharType="separate"/>
        </w:r>
        <w:r w:rsidR="00D843F2" w:rsidRPr="00C02C39">
          <w:rPr>
            <w:b/>
            <w:bCs/>
            <w:noProof/>
          </w:rPr>
          <w:t>2</w:t>
        </w:r>
        <w:r w:rsidR="00D843F2" w:rsidRPr="00C02C39">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6850" w14:textId="77777777" w:rsidR="00EC16E9" w:rsidRDefault="00EC16E9" w:rsidP="00124A51">
      <w:r>
        <w:separator/>
      </w:r>
    </w:p>
    <w:p w14:paraId="17D193F7" w14:textId="77777777" w:rsidR="00EC16E9" w:rsidRDefault="00EC16E9"/>
  </w:footnote>
  <w:footnote w:type="continuationSeparator" w:id="0">
    <w:p w14:paraId="78EB7734" w14:textId="77777777" w:rsidR="00EC16E9" w:rsidRDefault="00EC16E9" w:rsidP="00124A51">
      <w:r>
        <w:continuationSeparator/>
      </w:r>
    </w:p>
    <w:p w14:paraId="7C491081" w14:textId="77777777" w:rsidR="00EC16E9" w:rsidRDefault="00EC1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604FCF0E" w:rsidR="00D843F2" w:rsidRPr="00195452" w:rsidRDefault="004C7359" w:rsidP="008B062A">
    <w:pPr>
      <w:pStyle w:val="Header"/>
      <w:rPr>
        <w:rFonts w:asciiTheme="minorHAnsi" w:hAnsiTheme="minorHAnsi"/>
        <w:i/>
        <w:color w:val="808080"/>
      </w:rPr>
    </w:pPr>
    <w:r>
      <w:rPr>
        <w:rFonts w:asciiTheme="minorHAnsi" w:hAnsiTheme="minorHAnsi"/>
        <w:i/>
        <w:color w:val="808080"/>
      </w:rPr>
      <w:t>Public Summary Document</w:t>
    </w:r>
    <w:r w:rsidR="00C02C39">
      <w:rPr>
        <w:rFonts w:asciiTheme="minorHAnsi" w:hAnsiTheme="minorHAnsi"/>
        <w:i/>
        <w:color w:val="808080"/>
      </w:rPr>
      <w:t xml:space="preserve"> - </w:t>
    </w:r>
    <w:r w:rsidR="008B062A">
      <w:rPr>
        <w:rFonts w:asciiTheme="minorHAnsi" w:hAnsiTheme="minorHAnsi"/>
        <w:i/>
        <w:color w:val="808080"/>
      </w:rPr>
      <w:t>March 2023</w:t>
    </w:r>
    <w:r w:rsidR="00473492">
      <w:rPr>
        <w:rFonts w:asciiTheme="minorHAnsi" w:hAnsiTheme="minorHAnsi"/>
        <w:i/>
        <w:color w:val="808080"/>
      </w:rPr>
      <w:t xml:space="preserve"> </w:t>
    </w:r>
    <w:r w:rsidR="00D843F2" w:rsidRPr="00195452">
      <w:rPr>
        <w:rFonts w:asciiTheme="minorHAnsi" w:hAnsiTheme="minorHAnsi"/>
        <w:i/>
        <w:color w:val="808080"/>
      </w:rPr>
      <w:t>PBAC Meeting</w:t>
    </w:r>
  </w:p>
  <w:p w14:paraId="3C483B43" w14:textId="77777777" w:rsidR="00473492" w:rsidRPr="008C7ECB" w:rsidRDefault="00473492" w:rsidP="00473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6001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A402E8"/>
    <w:multiLevelType w:val="hybridMultilevel"/>
    <w:tmpl w:val="2BAE2818"/>
    <w:lvl w:ilvl="0" w:tplc="B53A01D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C4081"/>
    <w:multiLevelType w:val="multilevel"/>
    <w:tmpl w:val="9E78C8A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0E49ED"/>
    <w:multiLevelType w:val="hybridMultilevel"/>
    <w:tmpl w:val="FE5E02E4"/>
    <w:lvl w:ilvl="0" w:tplc="23B40E06">
      <w:start w:val="1"/>
      <w:numFmt w:val="bullet"/>
      <w:lvlText w:val=""/>
      <w:lvlJc w:val="left"/>
      <w:pPr>
        <w:ind w:left="1146" w:hanging="360"/>
      </w:pPr>
      <w:rPr>
        <w:rFonts w:ascii="Symbol" w:hAnsi="Symbol"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253A6968"/>
    <w:multiLevelType w:val="hybridMultilevel"/>
    <w:tmpl w:val="19729B42"/>
    <w:lvl w:ilvl="0" w:tplc="D42294D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F22D33"/>
    <w:multiLevelType w:val="hybridMultilevel"/>
    <w:tmpl w:val="969200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FB662D6"/>
    <w:multiLevelType w:val="hybridMultilevel"/>
    <w:tmpl w:val="E7183B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142E2"/>
    <w:multiLevelType w:val="hybridMultilevel"/>
    <w:tmpl w:val="12C201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17C14CF"/>
    <w:multiLevelType w:val="hybridMultilevel"/>
    <w:tmpl w:val="1DCC927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8F4652"/>
    <w:multiLevelType w:val="hybridMultilevel"/>
    <w:tmpl w:val="E4D07C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3232EE"/>
    <w:multiLevelType w:val="hybridMultilevel"/>
    <w:tmpl w:val="40A42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3"/>
  </w:num>
  <w:num w:numId="4">
    <w:abstractNumId w:val="0"/>
  </w:num>
  <w:num w:numId="5">
    <w:abstractNumId w:val="20"/>
  </w:num>
  <w:num w:numId="6">
    <w:abstractNumId w:val="23"/>
  </w:num>
  <w:num w:numId="7">
    <w:abstractNumId w:val="18"/>
  </w:num>
  <w:num w:numId="8">
    <w:abstractNumId w:val="21"/>
  </w:num>
  <w:num w:numId="9">
    <w:abstractNumId w:val="2"/>
  </w:num>
  <w:num w:numId="10">
    <w:abstractNumId w:val="10"/>
  </w:num>
  <w:num w:numId="11">
    <w:abstractNumId w:val="11"/>
  </w:num>
  <w:num w:numId="12">
    <w:abstractNumId w:val="7"/>
  </w:num>
  <w:num w:numId="13">
    <w:abstractNumId w:val="17"/>
  </w:num>
  <w:num w:numId="14">
    <w:abstractNumId w:val="14"/>
  </w:num>
  <w:num w:numId="15">
    <w:abstractNumId w:val="4"/>
  </w:num>
  <w:num w:numId="16">
    <w:abstractNumId w:val="15"/>
  </w:num>
  <w:num w:numId="17">
    <w:abstractNumId w:val="3"/>
  </w:num>
  <w:num w:numId="18">
    <w:abstractNumId w:val="1"/>
  </w:num>
  <w:num w:numId="19">
    <w:abstractNumId w:val="6"/>
  </w:num>
  <w:num w:numId="20">
    <w:abstractNumId w:val="9"/>
  </w:num>
  <w:num w:numId="21">
    <w:abstractNumId w:val="5"/>
  </w:num>
  <w:num w:numId="2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0"/>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0"/>
  </w:num>
  <w:num w:numId="29">
    <w:abstractNumId w:val="0"/>
  </w:num>
  <w:num w:numId="30">
    <w:abstractNumId w:val="13"/>
  </w:num>
  <w:num w:numId="31">
    <w:abstractNumId w:val="22"/>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4E"/>
    <w:rsid w:val="0000077A"/>
    <w:rsid w:val="00000790"/>
    <w:rsid w:val="00000D6E"/>
    <w:rsid w:val="00000FD4"/>
    <w:rsid w:val="0000110B"/>
    <w:rsid w:val="000013AB"/>
    <w:rsid w:val="000016BB"/>
    <w:rsid w:val="00002974"/>
    <w:rsid w:val="00003054"/>
    <w:rsid w:val="00003499"/>
    <w:rsid w:val="0000358F"/>
    <w:rsid w:val="0000377C"/>
    <w:rsid w:val="000039B7"/>
    <w:rsid w:val="00003D62"/>
    <w:rsid w:val="00004E3A"/>
    <w:rsid w:val="00004F77"/>
    <w:rsid w:val="000054C7"/>
    <w:rsid w:val="000056B9"/>
    <w:rsid w:val="0000639A"/>
    <w:rsid w:val="00006CEF"/>
    <w:rsid w:val="000071DD"/>
    <w:rsid w:val="0000755B"/>
    <w:rsid w:val="00007C53"/>
    <w:rsid w:val="00007D32"/>
    <w:rsid w:val="00010EBB"/>
    <w:rsid w:val="00011509"/>
    <w:rsid w:val="00011916"/>
    <w:rsid w:val="00011D92"/>
    <w:rsid w:val="00011FBE"/>
    <w:rsid w:val="00012099"/>
    <w:rsid w:val="0001240B"/>
    <w:rsid w:val="0001254F"/>
    <w:rsid w:val="0001288A"/>
    <w:rsid w:val="00013247"/>
    <w:rsid w:val="000137F6"/>
    <w:rsid w:val="00013E61"/>
    <w:rsid w:val="0001414C"/>
    <w:rsid w:val="00014889"/>
    <w:rsid w:val="00015019"/>
    <w:rsid w:val="00015886"/>
    <w:rsid w:val="00015C05"/>
    <w:rsid w:val="000162EF"/>
    <w:rsid w:val="00016BA3"/>
    <w:rsid w:val="00016C75"/>
    <w:rsid w:val="0001722F"/>
    <w:rsid w:val="000179DF"/>
    <w:rsid w:val="00017A25"/>
    <w:rsid w:val="00017A4E"/>
    <w:rsid w:val="000200DE"/>
    <w:rsid w:val="00020743"/>
    <w:rsid w:val="000207C9"/>
    <w:rsid w:val="00022203"/>
    <w:rsid w:val="0002225F"/>
    <w:rsid w:val="00022500"/>
    <w:rsid w:val="00022663"/>
    <w:rsid w:val="0002369D"/>
    <w:rsid w:val="00023763"/>
    <w:rsid w:val="00024C83"/>
    <w:rsid w:val="00024EB5"/>
    <w:rsid w:val="00024F77"/>
    <w:rsid w:val="0002514C"/>
    <w:rsid w:val="000257AD"/>
    <w:rsid w:val="00025D24"/>
    <w:rsid w:val="00025E87"/>
    <w:rsid w:val="00026911"/>
    <w:rsid w:val="0002699F"/>
    <w:rsid w:val="000270A3"/>
    <w:rsid w:val="000274B8"/>
    <w:rsid w:val="0002755B"/>
    <w:rsid w:val="00027679"/>
    <w:rsid w:val="000279CD"/>
    <w:rsid w:val="00030338"/>
    <w:rsid w:val="00030595"/>
    <w:rsid w:val="00030653"/>
    <w:rsid w:val="00030993"/>
    <w:rsid w:val="00031267"/>
    <w:rsid w:val="00031290"/>
    <w:rsid w:val="00031720"/>
    <w:rsid w:val="0003183F"/>
    <w:rsid w:val="00031CBF"/>
    <w:rsid w:val="0003217D"/>
    <w:rsid w:val="000326B5"/>
    <w:rsid w:val="000327AC"/>
    <w:rsid w:val="00033863"/>
    <w:rsid w:val="00034A92"/>
    <w:rsid w:val="00034FBD"/>
    <w:rsid w:val="000354D2"/>
    <w:rsid w:val="00035608"/>
    <w:rsid w:val="0003562B"/>
    <w:rsid w:val="000357AC"/>
    <w:rsid w:val="00035DC0"/>
    <w:rsid w:val="000360A8"/>
    <w:rsid w:val="00036212"/>
    <w:rsid w:val="0003635F"/>
    <w:rsid w:val="00036447"/>
    <w:rsid w:val="00036829"/>
    <w:rsid w:val="000372A3"/>
    <w:rsid w:val="00037360"/>
    <w:rsid w:val="00040895"/>
    <w:rsid w:val="00040C5C"/>
    <w:rsid w:val="00040EB4"/>
    <w:rsid w:val="000410A0"/>
    <w:rsid w:val="000411E4"/>
    <w:rsid w:val="0004153E"/>
    <w:rsid w:val="00041A69"/>
    <w:rsid w:val="00041FA7"/>
    <w:rsid w:val="00042174"/>
    <w:rsid w:val="00042272"/>
    <w:rsid w:val="000422CC"/>
    <w:rsid w:val="0004261C"/>
    <w:rsid w:val="0004266F"/>
    <w:rsid w:val="00042B40"/>
    <w:rsid w:val="00042DB3"/>
    <w:rsid w:val="00042E56"/>
    <w:rsid w:val="000433A1"/>
    <w:rsid w:val="000434F9"/>
    <w:rsid w:val="000435EE"/>
    <w:rsid w:val="0004379D"/>
    <w:rsid w:val="00043C37"/>
    <w:rsid w:val="00044586"/>
    <w:rsid w:val="00044C00"/>
    <w:rsid w:val="00044E3F"/>
    <w:rsid w:val="00044EBC"/>
    <w:rsid w:val="00044FA6"/>
    <w:rsid w:val="00045017"/>
    <w:rsid w:val="00045338"/>
    <w:rsid w:val="00045A2B"/>
    <w:rsid w:val="00045C05"/>
    <w:rsid w:val="00045ED9"/>
    <w:rsid w:val="00046018"/>
    <w:rsid w:val="00046469"/>
    <w:rsid w:val="00046683"/>
    <w:rsid w:val="0004698F"/>
    <w:rsid w:val="00046D64"/>
    <w:rsid w:val="00046E94"/>
    <w:rsid w:val="00047132"/>
    <w:rsid w:val="000479C0"/>
    <w:rsid w:val="00050023"/>
    <w:rsid w:val="000508C2"/>
    <w:rsid w:val="000508E6"/>
    <w:rsid w:val="00050CC5"/>
    <w:rsid w:val="000519A0"/>
    <w:rsid w:val="00051B96"/>
    <w:rsid w:val="000531FD"/>
    <w:rsid w:val="0005331B"/>
    <w:rsid w:val="000539D0"/>
    <w:rsid w:val="00053A21"/>
    <w:rsid w:val="00054621"/>
    <w:rsid w:val="000546D7"/>
    <w:rsid w:val="00054A8D"/>
    <w:rsid w:val="00054DA6"/>
    <w:rsid w:val="00054DAC"/>
    <w:rsid w:val="00054E3C"/>
    <w:rsid w:val="000551DF"/>
    <w:rsid w:val="000554FB"/>
    <w:rsid w:val="00055925"/>
    <w:rsid w:val="00055A56"/>
    <w:rsid w:val="00055DBF"/>
    <w:rsid w:val="00056700"/>
    <w:rsid w:val="00056B8F"/>
    <w:rsid w:val="00056ECF"/>
    <w:rsid w:val="000578F2"/>
    <w:rsid w:val="0006037D"/>
    <w:rsid w:val="00060424"/>
    <w:rsid w:val="000604DF"/>
    <w:rsid w:val="000614AA"/>
    <w:rsid w:val="00061829"/>
    <w:rsid w:val="00061A50"/>
    <w:rsid w:val="00061AC2"/>
    <w:rsid w:val="0006217F"/>
    <w:rsid w:val="00062324"/>
    <w:rsid w:val="00062B73"/>
    <w:rsid w:val="0006310B"/>
    <w:rsid w:val="00063B5E"/>
    <w:rsid w:val="00065342"/>
    <w:rsid w:val="000653B5"/>
    <w:rsid w:val="000659D2"/>
    <w:rsid w:val="00065B5E"/>
    <w:rsid w:val="00066203"/>
    <w:rsid w:val="00066234"/>
    <w:rsid w:val="00066360"/>
    <w:rsid w:val="00066905"/>
    <w:rsid w:val="00066AF8"/>
    <w:rsid w:val="00067AF1"/>
    <w:rsid w:val="0007005F"/>
    <w:rsid w:val="00070A7D"/>
    <w:rsid w:val="000711DF"/>
    <w:rsid w:val="00071248"/>
    <w:rsid w:val="0007133A"/>
    <w:rsid w:val="0007204B"/>
    <w:rsid w:val="000720B9"/>
    <w:rsid w:val="0007255C"/>
    <w:rsid w:val="00072E36"/>
    <w:rsid w:val="00073173"/>
    <w:rsid w:val="00073614"/>
    <w:rsid w:val="000737F7"/>
    <w:rsid w:val="00073B78"/>
    <w:rsid w:val="00074330"/>
    <w:rsid w:val="00074405"/>
    <w:rsid w:val="000747E3"/>
    <w:rsid w:val="00074A4D"/>
    <w:rsid w:val="00074BE7"/>
    <w:rsid w:val="00074D95"/>
    <w:rsid w:val="00074F33"/>
    <w:rsid w:val="00075207"/>
    <w:rsid w:val="00075412"/>
    <w:rsid w:val="00075E58"/>
    <w:rsid w:val="0007669D"/>
    <w:rsid w:val="0007672F"/>
    <w:rsid w:val="00076870"/>
    <w:rsid w:val="00076B54"/>
    <w:rsid w:val="00076D8C"/>
    <w:rsid w:val="00077398"/>
    <w:rsid w:val="000774F0"/>
    <w:rsid w:val="00077C60"/>
    <w:rsid w:val="000803CD"/>
    <w:rsid w:val="00080909"/>
    <w:rsid w:val="00080E08"/>
    <w:rsid w:val="00080F64"/>
    <w:rsid w:val="000812CA"/>
    <w:rsid w:val="00081E63"/>
    <w:rsid w:val="0008258D"/>
    <w:rsid w:val="00083938"/>
    <w:rsid w:val="00083D80"/>
    <w:rsid w:val="00083E99"/>
    <w:rsid w:val="00083FBD"/>
    <w:rsid w:val="000840A4"/>
    <w:rsid w:val="00084832"/>
    <w:rsid w:val="0008484E"/>
    <w:rsid w:val="00084FA8"/>
    <w:rsid w:val="000856C5"/>
    <w:rsid w:val="00085912"/>
    <w:rsid w:val="00085C31"/>
    <w:rsid w:val="00085E7E"/>
    <w:rsid w:val="00086167"/>
    <w:rsid w:val="00086BB0"/>
    <w:rsid w:val="00087128"/>
    <w:rsid w:val="0008771D"/>
    <w:rsid w:val="00087B5C"/>
    <w:rsid w:val="000902D9"/>
    <w:rsid w:val="00090572"/>
    <w:rsid w:val="00090C7E"/>
    <w:rsid w:val="000911AC"/>
    <w:rsid w:val="0009187A"/>
    <w:rsid w:val="00091AAC"/>
    <w:rsid w:val="00091DCD"/>
    <w:rsid w:val="000921A3"/>
    <w:rsid w:val="00092600"/>
    <w:rsid w:val="0009262B"/>
    <w:rsid w:val="000928A7"/>
    <w:rsid w:val="00092CC6"/>
    <w:rsid w:val="00092F5A"/>
    <w:rsid w:val="00092F86"/>
    <w:rsid w:val="00092FB5"/>
    <w:rsid w:val="000930A6"/>
    <w:rsid w:val="00093310"/>
    <w:rsid w:val="000936BD"/>
    <w:rsid w:val="00093999"/>
    <w:rsid w:val="000940D7"/>
    <w:rsid w:val="00094197"/>
    <w:rsid w:val="0009445C"/>
    <w:rsid w:val="0009448D"/>
    <w:rsid w:val="00094602"/>
    <w:rsid w:val="00094D35"/>
    <w:rsid w:val="00095200"/>
    <w:rsid w:val="00095FE5"/>
    <w:rsid w:val="00096284"/>
    <w:rsid w:val="0009650A"/>
    <w:rsid w:val="0009674E"/>
    <w:rsid w:val="00097557"/>
    <w:rsid w:val="00097D5B"/>
    <w:rsid w:val="000A0493"/>
    <w:rsid w:val="000A083D"/>
    <w:rsid w:val="000A0D82"/>
    <w:rsid w:val="000A13BF"/>
    <w:rsid w:val="000A1745"/>
    <w:rsid w:val="000A1792"/>
    <w:rsid w:val="000A1BC0"/>
    <w:rsid w:val="000A2A46"/>
    <w:rsid w:val="000A2D14"/>
    <w:rsid w:val="000A2DDF"/>
    <w:rsid w:val="000A2F9E"/>
    <w:rsid w:val="000A2FD0"/>
    <w:rsid w:val="000A32F6"/>
    <w:rsid w:val="000A3E47"/>
    <w:rsid w:val="000A4065"/>
    <w:rsid w:val="000A4F1D"/>
    <w:rsid w:val="000A522B"/>
    <w:rsid w:val="000A56AD"/>
    <w:rsid w:val="000A5BBD"/>
    <w:rsid w:val="000A5EB3"/>
    <w:rsid w:val="000A6039"/>
    <w:rsid w:val="000A6CBF"/>
    <w:rsid w:val="000A718D"/>
    <w:rsid w:val="000A7341"/>
    <w:rsid w:val="000A7453"/>
    <w:rsid w:val="000A7D08"/>
    <w:rsid w:val="000B001B"/>
    <w:rsid w:val="000B0121"/>
    <w:rsid w:val="000B0225"/>
    <w:rsid w:val="000B05CC"/>
    <w:rsid w:val="000B0670"/>
    <w:rsid w:val="000B0C7B"/>
    <w:rsid w:val="000B0E75"/>
    <w:rsid w:val="000B1792"/>
    <w:rsid w:val="000B1FBC"/>
    <w:rsid w:val="000B22F3"/>
    <w:rsid w:val="000B2874"/>
    <w:rsid w:val="000B299E"/>
    <w:rsid w:val="000B2DCB"/>
    <w:rsid w:val="000B31ED"/>
    <w:rsid w:val="000B324B"/>
    <w:rsid w:val="000B3303"/>
    <w:rsid w:val="000B36C3"/>
    <w:rsid w:val="000B36C7"/>
    <w:rsid w:val="000B37F1"/>
    <w:rsid w:val="000B3915"/>
    <w:rsid w:val="000B3EAC"/>
    <w:rsid w:val="000B42E1"/>
    <w:rsid w:val="000B4397"/>
    <w:rsid w:val="000B4752"/>
    <w:rsid w:val="000B5241"/>
    <w:rsid w:val="000B5698"/>
    <w:rsid w:val="000B593B"/>
    <w:rsid w:val="000B5A99"/>
    <w:rsid w:val="000B5AA0"/>
    <w:rsid w:val="000B5CE0"/>
    <w:rsid w:val="000B62F6"/>
    <w:rsid w:val="000B63FE"/>
    <w:rsid w:val="000B6CAC"/>
    <w:rsid w:val="000B72A8"/>
    <w:rsid w:val="000B7422"/>
    <w:rsid w:val="000B758C"/>
    <w:rsid w:val="000B7612"/>
    <w:rsid w:val="000B78AE"/>
    <w:rsid w:val="000C053F"/>
    <w:rsid w:val="000C1E4D"/>
    <w:rsid w:val="000C29F2"/>
    <w:rsid w:val="000C2E4F"/>
    <w:rsid w:val="000C39A1"/>
    <w:rsid w:val="000C3B27"/>
    <w:rsid w:val="000C3DF9"/>
    <w:rsid w:val="000C4CF2"/>
    <w:rsid w:val="000C4E61"/>
    <w:rsid w:val="000C5286"/>
    <w:rsid w:val="000C5B8D"/>
    <w:rsid w:val="000C6713"/>
    <w:rsid w:val="000C694E"/>
    <w:rsid w:val="000C6D29"/>
    <w:rsid w:val="000C6E3B"/>
    <w:rsid w:val="000C7CF3"/>
    <w:rsid w:val="000D0252"/>
    <w:rsid w:val="000D0344"/>
    <w:rsid w:val="000D043D"/>
    <w:rsid w:val="000D06DA"/>
    <w:rsid w:val="000D0D17"/>
    <w:rsid w:val="000D1460"/>
    <w:rsid w:val="000D156A"/>
    <w:rsid w:val="000D1B2B"/>
    <w:rsid w:val="000D1BFC"/>
    <w:rsid w:val="000D1D5D"/>
    <w:rsid w:val="000D281A"/>
    <w:rsid w:val="000D2848"/>
    <w:rsid w:val="000D28C9"/>
    <w:rsid w:val="000D2D6F"/>
    <w:rsid w:val="000D326A"/>
    <w:rsid w:val="000D40E7"/>
    <w:rsid w:val="000D4146"/>
    <w:rsid w:val="000D4807"/>
    <w:rsid w:val="000D5150"/>
    <w:rsid w:val="000D51FB"/>
    <w:rsid w:val="000D6CD1"/>
    <w:rsid w:val="000D70F1"/>
    <w:rsid w:val="000D72AD"/>
    <w:rsid w:val="000D7D8F"/>
    <w:rsid w:val="000E0156"/>
    <w:rsid w:val="000E0640"/>
    <w:rsid w:val="000E06A7"/>
    <w:rsid w:val="000E0928"/>
    <w:rsid w:val="000E135D"/>
    <w:rsid w:val="000E135E"/>
    <w:rsid w:val="000E240A"/>
    <w:rsid w:val="000E25D0"/>
    <w:rsid w:val="000E271B"/>
    <w:rsid w:val="000E2AD5"/>
    <w:rsid w:val="000E3167"/>
    <w:rsid w:val="000E34ED"/>
    <w:rsid w:val="000E39D3"/>
    <w:rsid w:val="000E3CA1"/>
    <w:rsid w:val="000E4D64"/>
    <w:rsid w:val="000E4FCE"/>
    <w:rsid w:val="000E5252"/>
    <w:rsid w:val="000E5694"/>
    <w:rsid w:val="000E5873"/>
    <w:rsid w:val="000E5BCA"/>
    <w:rsid w:val="000E66EC"/>
    <w:rsid w:val="000E7124"/>
    <w:rsid w:val="000E7367"/>
    <w:rsid w:val="000E780A"/>
    <w:rsid w:val="000E7A50"/>
    <w:rsid w:val="000E7BA9"/>
    <w:rsid w:val="000E7E99"/>
    <w:rsid w:val="000F00BA"/>
    <w:rsid w:val="000F0391"/>
    <w:rsid w:val="000F03B2"/>
    <w:rsid w:val="000F05DF"/>
    <w:rsid w:val="000F0687"/>
    <w:rsid w:val="000F06E8"/>
    <w:rsid w:val="000F113B"/>
    <w:rsid w:val="000F14F0"/>
    <w:rsid w:val="000F16D0"/>
    <w:rsid w:val="000F1ABA"/>
    <w:rsid w:val="000F253A"/>
    <w:rsid w:val="000F316A"/>
    <w:rsid w:val="000F3C74"/>
    <w:rsid w:val="000F4BB8"/>
    <w:rsid w:val="000F4FA9"/>
    <w:rsid w:val="000F53EE"/>
    <w:rsid w:val="000F53F2"/>
    <w:rsid w:val="000F53FB"/>
    <w:rsid w:val="000F57B0"/>
    <w:rsid w:val="000F61F1"/>
    <w:rsid w:val="000F64E8"/>
    <w:rsid w:val="000F6AB0"/>
    <w:rsid w:val="000F6B39"/>
    <w:rsid w:val="000F6DE8"/>
    <w:rsid w:val="000F7127"/>
    <w:rsid w:val="000F72B3"/>
    <w:rsid w:val="000F7601"/>
    <w:rsid w:val="000F7B54"/>
    <w:rsid w:val="001000B3"/>
    <w:rsid w:val="00100469"/>
    <w:rsid w:val="001008D0"/>
    <w:rsid w:val="00100C1F"/>
    <w:rsid w:val="00100E62"/>
    <w:rsid w:val="00100F8A"/>
    <w:rsid w:val="001016F8"/>
    <w:rsid w:val="00101A09"/>
    <w:rsid w:val="00101C34"/>
    <w:rsid w:val="00102E00"/>
    <w:rsid w:val="0010373E"/>
    <w:rsid w:val="00103BC3"/>
    <w:rsid w:val="0010452E"/>
    <w:rsid w:val="001049D0"/>
    <w:rsid w:val="00104B66"/>
    <w:rsid w:val="001055D6"/>
    <w:rsid w:val="00105AE2"/>
    <w:rsid w:val="00105AFC"/>
    <w:rsid w:val="00105E53"/>
    <w:rsid w:val="001060C6"/>
    <w:rsid w:val="00106B80"/>
    <w:rsid w:val="00106D57"/>
    <w:rsid w:val="00107444"/>
    <w:rsid w:val="00107E1D"/>
    <w:rsid w:val="0011032E"/>
    <w:rsid w:val="00111040"/>
    <w:rsid w:val="00111042"/>
    <w:rsid w:val="0011171A"/>
    <w:rsid w:val="00111D69"/>
    <w:rsid w:val="00112130"/>
    <w:rsid w:val="001123ED"/>
    <w:rsid w:val="001125FA"/>
    <w:rsid w:val="00112E2B"/>
    <w:rsid w:val="00113396"/>
    <w:rsid w:val="0011348B"/>
    <w:rsid w:val="001138EE"/>
    <w:rsid w:val="00113A17"/>
    <w:rsid w:val="0011484D"/>
    <w:rsid w:val="00114C4E"/>
    <w:rsid w:val="0011563D"/>
    <w:rsid w:val="0011574D"/>
    <w:rsid w:val="001158D8"/>
    <w:rsid w:val="00115982"/>
    <w:rsid w:val="00115CAB"/>
    <w:rsid w:val="00115D79"/>
    <w:rsid w:val="00115EF7"/>
    <w:rsid w:val="00115FF9"/>
    <w:rsid w:val="0011601B"/>
    <w:rsid w:val="00116535"/>
    <w:rsid w:val="00116C53"/>
    <w:rsid w:val="001174FB"/>
    <w:rsid w:val="00117CD8"/>
    <w:rsid w:val="00117F2A"/>
    <w:rsid w:val="00120734"/>
    <w:rsid w:val="0012096C"/>
    <w:rsid w:val="00120CA3"/>
    <w:rsid w:val="00121308"/>
    <w:rsid w:val="001215E6"/>
    <w:rsid w:val="00121799"/>
    <w:rsid w:val="0012184F"/>
    <w:rsid w:val="0012219E"/>
    <w:rsid w:val="001222E8"/>
    <w:rsid w:val="001222FC"/>
    <w:rsid w:val="00122B9E"/>
    <w:rsid w:val="0012387F"/>
    <w:rsid w:val="00123902"/>
    <w:rsid w:val="00123B3C"/>
    <w:rsid w:val="00124206"/>
    <w:rsid w:val="00124705"/>
    <w:rsid w:val="00124A51"/>
    <w:rsid w:val="00124CAA"/>
    <w:rsid w:val="001251E4"/>
    <w:rsid w:val="00125254"/>
    <w:rsid w:val="0012582F"/>
    <w:rsid w:val="00125A5C"/>
    <w:rsid w:val="00125AE8"/>
    <w:rsid w:val="00126451"/>
    <w:rsid w:val="00126621"/>
    <w:rsid w:val="001267A7"/>
    <w:rsid w:val="001268CE"/>
    <w:rsid w:val="00126B1D"/>
    <w:rsid w:val="00126F12"/>
    <w:rsid w:val="00126F86"/>
    <w:rsid w:val="00127395"/>
    <w:rsid w:val="00127D04"/>
    <w:rsid w:val="00127FC3"/>
    <w:rsid w:val="001301E9"/>
    <w:rsid w:val="00130975"/>
    <w:rsid w:val="00130B46"/>
    <w:rsid w:val="00130CF3"/>
    <w:rsid w:val="00130D4D"/>
    <w:rsid w:val="00131D82"/>
    <w:rsid w:val="00131E6D"/>
    <w:rsid w:val="00132108"/>
    <w:rsid w:val="00132B22"/>
    <w:rsid w:val="00133A6E"/>
    <w:rsid w:val="00133D21"/>
    <w:rsid w:val="00133D36"/>
    <w:rsid w:val="0013506F"/>
    <w:rsid w:val="00135A0F"/>
    <w:rsid w:val="00135AB4"/>
    <w:rsid w:val="00135BC7"/>
    <w:rsid w:val="00136173"/>
    <w:rsid w:val="001367D3"/>
    <w:rsid w:val="00137645"/>
    <w:rsid w:val="00137C78"/>
    <w:rsid w:val="00137F40"/>
    <w:rsid w:val="0014006D"/>
    <w:rsid w:val="0014015A"/>
    <w:rsid w:val="00140195"/>
    <w:rsid w:val="00140E99"/>
    <w:rsid w:val="0014154F"/>
    <w:rsid w:val="00141C4A"/>
    <w:rsid w:val="00141FE4"/>
    <w:rsid w:val="001428B6"/>
    <w:rsid w:val="00142B7E"/>
    <w:rsid w:val="001433C1"/>
    <w:rsid w:val="0014342A"/>
    <w:rsid w:val="00143C20"/>
    <w:rsid w:val="00143F67"/>
    <w:rsid w:val="0014444C"/>
    <w:rsid w:val="00144810"/>
    <w:rsid w:val="00144E47"/>
    <w:rsid w:val="00145234"/>
    <w:rsid w:val="00145540"/>
    <w:rsid w:val="00145566"/>
    <w:rsid w:val="001456B0"/>
    <w:rsid w:val="00145B7F"/>
    <w:rsid w:val="00145F32"/>
    <w:rsid w:val="001462DE"/>
    <w:rsid w:val="0014637F"/>
    <w:rsid w:val="0014640F"/>
    <w:rsid w:val="00146643"/>
    <w:rsid w:val="00146673"/>
    <w:rsid w:val="00150A40"/>
    <w:rsid w:val="00150E19"/>
    <w:rsid w:val="00150EAC"/>
    <w:rsid w:val="0015351F"/>
    <w:rsid w:val="0015361A"/>
    <w:rsid w:val="00153ED7"/>
    <w:rsid w:val="00154496"/>
    <w:rsid w:val="001547AB"/>
    <w:rsid w:val="00154A8B"/>
    <w:rsid w:val="001552A1"/>
    <w:rsid w:val="001559BA"/>
    <w:rsid w:val="00155A95"/>
    <w:rsid w:val="00155F75"/>
    <w:rsid w:val="00156027"/>
    <w:rsid w:val="00156670"/>
    <w:rsid w:val="00156B3F"/>
    <w:rsid w:val="00156E06"/>
    <w:rsid w:val="00156E4A"/>
    <w:rsid w:val="00156F8F"/>
    <w:rsid w:val="00157130"/>
    <w:rsid w:val="001571FA"/>
    <w:rsid w:val="001576B1"/>
    <w:rsid w:val="001603AA"/>
    <w:rsid w:val="001603EC"/>
    <w:rsid w:val="0016047B"/>
    <w:rsid w:val="001604E9"/>
    <w:rsid w:val="00160A35"/>
    <w:rsid w:val="00160A4C"/>
    <w:rsid w:val="00160C20"/>
    <w:rsid w:val="0016109E"/>
    <w:rsid w:val="0016192E"/>
    <w:rsid w:val="00161DA6"/>
    <w:rsid w:val="001620B5"/>
    <w:rsid w:val="001620D4"/>
    <w:rsid w:val="001622F1"/>
    <w:rsid w:val="0016240B"/>
    <w:rsid w:val="00162504"/>
    <w:rsid w:val="001628ED"/>
    <w:rsid w:val="00162913"/>
    <w:rsid w:val="00162D89"/>
    <w:rsid w:val="00163243"/>
    <w:rsid w:val="00163BAF"/>
    <w:rsid w:val="00163BC7"/>
    <w:rsid w:val="00163EFF"/>
    <w:rsid w:val="00163F66"/>
    <w:rsid w:val="0016478E"/>
    <w:rsid w:val="00164CBD"/>
    <w:rsid w:val="00164E25"/>
    <w:rsid w:val="00165610"/>
    <w:rsid w:val="00165EC4"/>
    <w:rsid w:val="001661FB"/>
    <w:rsid w:val="00166C0B"/>
    <w:rsid w:val="001671A0"/>
    <w:rsid w:val="00167227"/>
    <w:rsid w:val="00167620"/>
    <w:rsid w:val="0016767F"/>
    <w:rsid w:val="00167A4D"/>
    <w:rsid w:val="001700B9"/>
    <w:rsid w:val="0017053B"/>
    <w:rsid w:val="00171283"/>
    <w:rsid w:val="00171509"/>
    <w:rsid w:val="001720F8"/>
    <w:rsid w:val="00172EBC"/>
    <w:rsid w:val="00173222"/>
    <w:rsid w:val="00173565"/>
    <w:rsid w:val="0017361E"/>
    <w:rsid w:val="00173B07"/>
    <w:rsid w:val="00174354"/>
    <w:rsid w:val="00174D34"/>
    <w:rsid w:val="001751FA"/>
    <w:rsid w:val="00175976"/>
    <w:rsid w:val="00175B19"/>
    <w:rsid w:val="00175C87"/>
    <w:rsid w:val="00175E65"/>
    <w:rsid w:val="0017690C"/>
    <w:rsid w:val="00176C91"/>
    <w:rsid w:val="001770AF"/>
    <w:rsid w:val="00180AD1"/>
    <w:rsid w:val="00180C9B"/>
    <w:rsid w:val="00181AEB"/>
    <w:rsid w:val="00181C10"/>
    <w:rsid w:val="00181C78"/>
    <w:rsid w:val="00181D9C"/>
    <w:rsid w:val="00182501"/>
    <w:rsid w:val="001825BE"/>
    <w:rsid w:val="0018278B"/>
    <w:rsid w:val="001828AC"/>
    <w:rsid w:val="00182B63"/>
    <w:rsid w:val="00183469"/>
    <w:rsid w:val="0018357A"/>
    <w:rsid w:val="001835A5"/>
    <w:rsid w:val="0018365A"/>
    <w:rsid w:val="00183709"/>
    <w:rsid w:val="001837FF"/>
    <w:rsid w:val="00183823"/>
    <w:rsid w:val="00183859"/>
    <w:rsid w:val="00183BB4"/>
    <w:rsid w:val="00184938"/>
    <w:rsid w:val="00184B0E"/>
    <w:rsid w:val="00184B5F"/>
    <w:rsid w:val="00184F13"/>
    <w:rsid w:val="001855EB"/>
    <w:rsid w:val="00185B3B"/>
    <w:rsid w:val="00185C7B"/>
    <w:rsid w:val="0018726C"/>
    <w:rsid w:val="0018752F"/>
    <w:rsid w:val="00187FA1"/>
    <w:rsid w:val="00190635"/>
    <w:rsid w:val="00192159"/>
    <w:rsid w:val="00193838"/>
    <w:rsid w:val="00193BFB"/>
    <w:rsid w:val="00193FE6"/>
    <w:rsid w:val="001942C8"/>
    <w:rsid w:val="00194367"/>
    <w:rsid w:val="001948BC"/>
    <w:rsid w:val="00194AD8"/>
    <w:rsid w:val="00194CB6"/>
    <w:rsid w:val="00194D63"/>
    <w:rsid w:val="00194E41"/>
    <w:rsid w:val="00194F35"/>
    <w:rsid w:val="001951E2"/>
    <w:rsid w:val="00195222"/>
    <w:rsid w:val="00195242"/>
    <w:rsid w:val="00195452"/>
    <w:rsid w:val="00195A9D"/>
    <w:rsid w:val="00195AD2"/>
    <w:rsid w:val="00195EB4"/>
    <w:rsid w:val="00195FB5"/>
    <w:rsid w:val="00196689"/>
    <w:rsid w:val="001967CD"/>
    <w:rsid w:val="001968E1"/>
    <w:rsid w:val="001975D8"/>
    <w:rsid w:val="001976E3"/>
    <w:rsid w:val="00197EFB"/>
    <w:rsid w:val="001A031C"/>
    <w:rsid w:val="001A03DA"/>
    <w:rsid w:val="001A0535"/>
    <w:rsid w:val="001A0753"/>
    <w:rsid w:val="001A0A6B"/>
    <w:rsid w:val="001A11B9"/>
    <w:rsid w:val="001A1505"/>
    <w:rsid w:val="001A16E5"/>
    <w:rsid w:val="001A178E"/>
    <w:rsid w:val="001A2573"/>
    <w:rsid w:val="001A2607"/>
    <w:rsid w:val="001A3168"/>
    <w:rsid w:val="001A3436"/>
    <w:rsid w:val="001A3891"/>
    <w:rsid w:val="001A3909"/>
    <w:rsid w:val="001A43FA"/>
    <w:rsid w:val="001A4530"/>
    <w:rsid w:val="001A47C5"/>
    <w:rsid w:val="001A4BDF"/>
    <w:rsid w:val="001A50A3"/>
    <w:rsid w:val="001A5534"/>
    <w:rsid w:val="001A55E8"/>
    <w:rsid w:val="001A58E2"/>
    <w:rsid w:val="001A59FB"/>
    <w:rsid w:val="001A5BB1"/>
    <w:rsid w:val="001A5E94"/>
    <w:rsid w:val="001A5E9E"/>
    <w:rsid w:val="001A6354"/>
    <w:rsid w:val="001A6366"/>
    <w:rsid w:val="001A6D97"/>
    <w:rsid w:val="001A7529"/>
    <w:rsid w:val="001A7A82"/>
    <w:rsid w:val="001A7AE8"/>
    <w:rsid w:val="001A7CAF"/>
    <w:rsid w:val="001A7D37"/>
    <w:rsid w:val="001B0F44"/>
    <w:rsid w:val="001B128C"/>
    <w:rsid w:val="001B142F"/>
    <w:rsid w:val="001B1C2C"/>
    <w:rsid w:val="001B1C64"/>
    <w:rsid w:val="001B204E"/>
    <w:rsid w:val="001B2372"/>
    <w:rsid w:val="001B3443"/>
    <w:rsid w:val="001B42DE"/>
    <w:rsid w:val="001B45D3"/>
    <w:rsid w:val="001B46A7"/>
    <w:rsid w:val="001B4801"/>
    <w:rsid w:val="001B4D20"/>
    <w:rsid w:val="001B4DA0"/>
    <w:rsid w:val="001B52D8"/>
    <w:rsid w:val="001B52FC"/>
    <w:rsid w:val="001B63A8"/>
    <w:rsid w:val="001B655F"/>
    <w:rsid w:val="001B6E62"/>
    <w:rsid w:val="001B736C"/>
    <w:rsid w:val="001B7523"/>
    <w:rsid w:val="001B78E2"/>
    <w:rsid w:val="001B7A15"/>
    <w:rsid w:val="001B7F15"/>
    <w:rsid w:val="001B7F84"/>
    <w:rsid w:val="001C06A5"/>
    <w:rsid w:val="001C1087"/>
    <w:rsid w:val="001C111E"/>
    <w:rsid w:val="001C1A20"/>
    <w:rsid w:val="001C22C5"/>
    <w:rsid w:val="001C23F7"/>
    <w:rsid w:val="001C278E"/>
    <w:rsid w:val="001C2A9B"/>
    <w:rsid w:val="001C2CB8"/>
    <w:rsid w:val="001C2CDE"/>
    <w:rsid w:val="001C2F1F"/>
    <w:rsid w:val="001C32DE"/>
    <w:rsid w:val="001C3C5D"/>
    <w:rsid w:val="001C3DD6"/>
    <w:rsid w:val="001C4299"/>
    <w:rsid w:val="001C4874"/>
    <w:rsid w:val="001C4B15"/>
    <w:rsid w:val="001C4D97"/>
    <w:rsid w:val="001C5226"/>
    <w:rsid w:val="001C5429"/>
    <w:rsid w:val="001C562B"/>
    <w:rsid w:val="001C582D"/>
    <w:rsid w:val="001C58BC"/>
    <w:rsid w:val="001C5F94"/>
    <w:rsid w:val="001C63EF"/>
    <w:rsid w:val="001C6A37"/>
    <w:rsid w:val="001C6CB7"/>
    <w:rsid w:val="001C6E66"/>
    <w:rsid w:val="001C7876"/>
    <w:rsid w:val="001C7D64"/>
    <w:rsid w:val="001D0380"/>
    <w:rsid w:val="001D06DC"/>
    <w:rsid w:val="001D082F"/>
    <w:rsid w:val="001D1100"/>
    <w:rsid w:val="001D1391"/>
    <w:rsid w:val="001D1746"/>
    <w:rsid w:val="001D1E0F"/>
    <w:rsid w:val="001D25D7"/>
    <w:rsid w:val="001D2A8A"/>
    <w:rsid w:val="001D2AF0"/>
    <w:rsid w:val="001D3078"/>
    <w:rsid w:val="001D3552"/>
    <w:rsid w:val="001D3A88"/>
    <w:rsid w:val="001D3E3A"/>
    <w:rsid w:val="001D40D3"/>
    <w:rsid w:val="001D4B11"/>
    <w:rsid w:val="001D50B2"/>
    <w:rsid w:val="001D52A3"/>
    <w:rsid w:val="001D52DE"/>
    <w:rsid w:val="001D71F4"/>
    <w:rsid w:val="001D7645"/>
    <w:rsid w:val="001D76C2"/>
    <w:rsid w:val="001D77B3"/>
    <w:rsid w:val="001E03C5"/>
    <w:rsid w:val="001E081A"/>
    <w:rsid w:val="001E0FD9"/>
    <w:rsid w:val="001E1626"/>
    <w:rsid w:val="001E1969"/>
    <w:rsid w:val="001E1E86"/>
    <w:rsid w:val="001E2359"/>
    <w:rsid w:val="001E238E"/>
    <w:rsid w:val="001E2483"/>
    <w:rsid w:val="001E2B05"/>
    <w:rsid w:val="001E2B1E"/>
    <w:rsid w:val="001E2BA6"/>
    <w:rsid w:val="001E2CFF"/>
    <w:rsid w:val="001E2F24"/>
    <w:rsid w:val="001E30D4"/>
    <w:rsid w:val="001E3201"/>
    <w:rsid w:val="001E34DF"/>
    <w:rsid w:val="001E3913"/>
    <w:rsid w:val="001E4A4C"/>
    <w:rsid w:val="001E52EB"/>
    <w:rsid w:val="001E56F6"/>
    <w:rsid w:val="001E5949"/>
    <w:rsid w:val="001E61D2"/>
    <w:rsid w:val="001E6CE1"/>
    <w:rsid w:val="001E71AC"/>
    <w:rsid w:val="001E7205"/>
    <w:rsid w:val="001E73EE"/>
    <w:rsid w:val="001E740C"/>
    <w:rsid w:val="001E751A"/>
    <w:rsid w:val="001E7C3B"/>
    <w:rsid w:val="001F0940"/>
    <w:rsid w:val="001F1235"/>
    <w:rsid w:val="001F1242"/>
    <w:rsid w:val="001F1CB3"/>
    <w:rsid w:val="001F1CB8"/>
    <w:rsid w:val="001F2156"/>
    <w:rsid w:val="001F29C4"/>
    <w:rsid w:val="001F3436"/>
    <w:rsid w:val="001F38B5"/>
    <w:rsid w:val="001F3929"/>
    <w:rsid w:val="001F3F1F"/>
    <w:rsid w:val="001F4081"/>
    <w:rsid w:val="001F49BF"/>
    <w:rsid w:val="001F541A"/>
    <w:rsid w:val="001F5969"/>
    <w:rsid w:val="001F71D1"/>
    <w:rsid w:val="001F7361"/>
    <w:rsid w:val="00201011"/>
    <w:rsid w:val="002011B0"/>
    <w:rsid w:val="002016DB"/>
    <w:rsid w:val="002018D1"/>
    <w:rsid w:val="00201927"/>
    <w:rsid w:val="00201BFD"/>
    <w:rsid w:val="00202FD7"/>
    <w:rsid w:val="0020308C"/>
    <w:rsid w:val="00203181"/>
    <w:rsid w:val="00203783"/>
    <w:rsid w:val="0020385F"/>
    <w:rsid w:val="00203AD8"/>
    <w:rsid w:val="00203AEA"/>
    <w:rsid w:val="002040E8"/>
    <w:rsid w:val="00204240"/>
    <w:rsid w:val="0020520D"/>
    <w:rsid w:val="00205531"/>
    <w:rsid w:val="00205E3F"/>
    <w:rsid w:val="00206234"/>
    <w:rsid w:val="002068A0"/>
    <w:rsid w:val="00207021"/>
    <w:rsid w:val="0020732F"/>
    <w:rsid w:val="0020741B"/>
    <w:rsid w:val="00207886"/>
    <w:rsid w:val="00207B33"/>
    <w:rsid w:val="00207D00"/>
    <w:rsid w:val="00210035"/>
    <w:rsid w:val="0021035C"/>
    <w:rsid w:val="0021057D"/>
    <w:rsid w:val="002105C1"/>
    <w:rsid w:val="00210CA5"/>
    <w:rsid w:val="002116FD"/>
    <w:rsid w:val="00211F79"/>
    <w:rsid w:val="0021258F"/>
    <w:rsid w:val="00212D7B"/>
    <w:rsid w:val="00213EF5"/>
    <w:rsid w:val="00214ADE"/>
    <w:rsid w:val="00214AFB"/>
    <w:rsid w:val="002150BA"/>
    <w:rsid w:val="002157B2"/>
    <w:rsid w:val="00215E5E"/>
    <w:rsid w:val="0021609D"/>
    <w:rsid w:val="002167F6"/>
    <w:rsid w:val="00216BF5"/>
    <w:rsid w:val="00216EE1"/>
    <w:rsid w:val="00217055"/>
    <w:rsid w:val="00220410"/>
    <w:rsid w:val="00221066"/>
    <w:rsid w:val="0022164C"/>
    <w:rsid w:val="002216FB"/>
    <w:rsid w:val="00221B4E"/>
    <w:rsid w:val="00221B7E"/>
    <w:rsid w:val="002228E5"/>
    <w:rsid w:val="00222932"/>
    <w:rsid w:val="00222E20"/>
    <w:rsid w:val="00222EE3"/>
    <w:rsid w:val="00223078"/>
    <w:rsid w:val="002231EB"/>
    <w:rsid w:val="0022338E"/>
    <w:rsid w:val="0022353C"/>
    <w:rsid w:val="00223B49"/>
    <w:rsid w:val="00223C2D"/>
    <w:rsid w:val="00223D5A"/>
    <w:rsid w:val="00224DD4"/>
    <w:rsid w:val="00224FB1"/>
    <w:rsid w:val="00225737"/>
    <w:rsid w:val="00225AE9"/>
    <w:rsid w:val="00225D7C"/>
    <w:rsid w:val="0022601E"/>
    <w:rsid w:val="0022750C"/>
    <w:rsid w:val="002278A0"/>
    <w:rsid w:val="002279C0"/>
    <w:rsid w:val="0023017D"/>
    <w:rsid w:val="002309CC"/>
    <w:rsid w:val="00230E82"/>
    <w:rsid w:val="00230F73"/>
    <w:rsid w:val="002316FA"/>
    <w:rsid w:val="00231828"/>
    <w:rsid w:val="00231BA9"/>
    <w:rsid w:val="00231FF3"/>
    <w:rsid w:val="0023209F"/>
    <w:rsid w:val="00232941"/>
    <w:rsid w:val="002330B5"/>
    <w:rsid w:val="00233637"/>
    <w:rsid w:val="00233A26"/>
    <w:rsid w:val="00233B99"/>
    <w:rsid w:val="00233C01"/>
    <w:rsid w:val="0023413C"/>
    <w:rsid w:val="002343FE"/>
    <w:rsid w:val="002344D2"/>
    <w:rsid w:val="002346D5"/>
    <w:rsid w:val="002346F0"/>
    <w:rsid w:val="00234AD2"/>
    <w:rsid w:val="00234E88"/>
    <w:rsid w:val="00234F85"/>
    <w:rsid w:val="00235031"/>
    <w:rsid w:val="0023629D"/>
    <w:rsid w:val="00236378"/>
    <w:rsid w:val="0023637E"/>
    <w:rsid w:val="002366D3"/>
    <w:rsid w:val="00236EFF"/>
    <w:rsid w:val="002371D4"/>
    <w:rsid w:val="00237255"/>
    <w:rsid w:val="0023772B"/>
    <w:rsid w:val="002377D9"/>
    <w:rsid w:val="00237828"/>
    <w:rsid w:val="00240312"/>
    <w:rsid w:val="00240595"/>
    <w:rsid w:val="002405F1"/>
    <w:rsid w:val="00240D66"/>
    <w:rsid w:val="00241117"/>
    <w:rsid w:val="00241620"/>
    <w:rsid w:val="00241BC4"/>
    <w:rsid w:val="002422DC"/>
    <w:rsid w:val="0024237C"/>
    <w:rsid w:val="002424AF"/>
    <w:rsid w:val="002428F9"/>
    <w:rsid w:val="00242C70"/>
    <w:rsid w:val="0024326E"/>
    <w:rsid w:val="002432E3"/>
    <w:rsid w:val="002439AB"/>
    <w:rsid w:val="002439DC"/>
    <w:rsid w:val="00243C86"/>
    <w:rsid w:val="00243E64"/>
    <w:rsid w:val="002440C1"/>
    <w:rsid w:val="00244138"/>
    <w:rsid w:val="002441D2"/>
    <w:rsid w:val="0024446F"/>
    <w:rsid w:val="0024449F"/>
    <w:rsid w:val="00244DC8"/>
    <w:rsid w:val="002455EC"/>
    <w:rsid w:val="002458BA"/>
    <w:rsid w:val="00245CE9"/>
    <w:rsid w:val="0024636C"/>
    <w:rsid w:val="002464ED"/>
    <w:rsid w:val="00246572"/>
    <w:rsid w:val="00246CAE"/>
    <w:rsid w:val="00247388"/>
    <w:rsid w:val="002473E0"/>
    <w:rsid w:val="00247925"/>
    <w:rsid w:val="00247CA9"/>
    <w:rsid w:val="00250019"/>
    <w:rsid w:val="0025025E"/>
    <w:rsid w:val="00250C55"/>
    <w:rsid w:val="00251006"/>
    <w:rsid w:val="002515FE"/>
    <w:rsid w:val="00251C30"/>
    <w:rsid w:val="0025219B"/>
    <w:rsid w:val="0025224E"/>
    <w:rsid w:val="002524D5"/>
    <w:rsid w:val="00252A70"/>
    <w:rsid w:val="00252D84"/>
    <w:rsid w:val="0025311A"/>
    <w:rsid w:val="002532DC"/>
    <w:rsid w:val="002533CE"/>
    <w:rsid w:val="00253569"/>
    <w:rsid w:val="0025358F"/>
    <w:rsid w:val="00253B1D"/>
    <w:rsid w:val="00253DA7"/>
    <w:rsid w:val="002547E1"/>
    <w:rsid w:val="00254DCF"/>
    <w:rsid w:val="002552E5"/>
    <w:rsid w:val="0025534B"/>
    <w:rsid w:val="00255396"/>
    <w:rsid w:val="00255659"/>
    <w:rsid w:val="00255795"/>
    <w:rsid w:val="00255BB7"/>
    <w:rsid w:val="002563E8"/>
    <w:rsid w:val="002569C3"/>
    <w:rsid w:val="00257006"/>
    <w:rsid w:val="00257541"/>
    <w:rsid w:val="0025762C"/>
    <w:rsid w:val="00257A39"/>
    <w:rsid w:val="00257AC4"/>
    <w:rsid w:val="00257BBE"/>
    <w:rsid w:val="00257DC5"/>
    <w:rsid w:val="00260B56"/>
    <w:rsid w:val="00261C18"/>
    <w:rsid w:val="00261EEF"/>
    <w:rsid w:val="0026204E"/>
    <w:rsid w:val="00262A1A"/>
    <w:rsid w:val="00262A87"/>
    <w:rsid w:val="00262B5F"/>
    <w:rsid w:val="00262CE4"/>
    <w:rsid w:val="00262E66"/>
    <w:rsid w:val="00262F38"/>
    <w:rsid w:val="00263482"/>
    <w:rsid w:val="00263616"/>
    <w:rsid w:val="00263F50"/>
    <w:rsid w:val="002647B7"/>
    <w:rsid w:val="00264D26"/>
    <w:rsid w:val="00264DAA"/>
    <w:rsid w:val="00264FFF"/>
    <w:rsid w:val="00265090"/>
    <w:rsid w:val="0026511B"/>
    <w:rsid w:val="00265361"/>
    <w:rsid w:val="002658DD"/>
    <w:rsid w:val="00265C41"/>
    <w:rsid w:val="002665C1"/>
    <w:rsid w:val="00267642"/>
    <w:rsid w:val="0026776A"/>
    <w:rsid w:val="00267AEA"/>
    <w:rsid w:val="00267EEE"/>
    <w:rsid w:val="002700E6"/>
    <w:rsid w:val="00270597"/>
    <w:rsid w:val="00270B4D"/>
    <w:rsid w:val="00271A3A"/>
    <w:rsid w:val="002728BE"/>
    <w:rsid w:val="0027294B"/>
    <w:rsid w:val="002732A4"/>
    <w:rsid w:val="002733C2"/>
    <w:rsid w:val="00273589"/>
    <w:rsid w:val="00273EB4"/>
    <w:rsid w:val="00273F96"/>
    <w:rsid w:val="00274197"/>
    <w:rsid w:val="00274682"/>
    <w:rsid w:val="0027486E"/>
    <w:rsid w:val="00274D39"/>
    <w:rsid w:val="00275158"/>
    <w:rsid w:val="002751D2"/>
    <w:rsid w:val="0027533A"/>
    <w:rsid w:val="002758AA"/>
    <w:rsid w:val="002759C1"/>
    <w:rsid w:val="00275C5A"/>
    <w:rsid w:val="00275CFC"/>
    <w:rsid w:val="00275EBF"/>
    <w:rsid w:val="0027692A"/>
    <w:rsid w:val="00276AE5"/>
    <w:rsid w:val="00276BF9"/>
    <w:rsid w:val="00277035"/>
    <w:rsid w:val="002773A2"/>
    <w:rsid w:val="002776E0"/>
    <w:rsid w:val="002776FB"/>
    <w:rsid w:val="002802ED"/>
    <w:rsid w:val="002802F3"/>
    <w:rsid w:val="00280A55"/>
    <w:rsid w:val="00280D2F"/>
    <w:rsid w:val="00281010"/>
    <w:rsid w:val="00281014"/>
    <w:rsid w:val="00281170"/>
    <w:rsid w:val="00281BAB"/>
    <w:rsid w:val="00282C08"/>
    <w:rsid w:val="00282CE7"/>
    <w:rsid w:val="002833EB"/>
    <w:rsid w:val="00283A14"/>
    <w:rsid w:val="00283EFD"/>
    <w:rsid w:val="0028488A"/>
    <w:rsid w:val="00284B32"/>
    <w:rsid w:val="0028532A"/>
    <w:rsid w:val="002853B2"/>
    <w:rsid w:val="00285499"/>
    <w:rsid w:val="0028597B"/>
    <w:rsid w:val="00285BCE"/>
    <w:rsid w:val="002863FB"/>
    <w:rsid w:val="0028665D"/>
    <w:rsid w:val="00286CF6"/>
    <w:rsid w:val="0028703B"/>
    <w:rsid w:val="002876C2"/>
    <w:rsid w:val="00290536"/>
    <w:rsid w:val="00290D04"/>
    <w:rsid w:val="00291908"/>
    <w:rsid w:val="00291A1A"/>
    <w:rsid w:val="00291E5F"/>
    <w:rsid w:val="0029226E"/>
    <w:rsid w:val="00292665"/>
    <w:rsid w:val="002926EF"/>
    <w:rsid w:val="00292788"/>
    <w:rsid w:val="00292BB6"/>
    <w:rsid w:val="00292D4A"/>
    <w:rsid w:val="00294329"/>
    <w:rsid w:val="0029435B"/>
    <w:rsid w:val="00294E6C"/>
    <w:rsid w:val="002957E7"/>
    <w:rsid w:val="0029661D"/>
    <w:rsid w:val="00296A83"/>
    <w:rsid w:val="0029741B"/>
    <w:rsid w:val="00297A34"/>
    <w:rsid w:val="00297AA2"/>
    <w:rsid w:val="00297E83"/>
    <w:rsid w:val="002A0A08"/>
    <w:rsid w:val="002A104E"/>
    <w:rsid w:val="002A14AB"/>
    <w:rsid w:val="002A1800"/>
    <w:rsid w:val="002A1FDF"/>
    <w:rsid w:val="002A215D"/>
    <w:rsid w:val="002A2ADE"/>
    <w:rsid w:val="002A2D78"/>
    <w:rsid w:val="002A2F50"/>
    <w:rsid w:val="002A3087"/>
    <w:rsid w:val="002A3178"/>
    <w:rsid w:val="002A3A4F"/>
    <w:rsid w:val="002A4B33"/>
    <w:rsid w:val="002A4C05"/>
    <w:rsid w:val="002A54E8"/>
    <w:rsid w:val="002A5705"/>
    <w:rsid w:val="002A57C2"/>
    <w:rsid w:val="002A5982"/>
    <w:rsid w:val="002A5CF9"/>
    <w:rsid w:val="002A601C"/>
    <w:rsid w:val="002A6311"/>
    <w:rsid w:val="002A67E8"/>
    <w:rsid w:val="002A7111"/>
    <w:rsid w:val="002A72DA"/>
    <w:rsid w:val="002A7943"/>
    <w:rsid w:val="002A7C90"/>
    <w:rsid w:val="002A7CAA"/>
    <w:rsid w:val="002B01AE"/>
    <w:rsid w:val="002B05A1"/>
    <w:rsid w:val="002B09A4"/>
    <w:rsid w:val="002B0E13"/>
    <w:rsid w:val="002B127E"/>
    <w:rsid w:val="002B134C"/>
    <w:rsid w:val="002B18BB"/>
    <w:rsid w:val="002B1C19"/>
    <w:rsid w:val="002B1C1F"/>
    <w:rsid w:val="002B2156"/>
    <w:rsid w:val="002B27A0"/>
    <w:rsid w:val="002B27D0"/>
    <w:rsid w:val="002B3BD3"/>
    <w:rsid w:val="002B3CEC"/>
    <w:rsid w:val="002B432F"/>
    <w:rsid w:val="002B43D3"/>
    <w:rsid w:val="002B4814"/>
    <w:rsid w:val="002B4CD1"/>
    <w:rsid w:val="002B4FD2"/>
    <w:rsid w:val="002B53B0"/>
    <w:rsid w:val="002B5B60"/>
    <w:rsid w:val="002B62B3"/>
    <w:rsid w:val="002B65AA"/>
    <w:rsid w:val="002B6627"/>
    <w:rsid w:val="002B6754"/>
    <w:rsid w:val="002B6CCE"/>
    <w:rsid w:val="002B6EF3"/>
    <w:rsid w:val="002B6F56"/>
    <w:rsid w:val="002B7103"/>
    <w:rsid w:val="002B7277"/>
    <w:rsid w:val="002B7D7F"/>
    <w:rsid w:val="002C0A24"/>
    <w:rsid w:val="002C0C32"/>
    <w:rsid w:val="002C1117"/>
    <w:rsid w:val="002C1CA9"/>
    <w:rsid w:val="002C1D9F"/>
    <w:rsid w:val="002C1DB7"/>
    <w:rsid w:val="002C1EA3"/>
    <w:rsid w:val="002C208D"/>
    <w:rsid w:val="002C24EE"/>
    <w:rsid w:val="002C2510"/>
    <w:rsid w:val="002C2775"/>
    <w:rsid w:val="002C27C1"/>
    <w:rsid w:val="002C2F3B"/>
    <w:rsid w:val="002C36E3"/>
    <w:rsid w:val="002C383F"/>
    <w:rsid w:val="002C3B08"/>
    <w:rsid w:val="002C3F2C"/>
    <w:rsid w:val="002C5099"/>
    <w:rsid w:val="002C523D"/>
    <w:rsid w:val="002C52AE"/>
    <w:rsid w:val="002C5607"/>
    <w:rsid w:val="002C56AB"/>
    <w:rsid w:val="002C5889"/>
    <w:rsid w:val="002C59BE"/>
    <w:rsid w:val="002C64CD"/>
    <w:rsid w:val="002C6B38"/>
    <w:rsid w:val="002C6FB9"/>
    <w:rsid w:val="002C71CE"/>
    <w:rsid w:val="002C74C2"/>
    <w:rsid w:val="002C770B"/>
    <w:rsid w:val="002C77DF"/>
    <w:rsid w:val="002C7ED7"/>
    <w:rsid w:val="002D03B6"/>
    <w:rsid w:val="002D08F8"/>
    <w:rsid w:val="002D0AE8"/>
    <w:rsid w:val="002D162B"/>
    <w:rsid w:val="002D1CE4"/>
    <w:rsid w:val="002D1D86"/>
    <w:rsid w:val="002D2EEA"/>
    <w:rsid w:val="002D306D"/>
    <w:rsid w:val="002D365B"/>
    <w:rsid w:val="002D3776"/>
    <w:rsid w:val="002D3C11"/>
    <w:rsid w:val="002D44CE"/>
    <w:rsid w:val="002D4E40"/>
    <w:rsid w:val="002D4F3B"/>
    <w:rsid w:val="002D577C"/>
    <w:rsid w:val="002D6147"/>
    <w:rsid w:val="002D6835"/>
    <w:rsid w:val="002D6FE6"/>
    <w:rsid w:val="002D76F4"/>
    <w:rsid w:val="002D7832"/>
    <w:rsid w:val="002D7D16"/>
    <w:rsid w:val="002E00B8"/>
    <w:rsid w:val="002E0817"/>
    <w:rsid w:val="002E0EB8"/>
    <w:rsid w:val="002E1071"/>
    <w:rsid w:val="002E15B9"/>
    <w:rsid w:val="002E1E83"/>
    <w:rsid w:val="002E214D"/>
    <w:rsid w:val="002E2158"/>
    <w:rsid w:val="002E24F3"/>
    <w:rsid w:val="002E2F64"/>
    <w:rsid w:val="002E433E"/>
    <w:rsid w:val="002E4F02"/>
    <w:rsid w:val="002E5E28"/>
    <w:rsid w:val="002E6126"/>
    <w:rsid w:val="002E677F"/>
    <w:rsid w:val="002E6DA8"/>
    <w:rsid w:val="002E6E4B"/>
    <w:rsid w:val="002E7722"/>
    <w:rsid w:val="002E7835"/>
    <w:rsid w:val="002E7A11"/>
    <w:rsid w:val="002E7F8B"/>
    <w:rsid w:val="002F02D3"/>
    <w:rsid w:val="002F07BA"/>
    <w:rsid w:val="002F090E"/>
    <w:rsid w:val="002F0DA9"/>
    <w:rsid w:val="002F1014"/>
    <w:rsid w:val="002F1019"/>
    <w:rsid w:val="002F1188"/>
    <w:rsid w:val="002F1E3B"/>
    <w:rsid w:val="002F1E8D"/>
    <w:rsid w:val="002F28AD"/>
    <w:rsid w:val="002F416D"/>
    <w:rsid w:val="002F5083"/>
    <w:rsid w:val="002F50FD"/>
    <w:rsid w:val="002F5126"/>
    <w:rsid w:val="002F5912"/>
    <w:rsid w:val="002F59D7"/>
    <w:rsid w:val="002F5FE2"/>
    <w:rsid w:val="002F643C"/>
    <w:rsid w:val="002F645C"/>
    <w:rsid w:val="002F6580"/>
    <w:rsid w:val="002F6820"/>
    <w:rsid w:val="002F71C0"/>
    <w:rsid w:val="002F74F1"/>
    <w:rsid w:val="002F7580"/>
    <w:rsid w:val="002F7E37"/>
    <w:rsid w:val="00301017"/>
    <w:rsid w:val="0030155F"/>
    <w:rsid w:val="00302015"/>
    <w:rsid w:val="00302284"/>
    <w:rsid w:val="00302B2A"/>
    <w:rsid w:val="003030D1"/>
    <w:rsid w:val="00303B32"/>
    <w:rsid w:val="00303C27"/>
    <w:rsid w:val="00304087"/>
    <w:rsid w:val="0030469C"/>
    <w:rsid w:val="003047EA"/>
    <w:rsid w:val="00304A53"/>
    <w:rsid w:val="00304EFF"/>
    <w:rsid w:val="003053F0"/>
    <w:rsid w:val="00305433"/>
    <w:rsid w:val="003056EE"/>
    <w:rsid w:val="003057C5"/>
    <w:rsid w:val="0030587B"/>
    <w:rsid w:val="00305A1B"/>
    <w:rsid w:val="00305AB7"/>
    <w:rsid w:val="00305E82"/>
    <w:rsid w:val="00306A53"/>
    <w:rsid w:val="00306D98"/>
    <w:rsid w:val="003073C7"/>
    <w:rsid w:val="0030745D"/>
    <w:rsid w:val="0030786C"/>
    <w:rsid w:val="00307ACD"/>
    <w:rsid w:val="00307C15"/>
    <w:rsid w:val="0031031A"/>
    <w:rsid w:val="003103F8"/>
    <w:rsid w:val="00310981"/>
    <w:rsid w:val="0031194B"/>
    <w:rsid w:val="00311D9B"/>
    <w:rsid w:val="00311DCF"/>
    <w:rsid w:val="003120AA"/>
    <w:rsid w:val="003124D9"/>
    <w:rsid w:val="00312594"/>
    <w:rsid w:val="00312657"/>
    <w:rsid w:val="00313581"/>
    <w:rsid w:val="00313B46"/>
    <w:rsid w:val="00313C13"/>
    <w:rsid w:val="00314986"/>
    <w:rsid w:val="00315498"/>
    <w:rsid w:val="003159F5"/>
    <w:rsid w:val="00315A63"/>
    <w:rsid w:val="00316154"/>
    <w:rsid w:val="00316474"/>
    <w:rsid w:val="003169DA"/>
    <w:rsid w:val="00316D38"/>
    <w:rsid w:val="00316DB8"/>
    <w:rsid w:val="00320C5F"/>
    <w:rsid w:val="003212E1"/>
    <w:rsid w:val="003212F5"/>
    <w:rsid w:val="00321758"/>
    <w:rsid w:val="003217DA"/>
    <w:rsid w:val="00321B3E"/>
    <w:rsid w:val="00321C49"/>
    <w:rsid w:val="00322107"/>
    <w:rsid w:val="003222ED"/>
    <w:rsid w:val="00322355"/>
    <w:rsid w:val="00322453"/>
    <w:rsid w:val="00322846"/>
    <w:rsid w:val="00322882"/>
    <w:rsid w:val="00322988"/>
    <w:rsid w:val="003229A5"/>
    <w:rsid w:val="003229C0"/>
    <w:rsid w:val="003231FC"/>
    <w:rsid w:val="00323B83"/>
    <w:rsid w:val="00323E4F"/>
    <w:rsid w:val="00324ABC"/>
    <w:rsid w:val="00324BA7"/>
    <w:rsid w:val="00324C4B"/>
    <w:rsid w:val="00325B5D"/>
    <w:rsid w:val="00325C76"/>
    <w:rsid w:val="00326058"/>
    <w:rsid w:val="003262AF"/>
    <w:rsid w:val="00326DA7"/>
    <w:rsid w:val="003270E4"/>
    <w:rsid w:val="00327185"/>
    <w:rsid w:val="003274F6"/>
    <w:rsid w:val="00327608"/>
    <w:rsid w:val="00327899"/>
    <w:rsid w:val="00327F7A"/>
    <w:rsid w:val="0033007A"/>
    <w:rsid w:val="0033059A"/>
    <w:rsid w:val="003308C6"/>
    <w:rsid w:val="00330DAA"/>
    <w:rsid w:val="00330DDA"/>
    <w:rsid w:val="00330F5C"/>
    <w:rsid w:val="003321DD"/>
    <w:rsid w:val="00332492"/>
    <w:rsid w:val="00332AD9"/>
    <w:rsid w:val="00332D24"/>
    <w:rsid w:val="00333468"/>
    <w:rsid w:val="00333F3C"/>
    <w:rsid w:val="00334029"/>
    <w:rsid w:val="00334CF0"/>
    <w:rsid w:val="003358AA"/>
    <w:rsid w:val="00335A22"/>
    <w:rsid w:val="003363C8"/>
    <w:rsid w:val="0033641A"/>
    <w:rsid w:val="00336533"/>
    <w:rsid w:val="003366C9"/>
    <w:rsid w:val="00336829"/>
    <w:rsid w:val="00336A92"/>
    <w:rsid w:val="00336B92"/>
    <w:rsid w:val="00336DBF"/>
    <w:rsid w:val="003371B0"/>
    <w:rsid w:val="00337DCA"/>
    <w:rsid w:val="00340416"/>
    <w:rsid w:val="0034069C"/>
    <w:rsid w:val="00340DF1"/>
    <w:rsid w:val="003418B6"/>
    <w:rsid w:val="003424F3"/>
    <w:rsid w:val="00342674"/>
    <w:rsid w:val="00342B93"/>
    <w:rsid w:val="00343863"/>
    <w:rsid w:val="00343ED9"/>
    <w:rsid w:val="00344449"/>
    <w:rsid w:val="0034485B"/>
    <w:rsid w:val="00344B11"/>
    <w:rsid w:val="0034542B"/>
    <w:rsid w:val="0034585A"/>
    <w:rsid w:val="00345CD7"/>
    <w:rsid w:val="003463F5"/>
    <w:rsid w:val="003471C6"/>
    <w:rsid w:val="00347452"/>
    <w:rsid w:val="00347E8F"/>
    <w:rsid w:val="003500A9"/>
    <w:rsid w:val="00350173"/>
    <w:rsid w:val="003508F7"/>
    <w:rsid w:val="00350F52"/>
    <w:rsid w:val="00350FED"/>
    <w:rsid w:val="003517D2"/>
    <w:rsid w:val="003517F9"/>
    <w:rsid w:val="00351BA9"/>
    <w:rsid w:val="003538B8"/>
    <w:rsid w:val="00353AD2"/>
    <w:rsid w:val="00354436"/>
    <w:rsid w:val="0035451A"/>
    <w:rsid w:val="00354A54"/>
    <w:rsid w:val="00354A90"/>
    <w:rsid w:val="00354D0E"/>
    <w:rsid w:val="00354F64"/>
    <w:rsid w:val="0035563D"/>
    <w:rsid w:val="00355E07"/>
    <w:rsid w:val="00355EB5"/>
    <w:rsid w:val="0035620E"/>
    <w:rsid w:val="003566E1"/>
    <w:rsid w:val="00357094"/>
    <w:rsid w:val="003572CC"/>
    <w:rsid w:val="003575BE"/>
    <w:rsid w:val="00357646"/>
    <w:rsid w:val="003578FF"/>
    <w:rsid w:val="00357945"/>
    <w:rsid w:val="00357AAA"/>
    <w:rsid w:val="0036001A"/>
    <w:rsid w:val="00360345"/>
    <w:rsid w:val="00360A09"/>
    <w:rsid w:val="00361627"/>
    <w:rsid w:val="00361A05"/>
    <w:rsid w:val="00361D20"/>
    <w:rsid w:val="00361EE4"/>
    <w:rsid w:val="003624C4"/>
    <w:rsid w:val="00362E17"/>
    <w:rsid w:val="003631D7"/>
    <w:rsid w:val="003636A1"/>
    <w:rsid w:val="00363A3A"/>
    <w:rsid w:val="00363B00"/>
    <w:rsid w:val="00364130"/>
    <w:rsid w:val="003642E3"/>
    <w:rsid w:val="003644EE"/>
    <w:rsid w:val="003646EF"/>
    <w:rsid w:val="0036474A"/>
    <w:rsid w:val="00364A53"/>
    <w:rsid w:val="00364C1A"/>
    <w:rsid w:val="00364EE7"/>
    <w:rsid w:val="003654AC"/>
    <w:rsid w:val="00366B5B"/>
    <w:rsid w:val="003670B9"/>
    <w:rsid w:val="0036722F"/>
    <w:rsid w:val="00367CF5"/>
    <w:rsid w:val="00367F6D"/>
    <w:rsid w:val="00370B5A"/>
    <w:rsid w:val="003710CF"/>
    <w:rsid w:val="0037112A"/>
    <w:rsid w:val="00371757"/>
    <w:rsid w:val="00371FF7"/>
    <w:rsid w:val="00372E21"/>
    <w:rsid w:val="0037358A"/>
    <w:rsid w:val="003738A7"/>
    <w:rsid w:val="00374330"/>
    <w:rsid w:val="00374B97"/>
    <w:rsid w:val="003750F6"/>
    <w:rsid w:val="00375DEE"/>
    <w:rsid w:val="003760FC"/>
    <w:rsid w:val="00376941"/>
    <w:rsid w:val="00376E1B"/>
    <w:rsid w:val="003775AE"/>
    <w:rsid w:val="003776C9"/>
    <w:rsid w:val="003777B7"/>
    <w:rsid w:val="003778FB"/>
    <w:rsid w:val="00377A72"/>
    <w:rsid w:val="00377ACD"/>
    <w:rsid w:val="00377B92"/>
    <w:rsid w:val="00377C36"/>
    <w:rsid w:val="00377DD8"/>
    <w:rsid w:val="00380329"/>
    <w:rsid w:val="00380BE4"/>
    <w:rsid w:val="00381510"/>
    <w:rsid w:val="00381F60"/>
    <w:rsid w:val="0038365C"/>
    <w:rsid w:val="0038369B"/>
    <w:rsid w:val="00383B78"/>
    <w:rsid w:val="00383FB1"/>
    <w:rsid w:val="00384AD0"/>
    <w:rsid w:val="003851E6"/>
    <w:rsid w:val="00385A9D"/>
    <w:rsid w:val="0038620A"/>
    <w:rsid w:val="00386F0C"/>
    <w:rsid w:val="00387096"/>
    <w:rsid w:val="00387121"/>
    <w:rsid w:val="0038720B"/>
    <w:rsid w:val="00387420"/>
    <w:rsid w:val="00387B9D"/>
    <w:rsid w:val="00387BE3"/>
    <w:rsid w:val="003902B1"/>
    <w:rsid w:val="00390663"/>
    <w:rsid w:val="0039089F"/>
    <w:rsid w:val="003908E8"/>
    <w:rsid w:val="00390A0B"/>
    <w:rsid w:val="00390A4F"/>
    <w:rsid w:val="00390DFE"/>
    <w:rsid w:val="00390FEC"/>
    <w:rsid w:val="00391288"/>
    <w:rsid w:val="0039179C"/>
    <w:rsid w:val="00391D2A"/>
    <w:rsid w:val="0039263E"/>
    <w:rsid w:val="00393015"/>
    <w:rsid w:val="003935B9"/>
    <w:rsid w:val="00393723"/>
    <w:rsid w:val="0039439C"/>
    <w:rsid w:val="003948BD"/>
    <w:rsid w:val="003955B0"/>
    <w:rsid w:val="00395F14"/>
    <w:rsid w:val="00396208"/>
    <w:rsid w:val="00396896"/>
    <w:rsid w:val="00396A01"/>
    <w:rsid w:val="00396E40"/>
    <w:rsid w:val="00396FD0"/>
    <w:rsid w:val="0039728D"/>
    <w:rsid w:val="003A0421"/>
    <w:rsid w:val="003A0A41"/>
    <w:rsid w:val="003A0D9B"/>
    <w:rsid w:val="003A0E0B"/>
    <w:rsid w:val="003A0E53"/>
    <w:rsid w:val="003A1A7A"/>
    <w:rsid w:val="003A2392"/>
    <w:rsid w:val="003A2831"/>
    <w:rsid w:val="003A2A92"/>
    <w:rsid w:val="003A325A"/>
    <w:rsid w:val="003A3347"/>
    <w:rsid w:val="003A3698"/>
    <w:rsid w:val="003A3826"/>
    <w:rsid w:val="003A3CB6"/>
    <w:rsid w:val="003A3ED1"/>
    <w:rsid w:val="003A4257"/>
    <w:rsid w:val="003A44DB"/>
    <w:rsid w:val="003A4C14"/>
    <w:rsid w:val="003A4E8D"/>
    <w:rsid w:val="003A5809"/>
    <w:rsid w:val="003A6462"/>
    <w:rsid w:val="003A66E9"/>
    <w:rsid w:val="003A682C"/>
    <w:rsid w:val="003A6C29"/>
    <w:rsid w:val="003A6E99"/>
    <w:rsid w:val="003A7317"/>
    <w:rsid w:val="003A7B56"/>
    <w:rsid w:val="003A7C6E"/>
    <w:rsid w:val="003B1114"/>
    <w:rsid w:val="003B1517"/>
    <w:rsid w:val="003B1947"/>
    <w:rsid w:val="003B362F"/>
    <w:rsid w:val="003B37A2"/>
    <w:rsid w:val="003B3971"/>
    <w:rsid w:val="003B3CB2"/>
    <w:rsid w:val="003B3D22"/>
    <w:rsid w:val="003B3D9E"/>
    <w:rsid w:val="003B3E47"/>
    <w:rsid w:val="003B3F79"/>
    <w:rsid w:val="003B5184"/>
    <w:rsid w:val="003B52BA"/>
    <w:rsid w:val="003B55D1"/>
    <w:rsid w:val="003B56C8"/>
    <w:rsid w:val="003B5B61"/>
    <w:rsid w:val="003B5CD1"/>
    <w:rsid w:val="003B5E51"/>
    <w:rsid w:val="003B5F4D"/>
    <w:rsid w:val="003B60B6"/>
    <w:rsid w:val="003B6A6C"/>
    <w:rsid w:val="003B76BC"/>
    <w:rsid w:val="003B780E"/>
    <w:rsid w:val="003B7B37"/>
    <w:rsid w:val="003B7C85"/>
    <w:rsid w:val="003B7DAC"/>
    <w:rsid w:val="003C03F2"/>
    <w:rsid w:val="003C04C7"/>
    <w:rsid w:val="003C1189"/>
    <w:rsid w:val="003C1654"/>
    <w:rsid w:val="003C17E9"/>
    <w:rsid w:val="003C185B"/>
    <w:rsid w:val="003C1880"/>
    <w:rsid w:val="003C1CAB"/>
    <w:rsid w:val="003C229F"/>
    <w:rsid w:val="003C39FF"/>
    <w:rsid w:val="003C4627"/>
    <w:rsid w:val="003C487D"/>
    <w:rsid w:val="003C5542"/>
    <w:rsid w:val="003C5B4B"/>
    <w:rsid w:val="003C5D91"/>
    <w:rsid w:val="003C6210"/>
    <w:rsid w:val="003C64D3"/>
    <w:rsid w:val="003C6BD2"/>
    <w:rsid w:val="003C6CEB"/>
    <w:rsid w:val="003C6FDF"/>
    <w:rsid w:val="003C72DE"/>
    <w:rsid w:val="003C77C0"/>
    <w:rsid w:val="003C7C15"/>
    <w:rsid w:val="003C7D19"/>
    <w:rsid w:val="003C7D2F"/>
    <w:rsid w:val="003D0073"/>
    <w:rsid w:val="003D01C5"/>
    <w:rsid w:val="003D0654"/>
    <w:rsid w:val="003D0C5A"/>
    <w:rsid w:val="003D0C72"/>
    <w:rsid w:val="003D1828"/>
    <w:rsid w:val="003D1DE4"/>
    <w:rsid w:val="003D1E9A"/>
    <w:rsid w:val="003D2422"/>
    <w:rsid w:val="003D2796"/>
    <w:rsid w:val="003D3809"/>
    <w:rsid w:val="003D39A1"/>
    <w:rsid w:val="003D3FBF"/>
    <w:rsid w:val="003D401D"/>
    <w:rsid w:val="003D47D7"/>
    <w:rsid w:val="003D4A30"/>
    <w:rsid w:val="003D4A7C"/>
    <w:rsid w:val="003D4F6B"/>
    <w:rsid w:val="003D5D7A"/>
    <w:rsid w:val="003D5F0D"/>
    <w:rsid w:val="003D67E5"/>
    <w:rsid w:val="003D7452"/>
    <w:rsid w:val="003D79BB"/>
    <w:rsid w:val="003D7C98"/>
    <w:rsid w:val="003D7D9D"/>
    <w:rsid w:val="003D7DFA"/>
    <w:rsid w:val="003E0543"/>
    <w:rsid w:val="003E0CC5"/>
    <w:rsid w:val="003E1779"/>
    <w:rsid w:val="003E1951"/>
    <w:rsid w:val="003E22B4"/>
    <w:rsid w:val="003E244A"/>
    <w:rsid w:val="003E2A85"/>
    <w:rsid w:val="003E2F9B"/>
    <w:rsid w:val="003E3A49"/>
    <w:rsid w:val="003E404F"/>
    <w:rsid w:val="003E4457"/>
    <w:rsid w:val="003E4A43"/>
    <w:rsid w:val="003E5294"/>
    <w:rsid w:val="003E53A9"/>
    <w:rsid w:val="003E5603"/>
    <w:rsid w:val="003E578B"/>
    <w:rsid w:val="003E5CCA"/>
    <w:rsid w:val="003E6120"/>
    <w:rsid w:val="003E6851"/>
    <w:rsid w:val="003E68D0"/>
    <w:rsid w:val="003E749E"/>
    <w:rsid w:val="003E7600"/>
    <w:rsid w:val="003E769B"/>
    <w:rsid w:val="003E7A5B"/>
    <w:rsid w:val="003E7BF8"/>
    <w:rsid w:val="003E7C13"/>
    <w:rsid w:val="003E7DB1"/>
    <w:rsid w:val="003E7E56"/>
    <w:rsid w:val="003F04AA"/>
    <w:rsid w:val="003F0929"/>
    <w:rsid w:val="003F0E6E"/>
    <w:rsid w:val="003F271E"/>
    <w:rsid w:val="003F2C62"/>
    <w:rsid w:val="003F3200"/>
    <w:rsid w:val="003F34AD"/>
    <w:rsid w:val="003F3AD2"/>
    <w:rsid w:val="003F3F3A"/>
    <w:rsid w:val="003F4156"/>
    <w:rsid w:val="003F4624"/>
    <w:rsid w:val="003F49BE"/>
    <w:rsid w:val="003F4CCD"/>
    <w:rsid w:val="003F4FFC"/>
    <w:rsid w:val="003F50D8"/>
    <w:rsid w:val="003F51F5"/>
    <w:rsid w:val="003F53A8"/>
    <w:rsid w:val="003F5A0C"/>
    <w:rsid w:val="003F5ADF"/>
    <w:rsid w:val="003F5D6E"/>
    <w:rsid w:val="003F60E8"/>
    <w:rsid w:val="003F62C4"/>
    <w:rsid w:val="003F64A3"/>
    <w:rsid w:val="003F6DC8"/>
    <w:rsid w:val="003F6FD1"/>
    <w:rsid w:val="003F74C8"/>
    <w:rsid w:val="003F7A01"/>
    <w:rsid w:val="00400074"/>
    <w:rsid w:val="004002A3"/>
    <w:rsid w:val="0040054E"/>
    <w:rsid w:val="004006D8"/>
    <w:rsid w:val="00400B29"/>
    <w:rsid w:val="004011C5"/>
    <w:rsid w:val="00401B35"/>
    <w:rsid w:val="0040220F"/>
    <w:rsid w:val="004025C9"/>
    <w:rsid w:val="00402812"/>
    <w:rsid w:val="00403305"/>
    <w:rsid w:val="0040360F"/>
    <w:rsid w:val="00403A1A"/>
    <w:rsid w:val="0040431C"/>
    <w:rsid w:val="00404705"/>
    <w:rsid w:val="00404985"/>
    <w:rsid w:val="0040504B"/>
    <w:rsid w:val="0040517F"/>
    <w:rsid w:val="0040577E"/>
    <w:rsid w:val="004059F4"/>
    <w:rsid w:val="004061A5"/>
    <w:rsid w:val="004066D4"/>
    <w:rsid w:val="00406C1A"/>
    <w:rsid w:val="00407263"/>
    <w:rsid w:val="00407FE5"/>
    <w:rsid w:val="0041010C"/>
    <w:rsid w:val="004101B0"/>
    <w:rsid w:val="00410326"/>
    <w:rsid w:val="00410708"/>
    <w:rsid w:val="00410EC7"/>
    <w:rsid w:val="00410EE5"/>
    <w:rsid w:val="00410EE6"/>
    <w:rsid w:val="00411B39"/>
    <w:rsid w:val="00411EB7"/>
    <w:rsid w:val="0041204B"/>
    <w:rsid w:val="004127A7"/>
    <w:rsid w:val="004139FE"/>
    <w:rsid w:val="00413A1E"/>
    <w:rsid w:val="004140B1"/>
    <w:rsid w:val="0041420D"/>
    <w:rsid w:val="00414476"/>
    <w:rsid w:val="004148DE"/>
    <w:rsid w:val="004149AB"/>
    <w:rsid w:val="00414C2E"/>
    <w:rsid w:val="004151CF"/>
    <w:rsid w:val="004156F0"/>
    <w:rsid w:val="0041611B"/>
    <w:rsid w:val="00416364"/>
    <w:rsid w:val="00416AED"/>
    <w:rsid w:val="00416B55"/>
    <w:rsid w:val="00417211"/>
    <w:rsid w:val="00417267"/>
    <w:rsid w:val="0041763B"/>
    <w:rsid w:val="0041769E"/>
    <w:rsid w:val="00417B40"/>
    <w:rsid w:val="00417B69"/>
    <w:rsid w:val="00417C07"/>
    <w:rsid w:val="00417C7C"/>
    <w:rsid w:val="0042047F"/>
    <w:rsid w:val="00420AA6"/>
    <w:rsid w:val="00420B9F"/>
    <w:rsid w:val="0042192C"/>
    <w:rsid w:val="00422260"/>
    <w:rsid w:val="004223B0"/>
    <w:rsid w:val="0042292A"/>
    <w:rsid w:val="004229C8"/>
    <w:rsid w:val="004234FA"/>
    <w:rsid w:val="00423CA8"/>
    <w:rsid w:val="0042413F"/>
    <w:rsid w:val="00424207"/>
    <w:rsid w:val="0042436E"/>
    <w:rsid w:val="004243B3"/>
    <w:rsid w:val="00424F79"/>
    <w:rsid w:val="004252F3"/>
    <w:rsid w:val="0042667C"/>
    <w:rsid w:val="00427ECC"/>
    <w:rsid w:val="00430571"/>
    <w:rsid w:val="00430837"/>
    <w:rsid w:val="00430E3C"/>
    <w:rsid w:val="004313E7"/>
    <w:rsid w:val="004319F8"/>
    <w:rsid w:val="00431BAD"/>
    <w:rsid w:val="00431E55"/>
    <w:rsid w:val="004321F6"/>
    <w:rsid w:val="00432832"/>
    <w:rsid w:val="00433044"/>
    <w:rsid w:val="00433095"/>
    <w:rsid w:val="00433A09"/>
    <w:rsid w:val="00433A7D"/>
    <w:rsid w:val="00433DC7"/>
    <w:rsid w:val="00434088"/>
    <w:rsid w:val="00434986"/>
    <w:rsid w:val="00434BBA"/>
    <w:rsid w:val="00434D7D"/>
    <w:rsid w:val="00435717"/>
    <w:rsid w:val="00436691"/>
    <w:rsid w:val="004366AE"/>
    <w:rsid w:val="00436C4C"/>
    <w:rsid w:val="004375B9"/>
    <w:rsid w:val="004375EF"/>
    <w:rsid w:val="004375F7"/>
    <w:rsid w:val="00437655"/>
    <w:rsid w:val="00437D9B"/>
    <w:rsid w:val="004404C2"/>
    <w:rsid w:val="00440619"/>
    <w:rsid w:val="00440AE7"/>
    <w:rsid w:val="0044125E"/>
    <w:rsid w:val="00441682"/>
    <w:rsid w:val="00442697"/>
    <w:rsid w:val="004428D0"/>
    <w:rsid w:val="00442E11"/>
    <w:rsid w:val="0044302E"/>
    <w:rsid w:val="00443210"/>
    <w:rsid w:val="0044327C"/>
    <w:rsid w:val="00443F75"/>
    <w:rsid w:val="00444185"/>
    <w:rsid w:val="004441A9"/>
    <w:rsid w:val="004441B4"/>
    <w:rsid w:val="004443A7"/>
    <w:rsid w:val="004443AE"/>
    <w:rsid w:val="0044442C"/>
    <w:rsid w:val="004445D8"/>
    <w:rsid w:val="0044463B"/>
    <w:rsid w:val="0044471C"/>
    <w:rsid w:val="0044560C"/>
    <w:rsid w:val="00445941"/>
    <w:rsid w:val="004464EB"/>
    <w:rsid w:val="00446897"/>
    <w:rsid w:val="00446F3D"/>
    <w:rsid w:val="00447399"/>
    <w:rsid w:val="004475E8"/>
    <w:rsid w:val="00447C7B"/>
    <w:rsid w:val="00447CCE"/>
    <w:rsid w:val="00447D26"/>
    <w:rsid w:val="00447DFC"/>
    <w:rsid w:val="00450F7B"/>
    <w:rsid w:val="004518AD"/>
    <w:rsid w:val="0045196B"/>
    <w:rsid w:val="00452955"/>
    <w:rsid w:val="004532E9"/>
    <w:rsid w:val="00453FF8"/>
    <w:rsid w:val="00454176"/>
    <w:rsid w:val="004543EA"/>
    <w:rsid w:val="00454699"/>
    <w:rsid w:val="004547FD"/>
    <w:rsid w:val="00454B37"/>
    <w:rsid w:val="00454BEC"/>
    <w:rsid w:val="0045544F"/>
    <w:rsid w:val="004557BB"/>
    <w:rsid w:val="00455D45"/>
    <w:rsid w:val="00456016"/>
    <w:rsid w:val="00456344"/>
    <w:rsid w:val="00456C43"/>
    <w:rsid w:val="0045753A"/>
    <w:rsid w:val="00457EAE"/>
    <w:rsid w:val="0046039D"/>
    <w:rsid w:val="00460D92"/>
    <w:rsid w:val="0046109A"/>
    <w:rsid w:val="0046166F"/>
    <w:rsid w:val="004616BA"/>
    <w:rsid w:val="00461F23"/>
    <w:rsid w:val="0046286B"/>
    <w:rsid w:val="00462ED2"/>
    <w:rsid w:val="0046333D"/>
    <w:rsid w:val="00463674"/>
    <w:rsid w:val="004638BB"/>
    <w:rsid w:val="00463D76"/>
    <w:rsid w:val="00464078"/>
    <w:rsid w:val="00464084"/>
    <w:rsid w:val="004641B4"/>
    <w:rsid w:val="004641D1"/>
    <w:rsid w:val="00464595"/>
    <w:rsid w:val="004646A0"/>
    <w:rsid w:val="0046550A"/>
    <w:rsid w:val="0046588A"/>
    <w:rsid w:val="004658B5"/>
    <w:rsid w:val="0046591A"/>
    <w:rsid w:val="0046607B"/>
    <w:rsid w:val="004663C2"/>
    <w:rsid w:val="004666DE"/>
    <w:rsid w:val="00466887"/>
    <w:rsid w:val="0046768C"/>
    <w:rsid w:val="0046776E"/>
    <w:rsid w:val="00467892"/>
    <w:rsid w:val="00467A36"/>
    <w:rsid w:val="004704FB"/>
    <w:rsid w:val="00471053"/>
    <w:rsid w:val="00471BDB"/>
    <w:rsid w:val="00471E8A"/>
    <w:rsid w:val="00471EA5"/>
    <w:rsid w:val="00472594"/>
    <w:rsid w:val="00472A67"/>
    <w:rsid w:val="00472A79"/>
    <w:rsid w:val="004731D7"/>
    <w:rsid w:val="00473492"/>
    <w:rsid w:val="00473554"/>
    <w:rsid w:val="00473F19"/>
    <w:rsid w:val="004744CE"/>
    <w:rsid w:val="00474D9C"/>
    <w:rsid w:val="00475629"/>
    <w:rsid w:val="00475C47"/>
    <w:rsid w:val="00475E22"/>
    <w:rsid w:val="00476078"/>
    <w:rsid w:val="0047607C"/>
    <w:rsid w:val="004763CA"/>
    <w:rsid w:val="0047671D"/>
    <w:rsid w:val="00476C0E"/>
    <w:rsid w:val="00476F8C"/>
    <w:rsid w:val="004772B9"/>
    <w:rsid w:val="004774FC"/>
    <w:rsid w:val="0047755F"/>
    <w:rsid w:val="00477F12"/>
    <w:rsid w:val="004807CE"/>
    <w:rsid w:val="0048088E"/>
    <w:rsid w:val="00480920"/>
    <w:rsid w:val="00480F2B"/>
    <w:rsid w:val="00480FB2"/>
    <w:rsid w:val="00482056"/>
    <w:rsid w:val="004820BE"/>
    <w:rsid w:val="004825AC"/>
    <w:rsid w:val="00482720"/>
    <w:rsid w:val="004829B8"/>
    <w:rsid w:val="00482E26"/>
    <w:rsid w:val="004831BE"/>
    <w:rsid w:val="004835D9"/>
    <w:rsid w:val="004835E7"/>
    <w:rsid w:val="00484206"/>
    <w:rsid w:val="00484E1B"/>
    <w:rsid w:val="004858EA"/>
    <w:rsid w:val="004859E1"/>
    <w:rsid w:val="00485CE7"/>
    <w:rsid w:val="00485CEE"/>
    <w:rsid w:val="0048639F"/>
    <w:rsid w:val="004866AA"/>
    <w:rsid w:val="004867E2"/>
    <w:rsid w:val="00486F60"/>
    <w:rsid w:val="0048741E"/>
    <w:rsid w:val="00487A98"/>
    <w:rsid w:val="00487B33"/>
    <w:rsid w:val="0049055C"/>
    <w:rsid w:val="00490598"/>
    <w:rsid w:val="00490B17"/>
    <w:rsid w:val="00491134"/>
    <w:rsid w:val="00491B3A"/>
    <w:rsid w:val="00491F80"/>
    <w:rsid w:val="0049248C"/>
    <w:rsid w:val="00492CFD"/>
    <w:rsid w:val="00492E69"/>
    <w:rsid w:val="00493036"/>
    <w:rsid w:val="00493129"/>
    <w:rsid w:val="00493CD9"/>
    <w:rsid w:val="00493F49"/>
    <w:rsid w:val="00493FD1"/>
    <w:rsid w:val="00494028"/>
    <w:rsid w:val="00494207"/>
    <w:rsid w:val="004948F5"/>
    <w:rsid w:val="004949B9"/>
    <w:rsid w:val="00494B6A"/>
    <w:rsid w:val="00494DD5"/>
    <w:rsid w:val="00495023"/>
    <w:rsid w:val="00495D3A"/>
    <w:rsid w:val="004962D2"/>
    <w:rsid w:val="004963DD"/>
    <w:rsid w:val="004964D7"/>
    <w:rsid w:val="004967A8"/>
    <w:rsid w:val="004976DA"/>
    <w:rsid w:val="00497A73"/>
    <w:rsid w:val="00497E01"/>
    <w:rsid w:val="00497E22"/>
    <w:rsid w:val="004A0CC7"/>
    <w:rsid w:val="004A0CDC"/>
    <w:rsid w:val="004A0D07"/>
    <w:rsid w:val="004A0DA1"/>
    <w:rsid w:val="004A1348"/>
    <w:rsid w:val="004A13D6"/>
    <w:rsid w:val="004A1790"/>
    <w:rsid w:val="004A196D"/>
    <w:rsid w:val="004A1C23"/>
    <w:rsid w:val="004A2878"/>
    <w:rsid w:val="004A2DED"/>
    <w:rsid w:val="004A2E50"/>
    <w:rsid w:val="004A380D"/>
    <w:rsid w:val="004A3F02"/>
    <w:rsid w:val="004A4023"/>
    <w:rsid w:val="004A52E9"/>
    <w:rsid w:val="004A5B9B"/>
    <w:rsid w:val="004A5F3F"/>
    <w:rsid w:val="004A6040"/>
    <w:rsid w:val="004A612D"/>
    <w:rsid w:val="004A6597"/>
    <w:rsid w:val="004A6B99"/>
    <w:rsid w:val="004A77D3"/>
    <w:rsid w:val="004A7848"/>
    <w:rsid w:val="004A793B"/>
    <w:rsid w:val="004A7944"/>
    <w:rsid w:val="004B0343"/>
    <w:rsid w:val="004B169A"/>
    <w:rsid w:val="004B188D"/>
    <w:rsid w:val="004B1CB4"/>
    <w:rsid w:val="004B2ABB"/>
    <w:rsid w:val="004B2BD6"/>
    <w:rsid w:val="004B2F18"/>
    <w:rsid w:val="004B346F"/>
    <w:rsid w:val="004B3DB4"/>
    <w:rsid w:val="004B3DDB"/>
    <w:rsid w:val="004B4117"/>
    <w:rsid w:val="004B44FD"/>
    <w:rsid w:val="004B4C4A"/>
    <w:rsid w:val="004B5921"/>
    <w:rsid w:val="004B5CFC"/>
    <w:rsid w:val="004B622F"/>
    <w:rsid w:val="004B6F79"/>
    <w:rsid w:val="004B72ED"/>
    <w:rsid w:val="004B774D"/>
    <w:rsid w:val="004B7973"/>
    <w:rsid w:val="004B79AC"/>
    <w:rsid w:val="004B7EA3"/>
    <w:rsid w:val="004C0B9A"/>
    <w:rsid w:val="004C0D46"/>
    <w:rsid w:val="004C129C"/>
    <w:rsid w:val="004C162C"/>
    <w:rsid w:val="004C1816"/>
    <w:rsid w:val="004C1829"/>
    <w:rsid w:val="004C21AC"/>
    <w:rsid w:val="004C22A4"/>
    <w:rsid w:val="004C2AC2"/>
    <w:rsid w:val="004C38E7"/>
    <w:rsid w:val="004C4011"/>
    <w:rsid w:val="004C429B"/>
    <w:rsid w:val="004C4427"/>
    <w:rsid w:val="004C4AED"/>
    <w:rsid w:val="004C4DE5"/>
    <w:rsid w:val="004C4E8F"/>
    <w:rsid w:val="004C52CB"/>
    <w:rsid w:val="004C5565"/>
    <w:rsid w:val="004C5E66"/>
    <w:rsid w:val="004C5F92"/>
    <w:rsid w:val="004C6076"/>
    <w:rsid w:val="004C6938"/>
    <w:rsid w:val="004C6EBD"/>
    <w:rsid w:val="004C705C"/>
    <w:rsid w:val="004C7224"/>
    <w:rsid w:val="004C7359"/>
    <w:rsid w:val="004C7E35"/>
    <w:rsid w:val="004D03D8"/>
    <w:rsid w:val="004D064E"/>
    <w:rsid w:val="004D0AFA"/>
    <w:rsid w:val="004D0BA1"/>
    <w:rsid w:val="004D0D80"/>
    <w:rsid w:val="004D0F19"/>
    <w:rsid w:val="004D1372"/>
    <w:rsid w:val="004D1786"/>
    <w:rsid w:val="004D1CE6"/>
    <w:rsid w:val="004D238C"/>
    <w:rsid w:val="004D29BA"/>
    <w:rsid w:val="004D2C2D"/>
    <w:rsid w:val="004D2F01"/>
    <w:rsid w:val="004D366F"/>
    <w:rsid w:val="004D3D80"/>
    <w:rsid w:val="004D408B"/>
    <w:rsid w:val="004D40B1"/>
    <w:rsid w:val="004D434C"/>
    <w:rsid w:val="004D44DB"/>
    <w:rsid w:val="004D46F3"/>
    <w:rsid w:val="004D4756"/>
    <w:rsid w:val="004D4875"/>
    <w:rsid w:val="004D487B"/>
    <w:rsid w:val="004D4A06"/>
    <w:rsid w:val="004D4E30"/>
    <w:rsid w:val="004D4FE1"/>
    <w:rsid w:val="004D51DB"/>
    <w:rsid w:val="004D52DD"/>
    <w:rsid w:val="004D5629"/>
    <w:rsid w:val="004D5803"/>
    <w:rsid w:val="004D5822"/>
    <w:rsid w:val="004D69B5"/>
    <w:rsid w:val="004D6CA1"/>
    <w:rsid w:val="004D7227"/>
    <w:rsid w:val="004D72FE"/>
    <w:rsid w:val="004D7B5E"/>
    <w:rsid w:val="004E0DEE"/>
    <w:rsid w:val="004E0E7F"/>
    <w:rsid w:val="004E0EB8"/>
    <w:rsid w:val="004E18E9"/>
    <w:rsid w:val="004E1C78"/>
    <w:rsid w:val="004E1F21"/>
    <w:rsid w:val="004E240A"/>
    <w:rsid w:val="004E2ADC"/>
    <w:rsid w:val="004E2DE3"/>
    <w:rsid w:val="004E3A29"/>
    <w:rsid w:val="004E401B"/>
    <w:rsid w:val="004E42D0"/>
    <w:rsid w:val="004E43B2"/>
    <w:rsid w:val="004E4E89"/>
    <w:rsid w:val="004E4F0E"/>
    <w:rsid w:val="004E57A4"/>
    <w:rsid w:val="004E5F38"/>
    <w:rsid w:val="004E6C0A"/>
    <w:rsid w:val="004E71EA"/>
    <w:rsid w:val="004E7777"/>
    <w:rsid w:val="004E7A8C"/>
    <w:rsid w:val="004F0048"/>
    <w:rsid w:val="004F1519"/>
    <w:rsid w:val="004F1D02"/>
    <w:rsid w:val="004F255E"/>
    <w:rsid w:val="004F2679"/>
    <w:rsid w:val="004F273B"/>
    <w:rsid w:val="004F2D93"/>
    <w:rsid w:val="004F2F21"/>
    <w:rsid w:val="004F360F"/>
    <w:rsid w:val="004F38BD"/>
    <w:rsid w:val="004F3DBD"/>
    <w:rsid w:val="004F3DE5"/>
    <w:rsid w:val="004F46F0"/>
    <w:rsid w:val="004F4802"/>
    <w:rsid w:val="004F4866"/>
    <w:rsid w:val="004F4927"/>
    <w:rsid w:val="004F4A2B"/>
    <w:rsid w:val="004F6282"/>
    <w:rsid w:val="004F6913"/>
    <w:rsid w:val="004F7865"/>
    <w:rsid w:val="004F7D89"/>
    <w:rsid w:val="005008C9"/>
    <w:rsid w:val="005011A6"/>
    <w:rsid w:val="005011C1"/>
    <w:rsid w:val="0050174E"/>
    <w:rsid w:val="005017BB"/>
    <w:rsid w:val="00501854"/>
    <w:rsid w:val="00501BC2"/>
    <w:rsid w:val="00501BE1"/>
    <w:rsid w:val="00501C63"/>
    <w:rsid w:val="0050216A"/>
    <w:rsid w:val="0050219B"/>
    <w:rsid w:val="005025EF"/>
    <w:rsid w:val="00502FA6"/>
    <w:rsid w:val="005031B1"/>
    <w:rsid w:val="00503B89"/>
    <w:rsid w:val="00503C22"/>
    <w:rsid w:val="00503C58"/>
    <w:rsid w:val="00503F17"/>
    <w:rsid w:val="00503F3A"/>
    <w:rsid w:val="005043BA"/>
    <w:rsid w:val="005056B2"/>
    <w:rsid w:val="00506928"/>
    <w:rsid w:val="005073AC"/>
    <w:rsid w:val="005077EF"/>
    <w:rsid w:val="00507FD5"/>
    <w:rsid w:val="0051032A"/>
    <w:rsid w:val="0051035A"/>
    <w:rsid w:val="0051077C"/>
    <w:rsid w:val="00511AD5"/>
    <w:rsid w:val="00511D28"/>
    <w:rsid w:val="00511DC7"/>
    <w:rsid w:val="005120A1"/>
    <w:rsid w:val="0051241E"/>
    <w:rsid w:val="0051259F"/>
    <w:rsid w:val="00512664"/>
    <w:rsid w:val="0051298B"/>
    <w:rsid w:val="00512C92"/>
    <w:rsid w:val="0051319F"/>
    <w:rsid w:val="00513304"/>
    <w:rsid w:val="00513968"/>
    <w:rsid w:val="005142C5"/>
    <w:rsid w:val="0051441C"/>
    <w:rsid w:val="0051501B"/>
    <w:rsid w:val="005150CC"/>
    <w:rsid w:val="005152B5"/>
    <w:rsid w:val="00515886"/>
    <w:rsid w:val="00515D18"/>
    <w:rsid w:val="0051659F"/>
    <w:rsid w:val="005167A8"/>
    <w:rsid w:val="0051735C"/>
    <w:rsid w:val="005175C1"/>
    <w:rsid w:val="00517C91"/>
    <w:rsid w:val="00520314"/>
    <w:rsid w:val="005207FC"/>
    <w:rsid w:val="005208A0"/>
    <w:rsid w:val="00520CE8"/>
    <w:rsid w:val="00520F4B"/>
    <w:rsid w:val="00520FE9"/>
    <w:rsid w:val="0052123C"/>
    <w:rsid w:val="00521319"/>
    <w:rsid w:val="00521721"/>
    <w:rsid w:val="005222D1"/>
    <w:rsid w:val="00522764"/>
    <w:rsid w:val="00522BC8"/>
    <w:rsid w:val="005231E7"/>
    <w:rsid w:val="005232A6"/>
    <w:rsid w:val="00523529"/>
    <w:rsid w:val="00523669"/>
    <w:rsid w:val="00523C28"/>
    <w:rsid w:val="00524CB1"/>
    <w:rsid w:val="005254DB"/>
    <w:rsid w:val="0052576C"/>
    <w:rsid w:val="0052635E"/>
    <w:rsid w:val="005269E5"/>
    <w:rsid w:val="00527575"/>
    <w:rsid w:val="00527CB5"/>
    <w:rsid w:val="00527E5F"/>
    <w:rsid w:val="0053035A"/>
    <w:rsid w:val="0053176B"/>
    <w:rsid w:val="00531A68"/>
    <w:rsid w:val="00531C53"/>
    <w:rsid w:val="00531FEE"/>
    <w:rsid w:val="005326CE"/>
    <w:rsid w:val="00533239"/>
    <w:rsid w:val="0053380A"/>
    <w:rsid w:val="005338EE"/>
    <w:rsid w:val="005341B3"/>
    <w:rsid w:val="00535022"/>
    <w:rsid w:val="00535CA6"/>
    <w:rsid w:val="00535F13"/>
    <w:rsid w:val="00536895"/>
    <w:rsid w:val="00536F42"/>
    <w:rsid w:val="00537182"/>
    <w:rsid w:val="00537D23"/>
    <w:rsid w:val="00540372"/>
    <w:rsid w:val="005404D9"/>
    <w:rsid w:val="00540993"/>
    <w:rsid w:val="00540AE1"/>
    <w:rsid w:val="00540C2F"/>
    <w:rsid w:val="00540D23"/>
    <w:rsid w:val="0054139A"/>
    <w:rsid w:val="005413F2"/>
    <w:rsid w:val="00541EDD"/>
    <w:rsid w:val="00542743"/>
    <w:rsid w:val="00542C2D"/>
    <w:rsid w:val="005434CE"/>
    <w:rsid w:val="00544860"/>
    <w:rsid w:val="0054500B"/>
    <w:rsid w:val="005456A8"/>
    <w:rsid w:val="00546EC4"/>
    <w:rsid w:val="00547294"/>
    <w:rsid w:val="005478BD"/>
    <w:rsid w:val="005479E3"/>
    <w:rsid w:val="00547AE6"/>
    <w:rsid w:val="00547D09"/>
    <w:rsid w:val="005500A4"/>
    <w:rsid w:val="00550938"/>
    <w:rsid w:val="005509F9"/>
    <w:rsid w:val="00550B8F"/>
    <w:rsid w:val="00551985"/>
    <w:rsid w:val="00551A3C"/>
    <w:rsid w:val="00552BD3"/>
    <w:rsid w:val="005531D4"/>
    <w:rsid w:val="005532A0"/>
    <w:rsid w:val="005534FF"/>
    <w:rsid w:val="005535C9"/>
    <w:rsid w:val="00553E4A"/>
    <w:rsid w:val="0055495D"/>
    <w:rsid w:val="005549B3"/>
    <w:rsid w:val="00554B56"/>
    <w:rsid w:val="00554C5C"/>
    <w:rsid w:val="00554E98"/>
    <w:rsid w:val="00555109"/>
    <w:rsid w:val="005560BD"/>
    <w:rsid w:val="00556B35"/>
    <w:rsid w:val="00556C04"/>
    <w:rsid w:val="0055741A"/>
    <w:rsid w:val="00557F65"/>
    <w:rsid w:val="0056073F"/>
    <w:rsid w:val="005611B7"/>
    <w:rsid w:val="005618D4"/>
    <w:rsid w:val="00561A66"/>
    <w:rsid w:val="00561E09"/>
    <w:rsid w:val="00562323"/>
    <w:rsid w:val="00563181"/>
    <w:rsid w:val="005635DD"/>
    <w:rsid w:val="005640A3"/>
    <w:rsid w:val="00564328"/>
    <w:rsid w:val="00564658"/>
    <w:rsid w:val="0056477E"/>
    <w:rsid w:val="00564852"/>
    <w:rsid w:val="00564867"/>
    <w:rsid w:val="00564A80"/>
    <w:rsid w:val="00564AA8"/>
    <w:rsid w:val="0056506F"/>
    <w:rsid w:val="00565BA6"/>
    <w:rsid w:val="00565C79"/>
    <w:rsid w:val="00565DF0"/>
    <w:rsid w:val="00566320"/>
    <w:rsid w:val="005664FE"/>
    <w:rsid w:val="0056696F"/>
    <w:rsid w:val="0056782F"/>
    <w:rsid w:val="00570222"/>
    <w:rsid w:val="005708DA"/>
    <w:rsid w:val="00570992"/>
    <w:rsid w:val="00570E67"/>
    <w:rsid w:val="00570FAA"/>
    <w:rsid w:val="0057143A"/>
    <w:rsid w:val="00572269"/>
    <w:rsid w:val="0057244A"/>
    <w:rsid w:val="005726BF"/>
    <w:rsid w:val="0057289A"/>
    <w:rsid w:val="00572D2C"/>
    <w:rsid w:val="00572F26"/>
    <w:rsid w:val="00573556"/>
    <w:rsid w:val="0057371D"/>
    <w:rsid w:val="0057371E"/>
    <w:rsid w:val="005737FA"/>
    <w:rsid w:val="00573845"/>
    <w:rsid w:val="00573D24"/>
    <w:rsid w:val="00574404"/>
    <w:rsid w:val="00574701"/>
    <w:rsid w:val="005750C5"/>
    <w:rsid w:val="005752A5"/>
    <w:rsid w:val="005752DE"/>
    <w:rsid w:val="00575A5F"/>
    <w:rsid w:val="00575D60"/>
    <w:rsid w:val="00575D8D"/>
    <w:rsid w:val="005760C1"/>
    <w:rsid w:val="00576972"/>
    <w:rsid w:val="0057703D"/>
    <w:rsid w:val="00577248"/>
    <w:rsid w:val="00577C87"/>
    <w:rsid w:val="0058007D"/>
    <w:rsid w:val="005801B4"/>
    <w:rsid w:val="00580D31"/>
    <w:rsid w:val="00580EF2"/>
    <w:rsid w:val="00581BF0"/>
    <w:rsid w:val="00582AD8"/>
    <w:rsid w:val="00582C58"/>
    <w:rsid w:val="00583108"/>
    <w:rsid w:val="0058321D"/>
    <w:rsid w:val="00583699"/>
    <w:rsid w:val="00583C5E"/>
    <w:rsid w:val="0058448A"/>
    <w:rsid w:val="005844B5"/>
    <w:rsid w:val="005846FE"/>
    <w:rsid w:val="00584CDA"/>
    <w:rsid w:val="00585693"/>
    <w:rsid w:val="00585BFA"/>
    <w:rsid w:val="00585CDD"/>
    <w:rsid w:val="00585E52"/>
    <w:rsid w:val="005866A8"/>
    <w:rsid w:val="00586E0B"/>
    <w:rsid w:val="00586E21"/>
    <w:rsid w:val="00587058"/>
    <w:rsid w:val="005873F5"/>
    <w:rsid w:val="005874A1"/>
    <w:rsid w:val="005874B5"/>
    <w:rsid w:val="0059064A"/>
    <w:rsid w:val="00590B5A"/>
    <w:rsid w:val="00590CDD"/>
    <w:rsid w:val="00590DC6"/>
    <w:rsid w:val="00591311"/>
    <w:rsid w:val="00591451"/>
    <w:rsid w:val="00591508"/>
    <w:rsid w:val="00591957"/>
    <w:rsid w:val="00591EC5"/>
    <w:rsid w:val="00591F24"/>
    <w:rsid w:val="0059242D"/>
    <w:rsid w:val="00592D6C"/>
    <w:rsid w:val="00592EA0"/>
    <w:rsid w:val="005936D5"/>
    <w:rsid w:val="0059410C"/>
    <w:rsid w:val="0059430D"/>
    <w:rsid w:val="00594512"/>
    <w:rsid w:val="00594E37"/>
    <w:rsid w:val="0059556C"/>
    <w:rsid w:val="00596227"/>
    <w:rsid w:val="00596292"/>
    <w:rsid w:val="0059672D"/>
    <w:rsid w:val="005971E3"/>
    <w:rsid w:val="00597839"/>
    <w:rsid w:val="00597854"/>
    <w:rsid w:val="00597BF9"/>
    <w:rsid w:val="00597D63"/>
    <w:rsid w:val="00597E66"/>
    <w:rsid w:val="00597EF4"/>
    <w:rsid w:val="005A0C11"/>
    <w:rsid w:val="005A0D69"/>
    <w:rsid w:val="005A0F30"/>
    <w:rsid w:val="005A1072"/>
    <w:rsid w:val="005A2D7F"/>
    <w:rsid w:val="005A309A"/>
    <w:rsid w:val="005A373D"/>
    <w:rsid w:val="005A379B"/>
    <w:rsid w:val="005A3C65"/>
    <w:rsid w:val="005A3D70"/>
    <w:rsid w:val="005A4384"/>
    <w:rsid w:val="005A44F2"/>
    <w:rsid w:val="005A4814"/>
    <w:rsid w:val="005A4E8C"/>
    <w:rsid w:val="005A56F9"/>
    <w:rsid w:val="005A5AE6"/>
    <w:rsid w:val="005A5AF3"/>
    <w:rsid w:val="005A5E7D"/>
    <w:rsid w:val="005A638E"/>
    <w:rsid w:val="005A6CD1"/>
    <w:rsid w:val="005A7BF3"/>
    <w:rsid w:val="005B0B58"/>
    <w:rsid w:val="005B12A5"/>
    <w:rsid w:val="005B1389"/>
    <w:rsid w:val="005B1551"/>
    <w:rsid w:val="005B17B3"/>
    <w:rsid w:val="005B261A"/>
    <w:rsid w:val="005B26A8"/>
    <w:rsid w:val="005B296E"/>
    <w:rsid w:val="005B3A35"/>
    <w:rsid w:val="005B3D5F"/>
    <w:rsid w:val="005B3FA0"/>
    <w:rsid w:val="005B3FDB"/>
    <w:rsid w:val="005B4BC3"/>
    <w:rsid w:val="005B4E53"/>
    <w:rsid w:val="005B5268"/>
    <w:rsid w:val="005B5306"/>
    <w:rsid w:val="005B5857"/>
    <w:rsid w:val="005B5A37"/>
    <w:rsid w:val="005B62A1"/>
    <w:rsid w:val="005B6E12"/>
    <w:rsid w:val="005B6F76"/>
    <w:rsid w:val="005B7D24"/>
    <w:rsid w:val="005C0040"/>
    <w:rsid w:val="005C03E8"/>
    <w:rsid w:val="005C08EB"/>
    <w:rsid w:val="005C0F04"/>
    <w:rsid w:val="005C17D8"/>
    <w:rsid w:val="005C19C4"/>
    <w:rsid w:val="005C1A9C"/>
    <w:rsid w:val="005C1B83"/>
    <w:rsid w:val="005C1BC1"/>
    <w:rsid w:val="005C25FF"/>
    <w:rsid w:val="005C2B4E"/>
    <w:rsid w:val="005C2D55"/>
    <w:rsid w:val="005C316D"/>
    <w:rsid w:val="005C3449"/>
    <w:rsid w:val="005C344D"/>
    <w:rsid w:val="005C346B"/>
    <w:rsid w:val="005C4B95"/>
    <w:rsid w:val="005C4D53"/>
    <w:rsid w:val="005C4F51"/>
    <w:rsid w:val="005C506E"/>
    <w:rsid w:val="005C514F"/>
    <w:rsid w:val="005C54F2"/>
    <w:rsid w:val="005C5ABC"/>
    <w:rsid w:val="005C65CF"/>
    <w:rsid w:val="005C69DB"/>
    <w:rsid w:val="005C6BDD"/>
    <w:rsid w:val="005C7208"/>
    <w:rsid w:val="005C7340"/>
    <w:rsid w:val="005C74FB"/>
    <w:rsid w:val="005C7953"/>
    <w:rsid w:val="005C7BC9"/>
    <w:rsid w:val="005C7ED3"/>
    <w:rsid w:val="005D044D"/>
    <w:rsid w:val="005D0882"/>
    <w:rsid w:val="005D0921"/>
    <w:rsid w:val="005D0ABD"/>
    <w:rsid w:val="005D0B2B"/>
    <w:rsid w:val="005D0FAF"/>
    <w:rsid w:val="005D1592"/>
    <w:rsid w:val="005D1845"/>
    <w:rsid w:val="005D18AD"/>
    <w:rsid w:val="005D1EF9"/>
    <w:rsid w:val="005D22FA"/>
    <w:rsid w:val="005D2351"/>
    <w:rsid w:val="005D2646"/>
    <w:rsid w:val="005D26B4"/>
    <w:rsid w:val="005D3146"/>
    <w:rsid w:val="005D499D"/>
    <w:rsid w:val="005D4C20"/>
    <w:rsid w:val="005D4D64"/>
    <w:rsid w:val="005D53B3"/>
    <w:rsid w:val="005D6347"/>
    <w:rsid w:val="005D65F8"/>
    <w:rsid w:val="005D67D2"/>
    <w:rsid w:val="005D6AED"/>
    <w:rsid w:val="005D7DEA"/>
    <w:rsid w:val="005E0438"/>
    <w:rsid w:val="005E0F73"/>
    <w:rsid w:val="005E1321"/>
    <w:rsid w:val="005E1995"/>
    <w:rsid w:val="005E1C47"/>
    <w:rsid w:val="005E4439"/>
    <w:rsid w:val="005E4C91"/>
    <w:rsid w:val="005E5975"/>
    <w:rsid w:val="005E5A20"/>
    <w:rsid w:val="005E6040"/>
    <w:rsid w:val="005E698E"/>
    <w:rsid w:val="005E6B87"/>
    <w:rsid w:val="005E6CBC"/>
    <w:rsid w:val="005E72FF"/>
    <w:rsid w:val="005E73C0"/>
    <w:rsid w:val="005F01E7"/>
    <w:rsid w:val="005F04A6"/>
    <w:rsid w:val="005F07ED"/>
    <w:rsid w:val="005F089E"/>
    <w:rsid w:val="005F0F54"/>
    <w:rsid w:val="005F135F"/>
    <w:rsid w:val="005F170C"/>
    <w:rsid w:val="005F1D10"/>
    <w:rsid w:val="005F1DA4"/>
    <w:rsid w:val="005F2706"/>
    <w:rsid w:val="005F2724"/>
    <w:rsid w:val="005F34FA"/>
    <w:rsid w:val="005F3E71"/>
    <w:rsid w:val="005F4446"/>
    <w:rsid w:val="005F4BEB"/>
    <w:rsid w:val="005F5077"/>
    <w:rsid w:val="005F5140"/>
    <w:rsid w:val="005F55D2"/>
    <w:rsid w:val="005F5A80"/>
    <w:rsid w:val="005F6A8F"/>
    <w:rsid w:val="005F6BB7"/>
    <w:rsid w:val="005F6F52"/>
    <w:rsid w:val="005F7502"/>
    <w:rsid w:val="005F7514"/>
    <w:rsid w:val="005F7588"/>
    <w:rsid w:val="005F78A6"/>
    <w:rsid w:val="005F7A2D"/>
    <w:rsid w:val="005F7C27"/>
    <w:rsid w:val="006005B3"/>
    <w:rsid w:val="00600765"/>
    <w:rsid w:val="0060076B"/>
    <w:rsid w:val="00601686"/>
    <w:rsid w:val="00601709"/>
    <w:rsid w:val="00601918"/>
    <w:rsid w:val="00601CAE"/>
    <w:rsid w:val="0060200B"/>
    <w:rsid w:val="006027CD"/>
    <w:rsid w:val="00602E33"/>
    <w:rsid w:val="006033C4"/>
    <w:rsid w:val="006037C5"/>
    <w:rsid w:val="0060383B"/>
    <w:rsid w:val="00603A2A"/>
    <w:rsid w:val="00603DB9"/>
    <w:rsid w:val="00604225"/>
    <w:rsid w:val="00604319"/>
    <w:rsid w:val="00605765"/>
    <w:rsid w:val="006062D0"/>
    <w:rsid w:val="006068AE"/>
    <w:rsid w:val="00606E95"/>
    <w:rsid w:val="00606FBA"/>
    <w:rsid w:val="0060729D"/>
    <w:rsid w:val="00607669"/>
    <w:rsid w:val="006076F4"/>
    <w:rsid w:val="00607835"/>
    <w:rsid w:val="00607AFD"/>
    <w:rsid w:val="00607C01"/>
    <w:rsid w:val="00610B7C"/>
    <w:rsid w:val="0061100E"/>
    <w:rsid w:val="006118E5"/>
    <w:rsid w:val="00611AD4"/>
    <w:rsid w:val="00611B12"/>
    <w:rsid w:val="00611DF1"/>
    <w:rsid w:val="006129BD"/>
    <w:rsid w:val="00612F97"/>
    <w:rsid w:val="0061345D"/>
    <w:rsid w:val="00613843"/>
    <w:rsid w:val="006139FB"/>
    <w:rsid w:val="00613D1B"/>
    <w:rsid w:val="00614041"/>
    <w:rsid w:val="00614442"/>
    <w:rsid w:val="00614611"/>
    <w:rsid w:val="00614900"/>
    <w:rsid w:val="00614B4A"/>
    <w:rsid w:val="0061549B"/>
    <w:rsid w:val="006155D6"/>
    <w:rsid w:val="00616802"/>
    <w:rsid w:val="00616899"/>
    <w:rsid w:val="006169F8"/>
    <w:rsid w:val="006171DF"/>
    <w:rsid w:val="00617222"/>
    <w:rsid w:val="006174BE"/>
    <w:rsid w:val="00617805"/>
    <w:rsid w:val="00617E12"/>
    <w:rsid w:val="00620354"/>
    <w:rsid w:val="0062049D"/>
    <w:rsid w:val="00620944"/>
    <w:rsid w:val="00620C25"/>
    <w:rsid w:val="00620E3D"/>
    <w:rsid w:val="00621477"/>
    <w:rsid w:val="00621515"/>
    <w:rsid w:val="006216E4"/>
    <w:rsid w:val="00621A49"/>
    <w:rsid w:val="00621ADA"/>
    <w:rsid w:val="00621C2C"/>
    <w:rsid w:val="00622EE4"/>
    <w:rsid w:val="006236E6"/>
    <w:rsid w:val="00623F7B"/>
    <w:rsid w:val="00624BD4"/>
    <w:rsid w:val="00624C5A"/>
    <w:rsid w:val="00625424"/>
    <w:rsid w:val="00625589"/>
    <w:rsid w:val="0062564F"/>
    <w:rsid w:val="0062623C"/>
    <w:rsid w:val="00626438"/>
    <w:rsid w:val="0062722E"/>
    <w:rsid w:val="00627B6F"/>
    <w:rsid w:val="0063043A"/>
    <w:rsid w:val="0063111F"/>
    <w:rsid w:val="00631528"/>
    <w:rsid w:val="0063158F"/>
    <w:rsid w:val="0063196E"/>
    <w:rsid w:val="00631D6B"/>
    <w:rsid w:val="00632183"/>
    <w:rsid w:val="0063280A"/>
    <w:rsid w:val="00632F8E"/>
    <w:rsid w:val="006330A1"/>
    <w:rsid w:val="00633352"/>
    <w:rsid w:val="006334DD"/>
    <w:rsid w:val="00634089"/>
    <w:rsid w:val="006341AF"/>
    <w:rsid w:val="006346A1"/>
    <w:rsid w:val="0063479F"/>
    <w:rsid w:val="00634A4C"/>
    <w:rsid w:val="00635312"/>
    <w:rsid w:val="006353F0"/>
    <w:rsid w:val="006356B3"/>
    <w:rsid w:val="006357B5"/>
    <w:rsid w:val="00635B34"/>
    <w:rsid w:val="00635C17"/>
    <w:rsid w:val="00635C59"/>
    <w:rsid w:val="006364A1"/>
    <w:rsid w:val="0063669A"/>
    <w:rsid w:val="0063678E"/>
    <w:rsid w:val="00637B6D"/>
    <w:rsid w:val="00637BFD"/>
    <w:rsid w:val="00637C5C"/>
    <w:rsid w:val="006405D4"/>
    <w:rsid w:val="006414B7"/>
    <w:rsid w:val="00641964"/>
    <w:rsid w:val="00641C4E"/>
    <w:rsid w:val="00641FB3"/>
    <w:rsid w:val="00642585"/>
    <w:rsid w:val="0064264B"/>
    <w:rsid w:val="006429CC"/>
    <w:rsid w:val="00642D9F"/>
    <w:rsid w:val="00643DD0"/>
    <w:rsid w:val="00643F2C"/>
    <w:rsid w:val="0064434C"/>
    <w:rsid w:val="0064537E"/>
    <w:rsid w:val="00645F74"/>
    <w:rsid w:val="00646519"/>
    <w:rsid w:val="00646E83"/>
    <w:rsid w:val="006471CC"/>
    <w:rsid w:val="0064720A"/>
    <w:rsid w:val="006472FE"/>
    <w:rsid w:val="00647A08"/>
    <w:rsid w:val="00647A29"/>
    <w:rsid w:val="00647B57"/>
    <w:rsid w:val="00647E8E"/>
    <w:rsid w:val="00650314"/>
    <w:rsid w:val="006506B5"/>
    <w:rsid w:val="006506D8"/>
    <w:rsid w:val="0065079F"/>
    <w:rsid w:val="00650DE6"/>
    <w:rsid w:val="0065161F"/>
    <w:rsid w:val="00651B6B"/>
    <w:rsid w:val="00652288"/>
    <w:rsid w:val="006529F3"/>
    <w:rsid w:val="00652A28"/>
    <w:rsid w:val="00652B3A"/>
    <w:rsid w:val="00652DF7"/>
    <w:rsid w:val="006535DC"/>
    <w:rsid w:val="006535F2"/>
    <w:rsid w:val="006535FC"/>
    <w:rsid w:val="0065379F"/>
    <w:rsid w:val="00654F1E"/>
    <w:rsid w:val="00655198"/>
    <w:rsid w:val="00655BE0"/>
    <w:rsid w:val="00655E53"/>
    <w:rsid w:val="00656095"/>
    <w:rsid w:val="00656188"/>
    <w:rsid w:val="00656FFA"/>
    <w:rsid w:val="0065715A"/>
    <w:rsid w:val="006571EC"/>
    <w:rsid w:val="006572AA"/>
    <w:rsid w:val="00657BB6"/>
    <w:rsid w:val="006600EF"/>
    <w:rsid w:val="006610F1"/>
    <w:rsid w:val="00661128"/>
    <w:rsid w:val="00661189"/>
    <w:rsid w:val="00661AE7"/>
    <w:rsid w:val="00661C6B"/>
    <w:rsid w:val="00661F86"/>
    <w:rsid w:val="00662087"/>
    <w:rsid w:val="00662D29"/>
    <w:rsid w:val="00662D3E"/>
    <w:rsid w:val="00662FEC"/>
    <w:rsid w:val="00663118"/>
    <w:rsid w:val="00663F40"/>
    <w:rsid w:val="00664007"/>
    <w:rsid w:val="0066444C"/>
    <w:rsid w:val="006647F4"/>
    <w:rsid w:val="00664DAC"/>
    <w:rsid w:val="00664ECC"/>
    <w:rsid w:val="0066519A"/>
    <w:rsid w:val="00666494"/>
    <w:rsid w:val="00666538"/>
    <w:rsid w:val="0066681F"/>
    <w:rsid w:val="006673EF"/>
    <w:rsid w:val="0066762E"/>
    <w:rsid w:val="00667BE3"/>
    <w:rsid w:val="00667DFF"/>
    <w:rsid w:val="00670422"/>
    <w:rsid w:val="00670446"/>
    <w:rsid w:val="00670F0E"/>
    <w:rsid w:val="00671004"/>
    <w:rsid w:val="006711AF"/>
    <w:rsid w:val="00672238"/>
    <w:rsid w:val="006724C8"/>
    <w:rsid w:val="00672646"/>
    <w:rsid w:val="0067294F"/>
    <w:rsid w:val="00673492"/>
    <w:rsid w:val="00673666"/>
    <w:rsid w:val="0067397B"/>
    <w:rsid w:val="00673DD8"/>
    <w:rsid w:val="00674AED"/>
    <w:rsid w:val="00674B76"/>
    <w:rsid w:val="00674E42"/>
    <w:rsid w:val="00674F47"/>
    <w:rsid w:val="0067519E"/>
    <w:rsid w:val="00675B79"/>
    <w:rsid w:val="00675B83"/>
    <w:rsid w:val="00676563"/>
    <w:rsid w:val="0067718D"/>
    <w:rsid w:val="006773E6"/>
    <w:rsid w:val="0068068A"/>
    <w:rsid w:val="006811DB"/>
    <w:rsid w:val="006813F8"/>
    <w:rsid w:val="0068162C"/>
    <w:rsid w:val="00681C26"/>
    <w:rsid w:val="00682112"/>
    <w:rsid w:val="0068219B"/>
    <w:rsid w:val="0068261D"/>
    <w:rsid w:val="00682826"/>
    <w:rsid w:val="00682BA6"/>
    <w:rsid w:val="006833B5"/>
    <w:rsid w:val="006842EA"/>
    <w:rsid w:val="006843C3"/>
    <w:rsid w:val="006847FA"/>
    <w:rsid w:val="00686616"/>
    <w:rsid w:val="00686957"/>
    <w:rsid w:val="00686DF7"/>
    <w:rsid w:val="006872BA"/>
    <w:rsid w:val="0068761A"/>
    <w:rsid w:val="00690368"/>
    <w:rsid w:val="006904BF"/>
    <w:rsid w:val="00690590"/>
    <w:rsid w:val="0069065F"/>
    <w:rsid w:val="00690710"/>
    <w:rsid w:val="00690795"/>
    <w:rsid w:val="00691648"/>
    <w:rsid w:val="006917D7"/>
    <w:rsid w:val="006917E5"/>
    <w:rsid w:val="00691A81"/>
    <w:rsid w:val="006920B9"/>
    <w:rsid w:val="00692BE5"/>
    <w:rsid w:val="00693217"/>
    <w:rsid w:val="00693684"/>
    <w:rsid w:val="0069434C"/>
    <w:rsid w:val="00694506"/>
    <w:rsid w:val="00694600"/>
    <w:rsid w:val="006946C6"/>
    <w:rsid w:val="00694945"/>
    <w:rsid w:val="00694A22"/>
    <w:rsid w:val="00694F44"/>
    <w:rsid w:val="006953E8"/>
    <w:rsid w:val="006956A1"/>
    <w:rsid w:val="00695E60"/>
    <w:rsid w:val="00695FE5"/>
    <w:rsid w:val="0069608B"/>
    <w:rsid w:val="0069659A"/>
    <w:rsid w:val="00696617"/>
    <w:rsid w:val="00696DB6"/>
    <w:rsid w:val="00696EF9"/>
    <w:rsid w:val="00696F51"/>
    <w:rsid w:val="006979A5"/>
    <w:rsid w:val="00697AB4"/>
    <w:rsid w:val="006A016F"/>
    <w:rsid w:val="006A0921"/>
    <w:rsid w:val="006A0DF7"/>
    <w:rsid w:val="006A0F4D"/>
    <w:rsid w:val="006A1FEA"/>
    <w:rsid w:val="006A3DA6"/>
    <w:rsid w:val="006A3EA7"/>
    <w:rsid w:val="006A40B7"/>
    <w:rsid w:val="006A4321"/>
    <w:rsid w:val="006A43D9"/>
    <w:rsid w:val="006A4790"/>
    <w:rsid w:val="006A4C62"/>
    <w:rsid w:val="006A4C63"/>
    <w:rsid w:val="006A5074"/>
    <w:rsid w:val="006A5525"/>
    <w:rsid w:val="006A5953"/>
    <w:rsid w:val="006A5ABD"/>
    <w:rsid w:val="006A5BA1"/>
    <w:rsid w:val="006A5FF5"/>
    <w:rsid w:val="006A6B99"/>
    <w:rsid w:val="006A6D7F"/>
    <w:rsid w:val="006A6F15"/>
    <w:rsid w:val="006A7058"/>
    <w:rsid w:val="006A7234"/>
    <w:rsid w:val="006A77D3"/>
    <w:rsid w:val="006A7E5F"/>
    <w:rsid w:val="006B00F4"/>
    <w:rsid w:val="006B0874"/>
    <w:rsid w:val="006B0CF4"/>
    <w:rsid w:val="006B111B"/>
    <w:rsid w:val="006B1437"/>
    <w:rsid w:val="006B1B65"/>
    <w:rsid w:val="006B261B"/>
    <w:rsid w:val="006B26CE"/>
    <w:rsid w:val="006B2976"/>
    <w:rsid w:val="006B2C90"/>
    <w:rsid w:val="006B2FD8"/>
    <w:rsid w:val="006B2FF8"/>
    <w:rsid w:val="006B300F"/>
    <w:rsid w:val="006B3546"/>
    <w:rsid w:val="006B35E6"/>
    <w:rsid w:val="006B3D8E"/>
    <w:rsid w:val="006B465A"/>
    <w:rsid w:val="006B4922"/>
    <w:rsid w:val="006B5287"/>
    <w:rsid w:val="006B5954"/>
    <w:rsid w:val="006B5ACA"/>
    <w:rsid w:val="006B6903"/>
    <w:rsid w:val="006B6C74"/>
    <w:rsid w:val="006B6D97"/>
    <w:rsid w:val="006B6DD0"/>
    <w:rsid w:val="006B7327"/>
    <w:rsid w:val="006B7A34"/>
    <w:rsid w:val="006B7AD6"/>
    <w:rsid w:val="006C0399"/>
    <w:rsid w:val="006C0816"/>
    <w:rsid w:val="006C0EDB"/>
    <w:rsid w:val="006C19EB"/>
    <w:rsid w:val="006C2072"/>
    <w:rsid w:val="006C2A8E"/>
    <w:rsid w:val="006C2D1C"/>
    <w:rsid w:val="006C3255"/>
    <w:rsid w:val="006C3F26"/>
    <w:rsid w:val="006C4203"/>
    <w:rsid w:val="006C4437"/>
    <w:rsid w:val="006C4B16"/>
    <w:rsid w:val="006C59F1"/>
    <w:rsid w:val="006C7233"/>
    <w:rsid w:val="006C7514"/>
    <w:rsid w:val="006C7FCF"/>
    <w:rsid w:val="006D0186"/>
    <w:rsid w:val="006D0D17"/>
    <w:rsid w:val="006D1C21"/>
    <w:rsid w:val="006D1CE5"/>
    <w:rsid w:val="006D2C5C"/>
    <w:rsid w:val="006D342A"/>
    <w:rsid w:val="006D3584"/>
    <w:rsid w:val="006D3C7D"/>
    <w:rsid w:val="006D3CDE"/>
    <w:rsid w:val="006D4659"/>
    <w:rsid w:val="006D49A8"/>
    <w:rsid w:val="006D4DE8"/>
    <w:rsid w:val="006D57A6"/>
    <w:rsid w:val="006D5D5F"/>
    <w:rsid w:val="006D5D88"/>
    <w:rsid w:val="006D68D3"/>
    <w:rsid w:val="006D68FB"/>
    <w:rsid w:val="006D6CE4"/>
    <w:rsid w:val="006D6FD7"/>
    <w:rsid w:val="006D7362"/>
    <w:rsid w:val="006D7E82"/>
    <w:rsid w:val="006E1941"/>
    <w:rsid w:val="006E1F06"/>
    <w:rsid w:val="006E22DD"/>
    <w:rsid w:val="006E2868"/>
    <w:rsid w:val="006E2BAD"/>
    <w:rsid w:val="006E2D2E"/>
    <w:rsid w:val="006E327A"/>
    <w:rsid w:val="006E4274"/>
    <w:rsid w:val="006E4EBB"/>
    <w:rsid w:val="006E51EC"/>
    <w:rsid w:val="006E5E4F"/>
    <w:rsid w:val="006E63D8"/>
    <w:rsid w:val="006E72F6"/>
    <w:rsid w:val="006E7E89"/>
    <w:rsid w:val="006E7EC5"/>
    <w:rsid w:val="006E7FFD"/>
    <w:rsid w:val="006F08F2"/>
    <w:rsid w:val="006F0CEF"/>
    <w:rsid w:val="006F1517"/>
    <w:rsid w:val="006F200B"/>
    <w:rsid w:val="006F27A9"/>
    <w:rsid w:val="006F2802"/>
    <w:rsid w:val="006F306C"/>
    <w:rsid w:val="006F3990"/>
    <w:rsid w:val="006F428A"/>
    <w:rsid w:val="006F529A"/>
    <w:rsid w:val="006F58CB"/>
    <w:rsid w:val="006F5960"/>
    <w:rsid w:val="006F5A91"/>
    <w:rsid w:val="006F5E98"/>
    <w:rsid w:val="006F63A5"/>
    <w:rsid w:val="006F74D8"/>
    <w:rsid w:val="006F7C9C"/>
    <w:rsid w:val="006F7F23"/>
    <w:rsid w:val="007000B6"/>
    <w:rsid w:val="00700716"/>
    <w:rsid w:val="007009F5"/>
    <w:rsid w:val="0070142B"/>
    <w:rsid w:val="0070143E"/>
    <w:rsid w:val="007018EB"/>
    <w:rsid w:val="00701927"/>
    <w:rsid w:val="00701C46"/>
    <w:rsid w:val="0070276E"/>
    <w:rsid w:val="00702F8F"/>
    <w:rsid w:val="007031BE"/>
    <w:rsid w:val="00703CB2"/>
    <w:rsid w:val="007043F6"/>
    <w:rsid w:val="00704C45"/>
    <w:rsid w:val="007066D1"/>
    <w:rsid w:val="007067BA"/>
    <w:rsid w:val="00706BC0"/>
    <w:rsid w:val="00706E94"/>
    <w:rsid w:val="0070732E"/>
    <w:rsid w:val="007079FC"/>
    <w:rsid w:val="00707CBA"/>
    <w:rsid w:val="007107F5"/>
    <w:rsid w:val="00710E65"/>
    <w:rsid w:val="007114DF"/>
    <w:rsid w:val="00711700"/>
    <w:rsid w:val="00711A36"/>
    <w:rsid w:val="00711D00"/>
    <w:rsid w:val="007125D3"/>
    <w:rsid w:val="0071309D"/>
    <w:rsid w:val="007131AD"/>
    <w:rsid w:val="00713BA1"/>
    <w:rsid w:val="00713C9E"/>
    <w:rsid w:val="00714887"/>
    <w:rsid w:val="007148D5"/>
    <w:rsid w:val="00714C26"/>
    <w:rsid w:val="00714EC2"/>
    <w:rsid w:val="0071518F"/>
    <w:rsid w:val="0071529C"/>
    <w:rsid w:val="0071571B"/>
    <w:rsid w:val="00715745"/>
    <w:rsid w:val="00715829"/>
    <w:rsid w:val="007158C2"/>
    <w:rsid w:val="00715AC9"/>
    <w:rsid w:val="00716125"/>
    <w:rsid w:val="00716606"/>
    <w:rsid w:val="00716859"/>
    <w:rsid w:val="007169CA"/>
    <w:rsid w:val="00716BB3"/>
    <w:rsid w:val="00716FF3"/>
    <w:rsid w:val="007170DA"/>
    <w:rsid w:val="007170E6"/>
    <w:rsid w:val="007172AD"/>
    <w:rsid w:val="00717546"/>
    <w:rsid w:val="00717DE2"/>
    <w:rsid w:val="00720801"/>
    <w:rsid w:val="00720D6F"/>
    <w:rsid w:val="00720E0E"/>
    <w:rsid w:val="00721B7A"/>
    <w:rsid w:val="0072209B"/>
    <w:rsid w:val="00722B1B"/>
    <w:rsid w:val="00722B6C"/>
    <w:rsid w:val="00723575"/>
    <w:rsid w:val="00723C76"/>
    <w:rsid w:val="00723F3D"/>
    <w:rsid w:val="0072416F"/>
    <w:rsid w:val="007241AD"/>
    <w:rsid w:val="007248EC"/>
    <w:rsid w:val="007250CF"/>
    <w:rsid w:val="007254D3"/>
    <w:rsid w:val="00725817"/>
    <w:rsid w:val="00726584"/>
    <w:rsid w:val="00726A89"/>
    <w:rsid w:val="00726F3B"/>
    <w:rsid w:val="0072747B"/>
    <w:rsid w:val="00727C94"/>
    <w:rsid w:val="00730516"/>
    <w:rsid w:val="00730978"/>
    <w:rsid w:val="0073114E"/>
    <w:rsid w:val="0073172D"/>
    <w:rsid w:val="007318C6"/>
    <w:rsid w:val="0073199F"/>
    <w:rsid w:val="00731B0A"/>
    <w:rsid w:val="00731EAE"/>
    <w:rsid w:val="00733073"/>
    <w:rsid w:val="00733715"/>
    <w:rsid w:val="00733B1A"/>
    <w:rsid w:val="00733DD7"/>
    <w:rsid w:val="0073405B"/>
    <w:rsid w:val="0073446E"/>
    <w:rsid w:val="00734B33"/>
    <w:rsid w:val="00735033"/>
    <w:rsid w:val="00735328"/>
    <w:rsid w:val="00735401"/>
    <w:rsid w:val="00735888"/>
    <w:rsid w:val="00735D54"/>
    <w:rsid w:val="00736776"/>
    <w:rsid w:val="0073685B"/>
    <w:rsid w:val="00736A2E"/>
    <w:rsid w:val="00736C1D"/>
    <w:rsid w:val="00736EED"/>
    <w:rsid w:val="007371C8"/>
    <w:rsid w:val="0073777E"/>
    <w:rsid w:val="00737A5A"/>
    <w:rsid w:val="00737CA8"/>
    <w:rsid w:val="007400B0"/>
    <w:rsid w:val="00740FEA"/>
    <w:rsid w:val="00741652"/>
    <w:rsid w:val="00741654"/>
    <w:rsid w:val="007425CF"/>
    <w:rsid w:val="00742E89"/>
    <w:rsid w:val="00743486"/>
    <w:rsid w:val="00743987"/>
    <w:rsid w:val="00743F9C"/>
    <w:rsid w:val="007446ED"/>
    <w:rsid w:val="007449BF"/>
    <w:rsid w:val="00744A24"/>
    <w:rsid w:val="00744FC8"/>
    <w:rsid w:val="00744FCC"/>
    <w:rsid w:val="007453FC"/>
    <w:rsid w:val="007454A4"/>
    <w:rsid w:val="00745ED3"/>
    <w:rsid w:val="007460F1"/>
    <w:rsid w:val="007461D5"/>
    <w:rsid w:val="00746280"/>
    <w:rsid w:val="007463FE"/>
    <w:rsid w:val="00746BC0"/>
    <w:rsid w:val="00746CBE"/>
    <w:rsid w:val="00746CD4"/>
    <w:rsid w:val="0074734E"/>
    <w:rsid w:val="00747F4B"/>
    <w:rsid w:val="00747F77"/>
    <w:rsid w:val="00750554"/>
    <w:rsid w:val="00750651"/>
    <w:rsid w:val="00750B57"/>
    <w:rsid w:val="00750E9F"/>
    <w:rsid w:val="00751095"/>
    <w:rsid w:val="007510B4"/>
    <w:rsid w:val="007515A0"/>
    <w:rsid w:val="00751A6F"/>
    <w:rsid w:val="00752142"/>
    <w:rsid w:val="007523F9"/>
    <w:rsid w:val="00752FA7"/>
    <w:rsid w:val="007533D1"/>
    <w:rsid w:val="0075357E"/>
    <w:rsid w:val="00753806"/>
    <w:rsid w:val="00753936"/>
    <w:rsid w:val="00753B29"/>
    <w:rsid w:val="00753C00"/>
    <w:rsid w:val="00753C75"/>
    <w:rsid w:val="00753F4C"/>
    <w:rsid w:val="007542C8"/>
    <w:rsid w:val="00754335"/>
    <w:rsid w:val="00754C25"/>
    <w:rsid w:val="00754C2F"/>
    <w:rsid w:val="0075549F"/>
    <w:rsid w:val="00755AEB"/>
    <w:rsid w:val="00756829"/>
    <w:rsid w:val="00756CF7"/>
    <w:rsid w:val="007570E2"/>
    <w:rsid w:val="007573E8"/>
    <w:rsid w:val="00757400"/>
    <w:rsid w:val="007576DA"/>
    <w:rsid w:val="00760720"/>
    <w:rsid w:val="00760C4E"/>
    <w:rsid w:val="00760F9E"/>
    <w:rsid w:val="00761435"/>
    <w:rsid w:val="007616E6"/>
    <w:rsid w:val="007618D6"/>
    <w:rsid w:val="00761CC0"/>
    <w:rsid w:val="00761D5D"/>
    <w:rsid w:val="00761F42"/>
    <w:rsid w:val="0076212F"/>
    <w:rsid w:val="007625F3"/>
    <w:rsid w:val="007627BE"/>
    <w:rsid w:val="0076285B"/>
    <w:rsid w:val="0076299E"/>
    <w:rsid w:val="00762C84"/>
    <w:rsid w:val="0076380A"/>
    <w:rsid w:val="00763C87"/>
    <w:rsid w:val="00763FEA"/>
    <w:rsid w:val="00764813"/>
    <w:rsid w:val="0076494F"/>
    <w:rsid w:val="00764998"/>
    <w:rsid w:val="00764F03"/>
    <w:rsid w:val="00765731"/>
    <w:rsid w:val="00765844"/>
    <w:rsid w:val="00765B1A"/>
    <w:rsid w:val="00765C45"/>
    <w:rsid w:val="00765DC1"/>
    <w:rsid w:val="007668E2"/>
    <w:rsid w:val="00766C4C"/>
    <w:rsid w:val="00767353"/>
    <w:rsid w:val="007674A3"/>
    <w:rsid w:val="00767A93"/>
    <w:rsid w:val="00767C94"/>
    <w:rsid w:val="00770FB8"/>
    <w:rsid w:val="007712EE"/>
    <w:rsid w:val="007713D8"/>
    <w:rsid w:val="00771495"/>
    <w:rsid w:val="00771CA6"/>
    <w:rsid w:val="00771E93"/>
    <w:rsid w:val="00773238"/>
    <w:rsid w:val="007732BB"/>
    <w:rsid w:val="00773CF1"/>
    <w:rsid w:val="00773D4F"/>
    <w:rsid w:val="00774544"/>
    <w:rsid w:val="007746CD"/>
    <w:rsid w:val="00774E1A"/>
    <w:rsid w:val="00774F23"/>
    <w:rsid w:val="00775E62"/>
    <w:rsid w:val="007764AA"/>
    <w:rsid w:val="0077673F"/>
    <w:rsid w:val="007769E3"/>
    <w:rsid w:val="00776A7F"/>
    <w:rsid w:val="00776B9E"/>
    <w:rsid w:val="00777041"/>
    <w:rsid w:val="00777335"/>
    <w:rsid w:val="00777949"/>
    <w:rsid w:val="00777A69"/>
    <w:rsid w:val="00780A11"/>
    <w:rsid w:val="00780CEF"/>
    <w:rsid w:val="00780D51"/>
    <w:rsid w:val="007823E2"/>
    <w:rsid w:val="007823F9"/>
    <w:rsid w:val="0078258C"/>
    <w:rsid w:val="00783031"/>
    <w:rsid w:val="00783325"/>
    <w:rsid w:val="007833D3"/>
    <w:rsid w:val="007835A9"/>
    <w:rsid w:val="007837CD"/>
    <w:rsid w:val="007840AE"/>
    <w:rsid w:val="007843F2"/>
    <w:rsid w:val="007846FA"/>
    <w:rsid w:val="00785183"/>
    <w:rsid w:val="007855FA"/>
    <w:rsid w:val="00785658"/>
    <w:rsid w:val="00785A9F"/>
    <w:rsid w:val="00786AEB"/>
    <w:rsid w:val="00786DB3"/>
    <w:rsid w:val="007873BE"/>
    <w:rsid w:val="007907D5"/>
    <w:rsid w:val="00790DD6"/>
    <w:rsid w:val="00790EDD"/>
    <w:rsid w:val="00790FDD"/>
    <w:rsid w:val="007913EA"/>
    <w:rsid w:val="00791581"/>
    <w:rsid w:val="00791824"/>
    <w:rsid w:val="007925DF"/>
    <w:rsid w:val="00792A5B"/>
    <w:rsid w:val="00792FB0"/>
    <w:rsid w:val="00793B70"/>
    <w:rsid w:val="00794250"/>
    <w:rsid w:val="0079494B"/>
    <w:rsid w:val="00794AD3"/>
    <w:rsid w:val="00794BD4"/>
    <w:rsid w:val="007952D6"/>
    <w:rsid w:val="00795357"/>
    <w:rsid w:val="0079562D"/>
    <w:rsid w:val="00795807"/>
    <w:rsid w:val="007958CB"/>
    <w:rsid w:val="007965BD"/>
    <w:rsid w:val="00796862"/>
    <w:rsid w:val="00796D64"/>
    <w:rsid w:val="007977CC"/>
    <w:rsid w:val="0079785C"/>
    <w:rsid w:val="007A02EF"/>
    <w:rsid w:val="007A0341"/>
    <w:rsid w:val="007A04D7"/>
    <w:rsid w:val="007A0559"/>
    <w:rsid w:val="007A08AA"/>
    <w:rsid w:val="007A09BF"/>
    <w:rsid w:val="007A0A05"/>
    <w:rsid w:val="007A0A12"/>
    <w:rsid w:val="007A0C8E"/>
    <w:rsid w:val="007A1214"/>
    <w:rsid w:val="007A132D"/>
    <w:rsid w:val="007A1345"/>
    <w:rsid w:val="007A1703"/>
    <w:rsid w:val="007A19B9"/>
    <w:rsid w:val="007A1AA6"/>
    <w:rsid w:val="007A269C"/>
    <w:rsid w:val="007A2DDB"/>
    <w:rsid w:val="007A3348"/>
    <w:rsid w:val="007A499B"/>
    <w:rsid w:val="007A5461"/>
    <w:rsid w:val="007A68F2"/>
    <w:rsid w:val="007A6904"/>
    <w:rsid w:val="007A6B56"/>
    <w:rsid w:val="007A6C91"/>
    <w:rsid w:val="007A70BA"/>
    <w:rsid w:val="007A71D8"/>
    <w:rsid w:val="007A743B"/>
    <w:rsid w:val="007A77E2"/>
    <w:rsid w:val="007A7C48"/>
    <w:rsid w:val="007B04FF"/>
    <w:rsid w:val="007B0568"/>
    <w:rsid w:val="007B099B"/>
    <w:rsid w:val="007B0D68"/>
    <w:rsid w:val="007B12B9"/>
    <w:rsid w:val="007B1987"/>
    <w:rsid w:val="007B19FC"/>
    <w:rsid w:val="007B21CF"/>
    <w:rsid w:val="007B251D"/>
    <w:rsid w:val="007B2BE6"/>
    <w:rsid w:val="007B3141"/>
    <w:rsid w:val="007B3484"/>
    <w:rsid w:val="007B3533"/>
    <w:rsid w:val="007B4491"/>
    <w:rsid w:val="007B4492"/>
    <w:rsid w:val="007B4579"/>
    <w:rsid w:val="007B47AB"/>
    <w:rsid w:val="007B4C77"/>
    <w:rsid w:val="007B4EF9"/>
    <w:rsid w:val="007B4F58"/>
    <w:rsid w:val="007B5134"/>
    <w:rsid w:val="007B5185"/>
    <w:rsid w:val="007B51C7"/>
    <w:rsid w:val="007B51EE"/>
    <w:rsid w:val="007B528D"/>
    <w:rsid w:val="007B57A7"/>
    <w:rsid w:val="007B60C1"/>
    <w:rsid w:val="007B6168"/>
    <w:rsid w:val="007B63CA"/>
    <w:rsid w:val="007B67EE"/>
    <w:rsid w:val="007B68BE"/>
    <w:rsid w:val="007B6B65"/>
    <w:rsid w:val="007B6E57"/>
    <w:rsid w:val="007B7642"/>
    <w:rsid w:val="007B77D1"/>
    <w:rsid w:val="007C0294"/>
    <w:rsid w:val="007C067B"/>
    <w:rsid w:val="007C07C7"/>
    <w:rsid w:val="007C0D6D"/>
    <w:rsid w:val="007C1574"/>
    <w:rsid w:val="007C1B25"/>
    <w:rsid w:val="007C1CD9"/>
    <w:rsid w:val="007C1F98"/>
    <w:rsid w:val="007C1FC1"/>
    <w:rsid w:val="007C255D"/>
    <w:rsid w:val="007C29B9"/>
    <w:rsid w:val="007C32EF"/>
    <w:rsid w:val="007C347C"/>
    <w:rsid w:val="007C361D"/>
    <w:rsid w:val="007C3620"/>
    <w:rsid w:val="007C47A4"/>
    <w:rsid w:val="007C4A9C"/>
    <w:rsid w:val="007C4B84"/>
    <w:rsid w:val="007C4D17"/>
    <w:rsid w:val="007C5976"/>
    <w:rsid w:val="007C5B80"/>
    <w:rsid w:val="007C6C90"/>
    <w:rsid w:val="007C70FF"/>
    <w:rsid w:val="007C7B9E"/>
    <w:rsid w:val="007C7C25"/>
    <w:rsid w:val="007D004F"/>
    <w:rsid w:val="007D035F"/>
    <w:rsid w:val="007D06B2"/>
    <w:rsid w:val="007D0B38"/>
    <w:rsid w:val="007D0BF7"/>
    <w:rsid w:val="007D0CA5"/>
    <w:rsid w:val="007D1678"/>
    <w:rsid w:val="007D1AA5"/>
    <w:rsid w:val="007D1BC2"/>
    <w:rsid w:val="007D1D6D"/>
    <w:rsid w:val="007D2408"/>
    <w:rsid w:val="007D27B0"/>
    <w:rsid w:val="007D360C"/>
    <w:rsid w:val="007D3FD1"/>
    <w:rsid w:val="007D4019"/>
    <w:rsid w:val="007D444E"/>
    <w:rsid w:val="007D4831"/>
    <w:rsid w:val="007D4AF1"/>
    <w:rsid w:val="007D5440"/>
    <w:rsid w:val="007D5B0D"/>
    <w:rsid w:val="007D615B"/>
    <w:rsid w:val="007D66F0"/>
    <w:rsid w:val="007D69EB"/>
    <w:rsid w:val="007D6E0E"/>
    <w:rsid w:val="007D6EB0"/>
    <w:rsid w:val="007D758D"/>
    <w:rsid w:val="007D77BE"/>
    <w:rsid w:val="007D7CFE"/>
    <w:rsid w:val="007E04AF"/>
    <w:rsid w:val="007E0714"/>
    <w:rsid w:val="007E0C87"/>
    <w:rsid w:val="007E0F45"/>
    <w:rsid w:val="007E11D8"/>
    <w:rsid w:val="007E128F"/>
    <w:rsid w:val="007E1EC5"/>
    <w:rsid w:val="007E21AC"/>
    <w:rsid w:val="007E21D4"/>
    <w:rsid w:val="007E2359"/>
    <w:rsid w:val="007E24EA"/>
    <w:rsid w:val="007E2786"/>
    <w:rsid w:val="007E29C3"/>
    <w:rsid w:val="007E2E70"/>
    <w:rsid w:val="007E2F6D"/>
    <w:rsid w:val="007E348C"/>
    <w:rsid w:val="007E3958"/>
    <w:rsid w:val="007E3BF3"/>
    <w:rsid w:val="007E3DF6"/>
    <w:rsid w:val="007E4009"/>
    <w:rsid w:val="007E4494"/>
    <w:rsid w:val="007E5256"/>
    <w:rsid w:val="007E593E"/>
    <w:rsid w:val="007E5F79"/>
    <w:rsid w:val="007E6446"/>
    <w:rsid w:val="007E6727"/>
    <w:rsid w:val="007E685C"/>
    <w:rsid w:val="007E6889"/>
    <w:rsid w:val="007E6977"/>
    <w:rsid w:val="007E6A8E"/>
    <w:rsid w:val="007E6B9C"/>
    <w:rsid w:val="007E72A8"/>
    <w:rsid w:val="007E78E5"/>
    <w:rsid w:val="007E7C12"/>
    <w:rsid w:val="007F089F"/>
    <w:rsid w:val="007F0AC6"/>
    <w:rsid w:val="007F1017"/>
    <w:rsid w:val="007F1218"/>
    <w:rsid w:val="007F241B"/>
    <w:rsid w:val="007F2CBC"/>
    <w:rsid w:val="007F3167"/>
    <w:rsid w:val="007F35D6"/>
    <w:rsid w:val="007F38BD"/>
    <w:rsid w:val="007F4177"/>
    <w:rsid w:val="007F446F"/>
    <w:rsid w:val="007F489B"/>
    <w:rsid w:val="007F4A3F"/>
    <w:rsid w:val="007F4A61"/>
    <w:rsid w:val="007F5255"/>
    <w:rsid w:val="007F5382"/>
    <w:rsid w:val="007F5520"/>
    <w:rsid w:val="007F56CC"/>
    <w:rsid w:val="007F5D98"/>
    <w:rsid w:val="007F60F4"/>
    <w:rsid w:val="007F61C2"/>
    <w:rsid w:val="007F6ED9"/>
    <w:rsid w:val="007F6F44"/>
    <w:rsid w:val="007F7114"/>
    <w:rsid w:val="007F7BCF"/>
    <w:rsid w:val="0080006F"/>
    <w:rsid w:val="00800283"/>
    <w:rsid w:val="00800F24"/>
    <w:rsid w:val="008015B7"/>
    <w:rsid w:val="008018FB"/>
    <w:rsid w:val="0080217A"/>
    <w:rsid w:val="00802478"/>
    <w:rsid w:val="008025B0"/>
    <w:rsid w:val="00802EAC"/>
    <w:rsid w:val="00803482"/>
    <w:rsid w:val="008034CF"/>
    <w:rsid w:val="00804092"/>
    <w:rsid w:val="008041B1"/>
    <w:rsid w:val="00804E7A"/>
    <w:rsid w:val="00804FF8"/>
    <w:rsid w:val="00805142"/>
    <w:rsid w:val="00805526"/>
    <w:rsid w:val="00805898"/>
    <w:rsid w:val="00805FCE"/>
    <w:rsid w:val="008070A8"/>
    <w:rsid w:val="00807A8B"/>
    <w:rsid w:val="00810463"/>
    <w:rsid w:val="00811057"/>
    <w:rsid w:val="00811383"/>
    <w:rsid w:val="00811455"/>
    <w:rsid w:val="00811ECA"/>
    <w:rsid w:val="00812149"/>
    <w:rsid w:val="008122E5"/>
    <w:rsid w:val="00812407"/>
    <w:rsid w:val="0081298D"/>
    <w:rsid w:val="00812CAC"/>
    <w:rsid w:val="00813165"/>
    <w:rsid w:val="00813697"/>
    <w:rsid w:val="00813CAA"/>
    <w:rsid w:val="00813ED3"/>
    <w:rsid w:val="0081413B"/>
    <w:rsid w:val="008141A9"/>
    <w:rsid w:val="00814AA0"/>
    <w:rsid w:val="00814E07"/>
    <w:rsid w:val="00814E21"/>
    <w:rsid w:val="00814E72"/>
    <w:rsid w:val="00816184"/>
    <w:rsid w:val="00816361"/>
    <w:rsid w:val="008166EF"/>
    <w:rsid w:val="0081675C"/>
    <w:rsid w:val="00816A40"/>
    <w:rsid w:val="00816FEF"/>
    <w:rsid w:val="008175FF"/>
    <w:rsid w:val="0081774F"/>
    <w:rsid w:val="00817C39"/>
    <w:rsid w:val="00817DFD"/>
    <w:rsid w:val="00820A8C"/>
    <w:rsid w:val="00820C1A"/>
    <w:rsid w:val="00820DD8"/>
    <w:rsid w:val="00821170"/>
    <w:rsid w:val="008211AC"/>
    <w:rsid w:val="008215FB"/>
    <w:rsid w:val="0082173A"/>
    <w:rsid w:val="00821966"/>
    <w:rsid w:val="008220CC"/>
    <w:rsid w:val="0082262B"/>
    <w:rsid w:val="008228DF"/>
    <w:rsid w:val="00822A08"/>
    <w:rsid w:val="00822CCB"/>
    <w:rsid w:val="00823174"/>
    <w:rsid w:val="00823F73"/>
    <w:rsid w:val="0082485D"/>
    <w:rsid w:val="008250C4"/>
    <w:rsid w:val="008252A2"/>
    <w:rsid w:val="00825751"/>
    <w:rsid w:val="00825E58"/>
    <w:rsid w:val="00825E5C"/>
    <w:rsid w:val="00825E93"/>
    <w:rsid w:val="008264EB"/>
    <w:rsid w:val="0082661E"/>
    <w:rsid w:val="008268CE"/>
    <w:rsid w:val="008269B9"/>
    <w:rsid w:val="00826B35"/>
    <w:rsid w:val="00826FED"/>
    <w:rsid w:val="00827092"/>
    <w:rsid w:val="00827BF7"/>
    <w:rsid w:val="00827C23"/>
    <w:rsid w:val="00830431"/>
    <w:rsid w:val="00830BB9"/>
    <w:rsid w:val="00830C20"/>
    <w:rsid w:val="00830E36"/>
    <w:rsid w:val="008310BC"/>
    <w:rsid w:val="00831351"/>
    <w:rsid w:val="008313C6"/>
    <w:rsid w:val="00831A4B"/>
    <w:rsid w:val="00832B2C"/>
    <w:rsid w:val="00832F72"/>
    <w:rsid w:val="00833319"/>
    <w:rsid w:val="00833B05"/>
    <w:rsid w:val="00833D01"/>
    <w:rsid w:val="00833E33"/>
    <w:rsid w:val="00833FF4"/>
    <w:rsid w:val="00834991"/>
    <w:rsid w:val="0083501A"/>
    <w:rsid w:val="0083537D"/>
    <w:rsid w:val="00835A35"/>
    <w:rsid w:val="00835BEC"/>
    <w:rsid w:val="00835E29"/>
    <w:rsid w:val="00835FB2"/>
    <w:rsid w:val="00836252"/>
    <w:rsid w:val="008362B4"/>
    <w:rsid w:val="00837DEA"/>
    <w:rsid w:val="008407D2"/>
    <w:rsid w:val="00840B77"/>
    <w:rsid w:val="00840B89"/>
    <w:rsid w:val="00840CA2"/>
    <w:rsid w:val="0084130D"/>
    <w:rsid w:val="00841F70"/>
    <w:rsid w:val="00842989"/>
    <w:rsid w:val="00842D9F"/>
    <w:rsid w:val="0084341C"/>
    <w:rsid w:val="0084374F"/>
    <w:rsid w:val="00843BCD"/>
    <w:rsid w:val="0084449D"/>
    <w:rsid w:val="00844714"/>
    <w:rsid w:val="0084479E"/>
    <w:rsid w:val="00844A22"/>
    <w:rsid w:val="00844FCA"/>
    <w:rsid w:val="0084592D"/>
    <w:rsid w:val="00846876"/>
    <w:rsid w:val="0084723D"/>
    <w:rsid w:val="00847703"/>
    <w:rsid w:val="00847797"/>
    <w:rsid w:val="00847801"/>
    <w:rsid w:val="00847C00"/>
    <w:rsid w:val="00847DF5"/>
    <w:rsid w:val="00850145"/>
    <w:rsid w:val="008505D7"/>
    <w:rsid w:val="00850C17"/>
    <w:rsid w:val="008517CF"/>
    <w:rsid w:val="008518F9"/>
    <w:rsid w:val="00851BF3"/>
    <w:rsid w:val="008522F5"/>
    <w:rsid w:val="008528E9"/>
    <w:rsid w:val="00852ED8"/>
    <w:rsid w:val="0085309D"/>
    <w:rsid w:val="00853D75"/>
    <w:rsid w:val="00853F56"/>
    <w:rsid w:val="0085408E"/>
    <w:rsid w:val="008540C0"/>
    <w:rsid w:val="00854B95"/>
    <w:rsid w:val="00855070"/>
    <w:rsid w:val="00855420"/>
    <w:rsid w:val="0085551C"/>
    <w:rsid w:val="00855F34"/>
    <w:rsid w:val="00856016"/>
    <w:rsid w:val="00856897"/>
    <w:rsid w:val="00856E9A"/>
    <w:rsid w:val="0086068B"/>
    <w:rsid w:val="0086075D"/>
    <w:rsid w:val="00860879"/>
    <w:rsid w:val="00860C0C"/>
    <w:rsid w:val="00860C53"/>
    <w:rsid w:val="00860CB4"/>
    <w:rsid w:val="00860D95"/>
    <w:rsid w:val="0086149F"/>
    <w:rsid w:val="00861AA1"/>
    <w:rsid w:val="00861C29"/>
    <w:rsid w:val="00861D20"/>
    <w:rsid w:val="00861DA9"/>
    <w:rsid w:val="00861EF4"/>
    <w:rsid w:val="0086203B"/>
    <w:rsid w:val="00862502"/>
    <w:rsid w:val="00862CC1"/>
    <w:rsid w:val="00863401"/>
    <w:rsid w:val="0086342F"/>
    <w:rsid w:val="008639CD"/>
    <w:rsid w:val="00863EF0"/>
    <w:rsid w:val="008642A7"/>
    <w:rsid w:val="00864BC7"/>
    <w:rsid w:val="008653FE"/>
    <w:rsid w:val="0086574D"/>
    <w:rsid w:val="008660D4"/>
    <w:rsid w:val="00866C20"/>
    <w:rsid w:val="00867612"/>
    <w:rsid w:val="00867A30"/>
    <w:rsid w:val="00867B71"/>
    <w:rsid w:val="00867CF7"/>
    <w:rsid w:val="00867D31"/>
    <w:rsid w:val="008709B7"/>
    <w:rsid w:val="00871A46"/>
    <w:rsid w:val="00871FA9"/>
    <w:rsid w:val="0087249E"/>
    <w:rsid w:val="0087250F"/>
    <w:rsid w:val="00872770"/>
    <w:rsid w:val="0087277E"/>
    <w:rsid w:val="008728E9"/>
    <w:rsid w:val="00872AED"/>
    <w:rsid w:val="00872EEB"/>
    <w:rsid w:val="00873242"/>
    <w:rsid w:val="008737F8"/>
    <w:rsid w:val="00873CB6"/>
    <w:rsid w:val="008742CA"/>
    <w:rsid w:val="00874CCB"/>
    <w:rsid w:val="008750D1"/>
    <w:rsid w:val="0087520A"/>
    <w:rsid w:val="008759D4"/>
    <w:rsid w:val="00876104"/>
    <w:rsid w:val="008761FE"/>
    <w:rsid w:val="00876349"/>
    <w:rsid w:val="00876BB9"/>
    <w:rsid w:val="0087704C"/>
    <w:rsid w:val="00877371"/>
    <w:rsid w:val="00877CBE"/>
    <w:rsid w:val="0088011E"/>
    <w:rsid w:val="0088014C"/>
    <w:rsid w:val="00880238"/>
    <w:rsid w:val="0088060E"/>
    <w:rsid w:val="0088070A"/>
    <w:rsid w:val="008807BC"/>
    <w:rsid w:val="00880B94"/>
    <w:rsid w:val="0088106A"/>
    <w:rsid w:val="008814B6"/>
    <w:rsid w:val="00881606"/>
    <w:rsid w:val="0088198B"/>
    <w:rsid w:val="00881C9A"/>
    <w:rsid w:val="00882874"/>
    <w:rsid w:val="00882AF5"/>
    <w:rsid w:val="00882E3C"/>
    <w:rsid w:val="0088308A"/>
    <w:rsid w:val="00883787"/>
    <w:rsid w:val="00883984"/>
    <w:rsid w:val="00883A56"/>
    <w:rsid w:val="008855E4"/>
    <w:rsid w:val="00885698"/>
    <w:rsid w:val="00885B58"/>
    <w:rsid w:val="00885C98"/>
    <w:rsid w:val="00885F6C"/>
    <w:rsid w:val="00886CD2"/>
    <w:rsid w:val="0088755B"/>
    <w:rsid w:val="00887A32"/>
    <w:rsid w:val="00887B64"/>
    <w:rsid w:val="00890494"/>
    <w:rsid w:val="0089077B"/>
    <w:rsid w:val="0089114A"/>
    <w:rsid w:val="008914A5"/>
    <w:rsid w:val="00891762"/>
    <w:rsid w:val="00891D94"/>
    <w:rsid w:val="00891E6F"/>
    <w:rsid w:val="00891EB5"/>
    <w:rsid w:val="00892160"/>
    <w:rsid w:val="0089275D"/>
    <w:rsid w:val="008928BF"/>
    <w:rsid w:val="00892A36"/>
    <w:rsid w:val="00892B43"/>
    <w:rsid w:val="00892FA1"/>
    <w:rsid w:val="00893014"/>
    <w:rsid w:val="00893239"/>
    <w:rsid w:val="0089329C"/>
    <w:rsid w:val="008937DC"/>
    <w:rsid w:val="008938BD"/>
    <w:rsid w:val="00894130"/>
    <w:rsid w:val="0089423A"/>
    <w:rsid w:val="00894489"/>
    <w:rsid w:val="00894CD6"/>
    <w:rsid w:val="00894D85"/>
    <w:rsid w:val="00894E49"/>
    <w:rsid w:val="00895181"/>
    <w:rsid w:val="00895D38"/>
    <w:rsid w:val="008963A5"/>
    <w:rsid w:val="00896418"/>
    <w:rsid w:val="008969C2"/>
    <w:rsid w:val="00896A5B"/>
    <w:rsid w:val="00896D5D"/>
    <w:rsid w:val="008972D6"/>
    <w:rsid w:val="008A0A2C"/>
    <w:rsid w:val="008A14CE"/>
    <w:rsid w:val="008A166D"/>
    <w:rsid w:val="008A1EF1"/>
    <w:rsid w:val="008A1FC2"/>
    <w:rsid w:val="008A237F"/>
    <w:rsid w:val="008A2CF9"/>
    <w:rsid w:val="008A2E0F"/>
    <w:rsid w:val="008A2E12"/>
    <w:rsid w:val="008A2EF8"/>
    <w:rsid w:val="008A3158"/>
    <w:rsid w:val="008A330A"/>
    <w:rsid w:val="008A3363"/>
    <w:rsid w:val="008A3371"/>
    <w:rsid w:val="008A3A51"/>
    <w:rsid w:val="008A3C3E"/>
    <w:rsid w:val="008A43F8"/>
    <w:rsid w:val="008A47CA"/>
    <w:rsid w:val="008A4FDE"/>
    <w:rsid w:val="008A5A03"/>
    <w:rsid w:val="008A6315"/>
    <w:rsid w:val="008A6408"/>
    <w:rsid w:val="008A6B80"/>
    <w:rsid w:val="008A6D6E"/>
    <w:rsid w:val="008A6EDE"/>
    <w:rsid w:val="008A77C1"/>
    <w:rsid w:val="008A788C"/>
    <w:rsid w:val="008A79DE"/>
    <w:rsid w:val="008B062A"/>
    <w:rsid w:val="008B064A"/>
    <w:rsid w:val="008B0950"/>
    <w:rsid w:val="008B15AA"/>
    <w:rsid w:val="008B16EC"/>
    <w:rsid w:val="008B1733"/>
    <w:rsid w:val="008B1757"/>
    <w:rsid w:val="008B1C33"/>
    <w:rsid w:val="008B1DDF"/>
    <w:rsid w:val="008B21C3"/>
    <w:rsid w:val="008B228C"/>
    <w:rsid w:val="008B2730"/>
    <w:rsid w:val="008B278D"/>
    <w:rsid w:val="008B2E1E"/>
    <w:rsid w:val="008B33F7"/>
    <w:rsid w:val="008B38B8"/>
    <w:rsid w:val="008B43A7"/>
    <w:rsid w:val="008B4B6F"/>
    <w:rsid w:val="008B5193"/>
    <w:rsid w:val="008B57AE"/>
    <w:rsid w:val="008B57BD"/>
    <w:rsid w:val="008B585A"/>
    <w:rsid w:val="008B5926"/>
    <w:rsid w:val="008B6685"/>
    <w:rsid w:val="008B67E7"/>
    <w:rsid w:val="008B6AEF"/>
    <w:rsid w:val="008B7198"/>
    <w:rsid w:val="008B7992"/>
    <w:rsid w:val="008B7D7E"/>
    <w:rsid w:val="008C0078"/>
    <w:rsid w:val="008C01D7"/>
    <w:rsid w:val="008C02A5"/>
    <w:rsid w:val="008C03BD"/>
    <w:rsid w:val="008C09A6"/>
    <w:rsid w:val="008C0B59"/>
    <w:rsid w:val="008C1195"/>
    <w:rsid w:val="008C1294"/>
    <w:rsid w:val="008C1CBF"/>
    <w:rsid w:val="008C1EA2"/>
    <w:rsid w:val="008C22DA"/>
    <w:rsid w:val="008C2BF7"/>
    <w:rsid w:val="008C3224"/>
    <w:rsid w:val="008C32F7"/>
    <w:rsid w:val="008C35A1"/>
    <w:rsid w:val="008C47A7"/>
    <w:rsid w:val="008C495B"/>
    <w:rsid w:val="008C4CC5"/>
    <w:rsid w:val="008C4D07"/>
    <w:rsid w:val="008C52A3"/>
    <w:rsid w:val="008C54BD"/>
    <w:rsid w:val="008C5610"/>
    <w:rsid w:val="008C5739"/>
    <w:rsid w:val="008C582A"/>
    <w:rsid w:val="008C5912"/>
    <w:rsid w:val="008C5FD4"/>
    <w:rsid w:val="008C6402"/>
    <w:rsid w:val="008C6920"/>
    <w:rsid w:val="008C6E25"/>
    <w:rsid w:val="008C7282"/>
    <w:rsid w:val="008C77AB"/>
    <w:rsid w:val="008C7B2A"/>
    <w:rsid w:val="008C7CF2"/>
    <w:rsid w:val="008C7ECB"/>
    <w:rsid w:val="008C7FBF"/>
    <w:rsid w:val="008D0051"/>
    <w:rsid w:val="008D01AC"/>
    <w:rsid w:val="008D0F40"/>
    <w:rsid w:val="008D115F"/>
    <w:rsid w:val="008D1D66"/>
    <w:rsid w:val="008D1FE2"/>
    <w:rsid w:val="008D2622"/>
    <w:rsid w:val="008D3302"/>
    <w:rsid w:val="008D34E1"/>
    <w:rsid w:val="008D3B29"/>
    <w:rsid w:val="008D3B86"/>
    <w:rsid w:val="008D3EB0"/>
    <w:rsid w:val="008D3FD8"/>
    <w:rsid w:val="008D4162"/>
    <w:rsid w:val="008D43FD"/>
    <w:rsid w:val="008D4755"/>
    <w:rsid w:val="008D47DA"/>
    <w:rsid w:val="008D4C3D"/>
    <w:rsid w:val="008D5490"/>
    <w:rsid w:val="008D59F4"/>
    <w:rsid w:val="008D6868"/>
    <w:rsid w:val="008D68E9"/>
    <w:rsid w:val="008D743C"/>
    <w:rsid w:val="008D74EA"/>
    <w:rsid w:val="008D787F"/>
    <w:rsid w:val="008E0D3C"/>
    <w:rsid w:val="008E12C8"/>
    <w:rsid w:val="008E1B9E"/>
    <w:rsid w:val="008E23D3"/>
    <w:rsid w:val="008E2737"/>
    <w:rsid w:val="008E27A6"/>
    <w:rsid w:val="008E29A7"/>
    <w:rsid w:val="008E2C51"/>
    <w:rsid w:val="008E34E0"/>
    <w:rsid w:val="008E3B18"/>
    <w:rsid w:val="008E3CE2"/>
    <w:rsid w:val="008E5061"/>
    <w:rsid w:val="008E53F1"/>
    <w:rsid w:val="008E55AB"/>
    <w:rsid w:val="008E5659"/>
    <w:rsid w:val="008E6262"/>
    <w:rsid w:val="008E7157"/>
    <w:rsid w:val="008E7851"/>
    <w:rsid w:val="008E7D79"/>
    <w:rsid w:val="008E7FEC"/>
    <w:rsid w:val="008F0077"/>
    <w:rsid w:val="008F0403"/>
    <w:rsid w:val="008F07FE"/>
    <w:rsid w:val="008F120A"/>
    <w:rsid w:val="008F1289"/>
    <w:rsid w:val="008F149F"/>
    <w:rsid w:val="008F22D0"/>
    <w:rsid w:val="008F27E0"/>
    <w:rsid w:val="008F2B5D"/>
    <w:rsid w:val="008F318C"/>
    <w:rsid w:val="008F38AB"/>
    <w:rsid w:val="008F3FFE"/>
    <w:rsid w:val="008F41E1"/>
    <w:rsid w:val="008F48EB"/>
    <w:rsid w:val="008F4A17"/>
    <w:rsid w:val="008F4B3B"/>
    <w:rsid w:val="008F4D12"/>
    <w:rsid w:val="008F4F0B"/>
    <w:rsid w:val="008F5629"/>
    <w:rsid w:val="008F6CCE"/>
    <w:rsid w:val="008F704C"/>
    <w:rsid w:val="008F7D4C"/>
    <w:rsid w:val="008F7E2C"/>
    <w:rsid w:val="009004E1"/>
    <w:rsid w:val="00900707"/>
    <w:rsid w:val="00900A94"/>
    <w:rsid w:val="00900E83"/>
    <w:rsid w:val="00901091"/>
    <w:rsid w:val="009010FE"/>
    <w:rsid w:val="009013B2"/>
    <w:rsid w:val="009014B1"/>
    <w:rsid w:val="00901EB1"/>
    <w:rsid w:val="0090205D"/>
    <w:rsid w:val="0090245A"/>
    <w:rsid w:val="009024EA"/>
    <w:rsid w:val="00903099"/>
    <w:rsid w:val="00903402"/>
    <w:rsid w:val="009036C4"/>
    <w:rsid w:val="00904304"/>
    <w:rsid w:val="009044AE"/>
    <w:rsid w:val="009045EA"/>
    <w:rsid w:val="009046C4"/>
    <w:rsid w:val="009047B8"/>
    <w:rsid w:val="00904A6F"/>
    <w:rsid w:val="00904C3E"/>
    <w:rsid w:val="0090508F"/>
    <w:rsid w:val="00905608"/>
    <w:rsid w:val="00905763"/>
    <w:rsid w:val="009062A5"/>
    <w:rsid w:val="009062D1"/>
    <w:rsid w:val="00907699"/>
    <w:rsid w:val="009077E2"/>
    <w:rsid w:val="00907EBA"/>
    <w:rsid w:val="009102E8"/>
    <w:rsid w:val="0091049D"/>
    <w:rsid w:val="009106CB"/>
    <w:rsid w:val="00910FA7"/>
    <w:rsid w:val="00911272"/>
    <w:rsid w:val="00911339"/>
    <w:rsid w:val="009116FC"/>
    <w:rsid w:val="009119E7"/>
    <w:rsid w:val="0091201C"/>
    <w:rsid w:val="009135D6"/>
    <w:rsid w:val="00913A7A"/>
    <w:rsid w:val="00914855"/>
    <w:rsid w:val="00914C77"/>
    <w:rsid w:val="00914E52"/>
    <w:rsid w:val="00914F46"/>
    <w:rsid w:val="009150D6"/>
    <w:rsid w:val="009151D1"/>
    <w:rsid w:val="009151EB"/>
    <w:rsid w:val="0091564F"/>
    <w:rsid w:val="0091590D"/>
    <w:rsid w:val="0091604B"/>
    <w:rsid w:val="00917F8F"/>
    <w:rsid w:val="00917FB0"/>
    <w:rsid w:val="009201CA"/>
    <w:rsid w:val="009204A8"/>
    <w:rsid w:val="00920BC0"/>
    <w:rsid w:val="0092102A"/>
    <w:rsid w:val="00921136"/>
    <w:rsid w:val="00921177"/>
    <w:rsid w:val="009213DD"/>
    <w:rsid w:val="00921858"/>
    <w:rsid w:val="00921ACB"/>
    <w:rsid w:val="00921B9A"/>
    <w:rsid w:val="00921CB3"/>
    <w:rsid w:val="009224F2"/>
    <w:rsid w:val="00922559"/>
    <w:rsid w:val="0092299E"/>
    <w:rsid w:val="009229D0"/>
    <w:rsid w:val="00922F5D"/>
    <w:rsid w:val="009235FC"/>
    <w:rsid w:val="0092369B"/>
    <w:rsid w:val="0092378D"/>
    <w:rsid w:val="00923CE3"/>
    <w:rsid w:val="00923F13"/>
    <w:rsid w:val="00924305"/>
    <w:rsid w:val="00924994"/>
    <w:rsid w:val="00925FF2"/>
    <w:rsid w:val="009264C7"/>
    <w:rsid w:val="00926C5C"/>
    <w:rsid w:val="00926EB9"/>
    <w:rsid w:val="009306E9"/>
    <w:rsid w:val="009309BD"/>
    <w:rsid w:val="009311F8"/>
    <w:rsid w:val="00931257"/>
    <w:rsid w:val="00931335"/>
    <w:rsid w:val="00931818"/>
    <w:rsid w:val="00931CDC"/>
    <w:rsid w:val="0093232A"/>
    <w:rsid w:val="009335B5"/>
    <w:rsid w:val="00933B8D"/>
    <w:rsid w:val="00933CFF"/>
    <w:rsid w:val="00933FFA"/>
    <w:rsid w:val="00934988"/>
    <w:rsid w:val="00934DB9"/>
    <w:rsid w:val="009350D7"/>
    <w:rsid w:val="00935946"/>
    <w:rsid w:val="00935971"/>
    <w:rsid w:val="00935DF2"/>
    <w:rsid w:val="00936564"/>
    <w:rsid w:val="00936AC6"/>
    <w:rsid w:val="00936C6E"/>
    <w:rsid w:val="00937089"/>
    <w:rsid w:val="009376B3"/>
    <w:rsid w:val="00940D7C"/>
    <w:rsid w:val="0094154D"/>
    <w:rsid w:val="00941954"/>
    <w:rsid w:val="00941A48"/>
    <w:rsid w:val="0094256C"/>
    <w:rsid w:val="009431A4"/>
    <w:rsid w:val="00943663"/>
    <w:rsid w:val="00943CDA"/>
    <w:rsid w:val="00943CE5"/>
    <w:rsid w:val="00944680"/>
    <w:rsid w:val="009447C4"/>
    <w:rsid w:val="00944960"/>
    <w:rsid w:val="00944F8A"/>
    <w:rsid w:val="00945411"/>
    <w:rsid w:val="0094670F"/>
    <w:rsid w:val="0094673B"/>
    <w:rsid w:val="00946C38"/>
    <w:rsid w:val="0094766F"/>
    <w:rsid w:val="009478B2"/>
    <w:rsid w:val="00950ABE"/>
    <w:rsid w:val="009510A2"/>
    <w:rsid w:val="00951762"/>
    <w:rsid w:val="00951A24"/>
    <w:rsid w:val="00951F0B"/>
    <w:rsid w:val="00951F60"/>
    <w:rsid w:val="00951FD2"/>
    <w:rsid w:val="0095245F"/>
    <w:rsid w:val="0095254B"/>
    <w:rsid w:val="00953257"/>
    <w:rsid w:val="00953589"/>
    <w:rsid w:val="0095474C"/>
    <w:rsid w:val="00954A20"/>
    <w:rsid w:val="00954A9F"/>
    <w:rsid w:val="00954D35"/>
    <w:rsid w:val="00954D5E"/>
    <w:rsid w:val="00955171"/>
    <w:rsid w:val="009553A1"/>
    <w:rsid w:val="009553D1"/>
    <w:rsid w:val="00955723"/>
    <w:rsid w:val="00955981"/>
    <w:rsid w:val="00955F08"/>
    <w:rsid w:val="00956F92"/>
    <w:rsid w:val="009570D0"/>
    <w:rsid w:val="0095721B"/>
    <w:rsid w:val="00957772"/>
    <w:rsid w:val="0095779C"/>
    <w:rsid w:val="00957BC8"/>
    <w:rsid w:val="00957D92"/>
    <w:rsid w:val="00957DC9"/>
    <w:rsid w:val="009602BB"/>
    <w:rsid w:val="0096072D"/>
    <w:rsid w:val="00960902"/>
    <w:rsid w:val="009609FA"/>
    <w:rsid w:val="00960E77"/>
    <w:rsid w:val="00960ED0"/>
    <w:rsid w:val="00962CB9"/>
    <w:rsid w:val="00962D24"/>
    <w:rsid w:val="00962F77"/>
    <w:rsid w:val="009639F1"/>
    <w:rsid w:val="00963CCD"/>
    <w:rsid w:val="00963F7B"/>
    <w:rsid w:val="00964312"/>
    <w:rsid w:val="0096480F"/>
    <w:rsid w:val="00964841"/>
    <w:rsid w:val="00964E57"/>
    <w:rsid w:val="009653EC"/>
    <w:rsid w:val="00965AE0"/>
    <w:rsid w:val="00965B8A"/>
    <w:rsid w:val="00966A31"/>
    <w:rsid w:val="00966B8F"/>
    <w:rsid w:val="00966F0B"/>
    <w:rsid w:val="00967010"/>
    <w:rsid w:val="00967665"/>
    <w:rsid w:val="0096787D"/>
    <w:rsid w:val="00967EC9"/>
    <w:rsid w:val="009700F2"/>
    <w:rsid w:val="00970470"/>
    <w:rsid w:val="0097071F"/>
    <w:rsid w:val="00970C80"/>
    <w:rsid w:val="009717AC"/>
    <w:rsid w:val="009721A3"/>
    <w:rsid w:val="009725B0"/>
    <w:rsid w:val="00972A14"/>
    <w:rsid w:val="00972C9C"/>
    <w:rsid w:val="00972F03"/>
    <w:rsid w:val="00973EA3"/>
    <w:rsid w:val="00973F34"/>
    <w:rsid w:val="00974349"/>
    <w:rsid w:val="009743BD"/>
    <w:rsid w:val="00974FBA"/>
    <w:rsid w:val="00975193"/>
    <w:rsid w:val="009751C1"/>
    <w:rsid w:val="00975484"/>
    <w:rsid w:val="009754C3"/>
    <w:rsid w:val="009755D9"/>
    <w:rsid w:val="009760AD"/>
    <w:rsid w:val="0097624C"/>
    <w:rsid w:val="00976C73"/>
    <w:rsid w:val="00977563"/>
    <w:rsid w:val="0098010D"/>
    <w:rsid w:val="009806A7"/>
    <w:rsid w:val="009808A1"/>
    <w:rsid w:val="00980A4A"/>
    <w:rsid w:val="009811F1"/>
    <w:rsid w:val="009814DB"/>
    <w:rsid w:val="00981762"/>
    <w:rsid w:val="009818B1"/>
    <w:rsid w:val="00981945"/>
    <w:rsid w:val="00981E90"/>
    <w:rsid w:val="0098228E"/>
    <w:rsid w:val="009824E9"/>
    <w:rsid w:val="00982949"/>
    <w:rsid w:val="00982E19"/>
    <w:rsid w:val="0098367F"/>
    <w:rsid w:val="00983914"/>
    <w:rsid w:val="00983E20"/>
    <w:rsid w:val="00983E57"/>
    <w:rsid w:val="009854B1"/>
    <w:rsid w:val="00985968"/>
    <w:rsid w:val="00985DE2"/>
    <w:rsid w:val="0098612E"/>
    <w:rsid w:val="0098675D"/>
    <w:rsid w:val="00986A17"/>
    <w:rsid w:val="0098737D"/>
    <w:rsid w:val="00987524"/>
    <w:rsid w:val="009879F2"/>
    <w:rsid w:val="00987BA4"/>
    <w:rsid w:val="009903E9"/>
    <w:rsid w:val="00990E1F"/>
    <w:rsid w:val="009919B5"/>
    <w:rsid w:val="00991A89"/>
    <w:rsid w:val="00991DAE"/>
    <w:rsid w:val="0099221E"/>
    <w:rsid w:val="00992509"/>
    <w:rsid w:val="009926E0"/>
    <w:rsid w:val="00992BC7"/>
    <w:rsid w:val="0099351C"/>
    <w:rsid w:val="0099381C"/>
    <w:rsid w:val="00993CCE"/>
    <w:rsid w:val="00994167"/>
    <w:rsid w:val="009944BB"/>
    <w:rsid w:val="0099451E"/>
    <w:rsid w:val="009951E6"/>
    <w:rsid w:val="00995324"/>
    <w:rsid w:val="009957BF"/>
    <w:rsid w:val="00995825"/>
    <w:rsid w:val="0099588D"/>
    <w:rsid w:val="00996795"/>
    <w:rsid w:val="00996A6B"/>
    <w:rsid w:val="00996B1A"/>
    <w:rsid w:val="00997096"/>
    <w:rsid w:val="00997483"/>
    <w:rsid w:val="009A0488"/>
    <w:rsid w:val="009A0D37"/>
    <w:rsid w:val="009A1108"/>
    <w:rsid w:val="009A18F6"/>
    <w:rsid w:val="009A18FC"/>
    <w:rsid w:val="009A2272"/>
    <w:rsid w:val="009A22D0"/>
    <w:rsid w:val="009A2603"/>
    <w:rsid w:val="009A2763"/>
    <w:rsid w:val="009A2798"/>
    <w:rsid w:val="009A2A5B"/>
    <w:rsid w:val="009A2DCC"/>
    <w:rsid w:val="009A3332"/>
    <w:rsid w:val="009A3B85"/>
    <w:rsid w:val="009A3DE3"/>
    <w:rsid w:val="009A47C1"/>
    <w:rsid w:val="009A4AD1"/>
    <w:rsid w:val="009A4EEE"/>
    <w:rsid w:val="009A556E"/>
    <w:rsid w:val="009A5ABC"/>
    <w:rsid w:val="009A60F8"/>
    <w:rsid w:val="009A6165"/>
    <w:rsid w:val="009A683D"/>
    <w:rsid w:val="009A732B"/>
    <w:rsid w:val="009A75CD"/>
    <w:rsid w:val="009A7F10"/>
    <w:rsid w:val="009B0429"/>
    <w:rsid w:val="009B10E6"/>
    <w:rsid w:val="009B1916"/>
    <w:rsid w:val="009B2210"/>
    <w:rsid w:val="009B2680"/>
    <w:rsid w:val="009B385F"/>
    <w:rsid w:val="009B3E26"/>
    <w:rsid w:val="009B46D0"/>
    <w:rsid w:val="009B491A"/>
    <w:rsid w:val="009B4A77"/>
    <w:rsid w:val="009B54FA"/>
    <w:rsid w:val="009B56FF"/>
    <w:rsid w:val="009B5BC8"/>
    <w:rsid w:val="009B6307"/>
    <w:rsid w:val="009B6318"/>
    <w:rsid w:val="009B6404"/>
    <w:rsid w:val="009B64E7"/>
    <w:rsid w:val="009B7292"/>
    <w:rsid w:val="009B7892"/>
    <w:rsid w:val="009B7F83"/>
    <w:rsid w:val="009C068A"/>
    <w:rsid w:val="009C0C43"/>
    <w:rsid w:val="009C0D7B"/>
    <w:rsid w:val="009C0EC9"/>
    <w:rsid w:val="009C1271"/>
    <w:rsid w:val="009C1310"/>
    <w:rsid w:val="009C1536"/>
    <w:rsid w:val="009C15ED"/>
    <w:rsid w:val="009C1944"/>
    <w:rsid w:val="009C1ED7"/>
    <w:rsid w:val="009C3706"/>
    <w:rsid w:val="009C3A3A"/>
    <w:rsid w:val="009C3EB4"/>
    <w:rsid w:val="009C4169"/>
    <w:rsid w:val="009C49AD"/>
    <w:rsid w:val="009C4C26"/>
    <w:rsid w:val="009C5512"/>
    <w:rsid w:val="009C5562"/>
    <w:rsid w:val="009C5903"/>
    <w:rsid w:val="009C5B1E"/>
    <w:rsid w:val="009C5DCA"/>
    <w:rsid w:val="009C62D4"/>
    <w:rsid w:val="009C67F9"/>
    <w:rsid w:val="009C6922"/>
    <w:rsid w:val="009C6CEA"/>
    <w:rsid w:val="009C7553"/>
    <w:rsid w:val="009C755F"/>
    <w:rsid w:val="009C77EF"/>
    <w:rsid w:val="009C7B85"/>
    <w:rsid w:val="009C7F76"/>
    <w:rsid w:val="009D0254"/>
    <w:rsid w:val="009D02F3"/>
    <w:rsid w:val="009D0438"/>
    <w:rsid w:val="009D0453"/>
    <w:rsid w:val="009D1247"/>
    <w:rsid w:val="009D18B7"/>
    <w:rsid w:val="009D198F"/>
    <w:rsid w:val="009D1A64"/>
    <w:rsid w:val="009D1A86"/>
    <w:rsid w:val="009D26D3"/>
    <w:rsid w:val="009D2E25"/>
    <w:rsid w:val="009D2FBB"/>
    <w:rsid w:val="009D32CD"/>
    <w:rsid w:val="009D3343"/>
    <w:rsid w:val="009D3B46"/>
    <w:rsid w:val="009D3B62"/>
    <w:rsid w:val="009D3CEB"/>
    <w:rsid w:val="009D41D4"/>
    <w:rsid w:val="009D471A"/>
    <w:rsid w:val="009D4C68"/>
    <w:rsid w:val="009D4CA4"/>
    <w:rsid w:val="009D4FF8"/>
    <w:rsid w:val="009D5B91"/>
    <w:rsid w:val="009D5E78"/>
    <w:rsid w:val="009D67B7"/>
    <w:rsid w:val="009D6EEA"/>
    <w:rsid w:val="009D749B"/>
    <w:rsid w:val="009D792E"/>
    <w:rsid w:val="009D7EA8"/>
    <w:rsid w:val="009E0DFE"/>
    <w:rsid w:val="009E150F"/>
    <w:rsid w:val="009E1D3D"/>
    <w:rsid w:val="009E2B53"/>
    <w:rsid w:val="009E2FBE"/>
    <w:rsid w:val="009E31F6"/>
    <w:rsid w:val="009E32B3"/>
    <w:rsid w:val="009E3679"/>
    <w:rsid w:val="009E3DB1"/>
    <w:rsid w:val="009E40D5"/>
    <w:rsid w:val="009E44B3"/>
    <w:rsid w:val="009E453E"/>
    <w:rsid w:val="009E4656"/>
    <w:rsid w:val="009E4C07"/>
    <w:rsid w:val="009E4E45"/>
    <w:rsid w:val="009E51A3"/>
    <w:rsid w:val="009E590A"/>
    <w:rsid w:val="009E5F23"/>
    <w:rsid w:val="009E621D"/>
    <w:rsid w:val="009E6255"/>
    <w:rsid w:val="009E668B"/>
    <w:rsid w:val="009E66E2"/>
    <w:rsid w:val="009E68CB"/>
    <w:rsid w:val="009E6DEB"/>
    <w:rsid w:val="009E707E"/>
    <w:rsid w:val="009E751E"/>
    <w:rsid w:val="009E777F"/>
    <w:rsid w:val="009F0379"/>
    <w:rsid w:val="009F03DC"/>
    <w:rsid w:val="009F0C30"/>
    <w:rsid w:val="009F0F5C"/>
    <w:rsid w:val="009F13CE"/>
    <w:rsid w:val="009F27D4"/>
    <w:rsid w:val="009F2B52"/>
    <w:rsid w:val="009F3768"/>
    <w:rsid w:val="009F398A"/>
    <w:rsid w:val="009F4363"/>
    <w:rsid w:val="009F44CB"/>
    <w:rsid w:val="009F4A18"/>
    <w:rsid w:val="009F4A69"/>
    <w:rsid w:val="009F6120"/>
    <w:rsid w:val="009F618A"/>
    <w:rsid w:val="009F65C4"/>
    <w:rsid w:val="009F66CE"/>
    <w:rsid w:val="009F66E0"/>
    <w:rsid w:val="009F747D"/>
    <w:rsid w:val="009F7588"/>
    <w:rsid w:val="009F778A"/>
    <w:rsid w:val="009F78BA"/>
    <w:rsid w:val="009F7B40"/>
    <w:rsid w:val="009F7B6D"/>
    <w:rsid w:val="009F7BB5"/>
    <w:rsid w:val="00A00109"/>
    <w:rsid w:val="00A007B1"/>
    <w:rsid w:val="00A0093F"/>
    <w:rsid w:val="00A00AE8"/>
    <w:rsid w:val="00A00D76"/>
    <w:rsid w:val="00A00E44"/>
    <w:rsid w:val="00A01184"/>
    <w:rsid w:val="00A01449"/>
    <w:rsid w:val="00A01DA6"/>
    <w:rsid w:val="00A0219E"/>
    <w:rsid w:val="00A023AB"/>
    <w:rsid w:val="00A02914"/>
    <w:rsid w:val="00A02DA5"/>
    <w:rsid w:val="00A03190"/>
    <w:rsid w:val="00A0331F"/>
    <w:rsid w:val="00A037C2"/>
    <w:rsid w:val="00A03D43"/>
    <w:rsid w:val="00A04380"/>
    <w:rsid w:val="00A046A7"/>
    <w:rsid w:val="00A04786"/>
    <w:rsid w:val="00A04AFA"/>
    <w:rsid w:val="00A04DC6"/>
    <w:rsid w:val="00A052BA"/>
    <w:rsid w:val="00A05415"/>
    <w:rsid w:val="00A05472"/>
    <w:rsid w:val="00A05C32"/>
    <w:rsid w:val="00A0635B"/>
    <w:rsid w:val="00A0653F"/>
    <w:rsid w:val="00A06722"/>
    <w:rsid w:val="00A06A42"/>
    <w:rsid w:val="00A06B16"/>
    <w:rsid w:val="00A073F9"/>
    <w:rsid w:val="00A07DBA"/>
    <w:rsid w:val="00A10401"/>
    <w:rsid w:val="00A10470"/>
    <w:rsid w:val="00A10D16"/>
    <w:rsid w:val="00A11CD0"/>
    <w:rsid w:val="00A135B8"/>
    <w:rsid w:val="00A136D2"/>
    <w:rsid w:val="00A13787"/>
    <w:rsid w:val="00A13948"/>
    <w:rsid w:val="00A1550E"/>
    <w:rsid w:val="00A1555B"/>
    <w:rsid w:val="00A155C5"/>
    <w:rsid w:val="00A15796"/>
    <w:rsid w:val="00A15947"/>
    <w:rsid w:val="00A15A90"/>
    <w:rsid w:val="00A1650C"/>
    <w:rsid w:val="00A166B6"/>
    <w:rsid w:val="00A16A67"/>
    <w:rsid w:val="00A16AD8"/>
    <w:rsid w:val="00A16F70"/>
    <w:rsid w:val="00A17254"/>
    <w:rsid w:val="00A172CA"/>
    <w:rsid w:val="00A20081"/>
    <w:rsid w:val="00A2021E"/>
    <w:rsid w:val="00A2046F"/>
    <w:rsid w:val="00A2051D"/>
    <w:rsid w:val="00A20662"/>
    <w:rsid w:val="00A21191"/>
    <w:rsid w:val="00A211E1"/>
    <w:rsid w:val="00A2154E"/>
    <w:rsid w:val="00A21745"/>
    <w:rsid w:val="00A21939"/>
    <w:rsid w:val="00A21C95"/>
    <w:rsid w:val="00A21CF3"/>
    <w:rsid w:val="00A22FBF"/>
    <w:rsid w:val="00A23768"/>
    <w:rsid w:val="00A2434F"/>
    <w:rsid w:val="00A24813"/>
    <w:rsid w:val="00A248E5"/>
    <w:rsid w:val="00A24C69"/>
    <w:rsid w:val="00A25070"/>
    <w:rsid w:val="00A2571E"/>
    <w:rsid w:val="00A257D7"/>
    <w:rsid w:val="00A257E5"/>
    <w:rsid w:val="00A25880"/>
    <w:rsid w:val="00A269EF"/>
    <w:rsid w:val="00A26AA0"/>
    <w:rsid w:val="00A26D89"/>
    <w:rsid w:val="00A27AEC"/>
    <w:rsid w:val="00A30043"/>
    <w:rsid w:val="00A30AA5"/>
    <w:rsid w:val="00A31441"/>
    <w:rsid w:val="00A31AE7"/>
    <w:rsid w:val="00A320DB"/>
    <w:rsid w:val="00A32999"/>
    <w:rsid w:val="00A32EA4"/>
    <w:rsid w:val="00A332E6"/>
    <w:rsid w:val="00A3390E"/>
    <w:rsid w:val="00A33AC4"/>
    <w:rsid w:val="00A33B04"/>
    <w:rsid w:val="00A33E36"/>
    <w:rsid w:val="00A3410F"/>
    <w:rsid w:val="00A350B6"/>
    <w:rsid w:val="00A35159"/>
    <w:rsid w:val="00A35306"/>
    <w:rsid w:val="00A355C7"/>
    <w:rsid w:val="00A35C1C"/>
    <w:rsid w:val="00A35D16"/>
    <w:rsid w:val="00A35E83"/>
    <w:rsid w:val="00A368BA"/>
    <w:rsid w:val="00A3699B"/>
    <w:rsid w:val="00A37289"/>
    <w:rsid w:val="00A376C7"/>
    <w:rsid w:val="00A37A38"/>
    <w:rsid w:val="00A37BCD"/>
    <w:rsid w:val="00A37CAE"/>
    <w:rsid w:val="00A408F1"/>
    <w:rsid w:val="00A41689"/>
    <w:rsid w:val="00A42360"/>
    <w:rsid w:val="00A42592"/>
    <w:rsid w:val="00A43128"/>
    <w:rsid w:val="00A43C59"/>
    <w:rsid w:val="00A446B9"/>
    <w:rsid w:val="00A447D8"/>
    <w:rsid w:val="00A45144"/>
    <w:rsid w:val="00A451F4"/>
    <w:rsid w:val="00A45384"/>
    <w:rsid w:val="00A45616"/>
    <w:rsid w:val="00A45946"/>
    <w:rsid w:val="00A461B3"/>
    <w:rsid w:val="00A46A28"/>
    <w:rsid w:val="00A46C0B"/>
    <w:rsid w:val="00A47283"/>
    <w:rsid w:val="00A472B5"/>
    <w:rsid w:val="00A474BF"/>
    <w:rsid w:val="00A47736"/>
    <w:rsid w:val="00A47EE7"/>
    <w:rsid w:val="00A5089F"/>
    <w:rsid w:val="00A50A07"/>
    <w:rsid w:val="00A50ECD"/>
    <w:rsid w:val="00A518F3"/>
    <w:rsid w:val="00A52729"/>
    <w:rsid w:val="00A52F06"/>
    <w:rsid w:val="00A52F17"/>
    <w:rsid w:val="00A53675"/>
    <w:rsid w:val="00A5456A"/>
    <w:rsid w:val="00A54661"/>
    <w:rsid w:val="00A550B7"/>
    <w:rsid w:val="00A5564D"/>
    <w:rsid w:val="00A564D7"/>
    <w:rsid w:val="00A56B6A"/>
    <w:rsid w:val="00A56F55"/>
    <w:rsid w:val="00A575CE"/>
    <w:rsid w:val="00A57602"/>
    <w:rsid w:val="00A5777C"/>
    <w:rsid w:val="00A578DC"/>
    <w:rsid w:val="00A600F0"/>
    <w:rsid w:val="00A601E8"/>
    <w:rsid w:val="00A60FAB"/>
    <w:rsid w:val="00A61566"/>
    <w:rsid w:val="00A621E6"/>
    <w:rsid w:val="00A6294F"/>
    <w:rsid w:val="00A62A7C"/>
    <w:rsid w:val="00A63763"/>
    <w:rsid w:val="00A637FE"/>
    <w:rsid w:val="00A63AC3"/>
    <w:rsid w:val="00A640E2"/>
    <w:rsid w:val="00A6418D"/>
    <w:rsid w:val="00A64D65"/>
    <w:rsid w:val="00A64E48"/>
    <w:rsid w:val="00A653A0"/>
    <w:rsid w:val="00A65921"/>
    <w:rsid w:val="00A6643C"/>
    <w:rsid w:val="00A6725B"/>
    <w:rsid w:val="00A6783C"/>
    <w:rsid w:val="00A67990"/>
    <w:rsid w:val="00A70605"/>
    <w:rsid w:val="00A70750"/>
    <w:rsid w:val="00A7133A"/>
    <w:rsid w:val="00A71658"/>
    <w:rsid w:val="00A71A2E"/>
    <w:rsid w:val="00A71BA5"/>
    <w:rsid w:val="00A71EA8"/>
    <w:rsid w:val="00A72479"/>
    <w:rsid w:val="00A728B3"/>
    <w:rsid w:val="00A73134"/>
    <w:rsid w:val="00A7346D"/>
    <w:rsid w:val="00A735B5"/>
    <w:rsid w:val="00A7365A"/>
    <w:rsid w:val="00A73771"/>
    <w:rsid w:val="00A745D3"/>
    <w:rsid w:val="00A75059"/>
    <w:rsid w:val="00A7592C"/>
    <w:rsid w:val="00A76001"/>
    <w:rsid w:val="00A76C4B"/>
    <w:rsid w:val="00A76E3E"/>
    <w:rsid w:val="00A777B2"/>
    <w:rsid w:val="00A7781D"/>
    <w:rsid w:val="00A77AF1"/>
    <w:rsid w:val="00A804E5"/>
    <w:rsid w:val="00A80A4C"/>
    <w:rsid w:val="00A81357"/>
    <w:rsid w:val="00A81D8A"/>
    <w:rsid w:val="00A820F8"/>
    <w:rsid w:val="00A82536"/>
    <w:rsid w:val="00A825D4"/>
    <w:rsid w:val="00A828F6"/>
    <w:rsid w:val="00A8291C"/>
    <w:rsid w:val="00A82B73"/>
    <w:rsid w:val="00A82C90"/>
    <w:rsid w:val="00A8385F"/>
    <w:rsid w:val="00A83A50"/>
    <w:rsid w:val="00A83DF1"/>
    <w:rsid w:val="00A843EE"/>
    <w:rsid w:val="00A85806"/>
    <w:rsid w:val="00A85BBD"/>
    <w:rsid w:val="00A86472"/>
    <w:rsid w:val="00A86E8B"/>
    <w:rsid w:val="00A87164"/>
    <w:rsid w:val="00A871A9"/>
    <w:rsid w:val="00A87CF5"/>
    <w:rsid w:val="00A90467"/>
    <w:rsid w:val="00A90796"/>
    <w:rsid w:val="00A91046"/>
    <w:rsid w:val="00A9145C"/>
    <w:rsid w:val="00A91FBC"/>
    <w:rsid w:val="00A92663"/>
    <w:rsid w:val="00A93072"/>
    <w:rsid w:val="00A93721"/>
    <w:rsid w:val="00A938BD"/>
    <w:rsid w:val="00A938BE"/>
    <w:rsid w:val="00A93953"/>
    <w:rsid w:val="00A93CEA"/>
    <w:rsid w:val="00A94080"/>
    <w:rsid w:val="00A94142"/>
    <w:rsid w:val="00A94984"/>
    <w:rsid w:val="00A9559E"/>
    <w:rsid w:val="00A9580B"/>
    <w:rsid w:val="00A959D8"/>
    <w:rsid w:val="00A95CB5"/>
    <w:rsid w:val="00A96991"/>
    <w:rsid w:val="00A970A6"/>
    <w:rsid w:val="00A97453"/>
    <w:rsid w:val="00A979EF"/>
    <w:rsid w:val="00A97EA5"/>
    <w:rsid w:val="00AA025D"/>
    <w:rsid w:val="00AA030E"/>
    <w:rsid w:val="00AA0650"/>
    <w:rsid w:val="00AA0AF8"/>
    <w:rsid w:val="00AA113D"/>
    <w:rsid w:val="00AA1149"/>
    <w:rsid w:val="00AA194F"/>
    <w:rsid w:val="00AA1E7E"/>
    <w:rsid w:val="00AA2012"/>
    <w:rsid w:val="00AA20C8"/>
    <w:rsid w:val="00AA21D0"/>
    <w:rsid w:val="00AA24F3"/>
    <w:rsid w:val="00AA2670"/>
    <w:rsid w:val="00AA2866"/>
    <w:rsid w:val="00AA3477"/>
    <w:rsid w:val="00AA3724"/>
    <w:rsid w:val="00AA43E4"/>
    <w:rsid w:val="00AA49AC"/>
    <w:rsid w:val="00AA4A75"/>
    <w:rsid w:val="00AA4BF8"/>
    <w:rsid w:val="00AA5BE8"/>
    <w:rsid w:val="00AA5D33"/>
    <w:rsid w:val="00AA5F89"/>
    <w:rsid w:val="00AA612F"/>
    <w:rsid w:val="00AA6549"/>
    <w:rsid w:val="00AA6A3F"/>
    <w:rsid w:val="00AA6BD5"/>
    <w:rsid w:val="00AA6BD8"/>
    <w:rsid w:val="00AA6C7D"/>
    <w:rsid w:val="00AA6DFF"/>
    <w:rsid w:val="00AA74E1"/>
    <w:rsid w:val="00AA7651"/>
    <w:rsid w:val="00AA7FD6"/>
    <w:rsid w:val="00AB031F"/>
    <w:rsid w:val="00AB042A"/>
    <w:rsid w:val="00AB11AD"/>
    <w:rsid w:val="00AB19EF"/>
    <w:rsid w:val="00AB2495"/>
    <w:rsid w:val="00AB26D6"/>
    <w:rsid w:val="00AB2729"/>
    <w:rsid w:val="00AB2B78"/>
    <w:rsid w:val="00AB2D34"/>
    <w:rsid w:val="00AB31D6"/>
    <w:rsid w:val="00AB3430"/>
    <w:rsid w:val="00AB37B3"/>
    <w:rsid w:val="00AB37B9"/>
    <w:rsid w:val="00AB38DE"/>
    <w:rsid w:val="00AB40C7"/>
    <w:rsid w:val="00AB4732"/>
    <w:rsid w:val="00AB49B8"/>
    <w:rsid w:val="00AB4AD1"/>
    <w:rsid w:val="00AB4BDC"/>
    <w:rsid w:val="00AB4FBF"/>
    <w:rsid w:val="00AB536C"/>
    <w:rsid w:val="00AB5E07"/>
    <w:rsid w:val="00AB62DD"/>
    <w:rsid w:val="00AB63E2"/>
    <w:rsid w:val="00AB6A2D"/>
    <w:rsid w:val="00AB72F3"/>
    <w:rsid w:val="00AB772F"/>
    <w:rsid w:val="00AB7A81"/>
    <w:rsid w:val="00AB7CFA"/>
    <w:rsid w:val="00AB7D9F"/>
    <w:rsid w:val="00AC068F"/>
    <w:rsid w:val="00AC1507"/>
    <w:rsid w:val="00AC1E06"/>
    <w:rsid w:val="00AC1F50"/>
    <w:rsid w:val="00AC232C"/>
    <w:rsid w:val="00AC2346"/>
    <w:rsid w:val="00AC2ED3"/>
    <w:rsid w:val="00AC30A6"/>
    <w:rsid w:val="00AC3365"/>
    <w:rsid w:val="00AC4100"/>
    <w:rsid w:val="00AC418A"/>
    <w:rsid w:val="00AC4E50"/>
    <w:rsid w:val="00AC554F"/>
    <w:rsid w:val="00AC5680"/>
    <w:rsid w:val="00AC5A84"/>
    <w:rsid w:val="00AC5B42"/>
    <w:rsid w:val="00AC5B48"/>
    <w:rsid w:val="00AC5BC1"/>
    <w:rsid w:val="00AC6960"/>
    <w:rsid w:val="00AC6ADF"/>
    <w:rsid w:val="00AC77F3"/>
    <w:rsid w:val="00AC7EE8"/>
    <w:rsid w:val="00AD0813"/>
    <w:rsid w:val="00AD1260"/>
    <w:rsid w:val="00AD1450"/>
    <w:rsid w:val="00AD15E8"/>
    <w:rsid w:val="00AD16D7"/>
    <w:rsid w:val="00AD17D5"/>
    <w:rsid w:val="00AD1927"/>
    <w:rsid w:val="00AD28C5"/>
    <w:rsid w:val="00AD2A42"/>
    <w:rsid w:val="00AD2F9A"/>
    <w:rsid w:val="00AD356D"/>
    <w:rsid w:val="00AD376A"/>
    <w:rsid w:val="00AD377B"/>
    <w:rsid w:val="00AD3999"/>
    <w:rsid w:val="00AD3FC2"/>
    <w:rsid w:val="00AD40DB"/>
    <w:rsid w:val="00AD4300"/>
    <w:rsid w:val="00AD4BDD"/>
    <w:rsid w:val="00AD52EB"/>
    <w:rsid w:val="00AD6502"/>
    <w:rsid w:val="00AD67E1"/>
    <w:rsid w:val="00AE0695"/>
    <w:rsid w:val="00AE0908"/>
    <w:rsid w:val="00AE0C77"/>
    <w:rsid w:val="00AE0EEC"/>
    <w:rsid w:val="00AE0F7E"/>
    <w:rsid w:val="00AE1202"/>
    <w:rsid w:val="00AE12A7"/>
    <w:rsid w:val="00AE2C92"/>
    <w:rsid w:val="00AE2FE5"/>
    <w:rsid w:val="00AE30BE"/>
    <w:rsid w:val="00AE3346"/>
    <w:rsid w:val="00AE33B3"/>
    <w:rsid w:val="00AE3565"/>
    <w:rsid w:val="00AE3628"/>
    <w:rsid w:val="00AE3E7E"/>
    <w:rsid w:val="00AE3FF6"/>
    <w:rsid w:val="00AE41ED"/>
    <w:rsid w:val="00AE50D7"/>
    <w:rsid w:val="00AE6040"/>
    <w:rsid w:val="00AE62C1"/>
    <w:rsid w:val="00AE656F"/>
    <w:rsid w:val="00AE6CDE"/>
    <w:rsid w:val="00AE78AF"/>
    <w:rsid w:val="00AE7E53"/>
    <w:rsid w:val="00AF003C"/>
    <w:rsid w:val="00AF0929"/>
    <w:rsid w:val="00AF096C"/>
    <w:rsid w:val="00AF0D4B"/>
    <w:rsid w:val="00AF12C4"/>
    <w:rsid w:val="00AF1315"/>
    <w:rsid w:val="00AF15D5"/>
    <w:rsid w:val="00AF1877"/>
    <w:rsid w:val="00AF192C"/>
    <w:rsid w:val="00AF19BF"/>
    <w:rsid w:val="00AF1F71"/>
    <w:rsid w:val="00AF239D"/>
    <w:rsid w:val="00AF2DC3"/>
    <w:rsid w:val="00AF2E93"/>
    <w:rsid w:val="00AF346B"/>
    <w:rsid w:val="00AF38CF"/>
    <w:rsid w:val="00AF38D9"/>
    <w:rsid w:val="00AF38E7"/>
    <w:rsid w:val="00AF3C6E"/>
    <w:rsid w:val="00AF48AA"/>
    <w:rsid w:val="00AF56A1"/>
    <w:rsid w:val="00AF574A"/>
    <w:rsid w:val="00AF6275"/>
    <w:rsid w:val="00AF6493"/>
    <w:rsid w:val="00AF6709"/>
    <w:rsid w:val="00AF6EAE"/>
    <w:rsid w:val="00B006D1"/>
    <w:rsid w:val="00B00719"/>
    <w:rsid w:val="00B00AC3"/>
    <w:rsid w:val="00B012E8"/>
    <w:rsid w:val="00B015C2"/>
    <w:rsid w:val="00B0160B"/>
    <w:rsid w:val="00B01C13"/>
    <w:rsid w:val="00B02952"/>
    <w:rsid w:val="00B029A5"/>
    <w:rsid w:val="00B02F23"/>
    <w:rsid w:val="00B033E5"/>
    <w:rsid w:val="00B03A63"/>
    <w:rsid w:val="00B03B15"/>
    <w:rsid w:val="00B04077"/>
    <w:rsid w:val="00B04D4D"/>
    <w:rsid w:val="00B054E9"/>
    <w:rsid w:val="00B05A4D"/>
    <w:rsid w:val="00B06273"/>
    <w:rsid w:val="00B062FD"/>
    <w:rsid w:val="00B0674A"/>
    <w:rsid w:val="00B068B2"/>
    <w:rsid w:val="00B0707F"/>
    <w:rsid w:val="00B07701"/>
    <w:rsid w:val="00B10058"/>
    <w:rsid w:val="00B104DD"/>
    <w:rsid w:val="00B1057B"/>
    <w:rsid w:val="00B106C4"/>
    <w:rsid w:val="00B1077C"/>
    <w:rsid w:val="00B109E0"/>
    <w:rsid w:val="00B1112C"/>
    <w:rsid w:val="00B1120E"/>
    <w:rsid w:val="00B112B9"/>
    <w:rsid w:val="00B11472"/>
    <w:rsid w:val="00B11583"/>
    <w:rsid w:val="00B118C3"/>
    <w:rsid w:val="00B1231B"/>
    <w:rsid w:val="00B1256F"/>
    <w:rsid w:val="00B12898"/>
    <w:rsid w:val="00B129A4"/>
    <w:rsid w:val="00B12AB0"/>
    <w:rsid w:val="00B132B2"/>
    <w:rsid w:val="00B13AD3"/>
    <w:rsid w:val="00B13DC3"/>
    <w:rsid w:val="00B16022"/>
    <w:rsid w:val="00B1662E"/>
    <w:rsid w:val="00B166EF"/>
    <w:rsid w:val="00B16B74"/>
    <w:rsid w:val="00B17602"/>
    <w:rsid w:val="00B17801"/>
    <w:rsid w:val="00B17BA2"/>
    <w:rsid w:val="00B201A4"/>
    <w:rsid w:val="00B201D1"/>
    <w:rsid w:val="00B20779"/>
    <w:rsid w:val="00B20C4E"/>
    <w:rsid w:val="00B21359"/>
    <w:rsid w:val="00B213A6"/>
    <w:rsid w:val="00B21CB4"/>
    <w:rsid w:val="00B2217D"/>
    <w:rsid w:val="00B2220E"/>
    <w:rsid w:val="00B22A58"/>
    <w:rsid w:val="00B233FA"/>
    <w:rsid w:val="00B235B0"/>
    <w:rsid w:val="00B23D1A"/>
    <w:rsid w:val="00B2441E"/>
    <w:rsid w:val="00B244A8"/>
    <w:rsid w:val="00B244F9"/>
    <w:rsid w:val="00B24DF6"/>
    <w:rsid w:val="00B25614"/>
    <w:rsid w:val="00B25E84"/>
    <w:rsid w:val="00B25EA8"/>
    <w:rsid w:val="00B2662B"/>
    <w:rsid w:val="00B27A61"/>
    <w:rsid w:val="00B305DA"/>
    <w:rsid w:val="00B30734"/>
    <w:rsid w:val="00B309AE"/>
    <w:rsid w:val="00B312FD"/>
    <w:rsid w:val="00B3134C"/>
    <w:rsid w:val="00B317FD"/>
    <w:rsid w:val="00B318BF"/>
    <w:rsid w:val="00B31D5E"/>
    <w:rsid w:val="00B32063"/>
    <w:rsid w:val="00B320CB"/>
    <w:rsid w:val="00B32166"/>
    <w:rsid w:val="00B329BA"/>
    <w:rsid w:val="00B33136"/>
    <w:rsid w:val="00B33220"/>
    <w:rsid w:val="00B33CE7"/>
    <w:rsid w:val="00B33D3C"/>
    <w:rsid w:val="00B33FB4"/>
    <w:rsid w:val="00B34663"/>
    <w:rsid w:val="00B34846"/>
    <w:rsid w:val="00B34EA5"/>
    <w:rsid w:val="00B34FE2"/>
    <w:rsid w:val="00B35166"/>
    <w:rsid w:val="00B35469"/>
    <w:rsid w:val="00B357D8"/>
    <w:rsid w:val="00B360F4"/>
    <w:rsid w:val="00B36A00"/>
    <w:rsid w:val="00B36EF8"/>
    <w:rsid w:val="00B3776E"/>
    <w:rsid w:val="00B3785E"/>
    <w:rsid w:val="00B3792B"/>
    <w:rsid w:val="00B37BFC"/>
    <w:rsid w:val="00B40358"/>
    <w:rsid w:val="00B4058A"/>
    <w:rsid w:val="00B40FE7"/>
    <w:rsid w:val="00B41544"/>
    <w:rsid w:val="00B41614"/>
    <w:rsid w:val="00B41DBC"/>
    <w:rsid w:val="00B41F57"/>
    <w:rsid w:val="00B42851"/>
    <w:rsid w:val="00B4298D"/>
    <w:rsid w:val="00B429C1"/>
    <w:rsid w:val="00B42F10"/>
    <w:rsid w:val="00B42F80"/>
    <w:rsid w:val="00B435CB"/>
    <w:rsid w:val="00B436A7"/>
    <w:rsid w:val="00B4382F"/>
    <w:rsid w:val="00B438A3"/>
    <w:rsid w:val="00B43CAA"/>
    <w:rsid w:val="00B43FD9"/>
    <w:rsid w:val="00B4436D"/>
    <w:rsid w:val="00B4457A"/>
    <w:rsid w:val="00B4460A"/>
    <w:rsid w:val="00B4499E"/>
    <w:rsid w:val="00B450ED"/>
    <w:rsid w:val="00B461F6"/>
    <w:rsid w:val="00B465EC"/>
    <w:rsid w:val="00B46735"/>
    <w:rsid w:val="00B467C2"/>
    <w:rsid w:val="00B46970"/>
    <w:rsid w:val="00B46B7B"/>
    <w:rsid w:val="00B46B83"/>
    <w:rsid w:val="00B46F07"/>
    <w:rsid w:val="00B47301"/>
    <w:rsid w:val="00B475A9"/>
    <w:rsid w:val="00B5053F"/>
    <w:rsid w:val="00B505C8"/>
    <w:rsid w:val="00B5073C"/>
    <w:rsid w:val="00B50DB8"/>
    <w:rsid w:val="00B50E73"/>
    <w:rsid w:val="00B51332"/>
    <w:rsid w:val="00B51B28"/>
    <w:rsid w:val="00B51DFD"/>
    <w:rsid w:val="00B526C3"/>
    <w:rsid w:val="00B52728"/>
    <w:rsid w:val="00B52C46"/>
    <w:rsid w:val="00B531B5"/>
    <w:rsid w:val="00B5362B"/>
    <w:rsid w:val="00B53654"/>
    <w:rsid w:val="00B5369C"/>
    <w:rsid w:val="00B53905"/>
    <w:rsid w:val="00B53F50"/>
    <w:rsid w:val="00B53FCF"/>
    <w:rsid w:val="00B540ED"/>
    <w:rsid w:val="00B5437A"/>
    <w:rsid w:val="00B546DB"/>
    <w:rsid w:val="00B547B2"/>
    <w:rsid w:val="00B54B5B"/>
    <w:rsid w:val="00B55167"/>
    <w:rsid w:val="00B5562E"/>
    <w:rsid w:val="00B556EE"/>
    <w:rsid w:val="00B55862"/>
    <w:rsid w:val="00B55D65"/>
    <w:rsid w:val="00B55F21"/>
    <w:rsid w:val="00B56305"/>
    <w:rsid w:val="00B57000"/>
    <w:rsid w:val="00B60939"/>
    <w:rsid w:val="00B60AFD"/>
    <w:rsid w:val="00B60D18"/>
    <w:rsid w:val="00B61067"/>
    <w:rsid w:val="00B61B65"/>
    <w:rsid w:val="00B62715"/>
    <w:rsid w:val="00B63002"/>
    <w:rsid w:val="00B63A5A"/>
    <w:rsid w:val="00B644C9"/>
    <w:rsid w:val="00B65358"/>
    <w:rsid w:val="00B65611"/>
    <w:rsid w:val="00B65774"/>
    <w:rsid w:val="00B6598C"/>
    <w:rsid w:val="00B65C4D"/>
    <w:rsid w:val="00B664A4"/>
    <w:rsid w:val="00B66814"/>
    <w:rsid w:val="00B67902"/>
    <w:rsid w:val="00B67A81"/>
    <w:rsid w:val="00B67DD7"/>
    <w:rsid w:val="00B67F71"/>
    <w:rsid w:val="00B67FE5"/>
    <w:rsid w:val="00B701C3"/>
    <w:rsid w:val="00B70850"/>
    <w:rsid w:val="00B70A6E"/>
    <w:rsid w:val="00B70E8E"/>
    <w:rsid w:val="00B7100D"/>
    <w:rsid w:val="00B71051"/>
    <w:rsid w:val="00B715F9"/>
    <w:rsid w:val="00B721CF"/>
    <w:rsid w:val="00B72362"/>
    <w:rsid w:val="00B72CB0"/>
    <w:rsid w:val="00B73227"/>
    <w:rsid w:val="00B73941"/>
    <w:rsid w:val="00B75234"/>
    <w:rsid w:val="00B755B8"/>
    <w:rsid w:val="00B7664A"/>
    <w:rsid w:val="00B76C34"/>
    <w:rsid w:val="00B76C92"/>
    <w:rsid w:val="00B7791F"/>
    <w:rsid w:val="00B77967"/>
    <w:rsid w:val="00B80063"/>
    <w:rsid w:val="00B802A2"/>
    <w:rsid w:val="00B802CB"/>
    <w:rsid w:val="00B80EFD"/>
    <w:rsid w:val="00B81792"/>
    <w:rsid w:val="00B818A4"/>
    <w:rsid w:val="00B81EED"/>
    <w:rsid w:val="00B81F74"/>
    <w:rsid w:val="00B8324B"/>
    <w:rsid w:val="00B8335A"/>
    <w:rsid w:val="00B8339F"/>
    <w:rsid w:val="00B83424"/>
    <w:rsid w:val="00B83739"/>
    <w:rsid w:val="00B83C6B"/>
    <w:rsid w:val="00B83CEF"/>
    <w:rsid w:val="00B83DD4"/>
    <w:rsid w:val="00B84117"/>
    <w:rsid w:val="00B855D2"/>
    <w:rsid w:val="00B858F0"/>
    <w:rsid w:val="00B85AA2"/>
    <w:rsid w:val="00B85E8B"/>
    <w:rsid w:val="00B862A3"/>
    <w:rsid w:val="00B8649C"/>
    <w:rsid w:val="00B8695D"/>
    <w:rsid w:val="00B87036"/>
    <w:rsid w:val="00B8715E"/>
    <w:rsid w:val="00B876B7"/>
    <w:rsid w:val="00B877A9"/>
    <w:rsid w:val="00B87F0A"/>
    <w:rsid w:val="00B9017F"/>
    <w:rsid w:val="00B90B86"/>
    <w:rsid w:val="00B90C19"/>
    <w:rsid w:val="00B90FEF"/>
    <w:rsid w:val="00B91981"/>
    <w:rsid w:val="00B92111"/>
    <w:rsid w:val="00B92D0B"/>
    <w:rsid w:val="00B93995"/>
    <w:rsid w:val="00B93AE3"/>
    <w:rsid w:val="00B945AF"/>
    <w:rsid w:val="00B94945"/>
    <w:rsid w:val="00B94DD6"/>
    <w:rsid w:val="00B94E46"/>
    <w:rsid w:val="00B959F6"/>
    <w:rsid w:val="00B95B8A"/>
    <w:rsid w:val="00B960B5"/>
    <w:rsid w:val="00B96106"/>
    <w:rsid w:val="00B96FD6"/>
    <w:rsid w:val="00B97107"/>
    <w:rsid w:val="00B97226"/>
    <w:rsid w:val="00BA040A"/>
    <w:rsid w:val="00BA0C63"/>
    <w:rsid w:val="00BA12F8"/>
    <w:rsid w:val="00BA1B0E"/>
    <w:rsid w:val="00BA283F"/>
    <w:rsid w:val="00BA28ED"/>
    <w:rsid w:val="00BA2BF1"/>
    <w:rsid w:val="00BA3222"/>
    <w:rsid w:val="00BA322D"/>
    <w:rsid w:val="00BA3261"/>
    <w:rsid w:val="00BA36CE"/>
    <w:rsid w:val="00BA471A"/>
    <w:rsid w:val="00BA473A"/>
    <w:rsid w:val="00BA47BB"/>
    <w:rsid w:val="00BA50E2"/>
    <w:rsid w:val="00BA56EA"/>
    <w:rsid w:val="00BA5ACF"/>
    <w:rsid w:val="00BA5D82"/>
    <w:rsid w:val="00BA63FA"/>
    <w:rsid w:val="00BA712B"/>
    <w:rsid w:val="00BA71BB"/>
    <w:rsid w:val="00BA7397"/>
    <w:rsid w:val="00BA764E"/>
    <w:rsid w:val="00BA7BE0"/>
    <w:rsid w:val="00BB00B3"/>
    <w:rsid w:val="00BB03AF"/>
    <w:rsid w:val="00BB0765"/>
    <w:rsid w:val="00BB0BDD"/>
    <w:rsid w:val="00BB0C25"/>
    <w:rsid w:val="00BB0DCA"/>
    <w:rsid w:val="00BB176C"/>
    <w:rsid w:val="00BB2084"/>
    <w:rsid w:val="00BB257B"/>
    <w:rsid w:val="00BB2656"/>
    <w:rsid w:val="00BB2A73"/>
    <w:rsid w:val="00BB2D63"/>
    <w:rsid w:val="00BB2D6E"/>
    <w:rsid w:val="00BB3997"/>
    <w:rsid w:val="00BB3A45"/>
    <w:rsid w:val="00BB3D42"/>
    <w:rsid w:val="00BB3D87"/>
    <w:rsid w:val="00BB4700"/>
    <w:rsid w:val="00BB4ACC"/>
    <w:rsid w:val="00BB4AD5"/>
    <w:rsid w:val="00BB4CC3"/>
    <w:rsid w:val="00BB4F57"/>
    <w:rsid w:val="00BB4FC2"/>
    <w:rsid w:val="00BB54DF"/>
    <w:rsid w:val="00BB5CCF"/>
    <w:rsid w:val="00BB654B"/>
    <w:rsid w:val="00BB6C13"/>
    <w:rsid w:val="00BB6D10"/>
    <w:rsid w:val="00BB6F8E"/>
    <w:rsid w:val="00BB703E"/>
    <w:rsid w:val="00BB710D"/>
    <w:rsid w:val="00BB732D"/>
    <w:rsid w:val="00BB7405"/>
    <w:rsid w:val="00BB7BE4"/>
    <w:rsid w:val="00BB7EF9"/>
    <w:rsid w:val="00BC0416"/>
    <w:rsid w:val="00BC14FD"/>
    <w:rsid w:val="00BC1EE5"/>
    <w:rsid w:val="00BC206E"/>
    <w:rsid w:val="00BC2463"/>
    <w:rsid w:val="00BC3631"/>
    <w:rsid w:val="00BC3D76"/>
    <w:rsid w:val="00BC40C8"/>
    <w:rsid w:val="00BC4A5B"/>
    <w:rsid w:val="00BC4E9E"/>
    <w:rsid w:val="00BC500F"/>
    <w:rsid w:val="00BC53CD"/>
    <w:rsid w:val="00BC591F"/>
    <w:rsid w:val="00BC5A00"/>
    <w:rsid w:val="00BC5A33"/>
    <w:rsid w:val="00BC5BF4"/>
    <w:rsid w:val="00BC5CBC"/>
    <w:rsid w:val="00BC6609"/>
    <w:rsid w:val="00BC713F"/>
    <w:rsid w:val="00BC72D0"/>
    <w:rsid w:val="00BC7348"/>
    <w:rsid w:val="00BC78DC"/>
    <w:rsid w:val="00BC7D6D"/>
    <w:rsid w:val="00BD08D2"/>
    <w:rsid w:val="00BD20F5"/>
    <w:rsid w:val="00BD2108"/>
    <w:rsid w:val="00BD228D"/>
    <w:rsid w:val="00BD2360"/>
    <w:rsid w:val="00BD40EF"/>
    <w:rsid w:val="00BD4C5C"/>
    <w:rsid w:val="00BD53B8"/>
    <w:rsid w:val="00BD5E5A"/>
    <w:rsid w:val="00BD643C"/>
    <w:rsid w:val="00BD6575"/>
    <w:rsid w:val="00BD68A3"/>
    <w:rsid w:val="00BD6938"/>
    <w:rsid w:val="00BD6A7E"/>
    <w:rsid w:val="00BD6AAF"/>
    <w:rsid w:val="00BD6CF3"/>
    <w:rsid w:val="00BD6EE2"/>
    <w:rsid w:val="00BD6F4D"/>
    <w:rsid w:val="00BD73E4"/>
    <w:rsid w:val="00BD7413"/>
    <w:rsid w:val="00BD7491"/>
    <w:rsid w:val="00BD7636"/>
    <w:rsid w:val="00BD7F72"/>
    <w:rsid w:val="00BD7F8B"/>
    <w:rsid w:val="00BE0ECA"/>
    <w:rsid w:val="00BE1465"/>
    <w:rsid w:val="00BE1B21"/>
    <w:rsid w:val="00BE2180"/>
    <w:rsid w:val="00BE21F2"/>
    <w:rsid w:val="00BE2B05"/>
    <w:rsid w:val="00BE2DF2"/>
    <w:rsid w:val="00BE3AA9"/>
    <w:rsid w:val="00BE3E4B"/>
    <w:rsid w:val="00BE40C8"/>
    <w:rsid w:val="00BE4275"/>
    <w:rsid w:val="00BE4967"/>
    <w:rsid w:val="00BE524E"/>
    <w:rsid w:val="00BE5CFC"/>
    <w:rsid w:val="00BE5D4E"/>
    <w:rsid w:val="00BE5F64"/>
    <w:rsid w:val="00BE6145"/>
    <w:rsid w:val="00BE626A"/>
    <w:rsid w:val="00BE6A37"/>
    <w:rsid w:val="00BE70B2"/>
    <w:rsid w:val="00BE70C7"/>
    <w:rsid w:val="00BE762A"/>
    <w:rsid w:val="00BE7825"/>
    <w:rsid w:val="00BF0401"/>
    <w:rsid w:val="00BF06AE"/>
    <w:rsid w:val="00BF0BC5"/>
    <w:rsid w:val="00BF0EFC"/>
    <w:rsid w:val="00BF0F95"/>
    <w:rsid w:val="00BF1429"/>
    <w:rsid w:val="00BF2433"/>
    <w:rsid w:val="00BF2E6E"/>
    <w:rsid w:val="00BF447D"/>
    <w:rsid w:val="00BF44BC"/>
    <w:rsid w:val="00BF45A3"/>
    <w:rsid w:val="00BF4681"/>
    <w:rsid w:val="00BF4B1D"/>
    <w:rsid w:val="00BF4BA9"/>
    <w:rsid w:val="00BF4C8C"/>
    <w:rsid w:val="00BF53DC"/>
    <w:rsid w:val="00BF581C"/>
    <w:rsid w:val="00BF61C9"/>
    <w:rsid w:val="00BF6269"/>
    <w:rsid w:val="00BF6C94"/>
    <w:rsid w:val="00BF782C"/>
    <w:rsid w:val="00BF78A4"/>
    <w:rsid w:val="00BF7C63"/>
    <w:rsid w:val="00C00386"/>
    <w:rsid w:val="00C00424"/>
    <w:rsid w:val="00C00BB0"/>
    <w:rsid w:val="00C01308"/>
    <w:rsid w:val="00C018BF"/>
    <w:rsid w:val="00C019A4"/>
    <w:rsid w:val="00C02A2F"/>
    <w:rsid w:val="00C02A7A"/>
    <w:rsid w:val="00C02C39"/>
    <w:rsid w:val="00C02D93"/>
    <w:rsid w:val="00C03C78"/>
    <w:rsid w:val="00C03EBF"/>
    <w:rsid w:val="00C04F37"/>
    <w:rsid w:val="00C0528D"/>
    <w:rsid w:val="00C052B0"/>
    <w:rsid w:val="00C05985"/>
    <w:rsid w:val="00C05B1F"/>
    <w:rsid w:val="00C05E52"/>
    <w:rsid w:val="00C06F69"/>
    <w:rsid w:val="00C100CE"/>
    <w:rsid w:val="00C10392"/>
    <w:rsid w:val="00C105EE"/>
    <w:rsid w:val="00C1099E"/>
    <w:rsid w:val="00C10CEC"/>
    <w:rsid w:val="00C1179F"/>
    <w:rsid w:val="00C11AD8"/>
    <w:rsid w:val="00C127B9"/>
    <w:rsid w:val="00C127E0"/>
    <w:rsid w:val="00C128FA"/>
    <w:rsid w:val="00C12B12"/>
    <w:rsid w:val="00C12B41"/>
    <w:rsid w:val="00C12BA6"/>
    <w:rsid w:val="00C12C14"/>
    <w:rsid w:val="00C12EF1"/>
    <w:rsid w:val="00C13633"/>
    <w:rsid w:val="00C13700"/>
    <w:rsid w:val="00C13E07"/>
    <w:rsid w:val="00C1431B"/>
    <w:rsid w:val="00C14697"/>
    <w:rsid w:val="00C147AB"/>
    <w:rsid w:val="00C14B9A"/>
    <w:rsid w:val="00C14FAD"/>
    <w:rsid w:val="00C1590E"/>
    <w:rsid w:val="00C15D63"/>
    <w:rsid w:val="00C15F04"/>
    <w:rsid w:val="00C1640C"/>
    <w:rsid w:val="00C164EC"/>
    <w:rsid w:val="00C166D6"/>
    <w:rsid w:val="00C17327"/>
    <w:rsid w:val="00C173F4"/>
    <w:rsid w:val="00C179B3"/>
    <w:rsid w:val="00C17D1E"/>
    <w:rsid w:val="00C17E3F"/>
    <w:rsid w:val="00C200AA"/>
    <w:rsid w:val="00C206A1"/>
    <w:rsid w:val="00C20BF1"/>
    <w:rsid w:val="00C21864"/>
    <w:rsid w:val="00C21E4A"/>
    <w:rsid w:val="00C22ACF"/>
    <w:rsid w:val="00C23715"/>
    <w:rsid w:val="00C237ED"/>
    <w:rsid w:val="00C23B61"/>
    <w:rsid w:val="00C245AD"/>
    <w:rsid w:val="00C24632"/>
    <w:rsid w:val="00C24AB6"/>
    <w:rsid w:val="00C24B7A"/>
    <w:rsid w:val="00C252AA"/>
    <w:rsid w:val="00C25418"/>
    <w:rsid w:val="00C255E2"/>
    <w:rsid w:val="00C25B40"/>
    <w:rsid w:val="00C25D9C"/>
    <w:rsid w:val="00C265E2"/>
    <w:rsid w:val="00C26BE3"/>
    <w:rsid w:val="00C2752E"/>
    <w:rsid w:val="00C27608"/>
    <w:rsid w:val="00C2778B"/>
    <w:rsid w:val="00C279A4"/>
    <w:rsid w:val="00C3020B"/>
    <w:rsid w:val="00C3036A"/>
    <w:rsid w:val="00C30C1B"/>
    <w:rsid w:val="00C30CED"/>
    <w:rsid w:val="00C30D36"/>
    <w:rsid w:val="00C31067"/>
    <w:rsid w:val="00C31649"/>
    <w:rsid w:val="00C31829"/>
    <w:rsid w:val="00C31F7F"/>
    <w:rsid w:val="00C32534"/>
    <w:rsid w:val="00C32966"/>
    <w:rsid w:val="00C32E01"/>
    <w:rsid w:val="00C32F1D"/>
    <w:rsid w:val="00C3317E"/>
    <w:rsid w:val="00C33643"/>
    <w:rsid w:val="00C33776"/>
    <w:rsid w:val="00C33D52"/>
    <w:rsid w:val="00C341AB"/>
    <w:rsid w:val="00C3434C"/>
    <w:rsid w:val="00C35046"/>
    <w:rsid w:val="00C3529A"/>
    <w:rsid w:val="00C35479"/>
    <w:rsid w:val="00C36E3F"/>
    <w:rsid w:val="00C4009D"/>
    <w:rsid w:val="00C40385"/>
    <w:rsid w:val="00C404C3"/>
    <w:rsid w:val="00C404C4"/>
    <w:rsid w:val="00C41768"/>
    <w:rsid w:val="00C418AF"/>
    <w:rsid w:val="00C41EB6"/>
    <w:rsid w:val="00C428A0"/>
    <w:rsid w:val="00C42A81"/>
    <w:rsid w:val="00C433D3"/>
    <w:rsid w:val="00C4356E"/>
    <w:rsid w:val="00C43730"/>
    <w:rsid w:val="00C44C76"/>
    <w:rsid w:val="00C44FA7"/>
    <w:rsid w:val="00C45778"/>
    <w:rsid w:val="00C46392"/>
    <w:rsid w:val="00C46A6F"/>
    <w:rsid w:val="00C46BB3"/>
    <w:rsid w:val="00C475AA"/>
    <w:rsid w:val="00C476C6"/>
    <w:rsid w:val="00C5006E"/>
    <w:rsid w:val="00C502C4"/>
    <w:rsid w:val="00C5125D"/>
    <w:rsid w:val="00C516E9"/>
    <w:rsid w:val="00C5202F"/>
    <w:rsid w:val="00C527C7"/>
    <w:rsid w:val="00C52D78"/>
    <w:rsid w:val="00C52E14"/>
    <w:rsid w:val="00C5349A"/>
    <w:rsid w:val="00C53C98"/>
    <w:rsid w:val="00C53E14"/>
    <w:rsid w:val="00C53E83"/>
    <w:rsid w:val="00C5477E"/>
    <w:rsid w:val="00C547F1"/>
    <w:rsid w:val="00C54B03"/>
    <w:rsid w:val="00C56161"/>
    <w:rsid w:val="00C561A4"/>
    <w:rsid w:val="00C5666E"/>
    <w:rsid w:val="00C56BBF"/>
    <w:rsid w:val="00C56FCF"/>
    <w:rsid w:val="00C57A2C"/>
    <w:rsid w:val="00C57B6C"/>
    <w:rsid w:val="00C57D68"/>
    <w:rsid w:val="00C605EC"/>
    <w:rsid w:val="00C6116D"/>
    <w:rsid w:val="00C6175D"/>
    <w:rsid w:val="00C61A59"/>
    <w:rsid w:val="00C61E32"/>
    <w:rsid w:val="00C6238E"/>
    <w:rsid w:val="00C628A6"/>
    <w:rsid w:val="00C6335F"/>
    <w:rsid w:val="00C63FD1"/>
    <w:rsid w:val="00C64344"/>
    <w:rsid w:val="00C6468A"/>
    <w:rsid w:val="00C64722"/>
    <w:rsid w:val="00C64771"/>
    <w:rsid w:val="00C6486E"/>
    <w:rsid w:val="00C65108"/>
    <w:rsid w:val="00C65368"/>
    <w:rsid w:val="00C65576"/>
    <w:rsid w:val="00C65868"/>
    <w:rsid w:val="00C65CB9"/>
    <w:rsid w:val="00C66165"/>
    <w:rsid w:val="00C66A7C"/>
    <w:rsid w:val="00C67149"/>
    <w:rsid w:val="00C67A45"/>
    <w:rsid w:val="00C7060A"/>
    <w:rsid w:val="00C70A24"/>
    <w:rsid w:val="00C70D96"/>
    <w:rsid w:val="00C70E10"/>
    <w:rsid w:val="00C70EAA"/>
    <w:rsid w:val="00C71445"/>
    <w:rsid w:val="00C7151A"/>
    <w:rsid w:val="00C717E3"/>
    <w:rsid w:val="00C71900"/>
    <w:rsid w:val="00C71ECB"/>
    <w:rsid w:val="00C71F60"/>
    <w:rsid w:val="00C72039"/>
    <w:rsid w:val="00C72241"/>
    <w:rsid w:val="00C7269E"/>
    <w:rsid w:val="00C72A91"/>
    <w:rsid w:val="00C73074"/>
    <w:rsid w:val="00C731BD"/>
    <w:rsid w:val="00C7341B"/>
    <w:rsid w:val="00C73D1E"/>
    <w:rsid w:val="00C74C98"/>
    <w:rsid w:val="00C74E05"/>
    <w:rsid w:val="00C750C8"/>
    <w:rsid w:val="00C75138"/>
    <w:rsid w:val="00C7560F"/>
    <w:rsid w:val="00C757C1"/>
    <w:rsid w:val="00C76666"/>
    <w:rsid w:val="00C7668C"/>
    <w:rsid w:val="00C7699B"/>
    <w:rsid w:val="00C76F2D"/>
    <w:rsid w:val="00C7726A"/>
    <w:rsid w:val="00C77303"/>
    <w:rsid w:val="00C77CA2"/>
    <w:rsid w:val="00C77D41"/>
    <w:rsid w:val="00C8051A"/>
    <w:rsid w:val="00C80A0E"/>
    <w:rsid w:val="00C80A14"/>
    <w:rsid w:val="00C80AC8"/>
    <w:rsid w:val="00C815ED"/>
    <w:rsid w:val="00C81ABF"/>
    <w:rsid w:val="00C8213F"/>
    <w:rsid w:val="00C82328"/>
    <w:rsid w:val="00C82380"/>
    <w:rsid w:val="00C82847"/>
    <w:rsid w:val="00C82A4A"/>
    <w:rsid w:val="00C82E39"/>
    <w:rsid w:val="00C8303F"/>
    <w:rsid w:val="00C8364D"/>
    <w:rsid w:val="00C83864"/>
    <w:rsid w:val="00C83939"/>
    <w:rsid w:val="00C83C75"/>
    <w:rsid w:val="00C8404E"/>
    <w:rsid w:val="00C85154"/>
    <w:rsid w:val="00C85901"/>
    <w:rsid w:val="00C85A70"/>
    <w:rsid w:val="00C86401"/>
    <w:rsid w:val="00C866FF"/>
    <w:rsid w:val="00C86CF2"/>
    <w:rsid w:val="00C871A9"/>
    <w:rsid w:val="00C873AB"/>
    <w:rsid w:val="00C877E5"/>
    <w:rsid w:val="00C877E6"/>
    <w:rsid w:val="00C8797A"/>
    <w:rsid w:val="00C87ED6"/>
    <w:rsid w:val="00C87F06"/>
    <w:rsid w:val="00C900B8"/>
    <w:rsid w:val="00C90197"/>
    <w:rsid w:val="00C90958"/>
    <w:rsid w:val="00C90BA8"/>
    <w:rsid w:val="00C90C71"/>
    <w:rsid w:val="00C90C95"/>
    <w:rsid w:val="00C912AD"/>
    <w:rsid w:val="00C91575"/>
    <w:rsid w:val="00C91FD1"/>
    <w:rsid w:val="00C92232"/>
    <w:rsid w:val="00C931CF"/>
    <w:rsid w:val="00C938CF"/>
    <w:rsid w:val="00C93B92"/>
    <w:rsid w:val="00C93C94"/>
    <w:rsid w:val="00C93F77"/>
    <w:rsid w:val="00C94053"/>
    <w:rsid w:val="00C9417A"/>
    <w:rsid w:val="00C94503"/>
    <w:rsid w:val="00C9538E"/>
    <w:rsid w:val="00C95B4D"/>
    <w:rsid w:val="00C9624D"/>
    <w:rsid w:val="00C965C9"/>
    <w:rsid w:val="00C969DA"/>
    <w:rsid w:val="00C97C49"/>
    <w:rsid w:val="00CA0120"/>
    <w:rsid w:val="00CA0176"/>
    <w:rsid w:val="00CA03CD"/>
    <w:rsid w:val="00CA0A0E"/>
    <w:rsid w:val="00CA10BE"/>
    <w:rsid w:val="00CA138C"/>
    <w:rsid w:val="00CA1D19"/>
    <w:rsid w:val="00CA1E75"/>
    <w:rsid w:val="00CA2215"/>
    <w:rsid w:val="00CA2C77"/>
    <w:rsid w:val="00CA2D6B"/>
    <w:rsid w:val="00CA3839"/>
    <w:rsid w:val="00CA385F"/>
    <w:rsid w:val="00CA3C42"/>
    <w:rsid w:val="00CA3E20"/>
    <w:rsid w:val="00CA4010"/>
    <w:rsid w:val="00CA409F"/>
    <w:rsid w:val="00CA444F"/>
    <w:rsid w:val="00CA4F03"/>
    <w:rsid w:val="00CA508B"/>
    <w:rsid w:val="00CA5245"/>
    <w:rsid w:val="00CA5389"/>
    <w:rsid w:val="00CA5427"/>
    <w:rsid w:val="00CA69C7"/>
    <w:rsid w:val="00CA71F4"/>
    <w:rsid w:val="00CA7B09"/>
    <w:rsid w:val="00CA7E6C"/>
    <w:rsid w:val="00CB0876"/>
    <w:rsid w:val="00CB0AE6"/>
    <w:rsid w:val="00CB12A5"/>
    <w:rsid w:val="00CB1644"/>
    <w:rsid w:val="00CB1C09"/>
    <w:rsid w:val="00CB1CAC"/>
    <w:rsid w:val="00CB2F2A"/>
    <w:rsid w:val="00CB2F52"/>
    <w:rsid w:val="00CB3789"/>
    <w:rsid w:val="00CB4C9B"/>
    <w:rsid w:val="00CB5094"/>
    <w:rsid w:val="00CB57AF"/>
    <w:rsid w:val="00CB5B1A"/>
    <w:rsid w:val="00CB5BBB"/>
    <w:rsid w:val="00CB63F0"/>
    <w:rsid w:val="00CB6A05"/>
    <w:rsid w:val="00CB6AEB"/>
    <w:rsid w:val="00CB6B22"/>
    <w:rsid w:val="00CB7F5F"/>
    <w:rsid w:val="00CC08A4"/>
    <w:rsid w:val="00CC0F80"/>
    <w:rsid w:val="00CC1181"/>
    <w:rsid w:val="00CC1B39"/>
    <w:rsid w:val="00CC1BFA"/>
    <w:rsid w:val="00CC2DC3"/>
    <w:rsid w:val="00CC2E9F"/>
    <w:rsid w:val="00CC35EA"/>
    <w:rsid w:val="00CC3848"/>
    <w:rsid w:val="00CC385E"/>
    <w:rsid w:val="00CC3A6D"/>
    <w:rsid w:val="00CC3FD9"/>
    <w:rsid w:val="00CC473C"/>
    <w:rsid w:val="00CC5C0C"/>
    <w:rsid w:val="00CC5F5C"/>
    <w:rsid w:val="00CC5FC4"/>
    <w:rsid w:val="00CC603A"/>
    <w:rsid w:val="00CC6D5E"/>
    <w:rsid w:val="00CD0200"/>
    <w:rsid w:val="00CD094A"/>
    <w:rsid w:val="00CD0B97"/>
    <w:rsid w:val="00CD0F0E"/>
    <w:rsid w:val="00CD110C"/>
    <w:rsid w:val="00CD1577"/>
    <w:rsid w:val="00CD180A"/>
    <w:rsid w:val="00CD1C19"/>
    <w:rsid w:val="00CD1C51"/>
    <w:rsid w:val="00CD1D10"/>
    <w:rsid w:val="00CD203F"/>
    <w:rsid w:val="00CD2394"/>
    <w:rsid w:val="00CD2AFA"/>
    <w:rsid w:val="00CD372B"/>
    <w:rsid w:val="00CD3826"/>
    <w:rsid w:val="00CD3F77"/>
    <w:rsid w:val="00CD46F5"/>
    <w:rsid w:val="00CD49CF"/>
    <w:rsid w:val="00CD4C4A"/>
    <w:rsid w:val="00CD50BA"/>
    <w:rsid w:val="00CD535D"/>
    <w:rsid w:val="00CD583C"/>
    <w:rsid w:val="00CD6ADC"/>
    <w:rsid w:val="00CD6D33"/>
    <w:rsid w:val="00CD7193"/>
    <w:rsid w:val="00CD729B"/>
    <w:rsid w:val="00CE167B"/>
    <w:rsid w:val="00CE1F45"/>
    <w:rsid w:val="00CE2936"/>
    <w:rsid w:val="00CE2CA2"/>
    <w:rsid w:val="00CE38C8"/>
    <w:rsid w:val="00CE4034"/>
    <w:rsid w:val="00CE46EC"/>
    <w:rsid w:val="00CE4A30"/>
    <w:rsid w:val="00CE4B0A"/>
    <w:rsid w:val="00CE4D75"/>
    <w:rsid w:val="00CE51F5"/>
    <w:rsid w:val="00CE524F"/>
    <w:rsid w:val="00CE58CC"/>
    <w:rsid w:val="00CE6274"/>
    <w:rsid w:val="00CE7032"/>
    <w:rsid w:val="00CE743D"/>
    <w:rsid w:val="00CE761F"/>
    <w:rsid w:val="00CE77B6"/>
    <w:rsid w:val="00CE77D0"/>
    <w:rsid w:val="00CE7EC9"/>
    <w:rsid w:val="00CF01BE"/>
    <w:rsid w:val="00CF07F2"/>
    <w:rsid w:val="00CF23DA"/>
    <w:rsid w:val="00CF281B"/>
    <w:rsid w:val="00CF2B8D"/>
    <w:rsid w:val="00CF3091"/>
    <w:rsid w:val="00CF30F9"/>
    <w:rsid w:val="00CF3733"/>
    <w:rsid w:val="00CF3A1B"/>
    <w:rsid w:val="00CF3BA1"/>
    <w:rsid w:val="00CF3D00"/>
    <w:rsid w:val="00CF3D1B"/>
    <w:rsid w:val="00CF3F10"/>
    <w:rsid w:val="00CF43C0"/>
    <w:rsid w:val="00CF456B"/>
    <w:rsid w:val="00CF4824"/>
    <w:rsid w:val="00CF5809"/>
    <w:rsid w:val="00CF5A22"/>
    <w:rsid w:val="00CF5E50"/>
    <w:rsid w:val="00CF6116"/>
    <w:rsid w:val="00CF6681"/>
    <w:rsid w:val="00CF6CFB"/>
    <w:rsid w:val="00CF6FEE"/>
    <w:rsid w:val="00CF7214"/>
    <w:rsid w:val="00CF7C98"/>
    <w:rsid w:val="00CF7DA6"/>
    <w:rsid w:val="00D00325"/>
    <w:rsid w:val="00D00B24"/>
    <w:rsid w:val="00D00B97"/>
    <w:rsid w:val="00D0103F"/>
    <w:rsid w:val="00D01306"/>
    <w:rsid w:val="00D021A8"/>
    <w:rsid w:val="00D021D2"/>
    <w:rsid w:val="00D025B1"/>
    <w:rsid w:val="00D0262E"/>
    <w:rsid w:val="00D027DD"/>
    <w:rsid w:val="00D02948"/>
    <w:rsid w:val="00D03679"/>
    <w:rsid w:val="00D03948"/>
    <w:rsid w:val="00D03C9C"/>
    <w:rsid w:val="00D044CB"/>
    <w:rsid w:val="00D047EF"/>
    <w:rsid w:val="00D04B9F"/>
    <w:rsid w:val="00D05E3D"/>
    <w:rsid w:val="00D06007"/>
    <w:rsid w:val="00D06139"/>
    <w:rsid w:val="00D06EB7"/>
    <w:rsid w:val="00D07AB6"/>
    <w:rsid w:val="00D07BCF"/>
    <w:rsid w:val="00D10688"/>
    <w:rsid w:val="00D10831"/>
    <w:rsid w:val="00D10881"/>
    <w:rsid w:val="00D10E84"/>
    <w:rsid w:val="00D110BD"/>
    <w:rsid w:val="00D110FE"/>
    <w:rsid w:val="00D112F3"/>
    <w:rsid w:val="00D12A5E"/>
    <w:rsid w:val="00D130CF"/>
    <w:rsid w:val="00D13508"/>
    <w:rsid w:val="00D13675"/>
    <w:rsid w:val="00D141E1"/>
    <w:rsid w:val="00D14495"/>
    <w:rsid w:val="00D15314"/>
    <w:rsid w:val="00D15388"/>
    <w:rsid w:val="00D15B48"/>
    <w:rsid w:val="00D15F31"/>
    <w:rsid w:val="00D16479"/>
    <w:rsid w:val="00D1659C"/>
    <w:rsid w:val="00D16D63"/>
    <w:rsid w:val="00D1724F"/>
    <w:rsid w:val="00D17914"/>
    <w:rsid w:val="00D17C4A"/>
    <w:rsid w:val="00D17D6C"/>
    <w:rsid w:val="00D213C9"/>
    <w:rsid w:val="00D2155B"/>
    <w:rsid w:val="00D21977"/>
    <w:rsid w:val="00D21C8B"/>
    <w:rsid w:val="00D21F3D"/>
    <w:rsid w:val="00D221D5"/>
    <w:rsid w:val="00D22CC4"/>
    <w:rsid w:val="00D23238"/>
    <w:rsid w:val="00D23D11"/>
    <w:rsid w:val="00D2438F"/>
    <w:rsid w:val="00D244B6"/>
    <w:rsid w:val="00D246ED"/>
    <w:rsid w:val="00D24C73"/>
    <w:rsid w:val="00D25101"/>
    <w:rsid w:val="00D2514B"/>
    <w:rsid w:val="00D25CE0"/>
    <w:rsid w:val="00D26DF1"/>
    <w:rsid w:val="00D2754D"/>
    <w:rsid w:val="00D2754F"/>
    <w:rsid w:val="00D27B27"/>
    <w:rsid w:val="00D27CFE"/>
    <w:rsid w:val="00D30051"/>
    <w:rsid w:val="00D300D0"/>
    <w:rsid w:val="00D306B2"/>
    <w:rsid w:val="00D30CAF"/>
    <w:rsid w:val="00D30D5B"/>
    <w:rsid w:val="00D3123A"/>
    <w:rsid w:val="00D31CF7"/>
    <w:rsid w:val="00D31E49"/>
    <w:rsid w:val="00D32C09"/>
    <w:rsid w:val="00D33BE9"/>
    <w:rsid w:val="00D33F93"/>
    <w:rsid w:val="00D346C8"/>
    <w:rsid w:val="00D34B3D"/>
    <w:rsid w:val="00D357FF"/>
    <w:rsid w:val="00D35B30"/>
    <w:rsid w:val="00D360A3"/>
    <w:rsid w:val="00D36183"/>
    <w:rsid w:val="00D3651F"/>
    <w:rsid w:val="00D366F6"/>
    <w:rsid w:val="00D36A3B"/>
    <w:rsid w:val="00D36F4D"/>
    <w:rsid w:val="00D370AA"/>
    <w:rsid w:val="00D37385"/>
    <w:rsid w:val="00D3757C"/>
    <w:rsid w:val="00D40024"/>
    <w:rsid w:val="00D40107"/>
    <w:rsid w:val="00D40891"/>
    <w:rsid w:val="00D40BB5"/>
    <w:rsid w:val="00D40CFE"/>
    <w:rsid w:val="00D413D1"/>
    <w:rsid w:val="00D4143B"/>
    <w:rsid w:val="00D4144A"/>
    <w:rsid w:val="00D41550"/>
    <w:rsid w:val="00D41696"/>
    <w:rsid w:val="00D41AD4"/>
    <w:rsid w:val="00D41DA5"/>
    <w:rsid w:val="00D424C7"/>
    <w:rsid w:val="00D42C49"/>
    <w:rsid w:val="00D435BD"/>
    <w:rsid w:val="00D43646"/>
    <w:rsid w:val="00D43B2A"/>
    <w:rsid w:val="00D43CF1"/>
    <w:rsid w:val="00D43D83"/>
    <w:rsid w:val="00D43E52"/>
    <w:rsid w:val="00D44416"/>
    <w:rsid w:val="00D44554"/>
    <w:rsid w:val="00D44CE9"/>
    <w:rsid w:val="00D45097"/>
    <w:rsid w:val="00D453A2"/>
    <w:rsid w:val="00D45640"/>
    <w:rsid w:val="00D45720"/>
    <w:rsid w:val="00D4582F"/>
    <w:rsid w:val="00D46880"/>
    <w:rsid w:val="00D46D0F"/>
    <w:rsid w:val="00D47575"/>
    <w:rsid w:val="00D475A2"/>
    <w:rsid w:val="00D475B6"/>
    <w:rsid w:val="00D47647"/>
    <w:rsid w:val="00D503A1"/>
    <w:rsid w:val="00D507EF"/>
    <w:rsid w:val="00D5080A"/>
    <w:rsid w:val="00D50C3E"/>
    <w:rsid w:val="00D516C4"/>
    <w:rsid w:val="00D51A0B"/>
    <w:rsid w:val="00D51CFC"/>
    <w:rsid w:val="00D51F0D"/>
    <w:rsid w:val="00D5243B"/>
    <w:rsid w:val="00D526AF"/>
    <w:rsid w:val="00D526D6"/>
    <w:rsid w:val="00D52C02"/>
    <w:rsid w:val="00D533EC"/>
    <w:rsid w:val="00D5362F"/>
    <w:rsid w:val="00D53707"/>
    <w:rsid w:val="00D54315"/>
    <w:rsid w:val="00D554C7"/>
    <w:rsid w:val="00D557B8"/>
    <w:rsid w:val="00D569EF"/>
    <w:rsid w:val="00D56A95"/>
    <w:rsid w:val="00D56F85"/>
    <w:rsid w:val="00D5748C"/>
    <w:rsid w:val="00D57E3D"/>
    <w:rsid w:val="00D57E83"/>
    <w:rsid w:val="00D60328"/>
    <w:rsid w:val="00D60550"/>
    <w:rsid w:val="00D60752"/>
    <w:rsid w:val="00D6076E"/>
    <w:rsid w:val="00D60E3B"/>
    <w:rsid w:val="00D60FCD"/>
    <w:rsid w:val="00D611C8"/>
    <w:rsid w:val="00D61600"/>
    <w:rsid w:val="00D62C42"/>
    <w:rsid w:val="00D62DC7"/>
    <w:rsid w:val="00D63F96"/>
    <w:rsid w:val="00D640E0"/>
    <w:rsid w:val="00D64C44"/>
    <w:rsid w:val="00D65278"/>
    <w:rsid w:val="00D6529C"/>
    <w:rsid w:val="00D6592F"/>
    <w:rsid w:val="00D66082"/>
    <w:rsid w:val="00D668C3"/>
    <w:rsid w:val="00D66F4F"/>
    <w:rsid w:val="00D672F3"/>
    <w:rsid w:val="00D672FA"/>
    <w:rsid w:val="00D678E4"/>
    <w:rsid w:val="00D707F9"/>
    <w:rsid w:val="00D70901"/>
    <w:rsid w:val="00D70F16"/>
    <w:rsid w:val="00D713E6"/>
    <w:rsid w:val="00D7225B"/>
    <w:rsid w:val="00D72617"/>
    <w:rsid w:val="00D72F57"/>
    <w:rsid w:val="00D730B4"/>
    <w:rsid w:val="00D7334A"/>
    <w:rsid w:val="00D73E8E"/>
    <w:rsid w:val="00D741F1"/>
    <w:rsid w:val="00D74221"/>
    <w:rsid w:val="00D751C4"/>
    <w:rsid w:val="00D76011"/>
    <w:rsid w:val="00D76981"/>
    <w:rsid w:val="00D76A44"/>
    <w:rsid w:val="00D76BE5"/>
    <w:rsid w:val="00D7769D"/>
    <w:rsid w:val="00D800D8"/>
    <w:rsid w:val="00D80133"/>
    <w:rsid w:val="00D815EF"/>
    <w:rsid w:val="00D81949"/>
    <w:rsid w:val="00D81E13"/>
    <w:rsid w:val="00D81F26"/>
    <w:rsid w:val="00D8205C"/>
    <w:rsid w:val="00D820F7"/>
    <w:rsid w:val="00D822E2"/>
    <w:rsid w:val="00D823B6"/>
    <w:rsid w:val="00D82819"/>
    <w:rsid w:val="00D82FF7"/>
    <w:rsid w:val="00D843F2"/>
    <w:rsid w:val="00D84750"/>
    <w:rsid w:val="00D86231"/>
    <w:rsid w:val="00D864C2"/>
    <w:rsid w:val="00D86FFF"/>
    <w:rsid w:val="00D87139"/>
    <w:rsid w:val="00D876E1"/>
    <w:rsid w:val="00D90A3C"/>
    <w:rsid w:val="00D91046"/>
    <w:rsid w:val="00D91256"/>
    <w:rsid w:val="00D912AB"/>
    <w:rsid w:val="00D9182B"/>
    <w:rsid w:val="00D91923"/>
    <w:rsid w:val="00D91F4E"/>
    <w:rsid w:val="00D92121"/>
    <w:rsid w:val="00D92174"/>
    <w:rsid w:val="00D92BC7"/>
    <w:rsid w:val="00D92C0B"/>
    <w:rsid w:val="00D93753"/>
    <w:rsid w:val="00D937C6"/>
    <w:rsid w:val="00D93A88"/>
    <w:rsid w:val="00D94273"/>
    <w:rsid w:val="00D944A2"/>
    <w:rsid w:val="00D94551"/>
    <w:rsid w:val="00D94584"/>
    <w:rsid w:val="00D94B69"/>
    <w:rsid w:val="00D94CF1"/>
    <w:rsid w:val="00D95AB9"/>
    <w:rsid w:val="00D9741C"/>
    <w:rsid w:val="00D97889"/>
    <w:rsid w:val="00DA0F3F"/>
    <w:rsid w:val="00DA129C"/>
    <w:rsid w:val="00DA18DC"/>
    <w:rsid w:val="00DA1A1C"/>
    <w:rsid w:val="00DA1F74"/>
    <w:rsid w:val="00DA225D"/>
    <w:rsid w:val="00DA23A0"/>
    <w:rsid w:val="00DA257A"/>
    <w:rsid w:val="00DA29E9"/>
    <w:rsid w:val="00DA2BA1"/>
    <w:rsid w:val="00DA2FBD"/>
    <w:rsid w:val="00DA3167"/>
    <w:rsid w:val="00DA367A"/>
    <w:rsid w:val="00DA3A0D"/>
    <w:rsid w:val="00DA3ED8"/>
    <w:rsid w:val="00DA429C"/>
    <w:rsid w:val="00DA44B3"/>
    <w:rsid w:val="00DA482F"/>
    <w:rsid w:val="00DA4AD5"/>
    <w:rsid w:val="00DA4CAC"/>
    <w:rsid w:val="00DA4DC3"/>
    <w:rsid w:val="00DA539B"/>
    <w:rsid w:val="00DA5C3A"/>
    <w:rsid w:val="00DA6494"/>
    <w:rsid w:val="00DA65C3"/>
    <w:rsid w:val="00DA69C4"/>
    <w:rsid w:val="00DA7346"/>
    <w:rsid w:val="00DA776F"/>
    <w:rsid w:val="00DA77A5"/>
    <w:rsid w:val="00DA7EEB"/>
    <w:rsid w:val="00DB0E36"/>
    <w:rsid w:val="00DB0EA0"/>
    <w:rsid w:val="00DB138D"/>
    <w:rsid w:val="00DB1406"/>
    <w:rsid w:val="00DB17E7"/>
    <w:rsid w:val="00DB1CCF"/>
    <w:rsid w:val="00DB20B8"/>
    <w:rsid w:val="00DB258A"/>
    <w:rsid w:val="00DB2BA3"/>
    <w:rsid w:val="00DB2C25"/>
    <w:rsid w:val="00DB32C9"/>
    <w:rsid w:val="00DB357A"/>
    <w:rsid w:val="00DB37B8"/>
    <w:rsid w:val="00DB3C60"/>
    <w:rsid w:val="00DB3DBF"/>
    <w:rsid w:val="00DB484F"/>
    <w:rsid w:val="00DB5BD0"/>
    <w:rsid w:val="00DB5CFA"/>
    <w:rsid w:val="00DB6150"/>
    <w:rsid w:val="00DB6382"/>
    <w:rsid w:val="00DB674D"/>
    <w:rsid w:val="00DB69B7"/>
    <w:rsid w:val="00DB7180"/>
    <w:rsid w:val="00DB7A0B"/>
    <w:rsid w:val="00DC04F6"/>
    <w:rsid w:val="00DC0690"/>
    <w:rsid w:val="00DC14B2"/>
    <w:rsid w:val="00DC1D65"/>
    <w:rsid w:val="00DC20B3"/>
    <w:rsid w:val="00DC21E1"/>
    <w:rsid w:val="00DC3BBC"/>
    <w:rsid w:val="00DC3C57"/>
    <w:rsid w:val="00DC402C"/>
    <w:rsid w:val="00DC4BEF"/>
    <w:rsid w:val="00DC4CA5"/>
    <w:rsid w:val="00DC4F04"/>
    <w:rsid w:val="00DC5501"/>
    <w:rsid w:val="00DC5DE4"/>
    <w:rsid w:val="00DC6116"/>
    <w:rsid w:val="00DC7154"/>
    <w:rsid w:val="00DC7731"/>
    <w:rsid w:val="00DC7E8A"/>
    <w:rsid w:val="00DC7E95"/>
    <w:rsid w:val="00DC7F33"/>
    <w:rsid w:val="00DD037C"/>
    <w:rsid w:val="00DD0E55"/>
    <w:rsid w:val="00DD0F78"/>
    <w:rsid w:val="00DD0FDE"/>
    <w:rsid w:val="00DD1367"/>
    <w:rsid w:val="00DD1677"/>
    <w:rsid w:val="00DD23F4"/>
    <w:rsid w:val="00DD273C"/>
    <w:rsid w:val="00DD28DE"/>
    <w:rsid w:val="00DD2FFD"/>
    <w:rsid w:val="00DD39E6"/>
    <w:rsid w:val="00DD3BD0"/>
    <w:rsid w:val="00DD3F28"/>
    <w:rsid w:val="00DD4175"/>
    <w:rsid w:val="00DD41F7"/>
    <w:rsid w:val="00DD4446"/>
    <w:rsid w:val="00DD4537"/>
    <w:rsid w:val="00DD4BF9"/>
    <w:rsid w:val="00DD4C79"/>
    <w:rsid w:val="00DD4E15"/>
    <w:rsid w:val="00DD5270"/>
    <w:rsid w:val="00DD60EE"/>
    <w:rsid w:val="00DD62A1"/>
    <w:rsid w:val="00DD6420"/>
    <w:rsid w:val="00DD6650"/>
    <w:rsid w:val="00DD73A5"/>
    <w:rsid w:val="00DD7BB5"/>
    <w:rsid w:val="00DD7E92"/>
    <w:rsid w:val="00DD7F0F"/>
    <w:rsid w:val="00DD7FB2"/>
    <w:rsid w:val="00DE05DC"/>
    <w:rsid w:val="00DE0ED2"/>
    <w:rsid w:val="00DE1D69"/>
    <w:rsid w:val="00DE1E06"/>
    <w:rsid w:val="00DE1EF8"/>
    <w:rsid w:val="00DE2304"/>
    <w:rsid w:val="00DE2A29"/>
    <w:rsid w:val="00DE2B8F"/>
    <w:rsid w:val="00DE2F45"/>
    <w:rsid w:val="00DE3138"/>
    <w:rsid w:val="00DE37F8"/>
    <w:rsid w:val="00DE3A12"/>
    <w:rsid w:val="00DE4241"/>
    <w:rsid w:val="00DE4273"/>
    <w:rsid w:val="00DE492A"/>
    <w:rsid w:val="00DE4AB9"/>
    <w:rsid w:val="00DE4C53"/>
    <w:rsid w:val="00DE4DD5"/>
    <w:rsid w:val="00DE4E5A"/>
    <w:rsid w:val="00DE4FCB"/>
    <w:rsid w:val="00DE55EB"/>
    <w:rsid w:val="00DE58B7"/>
    <w:rsid w:val="00DE5AEF"/>
    <w:rsid w:val="00DE5D07"/>
    <w:rsid w:val="00DE5F84"/>
    <w:rsid w:val="00DE6EF2"/>
    <w:rsid w:val="00DE7297"/>
    <w:rsid w:val="00DE72A7"/>
    <w:rsid w:val="00DE74C7"/>
    <w:rsid w:val="00DE7832"/>
    <w:rsid w:val="00DE7CE3"/>
    <w:rsid w:val="00DE7FB2"/>
    <w:rsid w:val="00DF0117"/>
    <w:rsid w:val="00DF0C69"/>
    <w:rsid w:val="00DF12F7"/>
    <w:rsid w:val="00DF18FC"/>
    <w:rsid w:val="00DF1AE4"/>
    <w:rsid w:val="00DF1D30"/>
    <w:rsid w:val="00DF41E4"/>
    <w:rsid w:val="00DF441A"/>
    <w:rsid w:val="00DF4A9B"/>
    <w:rsid w:val="00DF56D6"/>
    <w:rsid w:val="00DF5D2B"/>
    <w:rsid w:val="00DF616B"/>
    <w:rsid w:val="00DF6341"/>
    <w:rsid w:val="00DF71D1"/>
    <w:rsid w:val="00DF7336"/>
    <w:rsid w:val="00DF7375"/>
    <w:rsid w:val="00DF7607"/>
    <w:rsid w:val="00DF7ACF"/>
    <w:rsid w:val="00DF7C11"/>
    <w:rsid w:val="00E00033"/>
    <w:rsid w:val="00E000D8"/>
    <w:rsid w:val="00E00E8E"/>
    <w:rsid w:val="00E01292"/>
    <w:rsid w:val="00E01642"/>
    <w:rsid w:val="00E01815"/>
    <w:rsid w:val="00E01A06"/>
    <w:rsid w:val="00E02176"/>
    <w:rsid w:val="00E02AA1"/>
    <w:rsid w:val="00E02C39"/>
    <w:rsid w:val="00E035FA"/>
    <w:rsid w:val="00E03CD4"/>
    <w:rsid w:val="00E03DE1"/>
    <w:rsid w:val="00E04817"/>
    <w:rsid w:val="00E05630"/>
    <w:rsid w:val="00E057EE"/>
    <w:rsid w:val="00E05C67"/>
    <w:rsid w:val="00E065BF"/>
    <w:rsid w:val="00E069D3"/>
    <w:rsid w:val="00E06DBB"/>
    <w:rsid w:val="00E07273"/>
    <w:rsid w:val="00E074B7"/>
    <w:rsid w:val="00E07AF9"/>
    <w:rsid w:val="00E07B76"/>
    <w:rsid w:val="00E1003F"/>
    <w:rsid w:val="00E1011C"/>
    <w:rsid w:val="00E10149"/>
    <w:rsid w:val="00E1091D"/>
    <w:rsid w:val="00E10BE4"/>
    <w:rsid w:val="00E112C6"/>
    <w:rsid w:val="00E11340"/>
    <w:rsid w:val="00E11E35"/>
    <w:rsid w:val="00E122A1"/>
    <w:rsid w:val="00E12585"/>
    <w:rsid w:val="00E12660"/>
    <w:rsid w:val="00E12D36"/>
    <w:rsid w:val="00E139D8"/>
    <w:rsid w:val="00E13A20"/>
    <w:rsid w:val="00E13A33"/>
    <w:rsid w:val="00E13E55"/>
    <w:rsid w:val="00E13ED7"/>
    <w:rsid w:val="00E1457C"/>
    <w:rsid w:val="00E14AB9"/>
    <w:rsid w:val="00E14E3F"/>
    <w:rsid w:val="00E14F09"/>
    <w:rsid w:val="00E154DE"/>
    <w:rsid w:val="00E1578B"/>
    <w:rsid w:val="00E158F8"/>
    <w:rsid w:val="00E159EE"/>
    <w:rsid w:val="00E15BE5"/>
    <w:rsid w:val="00E16372"/>
    <w:rsid w:val="00E16795"/>
    <w:rsid w:val="00E16AD8"/>
    <w:rsid w:val="00E17074"/>
    <w:rsid w:val="00E17EAA"/>
    <w:rsid w:val="00E17FFA"/>
    <w:rsid w:val="00E202D4"/>
    <w:rsid w:val="00E206A2"/>
    <w:rsid w:val="00E208BC"/>
    <w:rsid w:val="00E20E4D"/>
    <w:rsid w:val="00E20ED6"/>
    <w:rsid w:val="00E21358"/>
    <w:rsid w:val="00E21A53"/>
    <w:rsid w:val="00E21ACF"/>
    <w:rsid w:val="00E22407"/>
    <w:rsid w:val="00E2249B"/>
    <w:rsid w:val="00E2263E"/>
    <w:rsid w:val="00E2279C"/>
    <w:rsid w:val="00E2285F"/>
    <w:rsid w:val="00E22A0D"/>
    <w:rsid w:val="00E22A4E"/>
    <w:rsid w:val="00E22F24"/>
    <w:rsid w:val="00E2374C"/>
    <w:rsid w:val="00E2381E"/>
    <w:rsid w:val="00E23862"/>
    <w:rsid w:val="00E23ACC"/>
    <w:rsid w:val="00E23AE9"/>
    <w:rsid w:val="00E23CE1"/>
    <w:rsid w:val="00E244F6"/>
    <w:rsid w:val="00E246D3"/>
    <w:rsid w:val="00E247AA"/>
    <w:rsid w:val="00E24A96"/>
    <w:rsid w:val="00E24C1C"/>
    <w:rsid w:val="00E24C5D"/>
    <w:rsid w:val="00E24FC4"/>
    <w:rsid w:val="00E25612"/>
    <w:rsid w:val="00E258DB"/>
    <w:rsid w:val="00E25A51"/>
    <w:rsid w:val="00E264E4"/>
    <w:rsid w:val="00E27061"/>
    <w:rsid w:val="00E2711E"/>
    <w:rsid w:val="00E271DA"/>
    <w:rsid w:val="00E27587"/>
    <w:rsid w:val="00E27611"/>
    <w:rsid w:val="00E2771E"/>
    <w:rsid w:val="00E27B6F"/>
    <w:rsid w:val="00E30225"/>
    <w:rsid w:val="00E311EF"/>
    <w:rsid w:val="00E312AC"/>
    <w:rsid w:val="00E31AB2"/>
    <w:rsid w:val="00E31DAA"/>
    <w:rsid w:val="00E31E8C"/>
    <w:rsid w:val="00E32180"/>
    <w:rsid w:val="00E3295B"/>
    <w:rsid w:val="00E32ABA"/>
    <w:rsid w:val="00E32AFF"/>
    <w:rsid w:val="00E32CFF"/>
    <w:rsid w:val="00E331C9"/>
    <w:rsid w:val="00E333D9"/>
    <w:rsid w:val="00E335E0"/>
    <w:rsid w:val="00E34253"/>
    <w:rsid w:val="00E34948"/>
    <w:rsid w:val="00E34BAA"/>
    <w:rsid w:val="00E34CDA"/>
    <w:rsid w:val="00E35DEE"/>
    <w:rsid w:val="00E35E75"/>
    <w:rsid w:val="00E36512"/>
    <w:rsid w:val="00E36580"/>
    <w:rsid w:val="00E36B56"/>
    <w:rsid w:val="00E3701C"/>
    <w:rsid w:val="00E3718C"/>
    <w:rsid w:val="00E37569"/>
    <w:rsid w:val="00E3763B"/>
    <w:rsid w:val="00E37695"/>
    <w:rsid w:val="00E37FBA"/>
    <w:rsid w:val="00E40167"/>
    <w:rsid w:val="00E401B2"/>
    <w:rsid w:val="00E408C4"/>
    <w:rsid w:val="00E40BA6"/>
    <w:rsid w:val="00E41B4A"/>
    <w:rsid w:val="00E41E30"/>
    <w:rsid w:val="00E4207F"/>
    <w:rsid w:val="00E42A2F"/>
    <w:rsid w:val="00E42F73"/>
    <w:rsid w:val="00E43875"/>
    <w:rsid w:val="00E43D70"/>
    <w:rsid w:val="00E43D96"/>
    <w:rsid w:val="00E44226"/>
    <w:rsid w:val="00E44765"/>
    <w:rsid w:val="00E44D84"/>
    <w:rsid w:val="00E45699"/>
    <w:rsid w:val="00E457FE"/>
    <w:rsid w:val="00E45FA0"/>
    <w:rsid w:val="00E466F3"/>
    <w:rsid w:val="00E46894"/>
    <w:rsid w:val="00E47AAE"/>
    <w:rsid w:val="00E47B2C"/>
    <w:rsid w:val="00E506BD"/>
    <w:rsid w:val="00E50E35"/>
    <w:rsid w:val="00E513F0"/>
    <w:rsid w:val="00E51560"/>
    <w:rsid w:val="00E51821"/>
    <w:rsid w:val="00E52345"/>
    <w:rsid w:val="00E52638"/>
    <w:rsid w:val="00E52714"/>
    <w:rsid w:val="00E532D5"/>
    <w:rsid w:val="00E532D6"/>
    <w:rsid w:val="00E53FC8"/>
    <w:rsid w:val="00E5414F"/>
    <w:rsid w:val="00E54347"/>
    <w:rsid w:val="00E544F1"/>
    <w:rsid w:val="00E54A8E"/>
    <w:rsid w:val="00E55253"/>
    <w:rsid w:val="00E55424"/>
    <w:rsid w:val="00E55915"/>
    <w:rsid w:val="00E55941"/>
    <w:rsid w:val="00E55A46"/>
    <w:rsid w:val="00E55BB5"/>
    <w:rsid w:val="00E55BEF"/>
    <w:rsid w:val="00E55F32"/>
    <w:rsid w:val="00E5641E"/>
    <w:rsid w:val="00E56BD0"/>
    <w:rsid w:val="00E56E49"/>
    <w:rsid w:val="00E5729B"/>
    <w:rsid w:val="00E60069"/>
    <w:rsid w:val="00E60A04"/>
    <w:rsid w:val="00E60F16"/>
    <w:rsid w:val="00E611DF"/>
    <w:rsid w:val="00E61584"/>
    <w:rsid w:val="00E625BA"/>
    <w:rsid w:val="00E6297D"/>
    <w:rsid w:val="00E62A9F"/>
    <w:rsid w:val="00E62EB2"/>
    <w:rsid w:val="00E631FD"/>
    <w:rsid w:val="00E64325"/>
    <w:rsid w:val="00E64766"/>
    <w:rsid w:val="00E64B05"/>
    <w:rsid w:val="00E64F06"/>
    <w:rsid w:val="00E64F46"/>
    <w:rsid w:val="00E6519E"/>
    <w:rsid w:val="00E659AD"/>
    <w:rsid w:val="00E65E79"/>
    <w:rsid w:val="00E6614D"/>
    <w:rsid w:val="00E6638F"/>
    <w:rsid w:val="00E66579"/>
    <w:rsid w:val="00E6675B"/>
    <w:rsid w:val="00E66A23"/>
    <w:rsid w:val="00E66BA2"/>
    <w:rsid w:val="00E66F9B"/>
    <w:rsid w:val="00E67069"/>
    <w:rsid w:val="00E67416"/>
    <w:rsid w:val="00E676B6"/>
    <w:rsid w:val="00E677AE"/>
    <w:rsid w:val="00E679C4"/>
    <w:rsid w:val="00E67F0E"/>
    <w:rsid w:val="00E67FA6"/>
    <w:rsid w:val="00E718B6"/>
    <w:rsid w:val="00E71920"/>
    <w:rsid w:val="00E7196C"/>
    <w:rsid w:val="00E7233A"/>
    <w:rsid w:val="00E723BA"/>
    <w:rsid w:val="00E729E6"/>
    <w:rsid w:val="00E729F5"/>
    <w:rsid w:val="00E72BBD"/>
    <w:rsid w:val="00E73581"/>
    <w:rsid w:val="00E74817"/>
    <w:rsid w:val="00E748D1"/>
    <w:rsid w:val="00E749AF"/>
    <w:rsid w:val="00E74A3B"/>
    <w:rsid w:val="00E74D92"/>
    <w:rsid w:val="00E75250"/>
    <w:rsid w:val="00E76450"/>
    <w:rsid w:val="00E7646C"/>
    <w:rsid w:val="00E764C4"/>
    <w:rsid w:val="00E76D0A"/>
    <w:rsid w:val="00E774EB"/>
    <w:rsid w:val="00E77A22"/>
    <w:rsid w:val="00E8024E"/>
    <w:rsid w:val="00E80E5A"/>
    <w:rsid w:val="00E81980"/>
    <w:rsid w:val="00E82C4D"/>
    <w:rsid w:val="00E82D91"/>
    <w:rsid w:val="00E82F19"/>
    <w:rsid w:val="00E82FA2"/>
    <w:rsid w:val="00E831B8"/>
    <w:rsid w:val="00E83393"/>
    <w:rsid w:val="00E833EF"/>
    <w:rsid w:val="00E833F7"/>
    <w:rsid w:val="00E834C3"/>
    <w:rsid w:val="00E83BDF"/>
    <w:rsid w:val="00E845C5"/>
    <w:rsid w:val="00E84788"/>
    <w:rsid w:val="00E848AC"/>
    <w:rsid w:val="00E85847"/>
    <w:rsid w:val="00E85A6D"/>
    <w:rsid w:val="00E85DDB"/>
    <w:rsid w:val="00E860B0"/>
    <w:rsid w:val="00E86309"/>
    <w:rsid w:val="00E86C50"/>
    <w:rsid w:val="00E86FCB"/>
    <w:rsid w:val="00E86FCC"/>
    <w:rsid w:val="00E87246"/>
    <w:rsid w:val="00E87636"/>
    <w:rsid w:val="00E8793D"/>
    <w:rsid w:val="00E87979"/>
    <w:rsid w:val="00E87A1D"/>
    <w:rsid w:val="00E87DEC"/>
    <w:rsid w:val="00E905F6"/>
    <w:rsid w:val="00E9092E"/>
    <w:rsid w:val="00E9094A"/>
    <w:rsid w:val="00E90C79"/>
    <w:rsid w:val="00E91D35"/>
    <w:rsid w:val="00E91FBF"/>
    <w:rsid w:val="00E92015"/>
    <w:rsid w:val="00E926A5"/>
    <w:rsid w:val="00E9281D"/>
    <w:rsid w:val="00E9296D"/>
    <w:rsid w:val="00E93081"/>
    <w:rsid w:val="00E935CC"/>
    <w:rsid w:val="00E9410C"/>
    <w:rsid w:val="00E94321"/>
    <w:rsid w:val="00E9454F"/>
    <w:rsid w:val="00E948AE"/>
    <w:rsid w:val="00E94C62"/>
    <w:rsid w:val="00E95E01"/>
    <w:rsid w:val="00E962CC"/>
    <w:rsid w:val="00E9636D"/>
    <w:rsid w:val="00E965C5"/>
    <w:rsid w:val="00E966F9"/>
    <w:rsid w:val="00E96D97"/>
    <w:rsid w:val="00E9714A"/>
    <w:rsid w:val="00E97989"/>
    <w:rsid w:val="00E97AC9"/>
    <w:rsid w:val="00E97B48"/>
    <w:rsid w:val="00E97CF1"/>
    <w:rsid w:val="00E97F71"/>
    <w:rsid w:val="00EA08C4"/>
    <w:rsid w:val="00EA0D67"/>
    <w:rsid w:val="00EA15AF"/>
    <w:rsid w:val="00EA17C3"/>
    <w:rsid w:val="00EA23CF"/>
    <w:rsid w:val="00EA2B41"/>
    <w:rsid w:val="00EA2B49"/>
    <w:rsid w:val="00EA2C55"/>
    <w:rsid w:val="00EA2CAA"/>
    <w:rsid w:val="00EA3000"/>
    <w:rsid w:val="00EA378C"/>
    <w:rsid w:val="00EA3864"/>
    <w:rsid w:val="00EA3C1A"/>
    <w:rsid w:val="00EA3EA6"/>
    <w:rsid w:val="00EA4935"/>
    <w:rsid w:val="00EA4C31"/>
    <w:rsid w:val="00EA69EF"/>
    <w:rsid w:val="00EA6C4B"/>
    <w:rsid w:val="00EA6C7A"/>
    <w:rsid w:val="00EA6DA1"/>
    <w:rsid w:val="00EA6DB1"/>
    <w:rsid w:val="00EA6FC9"/>
    <w:rsid w:val="00EA70AE"/>
    <w:rsid w:val="00EA70B4"/>
    <w:rsid w:val="00EA724C"/>
    <w:rsid w:val="00EA7448"/>
    <w:rsid w:val="00EA77EC"/>
    <w:rsid w:val="00EA7F1C"/>
    <w:rsid w:val="00EB00BE"/>
    <w:rsid w:val="00EB075A"/>
    <w:rsid w:val="00EB0D5E"/>
    <w:rsid w:val="00EB0E60"/>
    <w:rsid w:val="00EB0F50"/>
    <w:rsid w:val="00EB108F"/>
    <w:rsid w:val="00EB1369"/>
    <w:rsid w:val="00EB15B6"/>
    <w:rsid w:val="00EB1B7D"/>
    <w:rsid w:val="00EB2486"/>
    <w:rsid w:val="00EB256E"/>
    <w:rsid w:val="00EB2782"/>
    <w:rsid w:val="00EB3725"/>
    <w:rsid w:val="00EB3C77"/>
    <w:rsid w:val="00EB3D06"/>
    <w:rsid w:val="00EB4916"/>
    <w:rsid w:val="00EB4FD3"/>
    <w:rsid w:val="00EB51D0"/>
    <w:rsid w:val="00EB559B"/>
    <w:rsid w:val="00EB56EC"/>
    <w:rsid w:val="00EB5FCE"/>
    <w:rsid w:val="00EB679A"/>
    <w:rsid w:val="00EB6DD1"/>
    <w:rsid w:val="00EB7C24"/>
    <w:rsid w:val="00EB7D2A"/>
    <w:rsid w:val="00EC00C9"/>
    <w:rsid w:val="00EC0528"/>
    <w:rsid w:val="00EC0B4E"/>
    <w:rsid w:val="00EC0D95"/>
    <w:rsid w:val="00EC0DD9"/>
    <w:rsid w:val="00EC0E74"/>
    <w:rsid w:val="00EC12B4"/>
    <w:rsid w:val="00EC14EC"/>
    <w:rsid w:val="00EC16E9"/>
    <w:rsid w:val="00EC24B0"/>
    <w:rsid w:val="00EC2649"/>
    <w:rsid w:val="00EC2684"/>
    <w:rsid w:val="00EC2D6E"/>
    <w:rsid w:val="00EC31ED"/>
    <w:rsid w:val="00EC32BA"/>
    <w:rsid w:val="00EC33B5"/>
    <w:rsid w:val="00EC434A"/>
    <w:rsid w:val="00EC4F82"/>
    <w:rsid w:val="00EC5165"/>
    <w:rsid w:val="00EC534A"/>
    <w:rsid w:val="00EC5836"/>
    <w:rsid w:val="00EC5D51"/>
    <w:rsid w:val="00EC62C5"/>
    <w:rsid w:val="00EC62EF"/>
    <w:rsid w:val="00EC6498"/>
    <w:rsid w:val="00EC688C"/>
    <w:rsid w:val="00EC6AAF"/>
    <w:rsid w:val="00EC6E06"/>
    <w:rsid w:val="00EC706C"/>
    <w:rsid w:val="00EC78BC"/>
    <w:rsid w:val="00EC79FD"/>
    <w:rsid w:val="00ED0AFD"/>
    <w:rsid w:val="00ED0F30"/>
    <w:rsid w:val="00ED12E3"/>
    <w:rsid w:val="00ED170D"/>
    <w:rsid w:val="00ED200C"/>
    <w:rsid w:val="00ED26CE"/>
    <w:rsid w:val="00ED3052"/>
    <w:rsid w:val="00ED32E8"/>
    <w:rsid w:val="00ED4250"/>
    <w:rsid w:val="00ED4AC3"/>
    <w:rsid w:val="00ED4B04"/>
    <w:rsid w:val="00ED4D2E"/>
    <w:rsid w:val="00ED55BB"/>
    <w:rsid w:val="00ED57EA"/>
    <w:rsid w:val="00ED595D"/>
    <w:rsid w:val="00ED5BD4"/>
    <w:rsid w:val="00ED63F6"/>
    <w:rsid w:val="00ED69EC"/>
    <w:rsid w:val="00ED6C16"/>
    <w:rsid w:val="00ED6E98"/>
    <w:rsid w:val="00ED6F49"/>
    <w:rsid w:val="00ED7D17"/>
    <w:rsid w:val="00EE0106"/>
    <w:rsid w:val="00EE0201"/>
    <w:rsid w:val="00EE0540"/>
    <w:rsid w:val="00EE06F4"/>
    <w:rsid w:val="00EE07D3"/>
    <w:rsid w:val="00EE188D"/>
    <w:rsid w:val="00EE1996"/>
    <w:rsid w:val="00EE1C01"/>
    <w:rsid w:val="00EE20D1"/>
    <w:rsid w:val="00EE22AF"/>
    <w:rsid w:val="00EE28F8"/>
    <w:rsid w:val="00EE2A26"/>
    <w:rsid w:val="00EE327B"/>
    <w:rsid w:val="00EE3FCD"/>
    <w:rsid w:val="00EE4403"/>
    <w:rsid w:val="00EE5093"/>
    <w:rsid w:val="00EE554D"/>
    <w:rsid w:val="00EE58E9"/>
    <w:rsid w:val="00EE617B"/>
    <w:rsid w:val="00EE6341"/>
    <w:rsid w:val="00EE64D6"/>
    <w:rsid w:val="00EE66E9"/>
    <w:rsid w:val="00EE7E11"/>
    <w:rsid w:val="00EF014C"/>
    <w:rsid w:val="00EF0171"/>
    <w:rsid w:val="00EF0AFA"/>
    <w:rsid w:val="00EF0C89"/>
    <w:rsid w:val="00EF0E83"/>
    <w:rsid w:val="00EF14AB"/>
    <w:rsid w:val="00EF1AC0"/>
    <w:rsid w:val="00EF1B25"/>
    <w:rsid w:val="00EF1DA0"/>
    <w:rsid w:val="00EF25A5"/>
    <w:rsid w:val="00EF2ACC"/>
    <w:rsid w:val="00EF2D76"/>
    <w:rsid w:val="00EF38E3"/>
    <w:rsid w:val="00EF3E5E"/>
    <w:rsid w:val="00EF3EAF"/>
    <w:rsid w:val="00EF4006"/>
    <w:rsid w:val="00EF40D0"/>
    <w:rsid w:val="00EF4303"/>
    <w:rsid w:val="00EF4747"/>
    <w:rsid w:val="00EF48D9"/>
    <w:rsid w:val="00EF4BF8"/>
    <w:rsid w:val="00EF50BF"/>
    <w:rsid w:val="00EF594B"/>
    <w:rsid w:val="00EF5982"/>
    <w:rsid w:val="00EF5A46"/>
    <w:rsid w:val="00EF5ACA"/>
    <w:rsid w:val="00EF5CCA"/>
    <w:rsid w:val="00EF5E9E"/>
    <w:rsid w:val="00EF6A6A"/>
    <w:rsid w:val="00EF7052"/>
    <w:rsid w:val="00EF71A9"/>
    <w:rsid w:val="00EF721A"/>
    <w:rsid w:val="00EF72F2"/>
    <w:rsid w:val="00EF789E"/>
    <w:rsid w:val="00EF79ED"/>
    <w:rsid w:val="00EF7BD5"/>
    <w:rsid w:val="00F00488"/>
    <w:rsid w:val="00F00496"/>
    <w:rsid w:val="00F00737"/>
    <w:rsid w:val="00F008CB"/>
    <w:rsid w:val="00F009BA"/>
    <w:rsid w:val="00F015A0"/>
    <w:rsid w:val="00F01976"/>
    <w:rsid w:val="00F02162"/>
    <w:rsid w:val="00F02253"/>
    <w:rsid w:val="00F029C4"/>
    <w:rsid w:val="00F02C7B"/>
    <w:rsid w:val="00F02CE8"/>
    <w:rsid w:val="00F02D62"/>
    <w:rsid w:val="00F03040"/>
    <w:rsid w:val="00F030F5"/>
    <w:rsid w:val="00F03C2E"/>
    <w:rsid w:val="00F03D01"/>
    <w:rsid w:val="00F03FDC"/>
    <w:rsid w:val="00F0457A"/>
    <w:rsid w:val="00F04A66"/>
    <w:rsid w:val="00F04B4B"/>
    <w:rsid w:val="00F04F2B"/>
    <w:rsid w:val="00F0516C"/>
    <w:rsid w:val="00F05E63"/>
    <w:rsid w:val="00F064D8"/>
    <w:rsid w:val="00F06767"/>
    <w:rsid w:val="00F067A2"/>
    <w:rsid w:val="00F06D99"/>
    <w:rsid w:val="00F06F0B"/>
    <w:rsid w:val="00F07008"/>
    <w:rsid w:val="00F076AC"/>
    <w:rsid w:val="00F07B9E"/>
    <w:rsid w:val="00F1034D"/>
    <w:rsid w:val="00F10448"/>
    <w:rsid w:val="00F1066C"/>
    <w:rsid w:val="00F10BDA"/>
    <w:rsid w:val="00F10C99"/>
    <w:rsid w:val="00F110AE"/>
    <w:rsid w:val="00F1116F"/>
    <w:rsid w:val="00F11C02"/>
    <w:rsid w:val="00F12403"/>
    <w:rsid w:val="00F1263A"/>
    <w:rsid w:val="00F12915"/>
    <w:rsid w:val="00F12981"/>
    <w:rsid w:val="00F1319E"/>
    <w:rsid w:val="00F13832"/>
    <w:rsid w:val="00F139C5"/>
    <w:rsid w:val="00F141B4"/>
    <w:rsid w:val="00F15572"/>
    <w:rsid w:val="00F15B77"/>
    <w:rsid w:val="00F15F91"/>
    <w:rsid w:val="00F17212"/>
    <w:rsid w:val="00F17490"/>
    <w:rsid w:val="00F17601"/>
    <w:rsid w:val="00F17E1A"/>
    <w:rsid w:val="00F201D3"/>
    <w:rsid w:val="00F20D82"/>
    <w:rsid w:val="00F21236"/>
    <w:rsid w:val="00F21400"/>
    <w:rsid w:val="00F22073"/>
    <w:rsid w:val="00F22293"/>
    <w:rsid w:val="00F22C83"/>
    <w:rsid w:val="00F22E6A"/>
    <w:rsid w:val="00F22F11"/>
    <w:rsid w:val="00F22F62"/>
    <w:rsid w:val="00F23467"/>
    <w:rsid w:val="00F23793"/>
    <w:rsid w:val="00F239DF"/>
    <w:rsid w:val="00F23CCF"/>
    <w:rsid w:val="00F240D7"/>
    <w:rsid w:val="00F24837"/>
    <w:rsid w:val="00F24DD0"/>
    <w:rsid w:val="00F25382"/>
    <w:rsid w:val="00F255F6"/>
    <w:rsid w:val="00F2575F"/>
    <w:rsid w:val="00F2579D"/>
    <w:rsid w:val="00F25BF0"/>
    <w:rsid w:val="00F26E08"/>
    <w:rsid w:val="00F2729E"/>
    <w:rsid w:val="00F272EC"/>
    <w:rsid w:val="00F27565"/>
    <w:rsid w:val="00F27878"/>
    <w:rsid w:val="00F27ECD"/>
    <w:rsid w:val="00F27FA6"/>
    <w:rsid w:val="00F308D8"/>
    <w:rsid w:val="00F30922"/>
    <w:rsid w:val="00F310D4"/>
    <w:rsid w:val="00F31768"/>
    <w:rsid w:val="00F31AF1"/>
    <w:rsid w:val="00F31D5A"/>
    <w:rsid w:val="00F31DD5"/>
    <w:rsid w:val="00F3214E"/>
    <w:rsid w:val="00F3254C"/>
    <w:rsid w:val="00F3273C"/>
    <w:rsid w:val="00F32C4C"/>
    <w:rsid w:val="00F32D0A"/>
    <w:rsid w:val="00F3346F"/>
    <w:rsid w:val="00F33975"/>
    <w:rsid w:val="00F33DE9"/>
    <w:rsid w:val="00F342C6"/>
    <w:rsid w:val="00F34465"/>
    <w:rsid w:val="00F34A84"/>
    <w:rsid w:val="00F3592B"/>
    <w:rsid w:val="00F35E6D"/>
    <w:rsid w:val="00F36174"/>
    <w:rsid w:val="00F3619A"/>
    <w:rsid w:val="00F36350"/>
    <w:rsid w:val="00F36485"/>
    <w:rsid w:val="00F367E8"/>
    <w:rsid w:val="00F36CC3"/>
    <w:rsid w:val="00F37091"/>
    <w:rsid w:val="00F402E0"/>
    <w:rsid w:val="00F40AAA"/>
    <w:rsid w:val="00F40BA7"/>
    <w:rsid w:val="00F40E42"/>
    <w:rsid w:val="00F40F9D"/>
    <w:rsid w:val="00F416D1"/>
    <w:rsid w:val="00F41ACD"/>
    <w:rsid w:val="00F42732"/>
    <w:rsid w:val="00F43811"/>
    <w:rsid w:val="00F438BE"/>
    <w:rsid w:val="00F43BDF"/>
    <w:rsid w:val="00F43C13"/>
    <w:rsid w:val="00F44A77"/>
    <w:rsid w:val="00F4572F"/>
    <w:rsid w:val="00F45930"/>
    <w:rsid w:val="00F4599E"/>
    <w:rsid w:val="00F45B4B"/>
    <w:rsid w:val="00F4637E"/>
    <w:rsid w:val="00F46627"/>
    <w:rsid w:val="00F469FA"/>
    <w:rsid w:val="00F46CB6"/>
    <w:rsid w:val="00F46E9E"/>
    <w:rsid w:val="00F4756D"/>
    <w:rsid w:val="00F47DE8"/>
    <w:rsid w:val="00F47F40"/>
    <w:rsid w:val="00F5041C"/>
    <w:rsid w:val="00F51E7F"/>
    <w:rsid w:val="00F52045"/>
    <w:rsid w:val="00F52164"/>
    <w:rsid w:val="00F52B74"/>
    <w:rsid w:val="00F542B6"/>
    <w:rsid w:val="00F542C1"/>
    <w:rsid w:val="00F54E1E"/>
    <w:rsid w:val="00F550E3"/>
    <w:rsid w:val="00F55364"/>
    <w:rsid w:val="00F559B0"/>
    <w:rsid w:val="00F55E73"/>
    <w:rsid w:val="00F55EDA"/>
    <w:rsid w:val="00F561B3"/>
    <w:rsid w:val="00F566AD"/>
    <w:rsid w:val="00F56C80"/>
    <w:rsid w:val="00F572D3"/>
    <w:rsid w:val="00F57A8C"/>
    <w:rsid w:val="00F57ECA"/>
    <w:rsid w:val="00F60092"/>
    <w:rsid w:val="00F602E9"/>
    <w:rsid w:val="00F60C07"/>
    <w:rsid w:val="00F61C18"/>
    <w:rsid w:val="00F6246D"/>
    <w:rsid w:val="00F62ACE"/>
    <w:rsid w:val="00F62F10"/>
    <w:rsid w:val="00F634D7"/>
    <w:rsid w:val="00F63A25"/>
    <w:rsid w:val="00F641A3"/>
    <w:rsid w:val="00F64C69"/>
    <w:rsid w:val="00F65667"/>
    <w:rsid w:val="00F6579D"/>
    <w:rsid w:val="00F65F31"/>
    <w:rsid w:val="00F65F4B"/>
    <w:rsid w:val="00F66123"/>
    <w:rsid w:val="00F661D8"/>
    <w:rsid w:val="00F667B6"/>
    <w:rsid w:val="00F66C94"/>
    <w:rsid w:val="00F66D25"/>
    <w:rsid w:val="00F66E5E"/>
    <w:rsid w:val="00F670F8"/>
    <w:rsid w:val="00F6729C"/>
    <w:rsid w:val="00F67524"/>
    <w:rsid w:val="00F67A69"/>
    <w:rsid w:val="00F67BC8"/>
    <w:rsid w:val="00F705D8"/>
    <w:rsid w:val="00F70BFF"/>
    <w:rsid w:val="00F70C74"/>
    <w:rsid w:val="00F70C9D"/>
    <w:rsid w:val="00F70E48"/>
    <w:rsid w:val="00F71453"/>
    <w:rsid w:val="00F71566"/>
    <w:rsid w:val="00F715C2"/>
    <w:rsid w:val="00F715DA"/>
    <w:rsid w:val="00F718B2"/>
    <w:rsid w:val="00F72126"/>
    <w:rsid w:val="00F72B58"/>
    <w:rsid w:val="00F73545"/>
    <w:rsid w:val="00F73DEE"/>
    <w:rsid w:val="00F73E08"/>
    <w:rsid w:val="00F74574"/>
    <w:rsid w:val="00F749DE"/>
    <w:rsid w:val="00F74CD8"/>
    <w:rsid w:val="00F74CD9"/>
    <w:rsid w:val="00F756BD"/>
    <w:rsid w:val="00F75C4B"/>
    <w:rsid w:val="00F7604C"/>
    <w:rsid w:val="00F76077"/>
    <w:rsid w:val="00F761CB"/>
    <w:rsid w:val="00F76787"/>
    <w:rsid w:val="00F76DBB"/>
    <w:rsid w:val="00F77147"/>
    <w:rsid w:val="00F77C70"/>
    <w:rsid w:val="00F77E26"/>
    <w:rsid w:val="00F80A7B"/>
    <w:rsid w:val="00F80AF6"/>
    <w:rsid w:val="00F80CA8"/>
    <w:rsid w:val="00F80E5D"/>
    <w:rsid w:val="00F80EEF"/>
    <w:rsid w:val="00F81623"/>
    <w:rsid w:val="00F81E78"/>
    <w:rsid w:val="00F820BC"/>
    <w:rsid w:val="00F82BB5"/>
    <w:rsid w:val="00F83916"/>
    <w:rsid w:val="00F83A52"/>
    <w:rsid w:val="00F83D4E"/>
    <w:rsid w:val="00F84457"/>
    <w:rsid w:val="00F8449D"/>
    <w:rsid w:val="00F84F36"/>
    <w:rsid w:val="00F851CE"/>
    <w:rsid w:val="00F8566C"/>
    <w:rsid w:val="00F857F3"/>
    <w:rsid w:val="00F85B42"/>
    <w:rsid w:val="00F86189"/>
    <w:rsid w:val="00F869CE"/>
    <w:rsid w:val="00F86A31"/>
    <w:rsid w:val="00F86EE8"/>
    <w:rsid w:val="00F8709E"/>
    <w:rsid w:val="00F87380"/>
    <w:rsid w:val="00F90409"/>
    <w:rsid w:val="00F90B49"/>
    <w:rsid w:val="00F91219"/>
    <w:rsid w:val="00F91228"/>
    <w:rsid w:val="00F91596"/>
    <w:rsid w:val="00F916FE"/>
    <w:rsid w:val="00F91D67"/>
    <w:rsid w:val="00F91DFF"/>
    <w:rsid w:val="00F9228C"/>
    <w:rsid w:val="00F92444"/>
    <w:rsid w:val="00F930A0"/>
    <w:rsid w:val="00F9393E"/>
    <w:rsid w:val="00F94DA1"/>
    <w:rsid w:val="00F9519E"/>
    <w:rsid w:val="00F95317"/>
    <w:rsid w:val="00F95677"/>
    <w:rsid w:val="00F96920"/>
    <w:rsid w:val="00F96FD0"/>
    <w:rsid w:val="00F973DD"/>
    <w:rsid w:val="00F97A78"/>
    <w:rsid w:val="00F97B01"/>
    <w:rsid w:val="00FA003D"/>
    <w:rsid w:val="00FA02F6"/>
    <w:rsid w:val="00FA0A45"/>
    <w:rsid w:val="00FA0B20"/>
    <w:rsid w:val="00FA0CFC"/>
    <w:rsid w:val="00FA11D6"/>
    <w:rsid w:val="00FA1349"/>
    <w:rsid w:val="00FA1B34"/>
    <w:rsid w:val="00FA1E56"/>
    <w:rsid w:val="00FA2287"/>
    <w:rsid w:val="00FA23AB"/>
    <w:rsid w:val="00FA24E7"/>
    <w:rsid w:val="00FA2531"/>
    <w:rsid w:val="00FA258A"/>
    <w:rsid w:val="00FA2F0F"/>
    <w:rsid w:val="00FA38D1"/>
    <w:rsid w:val="00FA3916"/>
    <w:rsid w:val="00FA3BBE"/>
    <w:rsid w:val="00FA434E"/>
    <w:rsid w:val="00FA43F6"/>
    <w:rsid w:val="00FA494A"/>
    <w:rsid w:val="00FA5EE6"/>
    <w:rsid w:val="00FA6921"/>
    <w:rsid w:val="00FA73F5"/>
    <w:rsid w:val="00FA7956"/>
    <w:rsid w:val="00FB0439"/>
    <w:rsid w:val="00FB04D0"/>
    <w:rsid w:val="00FB0824"/>
    <w:rsid w:val="00FB0E0D"/>
    <w:rsid w:val="00FB1353"/>
    <w:rsid w:val="00FB13D2"/>
    <w:rsid w:val="00FB19AC"/>
    <w:rsid w:val="00FB2324"/>
    <w:rsid w:val="00FB2FCB"/>
    <w:rsid w:val="00FB30AE"/>
    <w:rsid w:val="00FB3D18"/>
    <w:rsid w:val="00FB411A"/>
    <w:rsid w:val="00FB4C9C"/>
    <w:rsid w:val="00FB4D22"/>
    <w:rsid w:val="00FB5100"/>
    <w:rsid w:val="00FB529F"/>
    <w:rsid w:val="00FB5418"/>
    <w:rsid w:val="00FB541F"/>
    <w:rsid w:val="00FB5C71"/>
    <w:rsid w:val="00FB602F"/>
    <w:rsid w:val="00FB6275"/>
    <w:rsid w:val="00FB63F7"/>
    <w:rsid w:val="00FB65A9"/>
    <w:rsid w:val="00FB6978"/>
    <w:rsid w:val="00FB6A3E"/>
    <w:rsid w:val="00FB6DBE"/>
    <w:rsid w:val="00FB74F5"/>
    <w:rsid w:val="00FB75F3"/>
    <w:rsid w:val="00FB7758"/>
    <w:rsid w:val="00FB7B7B"/>
    <w:rsid w:val="00FB7C55"/>
    <w:rsid w:val="00FB7CD6"/>
    <w:rsid w:val="00FC02A9"/>
    <w:rsid w:val="00FC1074"/>
    <w:rsid w:val="00FC1884"/>
    <w:rsid w:val="00FC1B82"/>
    <w:rsid w:val="00FC280E"/>
    <w:rsid w:val="00FC307B"/>
    <w:rsid w:val="00FC3419"/>
    <w:rsid w:val="00FC371D"/>
    <w:rsid w:val="00FC4D4D"/>
    <w:rsid w:val="00FC5A0A"/>
    <w:rsid w:val="00FC5E02"/>
    <w:rsid w:val="00FC5F0B"/>
    <w:rsid w:val="00FC6B08"/>
    <w:rsid w:val="00FC6E5C"/>
    <w:rsid w:val="00FC73DA"/>
    <w:rsid w:val="00FC7642"/>
    <w:rsid w:val="00FD027D"/>
    <w:rsid w:val="00FD0394"/>
    <w:rsid w:val="00FD073C"/>
    <w:rsid w:val="00FD0E7D"/>
    <w:rsid w:val="00FD1791"/>
    <w:rsid w:val="00FD2100"/>
    <w:rsid w:val="00FD2D94"/>
    <w:rsid w:val="00FD2FB0"/>
    <w:rsid w:val="00FD3C9E"/>
    <w:rsid w:val="00FD3D01"/>
    <w:rsid w:val="00FD3F83"/>
    <w:rsid w:val="00FD4243"/>
    <w:rsid w:val="00FD436C"/>
    <w:rsid w:val="00FD446D"/>
    <w:rsid w:val="00FD4C33"/>
    <w:rsid w:val="00FD4D18"/>
    <w:rsid w:val="00FD4F2C"/>
    <w:rsid w:val="00FD512B"/>
    <w:rsid w:val="00FD5920"/>
    <w:rsid w:val="00FD5EE3"/>
    <w:rsid w:val="00FD6394"/>
    <w:rsid w:val="00FD675F"/>
    <w:rsid w:val="00FD6D14"/>
    <w:rsid w:val="00FD70F9"/>
    <w:rsid w:val="00FD796B"/>
    <w:rsid w:val="00FE0E6C"/>
    <w:rsid w:val="00FE1AA4"/>
    <w:rsid w:val="00FE1AA8"/>
    <w:rsid w:val="00FE1CDC"/>
    <w:rsid w:val="00FE1F5A"/>
    <w:rsid w:val="00FE215A"/>
    <w:rsid w:val="00FE25EF"/>
    <w:rsid w:val="00FE266B"/>
    <w:rsid w:val="00FE28AA"/>
    <w:rsid w:val="00FE2E97"/>
    <w:rsid w:val="00FE348A"/>
    <w:rsid w:val="00FE370B"/>
    <w:rsid w:val="00FE39C6"/>
    <w:rsid w:val="00FE3A28"/>
    <w:rsid w:val="00FE4627"/>
    <w:rsid w:val="00FE564E"/>
    <w:rsid w:val="00FE623E"/>
    <w:rsid w:val="00FE699B"/>
    <w:rsid w:val="00FE70C3"/>
    <w:rsid w:val="00FE7217"/>
    <w:rsid w:val="00FE7573"/>
    <w:rsid w:val="00FE7873"/>
    <w:rsid w:val="00FE7BE9"/>
    <w:rsid w:val="00FE7D33"/>
    <w:rsid w:val="00FF0952"/>
    <w:rsid w:val="00FF13E6"/>
    <w:rsid w:val="00FF18CE"/>
    <w:rsid w:val="00FF1A8B"/>
    <w:rsid w:val="00FF1B1B"/>
    <w:rsid w:val="00FF1BE4"/>
    <w:rsid w:val="00FF2042"/>
    <w:rsid w:val="00FF2751"/>
    <w:rsid w:val="00FF27D7"/>
    <w:rsid w:val="00FF2819"/>
    <w:rsid w:val="00FF2AD9"/>
    <w:rsid w:val="00FF2D17"/>
    <w:rsid w:val="00FF30D5"/>
    <w:rsid w:val="00FF320A"/>
    <w:rsid w:val="00FF3439"/>
    <w:rsid w:val="00FF359F"/>
    <w:rsid w:val="00FF3A3A"/>
    <w:rsid w:val="00FF3DCF"/>
    <w:rsid w:val="00FF4186"/>
    <w:rsid w:val="00FF422E"/>
    <w:rsid w:val="00FF492C"/>
    <w:rsid w:val="00FF497E"/>
    <w:rsid w:val="00FF4A21"/>
    <w:rsid w:val="00FF537A"/>
    <w:rsid w:val="00FF5AA3"/>
    <w:rsid w:val="00FF5AD8"/>
    <w:rsid w:val="00FF5CBA"/>
    <w:rsid w:val="00FF5D64"/>
    <w:rsid w:val="00FF6318"/>
    <w:rsid w:val="00FF68B8"/>
    <w:rsid w:val="00FF6D9D"/>
    <w:rsid w:val="00FF7EE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4"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A4C"/>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H"/>
    <w:basedOn w:val="Normal"/>
    <w:next w:val="Normal"/>
    <w:link w:val="CaptionChar"/>
    <w:uiPriority w:val="1"/>
    <w:unhideWhenUsed/>
    <w:qFormat/>
    <w:rsid w:val="00E16AD8"/>
    <w:pPr>
      <w:keepNext/>
      <w:keepLines/>
    </w:pPr>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H Char"/>
    <w:link w:val="Caption"/>
    <w:uiPriority w:val="1"/>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Bullets Points,Styl moj,Akapit z listą1,Akapit z listą11,Table Legend,Bullet1,ES Paragraph"/>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Bullets Points Char,Styl moj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HTAtableplain,RTI AMCP Table,new sty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Text1">
    <w:name w:val="TableText"/>
    <w:basedOn w:val="Normal"/>
    <w:link w:val="TableTextChar1"/>
    <w:uiPriority w:val="3"/>
    <w:qFormat/>
    <w:rsid w:val="00904304"/>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3"/>
    <w:rsid w:val="00904304"/>
    <w:rPr>
      <w:rFonts w:ascii="Calibri" w:hAnsi="Calibri" w:cs="Calibri"/>
      <w:bCs/>
      <w:lang w:eastAsia="zh-CN"/>
    </w:rPr>
  </w:style>
  <w:style w:type="character" w:styleId="Strong">
    <w:name w:val="Strong"/>
    <w:basedOn w:val="DefaultParagraphFont"/>
    <w:uiPriority w:val="22"/>
    <w:qFormat/>
    <w:rsid w:val="00453FF8"/>
    <w:rPr>
      <w:b/>
      <w:bCs/>
    </w:rPr>
  </w:style>
  <w:style w:type="table" w:customStyle="1" w:styleId="HTAtableplain1">
    <w:name w:val="HTAtableplain1"/>
    <w:basedOn w:val="TableNormal"/>
    <w:next w:val="TableGrid"/>
    <w:uiPriority w:val="59"/>
    <w:rsid w:val="00AB62DD"/>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ourceNotes">
    <w:name w:val="SourceNotes"/>
    <w:basedOn w:val="Normal"/>
    <w:next w:val="Normal"/>
    <w:link w:val="SourceNotesChar"/>
    <w:uiPriority w:val="2"/>
    <w:qFormat/>
    <w:rsid w:val="002D4F3B"/>
    <w:pPr>
      <w:tabs>
        <w:tab w:val="left" w:pos="1100"/>
      </w:tabs>
      <w:ind w:left="1100" w:hanging="1100"/>
      <w:jc w:val="left"/>
    </w:pPr>
    <w:rPr>
      <w:rFonts w:eastAsiaTheme="minorEastAsia" w:cstheme="minorBidi"/>
      <w:sz w:val="18"/>
      <w:szCs w:val="18"/>
      <w:lang w:eastAsia="en-US"/>
    </w:rPr>
  </w:style>
  <w:style w:type="character" w:customStyle="1" w:styleId="SourceNotesChar">
    <w:name w:val="SourceNotes Char"/>
    <w:basedOn w:val="DefaultParagraphFont"/>
    <w:link w:val="SourceNotes"/>
    <w:uiPriority w:val="2"/>
    <w:rsid w:val="002D4F3B"/>
    <w:rPr>
      <w:rFonts w:ascii="Calibri" w:eastAsiaTheme="minorEastAsia" w:hAnsi="Calibri" w:cstheme="minorBidi"/>
      <w:sz w:val="18"/>
      <w:szCs w:val="18"/>
      <w:lang w:eastAsia="en-US"/>
    </w:rPr>
  </w:style>
  <w:style w:type="character" w:styleId="PlaceholderText">
    <w:name w:val="Placeholder Text"/>
    <w:basedOn w:val="DefaultParagraphFont"/>
    <w:uiPriority w:val="99"/>
    <w:semiHidden/>
    <w:rsid w:val="00C76666"/>
    <w:rPr>
      <w:color w:val="808080"/>
    </w:rPr>
  </w:style>
  <w:style w:type="paragraph" w:customStyle="1" w:styleId="V50Instructions">
    <w:name w:val="V5.0 Instructions"/>
    <w:basedOn w:val="Normal"/>
    <w:link w:val="V50InstructionsChar"/>
    <w:qFormat/>
    <w:rsid w:val="004C6076"/>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4C6076"/>
    <w:rPr>
      <w:rFonts w:asciiTheme="minorHAnsi" w:eastAsiaTheme="minorHAnsi" w:hAnsiTheme="minorHAnsi" w:cstheme="minorBidi"/>
      <w:color w:val="4BACC6" w:themeColor="accent5"/>
      <w:sz w:val="24"/>
      <w:szCs w:val="22"/>
      <w:lang w:eastAsia="en-US"/>
    </w:rPr>
  </w:style>
  <w:style w:type="character" w:customStyle="1" w:styleId="apple-converted-space">
    <w:name w:val="apple-converted-space"/>
    <w:basedOn w:val="DefaultParagraphFont"/>
    <w:rsid w:val="005025EF"/>
  </w:style>
  <w:style w:type="paragraph" w:customStyle="1" w:styleId="TableFigureFooter">
    <w:name w:val="Table/Figure Footer"/>
    <w:basedOn w:val="Normal"/>
    <w:link w:val="TableFigureFooterChar"/>
    <w:qFormat/>
    <w:rsid w:val="00EB7C24"/>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B7C24"/>
    <w:rPr>
      <w:rFonts w:ascii="Arial Narrow" w:hAnsi="Arial Narrow" w:cs="Arial"/>
      <w:snapToGrid w:val="0"/>
      <w:sz w:val="18"/>
      <w:szCs w:val="22"/>
    </w:rPr>
  </w:style>
  <w:style w:type="character" w:styleId="Emphasis">
    <w:name w:val="Emphasis"/>
    <w:basedOn w:val="DefaultParagraphFont"/>
    <w:uiPriority w:val="20"/>
    <w:qFormat/>
    <w:rsid w:val="007674A3"/>
    <w:rPr>
      <w:b w:val="0"/>
      <w:i/>
      <w:iCs/>
    </w:rPr>
  </w:style>
  <w:style w:type="character" w:styleId="UnresolvedMention">
    <w:name w:val="Unresolved Mention"/>
    <w:basedOn w:val="DefaultParagraphFont"/>
    <w:uiPriority w:val="99"/>
    <w:semiHidden/>
    <w:unhideWhenUsed/>
    <w:rsid w:val="006E22DD"/>
    <w:rPr>
      <w:color w:val="605E5C"/>
      <w:shd w:val="clear" w:color="auto" w:fill="E1DFDD"/>
    </w:rPr>
  </w:style>
  <w:style w:type="table" w:customStyle="1" w:styleId="HTAtableplain5">
    <w:name w:val="HTAtableplain5"/>
    <w:basedOn w:val="TableNormal"/>
    <w:next w:val="TableGrid"/>
    <w:uiPriority w:val="59"/>
    <w:rsid w:val="004F4802"/>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SDAustralia">
    <w:name w:val="MSD Australia"/>
    <w:basedOn w:val="TableGrid"/>
    <w:uiPriority w:val="99"/>
    <w:rsid w:val="0076299E"/>
    <w:pPr>
      <w:spacing w:before="57"/>
      <w:ind w:left="57" w:right="57"/>
    </w:pPr>
    <w:rPr>
      <w:rFonts w:ascii="Arial" w:eastAsiaTheme="minorHAnsi" w:hAnsi="Arial" w:cstheme="minorBidi"/>
      <w:lang w:eastAsia="en-US"/>
    </w:rPr>
    <w:tblPr>
      <w:tblBorders>
        <w:top w:val="single" w:sz="12" w:space="0" w:color="4BACC6" w:themeColor="accent5"/>
        <w:left w:val="none" w:sz="0" w:space="0" w:color="auto"/>
        <w:bottom w:val="single" w:sz="12" w:space="0" w:color="4BACC6" w:themeColor="accent5"/>
        <w:right w:val="none" w:sz="0" w:space="0" w:color="auto"/>
        <w:insideH w:val="single" w:sz="4" w:space="0" w:color="4BACC6" w:themeColor="accent5"/>
        <w:insideV w:val="none" w:sz="0" w:space="0" w:color="auto"/>
      </w:tblBorders>
      <w:tblCellMar>
        <w:left w:w="57" w:type="dxa"/>
        <w:right w:w="57" w:type="dxa"/>
      </w:tblCellMar>
    </w:tblPr>
    <w:tblStylePr w:type="firstRow">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paragraph" w:customStyle="1" w:styleId="TableNotes">
    <w:name w:val="TableNotes"/>
    <w:basedOn w:val="Normal"/>
    <w:next w:val="Normal"/>
    <w:link w:val="TableNotesChar"/>
    <w:uiPriority w:val="3"/>
    <w:qFormat/>
    <w:rsid w:val="00123B3C"/>
    <w:pPr>
      <w:tabs>
        <w:tab w:val="left" w:pos="1134"/>
      </w:tabs>
      <w:ind w:left="1134" w:hanging="1134"/>
    </w:pPr>
    <w:rPr>
      <w:rFonts w:eastAsiaTheme="minorEastAsia" w:cstheme="minorBidi"/>
      <w:sz w:val="18"/>
      <w:szCs w:val="18"/>
      <w:lang w:eastAsia="zh-CN"/>
    </w:rPr>
  </w:style>
  <w:style w:type="character" w:customStyle="1" w:styleId="TableNotesChar">
    <w:name w:val="TableNotes Char"/>
    <w:basedOn w:val="DefaultParagraphFont"/>
    <w:link w:val="TableNotes"/>
    <w:uiPriority w:val="3"/>
    <w:rsid w:val="00123B3C"/>
    <w:rPr>
      <w:rFonts w:ascii="Calibri" w:eastAsiaTheme="minorEastAsia" w:hAnsi="Calibri" w:cstheme="minorBidi"/>
      <w:sz w:val="18"/>
      <w:szCs w:val="18"/>
      <w:lang w:eastAsia="zh-CN"/>
    </w:rPr>
  </w:style>
  <w:style w:type="paragraph" w:customStyle="1" w:styleId="TableHeadingRow">
    <w:name w:val="TableHeadingRow"/>
    <w:basedOn w:val="TableText1"/>
    <w:uiPriority w:val="3"/>
    <w:qFormat/>
    <w:rsid w:val="00895D38"/>
    <w:pPr>
      <w:keepNext/>
      <w:spacing w:before="40" w:after="40"/>
      <w:jc w:val="center"/>
    </w:pPr>
    <w:rPr>
      <w:b/>
      <w:bCs w:val="0"/>
    </w:rPr>
  </w:style>
  <w:style w:type="paragraph" w:styleId="FootnoteText">
    <w:name w:val="footnote text"/>
    <w:basedOn w:val="Normal"/>
    <w:link w:val="FootnoteTextChar"/>
    <w:unhideWhenUsed/>
    <w:rsid w:val="00F416D1"/>
    <w:rPr>
      <w:sz w:val="20"/>
      <w:szCs w:val="20"/>
    </w:rPr>
  </w:style>
  <w:style w:type="character" w:customStyle="1" w:styleId="FootnoteTextChar">
    <w:name w:val="Footnote Text Char"/>
    <w:basedOn w:val="DefaultParagraphFont"/>
    <w:link w:val="FootnoteText"/>
    <w:rsid w:val="00F416D1"/>
    <w:rPr>
      <w:rFonts w:ascii="Calibri" w:hAnsi="Calibri" w:cs="Arial"/>
    </w:rPr>
  </w:style>
  <w:style w:type="character" w:styleId="FootnoteReference">
    <w:name w:val="footnote reference"/>
    <w:basedOn w:val="DefaultParagraphFont"/>
    <w:semiHidden/>
    <w:unhideWhenUsed/>
    <w:rsid w:val="00F416D1"/>
    <w:rPr>
      <w:vertAlign w:val="superscript"/>
    </w:rPr>
  </w:style>
  <w:style w:type="character" w:customStyle="1" w:styleId="Heading4Char">
    <w:name w:val="Heading 4 Char"/>
    <w:basedOn w:val="DefaultParagraphFont"/>
    <w:link w:val="Heading4"/>
    <w:rsid w:val="005C1A9C"/>
    <w:rPr>
      <w:rFonts w:ascii="Calibri" w:hAnsi="Calibri" w:cs="Arial"/>
      <w:b/>
      <w:bCs/>
      <w:i/>
      <w:sz w:val="26"/>
      <w:szCs w:val="28"/>
    </w:rPr>
  </w:style>
  <w:style w:type="character" w:customStyle="1" w:styleId="Heading1Char">
    <w:name w:val="Heading 1 Char"/>
    <w:basedOn w:val="DefaultParagraphFont"/>
    <w:link w:val="Heading1"/>
    <w:uiPriority w:val="1"/>
    <w:rsid w:val="00833E33"/>
    <w:rPr>
      <w:rFonts w:ascii="Calibri" w:hAnsi="Calibri" w:cs="Arial"/>
      <w:b/>
      <w:caps/>
      <w:sz w:val="32"/>
      <w:szCs w:val="24"/>
    </w:rPr>
  </w:style>
  <w:style w:type="character" w:customStyle="1" w:styleId="Heading3Char">
    <w:name w:val="Heading 3 Char"/>
    <w:basedOn w:val="DefaultParagraphFont"/>
    <w:link w:val="Heading3"/>
    <w:rsid w:val="00833E33"/>
    <w:rPr>
      <w:rFonts w:ascii="Calibri" w:hAnsi="Calibri" w:cs="Arial"/>
      <w:sz w:val="24"/>
      <w:szCs w:val="24"/>
      <w:u w:val="single"/>
    </w:rPr>
  </w:style>
  <w:style w:type="character" w:customStyle="1" w:styleId="Heading5Char">
    <w:name w:val="Heading 5 Char"/>
    <w:basedOn w:val="DefaultParagraphFont"/>
    <w:link w:val="Heading5"/>
    <w:rsid w:val="00833E33"/>
    <w:rPr>
      <w:rFonts w:ascii="Calibri" w:hAnsi="Calibri" w:cs="Arial"/>
      <w:b/>
      <w:bCs/>
      <w:iCs/>
      <w:sz w:val="26"/>
      <w:szCs w:val="26"/>
    </w:rPr>
  </w:style>
  <w:style w:type="character" w:customStyle="1" w:styleId="Heading6Char">
    <w:name w:val="Heading 6 Char"/>
    <w:basedOn w:val="DefaultParagraphFont"/>
    <w:link w:val="Heading6"/>
    <w:rsid w:val="00833E33"/>
    <w:rPr>
      <w:rFonts w:ascii="Calibri" w:hAnsi="Calibri" w:cs="Arial"/>
      <w:b/>
      <w:bCs/>
      <w:i/>
      <w:sz w:val="24"/>
      <w:szCs w:val="24"/>
    </w:rPr>
  </w:style>
  <w:style w:type="character" w:customStyle="1" w:styleId="cf01">
    <w:name w:val="cf01"/>
    <w:basedOn w:val="DefaultParagraphFont"/>
    <w:rsid w:val="003308C6"/>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C02C3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C02C39"/>
    <w:rPr>
      <w:rFonts w:asciiTheme="minorHAnsi" w:eastAsiaTheme="majorEastAsia" w:hAnsiTheme="minorHAnsi" w:cstheme="majorBidi"/>
      <w:b/>
      <w:i/>
      <w:snapToGrid/>
      <w:spacing w:val="5"/>
      <w:kern w:val="28"/>
      <w:sz w:val="28"/>
      <w:szCs w:val="36"/>
      <w:lang w:eastAsia="en-US"/>
    </w:rPr>
  </w:style>
  <w:style w:type="table" w:customStyle="1" w:styleId="TableGrid11">
    <w:name w:val="Table Grid11"/>
    <w:basedOn w:val="TableNormal"/>
    <w:next w:val="TableGrid"/>
    <w:uiPriority w:val="39"/>
    <w:rsid w:val="001C7D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C51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D77B3"/>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1D77B3"/>
  </w:style>
  <w:style w:type="character" w:customStyle="1" w:styleId="eop">
    <w:name w:val="eop"/>
    <w:basedOn w:val="DefaultParagraphFont"/>
    <w:rsid w:val="001D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4898">
      <w:bodyDiv w:val="1"/>
      <w:marLeft w:val="0"/>
      <w:marRight w:val="0"/>
      <w:marTop w:val="0"/>
      <w:marBottom w:val="0"/>
      <w:divBdr>
        <w:top w:val="none" w:sz="0" w:space="0" w:color="auto"/>
        <w:left w:val="none" w:sz="0" w:space="0" w:color="auto"/>
        <w:bottom w:val="none" w:sz="0" w:space="0" w:color="auto"/>
        <w:right w:val="none" w:sz="0" w:space="0" w:color="auto"/>
      </w:divBdr>
    </w:div>
    <w:div w:id="7590297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2325976">
      <w:bodyDiv w:val="1"/>
      <w:marLeft w:val="0"/>
      <w:marRight w:val="0"/>
      <w:marTop w:val="0"/>
      <w:marBottom w:val="0"/>
      <w:divBdr>
        <w:top w:val="none" w:sz="0" w:space="0" w:color="auto"/>
        <w:left w:val="none" w:sz="0" w:space="0" w:color="auto"/>
        <w:bottom w:val="none" w:sz="0" w:space="0" w:color="auto"/>
        <w:right w:val="none" w:sz="0" w:space="0" w:color="auto"/>
      </w:divBdr>
    </w:div>
    <w:div w:id="2612580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72996564">
      <w:bodyDiv w:val="1"/>
      <w:marLeft w:val="0"/>
      <w:marRight w:val="0"/>
      <w:marTop w:val="0"/>
      <w:marBottom w:val="0"/>
      <w:divBdr>
        <w:top w:val="none" w:sz="0" w:space="0" w:color="auto"/>
        <w:left w:val="none" w:sz="0" w:space="0" w:color="auto"/>
        <w:bottom w:val="none" w:sz="0" w:space="0" w:color="auto"/>
        <w:right w:val="none" w:sz="0" w:space="0" w:color="auto"/>
      </w:divBdr>
    </w:div>
    <w:div w:id="707993026">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7552878">
      <w:bodyDiv w:val="1"/>
      <w:marLeft w:val="0"/>
      <w:marRight w:val="0"/>
      <w:marTop w:val="0"/>
      <w:marBottom w:val="0"/>
      <w:divBdr>
        <w:top w:val="none" w:sz="0" w:space="0" w:color="auto"/>
        <w:left w:val="none" w:sz="0" w:space="0" w:color="auto"/>
        <w:bottom w:val="none" w:sz="0" w:space="0" w:color="auto"/>
        <w:right w:val="none" w:sz="0" w:space="0" w:color="auto"/>
      </w:divBdr>
    </w:div>
    <w:div w:id="920289162">
      <w:bodyDiv w:val="1"/>
      <w:marLeft w:val="0"/>
      <w:marRight w:val="0"/>
      <w:marTop w:val="0"/>
      <w:marBottom w:val="0"/>
      <w:divBdr>
        <w:top w:val="none" w:sz="0" w:space="0" w:color="auto"/>
        <w:left w:val="none" w:sz="0" w:space="0" w:color="auto"/>
        <w:bottom w:val="none" w:sz="0" w:space="0" w:color="auto"/>
        <w:right w:val="none" w:sz="0" w:space="0" w:color="auto"/>
      </w:divBdr>
      <w:divsChild>
        <w:div w:id="461968910">
          <w:marLeft w:val="0"/>
          <w:marRight w:val="0"/>
          <w:marTop w:val="0"/>
          <w:marBottom w:val="0"/>
          <w:divBdr>
            <w:top w:val="none" w:sz="0" w:space="0" w:color="auto"/>
            <w:left w:val="none" w:sz="0" w:space="0" w:color="auto"/>
            <w:bottom w:val="none" w:sz="0" w:space="0" w:color="auto"/>
            <w:right w:val="none" w:sz="0" w:space="0" w:color="auto"/>
          </w:divBdr>
        </w:div>
        <w:div w:id="563413075">
          <w:marLeft w:val="0"/>
          <w:marRight w:val="0"/>
          <w:marTop w:val="0"/>
          <w:marBottom w:val="0"/>
          <w:divBdr>
            <w:top w:val="none" w:sz="0" w:space="0" w:color="auto"/>
            <w:left w:val="none" w:sz="0" w:space="0" w:color="auto"/>
            <w:bottom w:val="none" w:sz="0" w:space="0" w:color="auto"/>
            <w:right w:val="none" w:sz="0" w:space="0" w:color="auto"/>
          </w:divBdr>
        </w:div>
        <w:div w:id="2077779389">
          <w:marLeft w:val="0"/>
          <w:marRight w:val="0"/>
          <w:marTop w:val="0"/>
          <w:marBottom w:val="0"/>
          <w:divBdr>
            <w:top w:val="none" w:sz="0" w:space="0" w:color="auto"/>
            <w:left w:val="none" w:sz="0" w:space="0" w:color="auto"/>
            <w:bottom w:val="none" w:sz="0" w:space="0" w:color="auto"/>
            <w:right w:val="none" w:sz="0" w:space="0" w:color="auto"/>
          </w:divBdr>
        </w:div>
        <w:div w:id="738602500">
          <w:marLeft w:val="0"/>
          <w:marRight w:val="0"/>
          <w:marTop w:val="0"/>
          <w:marBottom w:val="0"/>
          <w:divBdr>
            <w:top w:val="none" w:sz="0" w:space="0" w:color="auto"/>
            <w:left w:val="none" w:sz="0" w:space="0" w:color="auto"/>
            <w:bottom w:val="none" w:sz="0" w:space="0" w:color="auto"/>
            <w:right w:val="none" w:sz="0" w:space="0" w:color="auto"/>
          </w:divBdr>
        </w:div>
        <w:div w:id="1610430494">
          <w:marLeft w:val="0"/>
          <w:marRight w:val="0"/>
          <w:marTop w:val="0"/>
          <w:marBottom w:val="0"/>
          <w:divBdr>
            <w:top w:val="none" w:sz="0" w:space="0" w:color="auto"/>
            <w:left w:val="none" w:sz="0" w:space="0" w:color="auto"/>
            <w:bottom w:val="none" w:sz="0" w:space="0" w:color="auto"/>
            <w:right w:val="none" w:sz="0" w:space="0" w:color="auto"/>
          </w:divBdr>
        </w:div>
        <w:div w:id="1960408385">
          <w:marLeft w:val="0"/>
          <w:marRight w:val="0"/>
          <w:marTop w:val="0"/>
          <w:marBottom w:val="0"/>
          <w:divBdr>
            <w:top w:val="none" w:sz="0" w:space="0" w:color="auto"/>
            <w:left w:val="none" w:sz="0" w:space="0" w:color="auto"/>
            <w:bottom w:val="none" w:sz="0" w:space="0" w:color="auto"/>
            <w:right w:val="none" w:sz="0" w:space="0" w:color="auto"/>
          </w:divBdr>
        </w:div>
        <w:div w:id="1956711536">
          <w:marLeft w:val="0"/>
          <w:marRight w:val="0"/>
          <w:marTop w:val="0"/>
          <w:marBottom w:val="0"/>
          <w:divBdr>
            <w:top w:val="none" w:sz="0" w:space="0" w:color="auto"/>
            <w:left w:val="none" w:sz="0" w:space="0" w:color="auto"/>
            <w:bottom w:val="none" w:sz="0" w:space="0" w:color="auto"/>
            <w:right w:val="none" w:sz="0" w:space="0" w:color="auto"/>
          </w:divBdr>
        </w:div>
        <w:div w:id="778139937">
          <w:marLeft w:val="0"/>
          <w:marRight w:val="0"/>
          <w:marTop w:val="0"/>
          <w:marBottom w:val="0"/>
          <w:divBdr>
            <w:top w:val="none" w:sz="0" w:space="0" w:color="auto"/>
            <w:left w:val="none" w:sz="0" w:space="0" w:color="auto"/>
            <w:bottom w:val="none" w:sz="0" w:space="0" w:color="auto"/>
            <w:right w:val="none" w:sz="0" w:space="0" w:color="auto"/>
          </w:divBdr>
        </w:div>
        <w:div w:id="65424625">
          <w:marLeft w:val="0"/>
          <w:marRight w:val="0"/>
          <w:marTop w:val="0"/>
          <w:marBottom w:val="0"/>
          <w:divBdr>
            <w:top w:val="none" w:sz="0" w:space="0" w:color="auto"/>
            <w:left w:val="none" w:sz="0" w:space="0" w:color="auto"/>
            <w:bottom w:val="none" w:sz="0" w:space="0" w:color="auto"/>
            <w:right w:val="none" w:sz="0" w:space="0" w:color="auto"/>
          </w:divBdr>
        </w:div>
        <w:div w:id="1225995151">
          <w:marLeft w:val="0"/>
          <w:marRight w:val="0"/>
          <w:marTop w:val="0"/>
          <w:marBottom w:val="0"/>
          <w:divBdr>
            <w:top w:val="none" w:sz="0" w:space="0" w:color="auto"/>
            <w:left w:val="none" w:sz="0" w:space="0" w:color="auto"/>
            <w:bottom w:val="none" w:sz="0" w:space="0" w:color="auto"/>
            <w:right w:val="none" w:sz="0" w:space="0" w:color="auto"/>
          </w:divBdr>
        </w:div>
        <w:div w:id="116143782">
          <w:marLeft w:val="0"/>
          <w:marRight w:val="0"/>
          <w:marTop w:val="0"/>
          <w:marBottom w:val="0"/>
          <w:divBdr>
            <w:top w:val="none" w:sz="0" w:space="0" w:color="auto"/>
            <w:left w:val="none" w:sz="0" w:space="0" w:color="auto"/>
            <w:bottom w:val="none" w:sz="0" w:space="0" w:color="auto"/>
            <w:right w:val="none" w:sz="0" w:space="0" w:color="auto"/>
          </w:divBdr>
        </w:div>
        <w:div w:id="578028725">
          <w:marLeft w:val="0"/>
          <w:marRight w:val="0"/>
          <w:marTop w:val="0"/>
          <w:marBottom w:val="0"/>
          <w:divBdr>
            <w:top w:val="none" w:sz="0" w:space="0" w:color="auto"/>
            <w:left w:val="none" w:sz="0" w:space="0" w:color="auto"/>
            <w:bottom w:val="none" w:sz="0" w:space="0" w:color="auto"/>
            <w:right w:val="none" w:sz="0" w:space="0" w:color="auto"/>
          </w:divBdr>
        </w:div>
        <w:div w:id="525874381">
          <w:marLeft w:val="0"/>
          <w:marRight w:val="0"/>
          <w:marTop w:val="0"/>
          <w:marBottom w:val="0"/>
          <w:divBdr>
            <w:top w:val="none" w:sz="0" w:space="0" w:color="auto"/>
            <w:left w:val="none" w:sz="0" w:space="0" w:color="auto"/>
            <w:bottom w:val="none" w:sz="0" w:space="0" w:color="auto"/>
            <w:right w:val="none" w:sz="0" w:space="0" w:color="auto"/>
          </w:divBdr>
        </w:div>
      </w:divsChild>
    </w:div>
    <w:div w:id="104255716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32623875">
      <w:bodyDiv w:val="1"/>
      <w:marLeft w:val="0"/>
      <w:marRight w:val="0"/>
      <w:marTop w:val="0"/>
      <w:marBottom w:val="0"/>
      <w:divBdr>
        <w:top w:val="none" w:sz="0" w:space="0" w:color="auto"/>
        <w:left w:val="none" w:sz="0" w:space="0" w:color="auto"/>
        <w:bottom w:val="none" w:sz="0" w:space="0" w:color="auto"/>
        <w:right w:val="none" w:sz="0" w:space="0" w:color="auto"/>
      </w:divBdr>
    </w:div>
    <w:div w:id="166227172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814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htt1</b:Tag>
    <b:SourceType>InternetSite</b:SourceType>
    <b:Guid>{9B5EEDD6-8223-4741-AB9B-69B42767799E}</b:Guid>
    <b:URL>https://www.pbs.gov.au/industry/listing/elements/pbac-meetings/pbac-outcomes/2022-11/pbac-web-outcomes-11-2022.pdf </b:URL>
    <b:RefOrder>2</b:RefOrder>
  </b:Source>
  <b:Source>
    <b:Tag>htt2</b:Tag>
    <b:SourceType>InternetSite</b:SourceType>
    <b:Guid>{F782D9CF-BA1B-4243-B3A5-A8D07C1FBD7C}</b:Guid>
    <b:Author>
      <b:Author>
        <b:NameList>
          <b:Person>
            <b:Last>https://www.pbs.gov.au/industry/listing/elements/pbac-meetings/pbac-outcomes/2022-11/pbac-web-outcomes-11-2022.pdf</b:Last>
          </b:Person>
        </b:NameList>
      </b:Author>
    </b:Author>
    <b:RefOrder>1</b:RefOrder>
  </b:Source>
</b:Sources>
</file>

<file path=customXml/itemProps1.xml><?xml version="1.0" encoding="utf-8"?>
<ds:datastoreItem xmlns:ds="http://schemas.openxmlformats.org/officeDocument/2006/customXml" ds:itemID="{0DEFED02-96F6-4DF6-80AF-73F6D47F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17457</Words>
  <Characters>100443</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2023-06-26T01:58:00Z</dcterms:created>
  <dcterms:modified xsi:type="dcterms:W3CDTF">2023-06-26T02:01:00Z</dcterms:modified>
</cp:coreProperties>
</file>